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bottom w:val="single" w:sz="12" w:space="0" w:color="808080"/>
        </w:tblBorders>
        <w:shd w:val="clear" w:color="auto" w:fill="8C8C8C"/>
        <w:tblLook w:val="01E0" w:firstRow="1" w:lastRow="1" w:firstColumn="1" w:lastColumn="1" w:noHBand="0" w:noVBand="0"/>
      </w:tblPr>
      <w:tblGrid>
        <w:gridCol w:w="6767"/>
        <w:gridCol w:w="2305"/>
      </w:tblGrid>
      <w:tr w:rsidR="00561D8F" w14:paraId="6C05F51F" w14:textId="77777777" w:rsidTr="000E69C9">
        <w:tc>
          <w:tcPr>
            <w:tcW w:w="7763" w:type="dxa"/>
            <w:tcBorders>
              <w:bottom w:val="single" w:sz="12" w:space="0" w:color="808080"/>
            </w:tcBorders>
            <w:shd w:val="clear" w:color="auto" w:fill="auto"/>
          </w:tcPr>
          <w:p w14:paraId="14CB5D7A" w14:textId="77777777" w:rsidR="00561D8F" w:rsidRDefault="00561D8F" w:rsidP="000E69C9"/>
        </w:tc>
        <w:tc>
          <w:tcPr>
            <w:tcW w:w="2318" w:type="dxa"/>
            <w:shd w:val="clear" w:color="auto" w:fill="8C8C8C"/>
          </w:tcPr>
          <w:p w14:paraId="58CDD8E0" w14:textId="77777777" w:rsidR="00561D8F" w:rsidRPr="00CB4B86" w:rsidRDefault="00561D8F" w:rsidP="000E69C9">
            <w:pPr>
              <w:pStyle w:val="ColumnTitle"/>
              <w:rPr>
                <w:color w:val="FFFFFF"/>
              </w:rPr>
            </w:pPr>
            <w:r w:rsidRPr="00CB4B86">
              <w:rPr>
                <w:color w:val="FFFFFF"/>
              </w:rPr>
              <w:t>REVIEW</w:t>
            </w:r>
          </w:p>
        </w:tc>
      </w:tr>
    </w:tbl>
    <w:p w14:paraId="3B9987BE" w14:textId="77777777" w:rsidR="00561D8F" w:rsidRPr="00162883" w:rsidRDefault="00561D8F" w:rsidP="000E69C9">
      <w:pPr>
        <w:pStyle w:val="ManuscriptID"/>
      </w:pPr>
      <w:r>
        <w:t>DOI: 10.1002/</w:t>
      </w:r>
      <w:proofErr w:type="gramStart"/>
      <w:r>
        <w:t>adsc</w:t>
      </w:r>
      <w:r w:rsidRPr="00162883">
        <w:t>.20</w:t>
      </w:r>
      <w:r>
        <w:t>1</w:t>
      </w:r>
      <w:r w:rsidRPr="008F46C5">
        <w:rPr>
          <w:b w:val="0"/>
          <w:color w:val="FF0000"/>
        </w:rPr>
        <w:t>(</w:t>
      </w:r>
      <w:proofErr w:type="gramEnd"/>
      <w:r w:rsidRPr="008F46C5">
        <w:rPr>
          <w:b w:val="0"/>
          <w:color w:val="FF0000"/>
        </w:rPr>
        <w:t>(will be filled in by the editorial staff))</w:t>
      </w:r>
    </w:p>
    <w:p w14:paraId="0BF96A01" w14:textId="3C20D17B" w:rsidR="00561D8F" w:rsidRPr="00162883" w:rsidRDefault="00561D8F" w:rsidP="000E69C9">
      <w:pPr>
        <w:pStyle w:val="Titre1"/>
        <w:jc w:val="both"/>
      </w:pPr>
      <w:proofErr w:type="gramStart"/>
      <w:r>
        <w:t>NAD(</w:t>
      </w:r>
      <w:proofErr w:type="gramEnd"/>
      <w:r>
        <w:t>P)H-</w:t>
      </w:r>
      <w:r w:rsidR="0025376D">
        <w:t>D</w:t>
      </w:r>
      <w:r>
        <w:t xml:space="preserve">ependent </w:t>
      </w:r>
      <w:r w:rsidR="0025376D">
        <w:t>E</w:t>
      </w:r>
      <w:r>
        <w:t xml:space="preserve">nzymes for </w:t>
      </w:r>
      <w:r w:rsidR="0025376D">
        <w:t>R</w:t>
      </w:r>
      <w:r>
        <w:t xml:space="preserve">eductive </w:t>
      </w:r>
      <w:r w:rsidR="0025376D">
        <w:t>A</w:t>
      </w:r>
      <w:r>
        <w:t xml:space="preserve">mination: </w:t>
      </w:r>
      <w:r w:rsidR="0025376D">
        <w:t>Active</w:t>
      </w:r>
      <w:r w:rsidR="00722E34">
        <w:t xml:space="preserve"> Site Description and Carbonyl-C</w:t>
      </w:r>
      <w:r w:rsidR="0025376D">
        <w:t>ontaining Compound S</w:t>
      </w:r>
      <w:r>
        <w:t>pectrum.</w:t>
      </w:r>
    </w:p>
    <w:p w14:paraId="7A646401" w14:textId="77B7F8E7" w:rsidR="00561D8F" w:rsidRPr="00682F07" w:rsidRDefault="0025376D" w:rsidP="000E69C9">
      <w:pPr>
        <w:pStyle w:val="Authors"/>
        <w:rPr>
          <w:lang w:val="fr-FR"/>
        </w:rPr>
      </w:pPr>
      <w:r>
        <w:rPr>
          <w:lang w:val="fr-FR"/>
        </w:rPr>
        <w:t xml:space="preserve">Laurine </w:t>
      </w:r>
      <w:proofErr w:type="gramStart"/>
      <w:r>
        <w:rPr>
          <w:lang w:val="fr-FR"/>
        </w:rPr>
        <w:t>Ducrot,</w:t>
      </w:r>
      <w:r w:rsidR="00561D8F" w:rsidRPr="00524C9E">
        <w:rPr>
          <w:vertAlign w:val="superscript"/>
          <w:lang w:val="fr-FR"/>
        </w:rPr>
        <w:t>a</w:t>
      </w:r>
      <w:proofErr w:type="gramEnd"/>
      <w:r>
        <w:rPr>
          <w:lang w:val="fr-FR"/>
        </w:rPr>
        <w:t xml:space="preserve"> Megan Bennett,</w:t>
      </w:r>
      <w:r w:rsidR="00561D8F" w:rsidRPr="00524C9E">
        <w:rPr>
          <w:vertAlign w:val="superscript"/>
          <w:lang w:val="fr-FR"/>
        </w:rPr>
        <w:t>b</w:t>
      </w:r>
      <w:r w:rsidR="00561D8F" w:rsidRPr="00524C9E">
        <w:rPr>
          <w:lang w:val="fr-FR"/>
        </w:rPr>
        <w:t xml:space="preserve"> Gid</w:t>
      </w:r>
      <w:r w:rsidR="00561D8F">
        <w:rPr>
          <w:lang w:val="fr-FR"/>
        </w:rPr>
        <w:t>e</w:t>
      </w:r>
      <w:r w:rsidR="00561D8F" w:rsidRPr="00524C9E">
        <w:rPr>
          <w:lang w:val="fr-FR"/>
        </w:rPr>
        <w:t>on Grogan</w:t>
      </w:r>
      <w:r w:rsidR="00561D8F" w:rsidRPr="00524C9E">
        <w:rPr>
          <w:vertAlign w:val="superscript"/>
          <w:lang w:val="fr-FR"/>
        </w:rPr>
        <w:t>b</w:t>
      </w:r>
      <w:r w:rsidR="00561D8F" w:rsidRPr="00524C9E">
        <w:rPr>
          <w:lang w:val="fr-FR"/>
        </w:rPr>
        <w:t xml:space="preserve"> and Carine Vergne-Vaxelaire</w:t>
      </w:r>
      <w:r w:rsidR="00561D8F" w:rsidRPr="00524C9E">
        <w:rPr>
          <w:vertAlign w:val="superscript"/>
          <w:lang w:val="fr-FR"/>
        </w:rPr>
        <w:t>a</w:t>
      </w:r>
      <w:r w:rsidR="00561D8F">
        <w:rPr>
          <w:vertAlign w:val="superscript"/>
          <w:lang w:val="fr-FR"/>
        </w:rPr>
        <w:t>*</w:t>
      </w:r>
    </w:p>
    <w:p w14:paraId="785D6AAD" w14:textId="77777777" w:rsidR="00561D8F" w:rsidRPr="00217188" w:rsidRDefault="00561D8F" w:rsidP="000E69C9">
      <w:pPr>
        <w:pStyle w:val="Address0"/>
        <w:tabs>
          <w:tab w:val="left" w:pos="284"/>
        </w:tabs>
        <w:rPr>
          <w:lang w:val="fr-FR"/>
        </w:rPr>
      </w:pPr>
      <w:proofErr w:type="gramStart"/>
      <w:r w:rsidRPr="00524C9E">
        <w:rPr>
          <w:vertAlign w:val="superscript"/>
          <w:lang w:val="fr-FR"/>
        </w:rPr>
        <w:t>a</w:t>
      </w:r>
      <w:proofErr w:type="gramEnd"/>
      <w:r w:rsidRPr="00524C9E">
        <w:rPr>
          <w:lang w:val="fr-FR"/>
        </w:rPr>
        <w:tab/>
      </w:r>
      <w:r w:rsidRPr="00217188">
        <w:rPr>
          <w:lang w:val="fr-FR"/>
        </w:rPr>
        <w:t>Génomique Métabolique, Genoscope, Institut François Jacob, CEA, CNRS, Univ Evry, Université Paris-Saclay, 91057 Evry, France</w:t>
      </w:r>
    </w:p>
    <w:p w14:paraId="32D279D7" w14:textId="77777777" w:rsidR="00561D8F" w:rsidRPr="00162883" w:rsidRDefault="00561D8F" w:rsidP="000E69C9">
      <w:pPr>
        <w:pStyle w:val="Address0"/>
        <w:tabs>
          <w:tab w:val="left" w:pos="284"/>
        </w:tabs>
        <w:rPr>
          <w:lang w:val="en-GB"/>
        </w:rPr>
      </w:pPr>
      <w:r w:rsidRPr="00126615">
        <w:rPr>
          <w:vertAlign w:val="superscript"/>
        </w:rPr>
        <w:t>b</w:t>
      </w:r>
      <w:r>
        <w:tab/>
      </w:r>
      <w:r w:rsidRPr="00F63311">
        <w:t>York Structural Biology Laboratory, Department of Chemistry, University of York, Heslington, York, YO10 5DD, UK.</w:t>
      </w:r>
    </w:p>
    <w:p w14:paraId="4F9904D9" w14:textId="77777777" w:rsidR="00561D8F" w:rsidRDefault="00561D8F" w:rsidP="000E69C9">
      <w:pPr>
        <w:pStyle w:val="History"/>
        <w:rPr>
          <w:lang w:val="en-GB"/>
        </w:rPr>
      </w:pPr>
      <w:r>
        <w:rPr>
          <w:lang w:val="en-GB"/>
        </w:rPr>
        <w:t>Received:</w:t>
      </w:r>
      <w:r w:rsidRPr="00162883">
        <w:rPr>
          <w:lang w:val="en-GB"/>
        </w:rPr>
        <w:t xml:space="preserve"> </w:t>
      </w:r>
      <w:r w:rsidRPr="00F44874">
        <w:rPr>
          <w:color w:val="FF0000"/>
          <w:lang w:val="en-GB"/>
        </w:rPr>
        <w:t>((will be filled in by the editorial staff))</w:t>
      </w:r>
    </w:p>
    <w:p w14:paraId="3C5BC735" w14:textId="77777777" w:rsidR="00561D8F" w:rsidRDefault="00561D8F" w:rsidP="000E69C9">
      <w:pPr>
        <w:pStyle w:val="SupportingInformation"/>
        <w:sectPr w:rsidR="00561D8F" w:rsidSect="000E69C9">
          <w:footerReference w:type="even" r:id="rId8"/>
          <w:footerReference w:type="default" r:id="rId9"/>
          <w:pgSz w:w="11906" w:h="16838"/>
          <w:pgMar w:top="1417" w:right="1417" w:bottom="1417" w:left="1417" w:header="708" w:footer="708" w:gutter="0"/>
          <w:cols w:space="708"/>
          <w:docGrid w:linePitch="360"/>
        </w:sectPr>
      </w:pPr>
    </w:p>
    <w:tbl>
      <w:tblPr>
        <w:tblW w:w="10173"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5018"/>
        <w:gridCol w:w="5155"/>
      </w:tblGrid>
      <w:tr w:rsidR="00561D8F" w:rsidRPr="00BB5F9A" w14:paraId="2E6DC9AA" w14:textId="77777777">
        <w:tc>
          <w:tcPr>
            <w:tcW w:w="5018" w:type="dxa"/>
            <w:tcMar>
              <w:right w:w="0" w:type="dxa"/>
            </w:tcMar>
          </w:tcPr>
          <w:p w14:paraId="27F615F2" w14:textId="73F68377" w:rsidR="00561D8F" w:rsidRDefault="00561D8F" w:rsidP="000E69C9">
            <w:pPr>
              <w:pStyle w:val="Abstract"/>
            </w:pPr>
            <w:r w:rsidRPr="00126615">
              <w:rPr>
                <w:b/>
              </w:rPr>
              <w:t>Abstract.</w:t>
            </w:r>
            <w:r w:rsidRPr="00126615">
              <w:t xml:space="preserve"> </w:t>
            </w:r>
            <w:r>
              <w:t xml:space="preserve">The biocatalytic asymmetric synthesis of amines from carbonyl compounds and amine precursors presents an important advance in sustainable synthetic chemistry. Oxidoreductases (ORs) that catalyze the </w:t>
            </w:r>
            <w:proofErr w:type="gramStart"/>
            <w:r>
              <w:t>NAD(</w:t>
            </w:r>
            <w:proofErr w:type="gramEnd"/>
            <w:r>
              <w:t>P)H-dependent reductive amination of carbonyl compounds directly to amines using amine donors present advantages complementary to those of amine transaminases (ATAs) with respect to selectivity, stability and substrate scope</w:t>
            </w:r>
            <w:r w:rsidR="00324A03">
              <w:t>.</w:t>
            </w:r>
            <w:r w:rsidR="000813E7">
              <w:t xml:space="preserve"> Indeed </w:t>
            </w:r>
            <w:r>
              <w:t xml:space="preserve">some ORs accept alkyl and aryl amines as reaction partners enabling access to chiral secondary amine products that are not directly accessible using ATAs. Moreover, </w:t>
            </w:r>
            <w:r w:rsidR="00A33B20">
              <w:t>superior</w:t>
            </w:r>
            <w:r>
              <w:t xml:space="preserve"> atom economy can usually be achieved as no sacrificial amine</w:t>
            </w:r>
            <w:r w:rsidR="00A33B20">
              <w:t>s</w:t>
            </w:r>
            <w:r>
              <w:t xml:space="preserve"> are required </w:t>
            </w:r>
            <w:r w:rsidR="00A33B20">
              <w:t>as with</w:t>
            </w:r>
            <w:r>
              <w:t xml:space="preserve"> ATAs. In recent years a number of ORs that apparently catalyze both imine formation and imine reduction in the reductive amination of carbonyls has been identified using structure informed protein engineering, sequence analysis from natural biodiversity and increasingly a mixture of both.</w:t>
            </w:r>
          </w:p>
        </w:tc>
        <w:tc>
          <w:tcPr>
            <w:tcW w:w="5155" w:type="dxa"/>
            <w:tcMar>
              <w:left w:w="227" w:type="dxa"/>
            </w:tcMar>
          </w:tcPr>
          <w:p w14:paraId="26B4A8A7" w14:textId="0653F815" w:rsidR="00561D8F" w:rsidRPr="007B3129" w:rsidRDefault="00561D8F" w:rsidP="000E69C9">
            <w:pPr>
              <w:pStyle w:val="Abstract"/>
            </w:pPr>
            <w:r>
              <w:t>In this review we summari</w:t>
            </w:r>
            <w:r w:rsidR="00324A03">
              <w:t>z</w:t>
            </w:r>
            <w:r>
              <w:t xml:space="preserve">e the development of such enzymes from the engineering of amino acid dehydrogenases (AADHs) and opine dehydrogenases (OpDHs) to become amine dehydrogenases (AmDHs), which are active toward ketones </w:t>
            </w:r>
            <w:r w:rsidRPr="00E92DDB">
              <w:t>devoi</w:t>
            </w:r>
            <w:r w:rsidR="00F74FA4" w:rsidRPr="00E92DDB">
              <w:t>d</w:t>
            </w:r>
            <w:r w:rsidRPr="00E92DDB">
              <w:t xml:space="preserve"> of any</w:t>
            </w:r>
            <w:r>
              <w:t xml:space="preserve"> </w:t>
            </w:r>
            <w:r w:rsidR="00A33B20">
              <w:t>requisite</w:t>
            </w:r>
            <w:r>
              <w:t xml:space="preserve"> carboxylate and/or amine functions, through to the discovery of native AmDHs and reductive aminases (RedAms), and the engineering of all of these scaffolds for improved or altered activity. Structural and mechanistic studies have revealed similarities, but also differences in the determinants of substrate binding and mechanism in the enzymes.  The survey reveals that a complementary approach to enzyme discovery that utili</w:t>
            </w:r>
            <w:r w:rsidR="00324A03">
              <w:t>z</w:t>
            </w:r>
            <w:r>
              <w:t>es both natural genetic resources and engineering can be combined to deliver biocatalysts that have significant potential for the industrial synthesis of chiral amines.</w:t>
            </w:r>
          </w:p>
          <w:p w14:paraId="7BB6C9EF" w14:textId="77777777" w:rsidR="00561D8F" w:rsidRPr="00BB5F9A" w:rsidRDefault="00561D8F" w:rsidP="000E69C9">
            <w:pPr>
              <w:pStyle w:val="Keywords"/>
            </w:pPr>
            <w:r w:rsidRPr="00162883">
              <w:rPr>
                <w:b/>
              </w:rPr>
              <w:t>Keywords:</w:t>
            </w:r>
            <w:r>
              <w:t xml:space="preserve"> Amines</w:t>
            </w:r>
            <w:r w:rsidRPr="00162883">
              <w:t xml:space="preserve">; </w:t>
            </w:r>
            <w:r>
              <w:t>reductive amination</w:t>
            </w:r>
            <w:r w:rsidRPr="00162883">
              <w:t>;</w:t>
            </w:r>
            <w:r>
              <w:t xml:space="preserve"> amine dehydrogenases</w:t>
            </w:r>
            <w:r w:rsidRPr="00162883">
              <w:t>;</w:t>
            </w:r>
            <w:r>
              <w:t xml:space="preserve"> oxidoreductases; imine reductases</w:t>
            </w:r>
          </w:p>
        </w:tc>
      </w:tr>
    </w:tbl>
    <w:p w14:paraId="44DE51B4" w14:textId="77777777" w:rsidR="00561D8F" w:rsidRPr="00162883" w:rsidRDefault="00561D8F" w:rsidP="000E69C9">
      <w:pPr>
        <w:pStyle w:val="Keywords"/>
        <w:spacing w:after="240"/>
        <w:sectPr w:rsidR="00561D8F" w:rsidRPr="00162883" w:rsidSect="000E69C9">
          <w:type w:val="continuous"/>
          <w:pgSz w:w="11906" w:h="16838" w:code="9"/>
          <w:pgMar w:top="1134" w:right="680" w:bottom="1225" w:left="1361" w:header="709" w:footer="709" w:gutter="0"/>
          <w:cols w:space="340"/>
          <w:docGrid w:linePitch="360"/>
        </w:sectPr>
      </w:pPr>
    </w:p>
    <w:p w14:paraId="05AA0411" w14:textId="194B13A7" w:rsidR="00561D8F" w:rsidRPr="00162883" w:rsidRDefault="00561D8F" w:rsidP="000E69C9">
      <w:pPr>
        <w:pStyle w:val="Keywords"/>
        <w:sectPr w:rsidR="00561D8F" w:rsidRPr="00162883" w:rsidSect="000E69C9">
          <w:type w:val="continuous"/>
          <w:pgSz w:w="11906" w:h="16838" w:code="9"/>
          <w:pgMar w:top="1134" w:right="680" w:bottom="1225" w:left="1361" w:header="709" w:footer="709" w:gutter="0"/>
          <w:cols w:space="284" w:equalWidth="0">
            <w:col w:w="10375" w:space="708"/>
          </w:cols>
          <w:docGrid w:linePitch="360"/>
        </w:sectPr>
      </w:pPr>
    </w:p>
    <w:p w14:paraId="666AABEF" w14:textId="77777777" w:rsidR="00561D8F" w:rsidRPr="00162883" w:rsidRDefault="00561D8F" w:rsidP="000E69C9">
      <w:pPr>
        <w:pStyle w:val="H1"/>
        <w:spacing w:before="360"/>
      </w:pPr>
      <w:r>
        <w:t xml:space="preserve">1 </w:t>
      </w:r>
      <w:r w:rsidRPr="00162883">
        <w:t>Introduction</w:t>
      </w:r>
    </w:p>
    <w:p w14:paraId="2552CCAA" w14:textId="0FB1EA00" w:rsidR="00561D8F" w:rsidRDefault="00561D8F" w:rsidP="000E69C9">
      <w:pPr>
        <w:pStyle w:val="P1withoutIndendation"/>
      </w:pPr>
      <w:r w:rsidRPr="00E92DDB">
        <w:rPr>
          <w:lang w:val="en-GB"/>
        </w:rPr>
        <w:t>For environmental and societal reasons, there is increasing pressure to utili</w:t>
      </w:r>
      <w:r w:rsidR="00F74FA4" w:rsidRPr="00E92DDB">
        <w:rPr>
          <w:lang w:val="en-GB"/>
        </w:rPr>
        <w:t>z</w:t>
      </w:r>
      <w:r w:rsidRPr="00E92DDB">
        <w:rPr>
          <w:lang w:val="en-GB"/>
        </w:rPr>
        <w:t xml:space="preserve">e green processes and renewable materials in industry. In the context of chemical processes, enzyme-mediated transformations, </w:t>
      </w:r>
      <w:r w:rsidRPr="00E92DDB">
        <w:rPr>
          <w:i/>
          <w:lang w:val="en-GB"/>
        </w:rPr>
        <w:t>i.e.</w:t>
      </w:r>
      <w:r w:rsidRPr="00E92DDB">
        <w:rPr>
          <w:lang w:val="en-GB"/>
        </w:rPr>
        <w:t xml:space="preserve"> biocatalysis, are now considered as credible alternatives to conventional synthesis as, in general, they operate under milder conditions and offer shorter synthetic routes to desired products.</w:t>
      </w:r>
      <w:r w:rsidRPr="00E92DDB">
        <w:rPr>
          <w:noProof/>
          <w:vertAlign w:val="superscript"/>
          <w:lang w:val="en-GB"/>
        </w:rPr>
        <w:t>[1]</w:t>
      </w:r>
      <w:r w:rsidRPr="00E92DDB">
        <w:rPr>
          <w:lang w:val="en-GB"/>
        </w:rPr>
        <w:t xml:space="preserve"> Efforts to study biocatalytic alternatives are mainly directed toward functions present in bulk chemicals produced in high tonnage or high value-added products such as pharmaceuticals.</w:t>
      </w:r>
      <w:r w:rsidRPr="00E92DDB">
        <w:rPr>
          <w:noProof/>
          <w:vertAlign w:val="superscript"/>
          <w:lang w:val="en-GB"/>
        </w:rPr>
        <w:t>[2]</w:t>
      </w:r>
      <w:r w:rsidRPr="00E92DDB">
        <w:rPr>
          <w:lang w:val="en-GB"/>
        </w:rPr>
        <w:t xml:space="preserve"> Among these, aliphatic primary amines</w:t>
      </w:r>
      <w:r w:rsidRPr="00E92DDB">
        <w:rPr>
          <w:noProof/>
          <w:vertAlign w:val="superscript"/>
          <w:lang w:val="en-GB"/>
        </w:rPr>
        <w:t>[3]</w:t>
      </w:r>
      <w:r w:rsidRPr="00E92DDB">
        <w:rPr>
          <w:lang w:val="en-GB"/>
        </w:rPr>
        <w:t xml:space="preserve"> and chiral secondary amines are some of the most important compounds, and they have therefore </w:t>
      </w:r>
      <w:r w:rsidRPr="00E92DDB">
        <w:rPr>
          <w:lang w:val="en-GB"/>
        </w:rPr>
        <w:t>been the focus of research by both academic and industrial groups. One main advantage of biocatalysis is that enzymes are intrinsically chiral, and they are therefore often able to differentiate between enantiomers of a racemic substrate and to impart high stereoselectivity to a transformation. Given the importance of chiral amine moieties</w:t>
      </w:r>
      <w:r w:rsidR="00464F66" w:rsidRPr="00E92DDB">
        <w:rPr>
          <w:lang w:val="en-GB"/>
        </w:rPr>
        <w:t xml:space="preserve"> in </w:t>
      </w:r>
      <w:r w:rsidRPr="00E92DDB">
        <w:rPr>
          <w:lang w:val="en-GB"/>
        </w:rPr>
        <w:t>Active Pharmaceutical Ingredients (APIs) and agrochemicals</w:t>
      </w:r>
      <w:proofErr w:type="gramStart"/>
      <w:r w:rsidRPr="00E92DDB">
        <w:rPr>
          <w:lang w:val="en-GB"/>
        </w:rPr>
        <w:t>,</w:t>
      </w:r>
      <w:r w:rsidR="00CA3CB8" w:rsidRPr="00E92DDB">
        <w:rPr>
          <w:vertAlign w:val="superscript"/>
          <w:lang w:val="en-GB"/>
        </w:rPr>
        <w:t>[</w:t>
      </w:r>
      <w:proofErr w:type="gramEnd"/>
      <w:r w:rsidR="00CA3CB8" w:rsidRPr="00E92DDB">
        <w:rPr>
          <w:vertAlign w:val="superscript"/>
          <w:lang w:val="en-GB"/>
        </w:rPr>
        <w:t>4</w:t>
      </w:r>
      <w:r w:rsidR="009D185C" w:rsidRPr="00E92DDB">
        <w:rPr>
          <w:vertAlign w:val="superscript"/>
          <w:lang w:val="en-GB"/>
        </w:rPr>
        <w:t>]</w:t>
      </w:r>
      <w:r w:rsidRPr="00E92DDB">
        <w:rPr>
          <w:vertAlign w:val="superscript"/>
          <w:lang w:val="en-GB"/>
        </w:rPr>
        <w:t xml:space="preserve"> </w:t>
      </w:r>
      <w:r w:rsidRPr="00E92DDB">
        <w:rPr>
          <w:lang w:val="en-GB"/>
        </w:rPr>
        <w:t>classes of enzymes able to access this functionality with high process efficiencies suitable for industry, have emerged in the last decades. A majority of amines made in industry are synthesi</w:t>
      </w:r>
      <w:r w:rsidR="00E22F99" w:rsidRPr="00E92DDB">
        <w:rPr>
          <w:lang w:val="en-GB"/>
        </w:rPr>
        <w:t>z</w:t>
      </w:r>
      <w:r w:rsidRPr="00E92DDB">
        <w:rPr>
          <w:lang w:val="en-GB"/>
        </w:rPr>
        <w:t xml:space="preserve">ed using reductive amination, namely the reaction of a carbonyl-containing compound, </w:t>
      </w:r>
      <w:r w:rsidRPr="00E92DDB">
        <w:rPr>
          <w:i/>
          <w:lang w:val="en-GB"/>
        </w:rPr>
        <w:t>i.e.</w:t>
      </w:r>
      <w:r w:rsidRPr="00E92DDB">
        <w:rPr>
          <w:lang w:val="en-GB"/>
        </w:rPr>
        <w:t xml:space="preserve"> ketone or aldehyde, with ammonia or amine in the presence of a </w:t>
      </w:r>
      <w:proofErr w:type="gramStart"/>
      <w:r w:rsidRPr="00E92DDB">
        <w:rPr>
          <w:lang w:val="en-GB"/>
        </w:rPr>
        <w:t>reductant</w:t>
      </w:r>
      <w:proofErr w:type="gramEnd"/>
      <w:r w:rsidRPr="00E92DDB">
        <w:rPr>
          <w:lang w:val="en-GB"/>
        </w:rPr>
        <w:t>, to form the corresponding amine with one or more substitutions. In the case of chiral amines,</w:t>
      </w:r>
      <w:r w:rsidRPr="00682F07">
        <w:rPr>
          <w:lang w:val="en-GB"/>
        </w:rPr>
        <w:t xml:space="preserve"> </w:t>
      </w:r>
      <w:r w:rsidRPr="00682F07">
        <w:rPr>
          <w:lang w:val="en-GB"/>
        </w:rPr>
        <w:lastRenderedPageBreak/>
        <w:t xml:space="preserve">either enantioselective synthesis, </w:t>
      </w:r>
      <w:r w:rsidR="00A33B20">
        <w:rPr>
          <w:lang w:val="en-GB"/>
        </w:rPr>
        <w:t xml:space="preserve">or </w:t>
      </w:r>
      <w:r w:rsidRPr="00682F07">
        <w:rPr>
          <w:lang w:val="en-GB"/>
        </w:rPr>
        <w:t>additional steps of resolution (enzyme-catalyzed by lipases or not) are employed. Asymmetric reductive amination mainly consists of organometallic catalysis, with the use of unsustainable transition metals and hydrogen gas, and organocatalytic approaches.</w:t>
      </w:r>
      <w:r w:rsidR="00CA3CB8">
        <w:rPr>
          <w:noProof/>
          <w:vertAlign w:val="superscript"/>
          <w:lang w:val="en-GB"/>
        </w:rPr>
        <w:t>[5</w:t>
      </w:r>
      <w:r w:rsidRPr="0037218C">
        <w:rPr>
          <w:noProof/>
          <w:vertAlign w:val="superscript"/>
          <w:lang w:val="en-GB"/>
        </w:rPr>
        <w:t>]</w:t>
      </w:r>
      <w:r w:rsidRPr="00682F07">
        <w:rPr>
          <w:lang w:val="en-GB"/>
        </w:rPr>
        <w:t xml:space="preserve"> In a recent review, Afanasyev </w:t>
      </w:r>
      <w:r w:rsidRPr="00682F07">
        <w:rPr>
          <w:i/>
          <w:lang w:val="en-GB"/>
        </w:rPr>
        <w:t>et al</w:t>
      </w:r>
      <w:r w:rsidRPr="00682F07">
        <w:rPr>
          <w:lang w:val="en-GB"/>
        </w:rPr>
        <w:t>. describe all the pharmaceutical drugs, classified by therapeutic targets, that are formed using reductive amination reactions.</w:t>
      </w:r>
      <w:r w:rsidR="00CA3CB8">
        <w:rPr>
          <w:noProof/>
          <w:vertAlign w:val="superscript"/>
          <w:lang w:val="en-GB"/>
        </w:rPr>
        <w:t>[6</w:t>
      </w:r>
      <w:r w:rsidRPr="0037218C">
        <w:rPr>
          <w:noProof/>
          <w:vertAlign w:val="superscript"/>
          <w:lang w:val="en-GB"/>
        </w:rPr>
        <w:t>]</w:t>
      </w:r>
      <w:r w:rsidRPr="00682F07">
        <w:rPr>
          <w:lang w:val="en-GB"/>
        </w:rPr>
        <w:t xml:space="preserve">  The equivalent enzymatic process was defined as one of the major challenges for biocatalysis in the pharmaceutical industry.</w:t>
      </w:r>
      <w:r w:rsidR="00CA3CB8">
        <w:rPr>
          <w:noProof/>
          <w:vertAlign w:val="superscript"/>
          <w:lang w:val="en-GB"/>
        </w:rPr>
        <w:t>[7</w:t>
      </w:r>
      <w:r w:rsidRPr="0037218C">
        <w:rPr>
          <w:noProof/>
          <w:vertAlign w:val="superscript"/>
          <w:lang w:val="en-GB"/>
        </w:rPr>
        <w:t>]</w:t>
      </w:r>
      <w:r w:rsidR="00A33B20">
        <w:rPr>
          <w:noProof/>
          <w:vertAlign w:val="superscript"/>
          <w:lang w:val="en-GB"/>
        </w:rPr>
        <w:t xml:space="preserve"> </w:t>
      </w:r>
      <w:r w:rsidRPr="00682F07">
        <w:rPr>
          <w:lang w:val="en-GB"/>
        </w:rPr>
        <w:t>In recent years, a number of different enzymes that enable the asymmetric reductive amination of carbonyl substrates have emerged.  In addition to ω-transaminases, which carry out the formal reductive amination of carbonyls using PLP/PMP cofactors and an amine donor,</w:t>
      </w:r>
      <w:r w:rsidR="00CA3CB8">
        <w:rPr>
          <w:noProof/>
          <w:vertAlign w:val="superscript"/>
          <w:lang w:val="en-GB"/>
        </w:rPr>
        <w:t>[8</w:t>
      </w:r>
      <w:r w:rsidRPr="0037218C">
        <w:rPr>
          <w:noProof/>
          <w:vertAlign w:val="superscript"/>
          <w:lang w:val="en-GB"/>
        </w:rPr>
        <w:t>]</w:t>
      </w:r>
      <w:r w:rsidRPr="00682F07">
        <w:rPr>
          <w:lang w:val="en-GB"/>
        </w:rPr>
        <w:t xml:space="preserve"> NAD(P)H-dependent oxidoreductases</w:t>
      </w:r>
      <w:r w:rsidR="00CA3CB8">
        <w:rPr>
          <w:noProof/>
          <w:vertAlign w:val="superscript"/>
          <w:lang w:val="en-GB"/>
        </w:rPr>
        <w:t>[9</w:t>
      </w:r>
      <w:r w:rsidRPr="0037218C">
        <w:rPr>
          <w:noProof/>
          <w:vertAlign w:val="superscript"/>
          <w:lang w:val="en-GB"/>
        </w:rPr>
        <w:t>]</w:t>
      </w:r>
      <w:r w:rsidRPr="00682F07">
        <w:rPr>
          <w:lang w:val="en-GB"/>
        </w:rPr>
        <w:t xml:space="preserve"> performing reductive aminations have become increasingly established as important biocatalysts for these reactions.</w:t>
      </w:r>
      <w:r w:rsidR="00CA3CB8">
        <w:rPr>
          <w:noProof/>
          <w:vertAlign w:val="superscript"/>
          <w:lang w:val="en-GB"/>
        </w:rPr>
        <w:t>[10</w:t>
      </w:r>
      <w:r w:rsidRPr="0037218C">
        <w:rPr>
          <w:noProof/>
          <w:vertAlign w:val="superscript"/>
          <w:lang w:val="en-GB"/>
        </w:rPr>
        <w:t>]</w:t>
      </w:r>
      <w:r w:rsidRPr="00682F07">
        <w:rPr>
          <w:lang w:val="en-GB"/>
        </w:rPr>
        <w:t xml:space="preserve"> One major advantage of these enzymes is the access to various efficient methods available to recycle their nicotinamide cofactor,</w:t>
      </w:r>
      <w:r w:rsidR="00CA3CB8">
        <w:rPr>
          <w:noProof/>
          <w:vertAlign w:val="superscript"/>
          <w:lang w:val="en-GB"/>
        </w:rPr>
        <w:t>[11</w:t>
      </w:r>
      <w:r w:rsidRPr="0037218C">
        <w:rPr>
          <w:noProof/>
          <w:vertAlign w:val="superscript"/>
          <w:lang w:val="en-GB"/>
        </w:rPr>
        <w:t>]</w:t>
      </w:r>
      <w:r w:rsidRPr="00682F07">
        <w:rPr>
          <w:lang w:val="en-GB"/>
        </w:rPr>
        <w:t xml:space="preserve"> including self-suﬃcient hydride transfer processes.</w:t>
      </w:r>
      <w:r w:rsidR="00CA3CB8">
        <w:rPr>
          <w:noProof/>
          <w:vertAlign w:val="superscript"/>
          <w:lang w:val="en-GB"/>
        </w:rPr>
        <w:t>[12</w:t>
      </w:r>
      <w:r w:rsidRPr="0037218C">
        <w:rPr>
          <w:noProof/>
          <w:vertAlign w:val="superscript"/>
          <w:lang w:val="en-GB"/>
        </w:rPr>
        <w:t>]</w:t>
      </w:r>
      <w:r w:rsidRPr="00682F07">
        <w:rPr>
          <w:lang w:val="en-GB"/>
        </w:rPr>
        <w:t xml:space="preserve"> The availability of such enzymes</w:t>
      </w:r>
      <w:r w:rsidR="00A33B20">
        <w:rPr>
          <w:lang w:val="en-GB"/>
        </w:rPr>
        <w:t xml:space="preserve"> </w:t>
      </w:r>
      <w:r w:rsidRPr="00682F07">
        <w:rPr>
          <w:lang w:val="en-GB"/>
        </w:rPr>
        <w:t xml:space="preserve">for chemists has increased significantly in recent years and includes amino acid dehydrogenases </w:t>
      </w:r>
      <w:r w:rsidRPr="00682F07">
        <w:rPr>
          <w:lang w:val="en-GB"/>
        </w:rPr>
        <w:t>(AADHs) engineered to possess amine dehydrogenase activity (AmDHs), native amine dehydrogenases (nat-AmDHs), imine reductases (IREDs) with activity toward</w:t>
      </w:r>
      <w:r>
        <w:rPr>
          <w:lang w:val="en-GB"/>
        </w:rPr>
        <w:t xml:space="preserve"> </w:t>
      </w:r>
      <w:r>
        <w:t>carbonyl</w:t>
      </w:r>
      <w:r w:rsidR="00A33B20">
        <w:t>-</w:t>
      </w:r>
      <w:r>
        <w:t>containing substrates, reductive aminases (RedAms), a subclass of IREDs, and engineered opine dehydrogenases (OpDHs) (</w:t>
      </w:r>
      <w:r w:rsidRPr="007B6A55">
        <w:rPr>
          <w:b/>
        </w:rPr>
        <w:t>Figure 1</w:t>
      </w:r>
      <w:r>
        <w:t>).</w:t>
      </w:r>
    </w:p>
    <w:p w14:paraId="74824B41" w14:textId="4F12FCF8" w:rsidR="00561D8F" w:rsidRPr="001F38DA" w:rsidRDefault="00226FA8" w:rsidP="000E69C9">
      <w:pPr>
        <w:spacing w:before="360"/>
        <w:rPr>
          <w:color w:val="FF0000"/>
          <w:sz w:val="18"/>
          <w:szCs w:val="20"/>
          <w:lang w:val="en-GB"/>
        </w:rPr>
      </w:pPr>
      <w:r>
        <w:rPr>
          <w:noProof/>
          <w:color w:val="FF0000"/>
          <w:sz w:val="18"/>
          <w:szCs w:val="20"/>
          <w:lang w:val="en-GB" w:eastAsia="en-GB"/>
        </w:rPr>
        <w:drawing>
          <wp:inline distT="0" distB="0" distL="0" distR="0" wp14:anchorId="267F9CD3" wp14:editId="2513F438">
            <wp:extent cx="3023870" cy="1999615"/>
            <wp:effectExtent l="0" t="0" r="508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maGener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3870" cy="1999615"/>
                    </a:xfrm>
                    <a:prstGeom prst="rect">
                      <a:avLst/>
                    </a:prstGeom>
                  </pic:spPr>
                </pic:pic>
              </a:graphicData>
            </a:graphic>
          </wp:inline>
        </w:drawing>
      </w:r>
    </w:p>
    <w:p w14:paraId="458DF0FA" w14:textId="77777777" w:rsidR="00561D8F" w:rsidRPr="008261A3" w:rsidRDefault="00561D8F" w:rsidP="000E69C9">
      <w:pPr>
        <w:pStyle w:val="SchemeCaption"/>
      </w:pPr>
      <w:r>
        <w:rPr>
          <w:b/>
        </w:rPr>
        <w:t>Figure</w:t>
      </w:r>
      <w:r w:rsidRPr="005702B8">
        <w:rPr>
          <w:b/>
        </w:rPr>
        <w:t xml:space="preserve"> 1</w:t>
      </w:r>
      <w:r>
        <w:rPr>
          <w:b/>
        </w:rPr>
        <w:t>.</w:t>
      </w:r>
      <w:r>
        <w:t xml:space="preserve"> </w:t>
      </w:r>
      <w:r>
        <w:rPr>
          <w:szCs w:val="20"/>
        </w:rPr>
        <w:t>Reactions catalyz</w:t>
      </w:r>
      <w:r w:rsidRPr="003A13A6">
        <w:rPr>
          <w:szCs w:val="20"/>
        </w:rPr>
        <w:t xml:space="preserve">ed by </w:t>
      </w:r>
      <w:r>
        <w:rPr>
          <w:szCs w:val="20"/>
        </w:rPr>
        <w:t xml:space="preserve">the </w:t>
      </w:r>
      <w:r w:rsidRPr="003A13A6">
        <w:rPr>
          <w:szCs w:val="20"/>
        </w:rPr>
        <w:t>enzymes discussed in this review</w:t>
      </w:r>
      <w:r>
        <w:rPr>
          <w:szCs w:val="20"/>
        </w:rPr>
        <w:t>.</w:t>
      </w:r>
    </w:p>
    <w:p w14:paraId="7162841A" w14:textId="77777777" w:rsidR="00561D8F" w:rsidRDefault="00561D8F" w:rsidP="000E69C9">
      <w:pPr>
        <w:pStyle w:val="P1withIndendation"/>
        <w:sectPr w:rsidR="00561D8F" w:rsidSect="000E69C9">
          <w:type w:val="continuous"/>
          <w:pgSz w:w="11906" w:h="16838" w:code="9"/>
          <w:pgMar w:top="1134" w:right="680" w:bottom="1225" w:left="1361" w:header="709" w:footer="709" w:gutter="0"/>
          <w:cols w:num="2" w:space="340"/>
          <w:docGrid w:linePitch="360"/>
        </w:sectPr>
      </w:pPr>
    </w:p>
    <w:p w14:paraId="6B72DF1D" w14:textId="3B4C5906" w:rsidR="00561D8F" w:rsidRPr="008261A3" w:rsidRDefault="00561D8F" w:rsidP="000E69C9">
      <w:pPr>
        <w:pStyle w:val="P1withIndendation"/>
      </w:pPr>
    </w:p>
    <w:tbl>
      <w:tblPr>
        <w:tblW w:w="0" w:type="auto"/>
        <w:shd w:val="clear" w:color="auto" w:fill="DDDDDD"/>
        <w:tblLook w:val="01E0" w:firstRow="1" w:lastRow="1" w:firstColumn="1" w:lastColumn="1" w:noHBand="0" w:noVBand="0"/>
      </w:tblPr>
      <w:tblGrid>
        <w:gridCol w:w="4762"/>
        <w:gridCol w:w="4762"/>
      </w:tblGrid>
      <w:tr w:rsidR="00561D8F" w:rsidRPr="00D713D6" w14:paraId="460CEA84" w14:textId="77777777" w:rsidTr="000E69C9">
        <w:tc>
          <w:tcPr>
            <w:tcW w:w="4762" w:type="dxa"/>
            <w:shd w:val="clear" w:color="auto" w:fill="auto"/>
          </w:tcPr>
          <w:p w14:paraId="30E65D89" w14:textId="6E3D843C" w:rsidR="00561D8F" w:rsidRPr="00D713D6" w:rsidRDefault="00561D8F" w:rsidP="000E69C9">
            <w:pPr>
              <w:rPr>
                <w:noProof/>
                <w:sz w:val="12"/>
                <w:lang w:val="en-US"/>
              </w:rPr>
            </w:pPr>
          </w:p>
        </w:tc>
        <w:tc>
          <w:tcPr>
            <w:tcW w:w="4762" w:type="dxa"/>
          </w:tcPr>
          <w:p w14:paraId="109F304E" w14:textId="77777777" w:rsidR="00561D8F" w:rsidRPr="00D713D6" w:rsidRDefault="00561D8F" w:rsidP="000E69C9">
            <w:pPr>
              <w:rPr>
                <w:noProof/>
                <w:sz w:val="12"/>
                <w:lang w:val="en-US"/>
              </w:rPr>
            </w:pPr>
          </w:p>
        </w:tc>
      </w:tr>
      <w:tr w:rsidR="00561D8F" w14:paraId="3464D464" w14:textId="77777777" w:rsidTr="000E69C9">
        <w:tc>
          <w:tcPr>
            <w:tcW w:w="4762" w:type="dxa"/>
            <w:shd w:val="clear" w:color="auto" w:fill="DDDDDD"/>
          </w:tcPr>
          <w:p w14:paraId="2F877D14" w14:textId="0A823CA5" w:rsidR="003C20C8" w:rsidRPr="0007373C" w:rsidRDefault="002B5E95" w:rsidP="003C20C8">
            <w:pPr>
              <w:jc w:val="both"/>
              <w:rPr>
                <w:i/>
                <w:sz w:val="20"/>
                <w:szCs w:val="20"/>
              </w:rPr>
            </w:pPr>
            <w:r>
              <w:rPr>
                <w:noProof/>
                <w:lang w:val="en-GB" w:eastAsia="en-GB"/>
              </w:rPr>
              <w:drawing>
                <wp:anchor distT="0" distB="0" distL="114300" distR="114300" simplePos="0" relativeHeight="251667456" behindDoc="0" locked="0" layoutInCell="1" allowOverlap="1" wp14:anchorId="48DA1D24" wp14:editId="6E12AC5B">
                  <wp:simplePos x="0" y="0"/>
                  <wp:positionH relativeFrom="column">
                    <wp:posOffset>1812925</wp:posOffset>
                  </wp:positionH>
                  <wp:positionV relativeFrom="paragraph">
                    <wp:posOffset>89535</wp:posOffset>
                  </wp:positionV>
                  <wp:extent cx="1130300" cy="1554480"/>
                  <wp:effectExtent l="0" t="0" r="0" b="7620"/>
                  <wp:wrapThrough wrapText="bothSides">
                    <wp:wrapPolygon edited="0">
                      <wp:start x="0" y="0"/>
                      <wp:lineTo x="0" y="21441"/>
                      <wp:lineTo x="21115" y="21441"/>
                      <wp:lineTo x="21115"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Laurine_2.jpg"/>
                          <pic:cNvPicPr/>
                        </pic:nvPicPr>
                        <pic:blipFill>
                          <a:blip r:embed="rId11">
                            <a:extLst>
                              <a:ext uri="{28A0092B-C50C-407E-A947-70E740481C1C}">
                                <a14:useLocalDpi xmlns:a14="http://schemas.microsoft.com/office/drawing/2010/main" val="0"/>
                              </a:ext>
                            </a:extLst>
                          </a:blip>
                          <a:stretch>
                            <a:fillRect/>
                          </a:stretch>
                        </pic:blipFill>
                        <pic:spPr>
                          <a:xfrm>
                            <a:off x="0" y="0"/>
                            <a:ext cx="1130300" cy="1554480"/>
                          </a:xfrm>
                          <a:prstGeom prst="rect">
                            <a:avLst/>
                          </a:prstGeom>
                        </pic:spPr>
                      </pic:pic>
                    </a:graphicData>
                  </a:graphic>
                  <wp14:sizeRelH relativeFrom="page">
                    <wp14:pctWidth>0</wp14:pctWidth>
                  </wp14:sizeRelH>
                  <wp14:sizeRelV relativeFrom="page">
                    <wp14:pctHeight>0</wp14:pctHeight>
                  </wp14:sizeRelV>
                </wp:anchor>
              </w:drawing>
            </w:r>
            <w:r w:rsidR="003C20C8" w:rsidRPr="0007373C">
              <w:rPr>
                <w:i/>
                <w:sz w:val="20"/>
                <w:szCs w:val="20"/>
              </w:rPr>
              <w:t xml:space="preserve">Laurine Ducrot </w:t>
            </w:r>
            <w:r w:rsidR="003C2F92">
              <w:rPr>
                <w:i/>
                <w:sz w:val="20"/>
                <w:szCs w:val="20"/>
              </w:rPr>
              <w:t xml:space="preserve">is </w:t>
            </w:r>
            <w:r w:rsidR="003C2F92" w:rsidRPr="0007373C">
              <w:rPr>
                <w:i/>
                <w:sz w:val="20"/>
                <w:szCs w:val="20"/>
              </w:rPr>
              <w:t xml:space="preserve">a Ph. D student at Paris-Saclay University </w:t>
            </w:r>
            <w:r w:rsidR="003C2F92">
              <w:rPr>
                <w:i/>
                <w:sz w:val="20"/>
                <w:szCs w:val="20"/>
              </w:rPr>
              <w:t xml:space="preserve">(France) </w:t>
            </w:r>
            <w:r w:rsidR="003C2F92" w:rsidRPr="0007373C">
              <w:rPr>
                <w:i/>
                <w:sz w:val="20"/>
                <w:szCs w:val="20"/>
              </w:rPr>
              <w:t xml:space="preserve">in the Laboratory of Biocatalysis, Bioremediation and Synthetic Metabolism (UMR 8030 Genomics Metabolics, Genoscope) working </w:t>
            </w:r>
            <w:r w:rsidR="008F4FFB">
              <w:rPr>
                <w:i/>
                <w:sz w:val="20"/>
                <w:szCs w:val="20"/>
              </w:rPr>
              <w:t xml:space="preserve">with </w:t>
            </w:r>
            <w:r w:rsidR="00DA2663">
              <w:rPr>
                <w:i/>
                <w:sz w:val="20"/>
                <w:szCs w:val="20"/>
              </w:rPr>
              <w:t xml:space="preserve">Dr. </w:t>
            </w:r>
            <w:r w:rsidR="003C2F92" w:rsidRPr="0007373C">
              <w:rPr>
                <w:i/>
                <w:sz w:val="20"/>
                <w:szCs w:val="20"/>
              </w:rPr>
              <w:t xml:space="preserve">Carine Vergne-Vaxelaire on the </w:t>
            </w:r>
            <w:r w:rsidR="00DA2663">
              <w:rPr>
                <w:i/>
                <w:sz w:val="20"/>
                <w:szCs w:val="20"/>
              </w:rPr>
              <w:t>discovery</w:t>
            </w:r>
            <w:r w:rsidR="003C2F92" w:rsidRPr="0007373C">
              <w:rPr>
                <w:i/>
                <w:sz w:val="20"/>
                <w:szCs w:val="20"/>
              </w:rPr>
              <w:t xml:space="preserve"> and </w:t>
            </w:r>
            <w:r w:rsidR="00A33B20">
              <w:rPr>
                <w:i/>
                <w:sz w:val="20"/>
                <w:szCs w:val="20"/>
              </w:rPr>
              <w:t>improvement</w:t>
            </w:r>
            <w:r w:rsidR="00A33B20" w:rsidRPr="0007373C">
              <w:rPr>
                <w:i/>
                <w:sz w:val="20"/>
                <w:szCs w:val="20"/>
              </w:rPr>
              <w:t xml:space="preserve"> </w:t>
            </w:r>
            <w:r w:rsidR="003C2F92" w:rsidRPr="0007373C">
              <w:rPr>
                <w:i/>
                <w:sz w:val="20"/>
                <w:szCs w:val="20"/>
              </w:rPr>
              <w:t>of native amine dehydrogenases for the synthesis of chiral amines using genomic and structural approaches</w:t>
            </w:r>
            <w:r w:rsidR="003C2F92">
              <w:rPr>
                <w:i/>
                <w:sz w:val="20"/>
                <w:szCs w:val="20"/>
              </w:rPr>
              <w:t>.</w:t>
            </w:r>
            <w:r w:rsidR="00DC5AD6">
              <w:rPr>
                <w:i/>
                <w:sz w:val="20"/>
                <w:szCs w:val="20"/>
              </w:rPr>
              <w:t xml:space="preserve"> She </w:t>
            </w:r>
            <w:r w:rsidR="003C20C8" w:rsidRPr="0007373C">
              <w:rPr>
                <w:i/>
                <w:sz w:val="20"/>
                <w:szCs w:val="20"/>
              </w:rPr>
              <w:t xml:space="preserve">graduated from the National Graduate School of Chemistry of Montpellier (France) after a 6-month long </w:t>
            </w:r>
            <w:r w:rsidR="008F4FFB">
              <w:rPr>
                <w:i/>
                <w:sz w:val="20"/>
                <w:szCs w:val="20"/>
              </w:rPr>
              <w:t>project</w:t>
            </w:r>
            <w:r w:rsidR="008F4FFB" w:rsidRPr="0007373C">
              <w:rPr>
                <w:i/>
                <w:sz w:val="20"/>
                <w:szCs w:val="20"/>
              </w:rPr>
              <w:t xml:space="preserve"> </w:t>
            </w:r>
            <w:r w:rsidR="003C20C8" w:rsidRPr="0007373C">
              <w:rPr>
                <w:i/>
                <w:sz w:val="20"/>
                <w:szCs w:val="20"/>
              </w:rPr>
              <w:t>at Amano Enzyme in the R</w:t>
            </w:r>
            <w:r w:rsidR="003C20C8" w:rsidRPr="0007373C">
              <w:rPr>
                <w:rFonts w:cstheme="minorHAnsi"/>
                <w:i/>
                <w:sz w:val="20"/>
                <w:szCs w:val="20"/>
              </w:rPr>
              <w:t>&amp;</w:t>
            </w:r>
            <w:r w:rsidR="003C20C8" w:rsidRPr="0007373C">
              <w:rPr>
                <w:i/>
                <w:sz w:val="20"/>
                <w:szCs w:val="20"/>
              </w:rPr>
              <w:t xml:space="preserve">D Center of Gifu (Japan). </w:t>
            </w:r>
          </w:p>
          <w:p w14:paraId="788D9D0C" w14:textId="3DE5D09E" w:rsidR="00561D8F" w:rsidRDefault="00561D8F" w:rsidP="000E69C9">
            <w:pPr>
              <w:pStyle w:val="Biography"/>
            </w:pPr>
          </w:p>
        </w:tc>
        <w:tc>
          <w:tcPr>
            <w:tcW w:w="4762" w:type="dxa"/>
            <w:shd w:val="clear" w:color="auto" w:fill="DDDDDD"/>
          </w:tcPr>
          <w:p w14:paraId="7B94FC88" w14:textId="600EFA21" w:rsidR="003C2F92" w:rsidRPr="00B91556" w:rsidRDefault="00DC5AD6" w:rsidP="003C2F92">
            <w:pPr>
              <w:jc w:val="both"/>
              <w:rPr>
                <w:rFonts w:eastAsiaTheme="minorHAnsi"/>
                <w:i/>
                <w:sz w:val="20"/>
                <w:lang w:val="en-GB" w:eastAsia="en-US"/>
              </w:rPr>
            </w:pPr>
            <w:r>
              <w:rPr>
                <w:noProof/>
                <w:lang w:val="en-GB" w:eastAsia="en-GB"/>
              </w:rPr>
              <w:drawing>
                <wp:anchor distT="0" distB="0" distL="114300" distR="114300" simplePos="0" relativeHeight="251664384" behindDoc="0" locked="0" layoutInCell="1" allowOverlap="1" wp14:anchorId="29D3423B" wp14:editId="1D3D7472">
                  <wp:simplePos x="0" y="0"/>
                  <wp:positionH relativeFrom="column">
                    <wp:posOffset>1740535</wp:posOffset>
                  </wp:positionH>
                  <wp:positionV relativeFrom="paragraph">
                    <wp:posOffset>88265</wp:posOffset>
                  </wp:positionV>
                  <wp:extent cx="1124585" cy="1576705"/>
                  <wp:effectExtent l="0" t="0" r="0" b="4445"/>
                  <wp:wrapThrough wrapText="bothSides">
                    <wp:wrapPolygon edited="0">
                      <wp:start x="0" y="0"/>
                      <wp:lineTo x="0" y="21400"/>
                      <wp:lineTo x="21222" y="21400"/>
                      <wp:lineTo x="21222" y="0"/>
                      <wp:lineTo x="0"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otoMegan.jpg"/>
                          <pic:cNvPicPr/>
                        </pic:nvPicPr>
                        <pic:blipFill rotWithShape="1">
                          <a:blip r:embed="rId12" cstate="print">
                            <a:extLst>
                              <a:ext uri="{28A0092B-C50C-407E-A947-70E740481C1C}">
                                <a14:useLocalDpi xmlns:a14="http://schemas.microsoft.com/office/drawing/2010/main" val="0"/>
                              </a:ext>
                            </a:extLst>
                          </a:blip>
                          <a:srcRect l="11911" r="12843" b="2458"/>
                          <a:stretch/>
                        </pic:blipFill>
                        <pic:spPr bwMode="auto">
                          <a:xfrm>
                            <a:off x="0" y="0"/>
                            <a:ext cx="1124585" cy="157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F92" w:rsidRPr="00B91556">
              <w:rPr>
                <w:i/>
                <w:sz w:val="20"/>
              </w:rPr>
              <w:t xml:space="preserve">Megan Bennett is a PhD student at the University of York working with Professor Gideon Grogan on the </w:t>
            </w:r>
            <w:r w:rsidR="003C2F92" w:rsidRPr="00E92DDB">
              <w:rPr>
                <w:i/>
                <w:sz w:val="20"/>
              </w:rPr>
              <w:t>characteri</w:t>
            </w:r>
            <w:r w:rsidR="00E22F99" w:rsidRPr="00E92DDB">
              <w:rPr>
                <w:i/>
                <w:sz w:val="20"/>
              </w:rPr>
              <w:t>z</w:t>
            </w:r>
            <w:r w:rsidR="003C2F92" w:rsidRPr="00E92DDB">
              <w:rPr>
                <w:i/>
                <w:sz w:val="20"/>
              </w:rPr>
              <w:t>ation of amine dehydrogenases and their biocatalytic applications. She studied for her MBiochem degree at York, which included a project working within the York Structural Biology Laboratory. Her interests include structural biology and the applications of enzyme engineering</w:t>
            </w:r>
            <w:r w:rsidR="003C2F92" w:rsidRPr="00B91556">
              <w:rPr>
                <w:i/>
                <w:sz w:val="20"/>
              </w:rPr>
              <w:t xml:space="preserve"> in biotechnology.</w:t>
            </w:r>
          </w:p>
          <w:p w14:paraId="6BCEC00E" w14:textId="52165E90" w:rsidR="00561D8F" w:rsidRPr="00B91556" w:rsidRDefault="00561D8F" w:rsidP="000E69C9">
            <w:pPr>
              <w:pStyle w:val="Biography"/>
              <w:rPr>
                <w:noProof/>
                <w:lang w:eastAsia="fr-FR"/>
              </w:rPr>
            </w:pPr>
          </w:p>
          <w:p w14:paraId="75AACC19" w14:textId="77777777" w:rsidR="00561D8F" w:rsidRPr="00B91556" w:rsidRDefault="00561D8F" w:rsidP="000E69C9">
            <w:pPr>
              <w:pStyle w:val="Biography"/>
              <w:rPr>
                <w:noProof/>
                <w:lang w:eastAsia="fr-FR"/>
              </w:rPr>
            </w:pPr>
          </w:p>
        </w:tc>
      </w:tr>
      <w:tr w:rsidR="00561D8F" w14:paraId="06435F91" w14:textId="77777777" w:rsidTr="000E69C9">
        <w:tc>
          <w:tcPr>
            <w:tcW w:w="4762" w:type="dxa"/>
            <w:shd w:val="clear" w:color="auto" w:fill="DDDDDD"/>
          </w:tcPr>
          <w:p w14:paraId="1B34DD2B" w14:textId="77777777" w:rsidR="00561D8F" w:rsidRPr="00B91556" w:rsidRDefault="00561D8F" w:rsidP="000E69C9">
            <w:pPr>
              <w:pStyle w:val="Biography"/>
              <w:rPr>
                <w:noProof/>
                <w:lang w:eastAsia="fr-FR"/>
              </w:rPr>
            </w:pPr>
          </w:p>
          <w:p w14:paraId="5179FF65" w14:textId="15FC9F8E" w:rsidR="00561D8F" w:rsidRPr="00B91556" w:rsidRDefault="008F4FFB" w:rsidP="000E69C9">
            <w:pPr>
              <w:pStyle w:val="Biography"/>
              <w:rPr>
                <w:noProof/>
                <w:lang w:eastAsia="fr-FR"/>
              </w:rPr>
            </w:pPr>
            <w:r>
              <w:rPr>
                <w:noProof/>
                <w:lang w:eastAsia="en-GB"/>
              </w:rPr>
              <w:drawing>
                <wp:anchor distT="0" distB="0" distL="114300" distR="114300" simplePos="0" relativeHeight="251665408" behindDoc="0" locked="0" layoutInCell="1" allowOverlap="1" wp14:anchorId="487651B3" wp14:editId="69112958">
                  <wp:simplePos x="0" y="0"/>
                  <wp:positionH relativeFrom="column">
                    <wp:posOffset>1799704</wp:posOffset>
                  </wp:positionH>
                  <wp:positionV relativeFrom="paragraph">
                    <wp:posOffset>60325</wp:posOffset>
                  </wp:positionV>
                  <wp:extent cx="1141730" cy="1583055"/>
                  <wp:effectExtent l="0" t="0" r="1270" b="0"/>
                  <wp:wrapThrough wrapText="bothSides">
                    <wp:wrapPolygon edited="0">
                      <wp:start x="0" y="0"/>
                      <wp:lineTo x="0" y="21314"/>
                      <wp:lineTo x="21264" y="21314"/>
                      <wp:lineTo x="21264"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otoGrogan.jpg"/>
                          <pic:cNvPicPr/>
                        </pic:nvPicPr>
                        <pic:blipFill rotWithShape="1">
                          <a:blip r:embed="rId13" cstate="print">
                            <a:extLst>
                              <a:ext uri="{28A0092B-C50C-407E-A947-70E740481C1C}">
                                <a14:useLocalDpi xmlns:a14="http://schemas.microsoft.com/office/drawing/2010/main" val="0"/>
                              </a:ext>
                            </a:extLst>
                          </a:blip>
                          <a:srcRect l="28389" r="23664"/>
                          <a:stretch/>
                        </pic:blipFill>
                        <pic:spPr bwMode="auto">
                          <a:xfrm>
                            <a:off x="0" y="0"/>
                            <a:ext cx="1141730" cy="1583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F92">
              <w:rPr>
                <w:noProof/>
                <w:lang w:eastAsia="en-GB"/>
              </w:rPr>
              <mc:AlternateContent>
                <mc:Choice Requires="wps">
                  <w:drawing>
                    <wp:anchor distT="0" distB="0" distL="114300" distR="114300" simplePos="0" relativeHeight="251661312" behindDoc="0" locked="0" layoutInCell="1" allowOverlap="1" wp14:anchorId="157FC35A" wp14:editId="7E65F695">
                      <wp:simplePos x="0" y="0"/>
                      <wp:positionH relativeFrom="column">
                        <wp:posOffset>1803400</wp:posOffset>
                      </wp:positionH>
                      <wp:positionV relativeFrom="paragraph">
                        <wp:posOffset>53340</wp:posOffset>
                      </wp:positionV>
                      <wp:extent cx="1151890" cy="1583690"/>
                      <wp:effectExtent l="4445" t="0" r="0" b="1905"/>
                      <wp:wrapSquare wrapText="bothSides"/>
                      <wp:docPr id="1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5836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CF1B5" w14:textId="77777777" w:rsidR="0099316B" w:rsidRDefault="0099316B" w:rsidP="000E69C9">
                                  <w:pPr>
                                    <w:jc w:val="center"/>
                                  </w:pPr>
                                </w:p>
                                <w:p w14:paraId="59019654" w14:textId="77777777" w:rsidR="0099316B" w:rsidRDefault="0099316B" w:rsidP="000E69C9">
                                  <w:pPr>
                                    <w:jc w:val="center"/>
                                  </w:pPr>
                                </w:p>
                                <w:p w14:paraId="2CF0EBCF" w14:textId="77777777" w:rsidR="0099316B" w:rsidRDefault="0099316B" w:rsidP="000E69C9">
                                  <w:pPr>
                                    <w:jc w:val="center"/>
                                  </w:pPr>
                                </w:p>
                                <w:p w14:paraId="31932F21" w14:textId="7C1FB3F3" w:rsidR="0099316B" w:rsidRPr="006F5DA6" w:rsidRDefault="0099316B" w:rsidP="000E69C9">
                                  <w:pPr>
                                    <w:jc w:val="center"/>
                                    <w:rPr>
                                      <w:sz w:val="20"/>
                                    </w:rPr>
                                  </w:pPr>
                                  <w:r w:rsidRPr="006F5DA6">
                                    <w:rPr>
                                      <w:sz w:val="20"/>
                                    </w:rPr>
                                    <w:t>((Author Portrait))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57FC35A" id="Rectangle 92" o:spid="_x0000_s1026" style="position:absolute;left:0;text-align:left;margin-left:142pt;margin-top:4.2pt;width:90.7pt;height:12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eRgwIAAAkFAAAOAAAAZHJzL2Uyb0RvYy54bWysVG1v2yAQ/j5p/wHxPbXxnBdbdao0baZJ&#10;3Vat2w8gBsdoGBiQOO20/74DJ2m67cM0LZEwB8fD3T3PcXm17yTaceuEVhUmFylGXNWaCbWp8JfP&#10;q9EMI+epYlRqxSv8yB2+mr9+ddmbkme61ZJxiwBEubI3FW69N2WSuLrlHXUX2nAFm422HfVg2k3C&#10;LO0BvZNJlqaTpNeWGatr7hys3gybeB7xm4bX/mPTOO6RrDDE5uNo47gOYzK/pOXGUtOK+hAG/Yco&#10;OioUXHqCuqGeoq0Vv0F1orba6cZf1LpLdNOImsccIBuS/pLNQ0sNj7lAcZw5lcn9P9j6w+7eIsGA&#10;uylGinbA0SeoGlUbyVGRhQL1xpXg92DubUjRmTtdf3VI6WULbnxhre5bThmERYJ/8uJAMBwcRev+&#10;vWYAT7dex1rtG9sFQKgC2kdKHk+U8L1HNSwSMiazApirYY+MZ28mYIQ7aHk8bqzzb7nuUJhU2EL0&#10;EZ7u7pwfXI8uMXwtBVsJKaNhN+ultGhHQR+3i/A/oLtzN6mCs9Lh2IA4rECUcEfYC/FGvr8XJMvT&#10;66wYrSaz6Shf5eNRMU1no5QU18UkzYv8ZvUjBEjyshWMcXUnFD9qj+R/x+2hCwbVRPWhvsLFOBvH&#10;3F9E786TTOPvT0l2wkMrStFVeHZyomVg9lYxSJuWngo5zJOX4UdCoAbHb6xK1EGgfpCQ36/3gBL0&#10;sNbsERRhNfAF3ML7AZNW2yeMeujFCrtvW2o5RvKdAlUVJM9D80YjH08zMOz5zvp8h6oaoCrsMRqm&#10;Sz80/NZYsWnhJhJrpPQClNiIqJHnqA76hX6LyRzehtDQ53b0en7B5j8BAAD//wMAUEsDBBQABgAI&#10;AAAAIQDxh2PD3gAAAAkBAAAPAAAAZHJzL2Rvd25yZXYueG1sTI/BTsMwDIbvSLxDZCRuLGXqRlWa&#10;TqgCThyg7MAxa0xTLXGqJts6nh5zYjdbn/X7+6vN7J044hSHQAruFxkIpC6YgXoF28+XuwJETJqM&#10;doFQwRkjbOrrq0qXJpzoA49t6gWHUCy1ApvSWEoZO4tex0UYkZh9h8nrxOvUSzPpE4d7J5dZtpZe&#10;D8QfrB6xsdjt24NXEL/cK7Xv+232ZrufNDfn+OwbpW5v5qdHEAnn9H8Mf/qsDjU77cKBTBROwbLI&#10;uUtSUOQgmOfrFQ87BquHAmRdycsG9S8AAAD//wMAUEsBAi0AFAAGAAgAAAAhALaDOJL+AAAA4QEA&#10;ABMAAAAAAAAAAAAAAAAAAAAAAFtDb250ZW50X1R5cGVzXS54bWxQSwECLQAUAAYACAAAACEAOP0h&#10;/9YAAACUAQAACwAAAAAAAAAAAAAAAAAvAQAAX3JlbHMvLnJlbHNQSwECLQAUAAYACAAAACEAvQVH&#10;kYMCAAAJBQAADgAAAAAAAAAAAAAAAAAuAgAAZHJzL2Uyb0RvYy54bWxQSwECLQAUAAYACAAAACEA&#10;8Ydjw94AAAAJAQAADwAAAAAAAAAAAAAAAADdBAAAZHJzL2Rvd25yZXYueG1sUEsFBgAAAAAEAAQA&#10;8wAAAOgFAAAAAA==&#10;" fillcolor="#eaeaea" stroked="f">
                      <v:textbox>
                        <w:txbxContent>
                          <w:p w14:paraId="6CECF1B5" w14:textId="77777777" w:rsidR="0099316B" w:rsidRDefault="0099316B" w:rsidP="000E69C9">
                            <w:pPr>
                              <w:jc w:val="center"/>
                            </w:pPr>
                          </w:p>
                          <w:p w14:paraId="59019654" w14:textId="77777777" w:rsidR="0099316B" w:rsidRDefault="0099316B" w:rsidP="000E69C9">
                            <w:pPr>
                              <w:jc w:val="center"/>
                            </w:pPr>
                          </w:p>
                          <w:p w14:paraId="2CF0EBCF" w14:textId="77777777" w:rsidR="0099316B" w:rsidRDefault="0099316B" w:rsidP="000E69C9">
                            <w:pPr>
                              <w:jc w:val="center"/>
                            </w:pPr>
                          </w:p>
                          <w:p w14:paraId="31932F21" w14:textId="7C1FB3F3" w:rsidR="0099316B" w:rsidRPr="006F5DA6" w:rsidRDefault="0099316B" w:rsidP="000E69C9">
                            <w:pPr>
                              <w:jc w:val="center"/>
                              <w:rPr>
                                <w:sz w:val="20"/>
                              </w:rPr>
                            </w:pPr>
                            <w:r w:rsidRPr="006F5DA6">
                              <w:rPr>
                                <w:sz w:val="20"/>
                              </w:rPr>
                              <w:t>((Author Portrait))</w:t>
                            </w:r>
                          </w:p>
                        </w:txbxContent>
                      </v:textbox>
                      <w10:wrap type="square"/>
                    </v:rect>
                  </w:pict>
                </mc:Fallback>
              </mc:AlternateContent>
            </w:r>
            <w:r w:rsidRPr="00B91556">
              <w:rPr>
                <w:noProof/>
                <w:lang w:eastAsia="fr-FR"/>
              </w:rPr>
              <w:t xml:space="preserve">Gideon Grogan is Professor of Biochemistry at York University. His research interests include the discovery, application and structure-informed engineering of enzymes with the potential for industrial application, including ligases, oxygenases and dehydrogenases for reduction of both C=O and C=N bonds. He is the author of over 130 publications in the area of applied biocatalysis and a book </w:t>
            </w:r>
            <w:r w:rsidRPr="00B91556">
              <w:rPr>
                <w:noProof/>
                <w:lang w:eastAsia="fr-FR"/>
              </w:rPr>
              <w:lastRenderedPageBreak/>
              <w:t>‘Practical Biotransformations’, a guide to enzyme technology for organic chemists</w:t>
            </w:r>
            <w:r w:rsidR="0025376D">
              <w:rPr>
                <w:noProof/>
                <w:lang w:eastAsia="fr-FR"/>
              </w:rPr>
              <w:t>.</w:t>
            </w:r>
          </w:p>
          <w:p w14:paraId="5615701E" w14:textId="15BF983F" w:rsidR="008F4FFB" w:rsidRPr="00B91556" w:rsidRDefault="008F4FFB" w:rsidP="000E69C9">
            <w:pPr>
              <w:pStyle w:val="Biography"/>
              <w:rPr>
                <w:noProof/>
                <w:lang w:eastAsia="fr-FR"/>
              </w:rPr>
            </w:pPr>
          </w:p>
        </w:tc>
        <w:tc>
          <w:tcPr>
            <w:tcW w:w="4762" w:type="dxa"/>
            <w:shd w:val="clear" w:color="auto" w:fill="DDDDDD"/>
          </w:tcPr>
          <w:p w14:paraId="0F7B2344" w14:textId="553CF9B6" w:rsidR="00561D8F" w:rsidRPr="001A72AC" w:rsidRDefault="00561D8F" w:rsidP="000E69C9">
            <w:pPr>
              <w:pStyle w:val="Biography"/>
              <w:rPr>
                <w:noProof/>
                <w:lang w:eastAsia="fr-FR"/>
              </w:rPr>
            </w:pPr>
          </w:p>
          <w:p w14:paraId="02049E8E" w14:textId="0476A31E" w:rsidR="00561D8F" w:rsidRPr="007B1481" w:rsidRDefault="00034B0C" w:rsidP="000E69C9">
            <w:pPr>
              <w:pStyle w:val="Biography"/>
              <w:rPr>
                <w:noProof/>
                <w:lang w:eastAsia="fr-FR"/>
              </w:rPr>
            </w:pPr>
            <w:r>
              <w:rPr>
                <w:noProof/>
                <w:lang w:eastAsia="en-GB"/>
              </w:rPr>
              <w:drawing>
                <wp:anchor distT="0" distB="0" distL="114300" distR="114300" simplePos="0" relativeHeight="251668480" behindDoc="1" locked="0" layoutInCell="1" allowOverlap="1" wp14:anchorId="7735D411" wp14:editId="4CD2C2D1">
                  <wp:simplePos x="0" y="0"/>
                  <wp:positionH relativeFrom="column">
                    <wp:posOffset>1758315</wp:posOffset>
                  </wp:positionH>
                  <wp:positionV relativeFrom="paragraph">
                    <wp:posOffset>52070</wp:posOffset>
                  </wp:positionV>
                  <wp:extent cx="1145540" cy="1579880"/>
                  <wp:effectExtent l="0" t="0" r="0" b="1270"/>
                  <wp:wrapTight wrapText="bothSides">
                    <wp:wrapPolygon edited="0">
                      <wp:start x="0" y="0"/>
                      <wp:lineTo x="0" y="21357"/>
                      <wp:lineTo x="21193" y="21357"/>
                      <wp:lineTo x="21193"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 moi3.png"/>
                          <pic:cNvPicPr/>
                        </pic:nvPicPr>
                        <pic:blipFill rotWithShape="1">
                          <a:blip r:embed="rId14" cstate="print">
                            <a:extLst>
                              <a:ext uri="{28A0092B-C50C-407E-A947-70E740481C1C}">
                                <a14:useLocalDpi xmlns:a14="http://schemas.microsoft.com/office/drawing/2010/main" val="0"/>
                              </a:ext>
                            </a:extLst>
                          </a:blip>
                          <a:srcRect l="6008" r="7433"/>
                          <a:stretch/>
                        </pic:blipFill>
                        <pic:spPr bwMode="auto">
                          <a:xfrm>
                            <a:off x="0" y="0"/>
                            <a:ext cx="1145540" cy="157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D8F">
              <w:rPr>
                <w:noProof/>
                <w:lang w:eastAsia="en-GB"/>
              </w:rPr>
              <mc:AlternateContent>
                <mc:Choice Requires="wps">
                  <w:drawing>
                    <wp:anchor distT="0" distB="0" distL="114300" distR="114300" simplePos="0" relativeHeight="251662336" behindDoc="0" locked="0" layoutInCell="1" allowOverlap="1" wp14:anchorId="0A457A68" wp14:editId="6259907C">
                      <wp:simplePos x="0" y="0"/>
                      <wp:positionH relativeFrom="column">
                        <wp:posOffset>1767205</wp:posOffset>
                      </wp:positionH>
                      <wp:positionV relativeFrom="paragraph">
                        <wp:posOffset>43815</wp:posOffset>
                      </wp:positionV>
                      <wp:extent cx="1151890" cy="1583690"/>
                      <wp:effectExtent l="0" t="0" r="0" b="0"/>
                      <wp:wrapSquare wrapText="bothSides"/>
                      <wp:docPr id="1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5836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7547C" w14:textId="69D8E89F" w:rsidR="0099316B" w:rsidRDefault="0099316B" w:rsidP="000E69C9">
                                  <w:pPr>
                                    <w:jc w:val="center"/>
                                  </w:pPr>
                                </w:p>
                                <w:p w14:paraId="6070E998" w14:textId="77777777" w:rsidR="0099316B" w:rsidRDefault="0099316B" w:rsidP="000E69C9">
                                  <w:pPr>
                                    <w:jc w:val="center"/>
                                  </w:pPr>
                                </w:p>
                                <w:p w14:paraId="66BE502C" w14:textId="77777777" w:rsidR="0099316B" w:rsidRDefault="0099316B" w:rsidP="000E69C9">
                                  <w:pPr>
                                    <w:jc w:val="center"/>
                                  </w:pPr>
                                </w:p>
                                <w:p w14:paraId="2E168DAA" w14:textId="3C20B5D9" w:rsidR="0099316B" w:rsidRPr="006F5DA6" w:rsidRDefault="0099316B" w:rsidP="000E69C9">
                                  <w:pPr>
                                    <w:jc w:val="center"/>
                                    <w:rPr>
                                      <w:sz w:val="20"/>
                                    </w:rPr>
                                  </w:pPr>
                                  <w:r w:rsidRPr="006F5DA6">
                                    <w:rPr>
                                      <w:sz w:val="20"/>
                                    </w:rPr>
                                    <w:t xml:space="preserve"> </w:t>
                                  </w:r>
                                  <w:r w:rsidRPr="006F5DA6">
                                    <w:rPr>
                                      <w:sz w:val="20"/>
                                    </w:rPr>
                                    <w:t>((Author Portrait))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A457A68" id="_x0000_s1027" style="position:absolute;left:0;text-align:left;margin-left:139.15pt;margin-top:3.45pt;width:90.7pt;height:12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7QghQIAABAFAAAOAAAAZHJzL2Uyb0RvYy54bWysVG1v0zAQ/o7Ef7D8vUsc0q6Jlk57oQhp&#10;wMTgB7i201g4trHdpgPx3zk7bdcBHxCilRyffT4/d89zvrjc9QpthfPS6AaTsxwjoZnhUq8b/PnT&#10;cjLHyAeqOVVGiwY/Co8vFy9fXAy2FoXpjOLCIQiifT3YBnch2DrLPOtET/2ZsULDZmtcTwOYbp1x&#10;RweI3qusyPNZNhjHrTNMeA+rt+MmXqT4bStY+NC2XgSkGgzYQhpdGldxzBYXtF47ajvJ9jDoP6Do&#10;qdRw6THULQ0UbZz8LVQvmTPetOGMmT4zbSuZSDlANiT/JZuHjlqRcoHieHssk/9/Ydn77b1DkgN3&#10;wJSmPXD0EapG9VoJVBWxQIP1Nfg92HsXU/T2zrAvHmlz04GbuHLODJ2gHGCR6J89OxAND0fRanhn&#10;OISnm2BSrXat62NAqALaJUoej5SIXUAMFgmZknkFzDHYI9P5qxkY8Q5aH45b58MbYXoUJw12gD6F&#10;p9s7H0bXg0uCb5TkS6lUMtx6daMc2lLQx+ur+N9H96duSkdnbeKxMeK4AijhjrgX8Sa+v1ekKPPr&#10;oposZ/PzSbksp5PqPJ9PclJdV7O8rMrb5Y8IkJR1JzkX+k5qcdAeKf+O230XjKpJ6kNDg6tpMU25&#10;P0PvT5PM0+9PSfYyQCsq2Td4fnSidWT2teaQNq0DlWqcZ8/hJ0KgBodvqkrSQaR+lFDYrXaj0uLt&#10;URYrwx9BGM4AbUAxPCMw6Yz7htEALdlg/3VDncBIvdUgroqUZezhZJTT8wIMd7qzOt2hmkGoBgeM&#10;xulNGPt+Y51cd3ATSaXS5goE2coklSdUexlD26Wc9k9E7OtTO3k9PWSLnwAAAP//AwBQSwMEFAAG&#10;AAgAAAAhAAESfMDfAAAACQEAAA8AAABkcnMvZG93bnJldi54bWxMjzFPwzAQhXck/oN1SGzUoaVp&#10;m8apUARMDCV0YHSTaxzVPkex26b8eo4JxtP39N53+WZ0VpxxCJ0nBY+TBARS7ZuOWgW7z9eHJYgQ&#10;NTXaekIFVwywKW5vcp01/kIfeK5iK7iEQqYVmBj7TMpQG3Q6THyPxOzgB6cjn0Mrm0FfuNxZOU2S&#10;VDrdES8Y3WNpsD5WJ6cgfNk3qrbHXfJu6u84ltfw4kql7u/G5zWIiGP8C8OvPqtDwU57f6ImCKtg&#10;uljOOKogXYFg/jRfLUDsGczTGcgil/8/KH4AAAD//wMAUEsBAi0AFAAGAAgAAAAhALaDOJL+AAAA&#10;4QEAABMAAAAAAAAAAAAAAAAAAAAAAFtDb250ZW50X1R5cGVzXS54bWxQSwECLQAUAAYACAAAACEA&#10;OP0h/9YAAACUAQAACwAAAAAAAAAAAAAAAAAvAQAAX3JlbHMvLnJlbHNQSwECLQAUAAYACAAAACEA&#10;Vde0IIUCAAAQBQAADgAAAAAAAAAAAAAAAAAuAgAAZHJzL2Uyb0RvYy54bWxQSwECLQAUAAYACAAA&#10;ACEAARJ8wN8AAAAJAQAADwAAAAAAAAAAAAAAAADfBAAAZHJzL2Rvd25yZXYueG1sUEsFBgAAAAAE&#10;AAQA8wAAAOsFAAAAAA==&#10;" fillcolor="#eaeaea" stroked="f">
                      <v:textbox>
                        <w:txbxContent>
                          <w:p w14:paraId="39F7547C" w14:textId="69D8E89F" w:rsidR="0099316B" w:rsidRDefault="0099316B" w:rsidP="000E69C9">
                            <w:pPr>
                              <w:jc w:val="center"/>
                            </w:pPr>
                          </w:p>
                          <w:p w14:paraId="6070E998" w14:textId="77777777" w:rsidR="0099316B" w:rsidRDefault="0099316B" w:rsidP="000E69C9">
                            <w:pPr>
                              <w:jc w:val="center"/>
                            </w:pPr>
                          </w:p>
                          <w:p w14:paraId="66BE502C" w14:textId="77777777" w:rsidR="0099316B" w:rsidRDefault="0099316B" w:rsidP="000E69C9">
                            <w:pPr>
                              <w:jc w:val="center"/>
                            </w:pPr>
                          </w:p>
                          <w:p w14:paraId="2E168DAA" w14:textId="3C20B5D9" w:rsidR="0099316B" w:rsidRPr="006F5DA6" w:rsidRDefault="0099316B" w:rsidP="000E69C9">
                            <w:pPr>
                              <w:jc w:val="center"/>
                              <w:rPr>
                                <w:sz w:val="20"/>
                              </w:rPr>
                            </w:pPr>
                            <w:r w:rsidRPr="006F5DA6">
                              <w:rPr>
                                <w:sz w:val="20"/>
                              </w:rPr>
                              <w:t xml:space="preserve"> ((Author Portrait))</w:t>
                            </w:r>
                          </w:p>
                        </w:txbxContent>
                      </v:textbox>
                      <w10:wrap type="square"/>
                    </v:rect>
                  </w:pict>
                </mc:Fallback>
              </mc:AlternateContent>
            </w:r>
            <w:r w:rsidR="00561D8F">
              <w:rPr>
                <w:iCs/>
                <w:color w:val="1D1D1D"/>
                <w:szCs w:val="20"/>
              </w:rPr>
              <w:t xml:space="preserve">Carine Vergne-Vaxelaire obtained her Ph. D </w:t>
            </w:r>
            <w:r w:rsidR="00E24C93">
              <w:rPr>
                <w:iCs/>
                <w:color w:val="1D1D1D"/>
                <w:szCs w:val="20"/>
              </w:rPr>
              <w:t xml:space="preserve">in 2006 </w:t>
            </w:r>
            <w:r w:rsidR="00561D8F">
              <w:rPr>
                <w:iCs/>
                <w:color w:val="1D1D1D"/>
                <w:szCs w:val="20"/>
              </w:rPr>
              <w:t xml:space="preserve">at the University of Paris-Saclay (France) under the supervision of Dr. Ali Al-Mourabit working on the isolation of key nitrogen-containing natural products from marine sponges and their biomimetic synthesis. After one year as medicinal chemist at Servier (France), she joined the </w:t>
            </w:r>
            <w:r w:rsidR="00561D8F" w:rsidRPr="00FD1EE2">
              <w:rPr>
                <w:iCs/>
                <w:color w:val="1D1D1D"/>
                <w:szCs w:val="20"/>
              </w:rPr>
              <w:t>French Alternative Energies and Atomic Energy Commission (CEA)</w:t>
            </w:r>
            <w:r w:rsidR="00561D8F">
              <w:rPr>
                <w:iCs/>
                <w:color w:val="1D1D1D"/>
                <w:szCs w:val="20"/>
              </w:rPr>
              <w:t xml:space="preserve"> in the newly funded Laboratory of Biocatalysis, </w:t>
            </w:r>
            <w:r w:rsidR="00561D8F">
              <w:rPr>
                <w:iCs/>
                <w:color w:val="1D1D1D"/>
                <w:szCs w:val="20"/>
              </w:rPr>
              <w:lastRenderedPageBreak/>
              <w:t xml:space="preserve">Bioremediation and Synthetic Metabolism of the </w:t>
            </w:r>
            <w:r w:rsidR="00561D8F" w:rsidRPr="00FD1EE2">
              <w:rPr>
                <w:iCs/>
                <w:color w:val="1D1D1D"/>
                <w:szCs w:val="20"/>
              </w:rPr>
              <w:t>Genoscope Unit UMR 8030 Genomics Metabolics</w:t>
            </w:r>
            <w:r w:rsidR="00561D8F">
              <w:rPr>
                <w:iCs/>
                <w:color w:val="1D1D1D"/>
                <w:szCs w:val="20"/>
              </w:rPr>
              <w:t xml:space="preserve">. Her research interests are in the area of biocatalysis with particular emphasis on the discovery of new biocatalysts among biodiversity by </w:t>
            </w:r>
            <w:r w:rsidR="00561D8F" w:rsidRPr="00E92DDB">
              <w:rPr>
                <w:iCs/>
                <w:color w:val="1D1D1D"/>
                <w:szCs w:val="20"/>
              </w:rPr>
              <w:t>genom</w:t>
            </w:r>
            <w:r w:rsidR="00A62CCF" w:rsidRPr="00E92DDB">
              <w:rPr>
                <w:iCs/>
                <w:color w:val="1D1D1D"/>
                <w:szCs w:val="20"/>
              </w:rPr>
              <w:t>e</w:t>
            </w:r>
            <w:r w:rsidR="00561D8F" w:rsidRPr="00E92DDB">
              <w:rPr>
                <w:iCs/>
                <w:color w:val="1D1D1D"/>
                <w:szCs w:val="20"/>
              </w:rPr>
              <w:t>-mining</w:t>
            </w:r>
            <w:r w:rsidR="00561D8F">
              <w:rPr>
                <w:iCs/>
                <w:color w:val="1D1D1D"/>
                <w:szCs w:val="20"/>
              </w:rPr>
              <w:t xml:space="preserve"> approaches mastered in the unit, and their applications as green tools for the synthesis of key building blocks. Her current main project is focused upon discovering native amine dehydrogenases for the production of amines and undertaking structural and biochemical studies thereof.</w:t>
            </w:r>
          </w:p>
        </w:tc>
      </w:tr>
      <w:tr w:rsidR="00561D8F" w14:paraId="1AFE7925" w14:textId="77777777" w:rsidTr="000E69C9">
        <w:tc>
          <w:tcPr>
            <w:tcW w:w="4762" w:type="dxa"/>
            <w:shd w:val="clear" w:color="auto" w:fill="DDDDDD"/>
          </w:tcPr>
          <w:p w14:paraId="61B5F712" w14:textId="77777777" w:rsidR="00561D8F" w:rsidRPr="007B1481" w:rsidRDefault="00561D8F" w:rsidP="000E69C9">
            <w:pPr>
              <w:pStyle w:val="Biography"/>
              <w:rPr>
                <w:noProof/>
                <w:lang w:eastAsia="fr-FR"/>
              </w:rPr>
            </w:pPr>
          </w:p>
        </w:tc>
        <w:tc>
          <w:tcPr>
            <w:tcW w:w="4762" w:type="dxa"/>
            <w:shd w:val="clear" w:color="auto" w:fill="DDDDDD"/>
          </w:tcPr>
          <w:p w14:paraId="1CD4639F" w14:textId="77777777" w:rsidR="00561D8F" w:rsidRPr="007B1481" w:rsidRDefault="00561D8F" w:rsidP="000E69C9">
            <w:pPr>
              <w:pStyle w:val="Biography"/>
              <w:rPr>
                <w:noProof/>
                <w:lang w:eastAsia="fr-FR"/>
              </w:rPr>
            </w:pPr>
          </w:p>
        </w:tc>
      </w:tr>
    </w:tbl>
    <w:p w14:paraId="2F7A44A1" w14:textId="77777777" w:rsidR="00561D8F" w:rsidRDefault="00561D8F" w:rsidP="000E69C9">
      <w:pPr>
        <w:pStyle w:val="P1withIndendation"/>
      </w:pPr>
    </w:p>
    <w:p w14:paraId="00A79335" w14:textId="77777777" w:rsidR="00561D8F" w:rsidRDefault="00561D8F" w:rsidP="000E69C9">
      <w:pPr>
        <w:pStyle w:val="P1withIndendation"/>
        <w:sectPr w:rsidR="00561D8F" w:rsidSect="000E69C9">
          <w:type w:val="continuous"/>
          <w:pgSz w:w="11906" w:h="16838" w:code="9"/>
          <w:pgMar w:top="1134" w:right="680" w:bottom="1225" w:left="1361" w:header="709" w:footer="709" w:gutter="0"/>
          <w:cols w:space="340"/>
          <w:docGrid w:linePitch="360"/>
        </w:sectPr>
      </w:pPr>
    </w:p>
    <w:p w14:paraId="37C70D01" w14:textId="77784F90" w:rsidR="00561D8F" w:rsidRPr="008261A3" w:rsidRDefault="00561D8F" w:rsidP="000E69C9">
      <w:pPr>
        <w:pStyle w:val="P1withIndendation"/>
      </w:pPr>
      <w:r>
        <w:t>In this review we focus on the application of  NAD(P)H-dependent enzymes that have been used to either catalyze, or enable, the asymmetric reductive amination of a carbonyl group (excluding α-ketoacid</w:t>
      </w:r>
      <w:r w:rsidR="00A33B20">
        <w:t>s</w:t>
      </w:r>
      <w:r>
        <w:t>)</w:t>
      </w:r>
      <w:r w:rsidR="00A33B20">
        <w:t xml:space="preserve"> </w:t>
      </w:r>
      <w:r>
        <w:t>with an amine donor, and therefore we do not include, for example, enzymes strictly confined to the reduction/oxidation of imine/amine substrates such as Imine Reductases</w:t>
      </w:r>
      <w:r w:rsidR="00A33B20">
        <w:t xml:space="preserve"> (IREDs)</w:t>
      </w:r>
      <w:r w:rsidR="00CA3CB8">
        <w:rPr>
          <w:noProof/>
          <w:vertAlign w:val="superscript"/>
        </w:rPr>
        <w:t>[13</w:t>
      </w:r>
      <w:r w:rsidRPr="0037218C">
        <w:rPr>
          <w:noProof/>
          <w:vertAlign w:val="superscript"/>
        </w:rPr>
        <w:t>]</w:t>
      </w:r>
      <w:r>
        <w:t xml:space="preserve">, monoamine oxidases (MAOs) </w:t>
      </w:r>
      <w:r w:rsidR="00CA3CB8">
        <w:rPr>
          <w:noProof/>
          <w:vertAlign w:val="superscript"/>
        </w:rPr>
        <w:t>[10b, 14</w:t>
      </w:r>
      <w:r w:rsidRPr="0037218C">
        <w:rPr>
          <w:noProof/>
          <w:vertAlign w:val="superscript"/>
        </w:rPr>
        <w:t>]</w:t>
      </w:r>
      <w:r>
        <w:t xml:space="preserve"> or </w:t>
      </w:r>
      <w:r w:rsidR="00A33B20">
        <w:t>amine t</w:t>
      </w:r>
      <w:r>
        <w:t>ransaminases</w:t>
      </w:r>
      <w:r w:rsidR="00A33B20">
        <w:t xml:space="preserve"> (ATAs)</w:t>
      </w:r>
      <w:r>
        <w:t>.</w:t>
      </w:r>
      <w:r w:rsidR="00CA3CB8">
        <w:rPr>
          <w:noProof/>
          <w:vertAlign w:val="superscript"/>
        </w:rPr>
        <w:t>[8</w:t>
      </w:r>
      <w:r w:rsidRPr="0037218C">
        <w:rPr>
          <w:noProof/>
          <w:vertAlign w:val="superscript"/>
        </w:rPr>
        <w:t>]</w:t>
      </w:r>
      <w:r>
        <w:t xml:space="preserve"> All the enzymes</w:t>
      </w:r>
      <w:r w:rsidR="00A33B20">
        <w:t xml:space="preserve"> included</w:t>
      </w:r>
      <w:r>
        <w:t xml:space="preserve"> possess a </w:t>
      </w:r>
      <w:r w:rsidRPr="00DF76BD">
        <w:t xml:space="preserve">nucleotide binding domain </w:t>
      </w:r>
      <w:r>
        <w:t>that</w:t>
      </w:r>
      <w:r w:rsidRPr="00DF76BD">
        <w:t xml:space="preserve"> allows them to recruit the NAD(P)H/NAD(P)</w:t>
      </w:r>
      <w:r w:rsidRPr="00DF76BD">
        <w:rPr>
          <w:vertAlign w:val="superscript"/>
        </w:rPr>
        <w:t>+</w:t>
      </w:r>
      <w:r w:rsidRPr="00DF76BD">
        <w:t xml:space="preserve"> redox cofactor essential for their </w:t>
      </w:r>
      <w:r w:rsidRPr="001B58D7">
        <w:rPr>
          <w:iCs/>
        </w:rPr>
        <w:t>activity</w:t>
      </w:r>
      <w:r w:rsidRPr="001B58D7">
        <w:t xml:space="preserve"> </w:t>
      </w:r>
      <w:r w:rsidR="00A33B20" w:rsidRPr="001B58D7">
        <w:rPr>
          <w:iCs/>
        </w:rPr>
        <w:t>using</w:t>
      </w:r>
      <w:r>
        <w:t xml:space="preserve"> a common Rossman fold. But despite this common feature, their catalytic domains and</w:t>
      </w:r>
      <w:r w:rsidRPr="00EF6FAA">
        <w:t xml:space="preserve"> </w:t>
      </w:r>
      <w:r>
        <w:t>the way the cofactor binding domains are con</w:t>
      </w:r>
      <w:r w:rsidR="00C12A3A">
        <w:t>nected to them, differ from one another</w:t>
      </w:r>
      <w:proofErr w:type="gramStart"/>
      <w:r w:rsidR="00C12A3A">
        <w:t>.</w:t>
      </w:r>
      <w:r w:rsidR="00C12A3A" w:rsidRPr="0037218C">
        <w:rPr>
          <w:noProof/>
          <w:vertAlign w:val="superscript"/>
        </w:rPr>
        <w:t>[</w:t>
      </w:r>
      <w:proofErr w:type="gramEnd"/>
      <w:r w:rsidR="00CA3CB8">
        <w:rPr>
          <w:noProof/>
          <w:vertAlign w:val="superscript"/>
        </w:rPr>
        <w:t>9</w:t>
      </w:r>
      <w:r w:rsidRPr="0037218C">
        <w:rPr>
          <w:noProof/>
          <w:vertAlign w:val="superscript"/>
        </w:rPr>
        <w:t>]</w:t>
      </w:r>
      <w:r>
        <w:t xml:space="preserve"> This structural diversity results in closely related but different mechanisms,</w:t>
      </w:r>
      <w:r w:rsidRPr="00E40AC8">
        <w:t xml:space="preserve"> using</w:t>
      </w:r>
      <w:r>
        <w:rPr>
          <w:i/>
        </w:rPr>
        <w:t xml:space="preserve"> </w:t>
      </w:r>
      <w:r>
        <w:t xml:space="preserve">various amino acid residues, as well as different substrate specificities, cofactor preference and stereoselectivities within the selected group of enzymes. To highlight this variety, we intend to provide readers with an illustrated summary of active sites of the various native enzymes and/or mutants and their corresponding substrate spectra. Selected examples of conversions and yields are given to exemplify the biocatalytic potential of these enzymes, but this survey does not cover all their reported applications in synthesis or cascade reactions including strategies to regenerate the </w:t>
      </w:r>
      <w:r w:rsidR="00A33B20">
        <w:t>cofactor.</w:t>
      </w:r>
    </w:p>
    <w:p w14:paraId="6A4AB468" w14:textId="77777777" w:rsidR="00561D8F" w:rsidRPr="00726F3A" w:rsidRDefault="00561D8F" w:rsidP="000E69C9">
      <w:pPr>
        <w:pStyle w:val="H1"/>
      </w:pPr>
      <w:r>
        <w:t>2 From Amino Acid Dehydrogenases (AADHs) to Amine Dehydrogenases (AmDHs)</w:t>
      </w:r>
    </w:p>
    <w:p w14:paraId="4EF7E54E" w14:textId="0227EAB2" w:rsidR="00561D8F" w:rsidRPr="008261A3" w:rsidRDefault="00561D8F" w:rsidP="000E69C9">
      <w:pPr>
        <w:pStyle w:val="P1withoutIndendation"/>
        <w:rPr>
          <w:lang w:val="en-GB"/>
        </w:rPr>
      </w:pPr>
      <w:r>
        <w:t xml:space="preserve">While there was a pressing demand for enzymes capable of catalyzing the reductive amination of non keto-acid carbonyl substrates for synthetic purposes, there were few examples of such enzymes in the available biodiversity. In 2012 the group of Bommarius designed the first enzyme capable of catalyzing the reductive amination of simple ketones by using AADHs (EC: 1.4.1), and more precisely leucine (LeuDH) and phenylalanine dehydrogenases (PheDH), as a </w:t>
      </w:r>
      <w:r w:rsidRPr="00E92DDB">
        <w:t>platform for engineering.</w:t>
      </w:r>
      <w:r w:rsidR="00CA3CB8" w:rsidRPr="00E92DDB">
        <w:rPr>
          <w:vertAlign w:val="superscript"/>
        </w:rPr>
        <w:t>[15]</w:t>
      </w:r>
      <w:r w:rsidRPr="00E92DDB">
        <w:t xml:space="preserve"> These well-described wild-type enzymes catalyze the reductive amination of keto-acid</w:t>
      </w:r>
      <w:r>
        <w:t xml:space="preserve"> substrates </w:t>
      </w:r>
      <w:r w:rsidRPr="00290561">
        <w:rPr>
          <w:b/>
        </w:rPr>
        <w:t>1</w:t>
      </w:r>
      <w:r>
        <w:t xml:space="preserve"> and </w:t>
      </w:r>
      <w:r w:rsidRPr="00290561">
        <w:rPr>
          <w:b/>
        </w:rPr>
        <w:t>2</w:t>
      </w:r>
      <w:r>
        <w:t xml:space="preserve"> into amino acid products </w:t>
      </w:r>
      <w:r w:rsidRPr="00290561">
        <w:rPr>
          <w:b/>
        </w:rPr>
        <w:t>1</w:t>
      </w:r>
      <w:r>
        <w:rPr>
          <w:b/>
        </w:rPr>
        <w:t>a</w:t>
      </w:r>
      <w:r>
        <w:t xml:space="preserve"> and </w:t>
      </w:r>
      <w:r w:rsidRPr="00290561">
        <w:rPr>
          <w:b/>
        </w:rPr>
        <w:t>2</w:t>
      </w:r>
      <w:r>
        <w:rPr>
          <w:b/>
        </w:rPr>
        <w:t>a</w:t>
      </w:r>
      <w:r w:rsidRPr="00290561">
        <w:t xml:space="preserve"> </w:t>
      </w:r>
      <w:r>
        <w:t>respectively, using NAD(P)H as the hydride donor (</w:t>
      </w:r>
      <w:r w:rsidRPr="007B6A55">
        <w:rPr>
          <w:b/>
        </w:rPr>
        <w:t>Scheme 1</w:t>
      </w:r>
      <w:r>
        <w:t xml:space="preserve">). </w:t>
      </w:r>
    </w:p>
    <w:p w14:paraId="1724ADEA" w14:textId="77777777" w:rsidR="00561D8F" w:rsidRPr="001F38DA" w:rsidRDefault="004E3061" w:rsidP="000E69C9">
      <w:pPr>
        <w:spacing w:before="360"/>
        <w:rPr>
          <w:color w:val="FF0000"/>
          <w:sz w:val="18"/>
          <w:szCs w:val="20"/>
          <w:lang w:val="en-GB"/>
        </w:rPr>
      </w:pPr>
      <w:r w:rsidRPr="004E3061">
        <w:rPr>
          <w:noProof/>
          <w:color w:val="FF0000"/>
          <w:sz w:val="18"/>
          <w:szCs w:val="20"/>
          <w:lang w:val="en-GB"/>
        </w:rPr>
        <w:object w:dxaOrig="5931" w:dyaOrig="3360" w14:anchorId="09DD58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75pt;height:135.75pt;mso-width-percent:0;mso-height-percent:0;mso-width-percent:0;mso-height-percent:0" o:ole="">
            <v:imagedata r:id="rId15" o:title=""/>
          </v:shape>
          <o:OLEObject Type="Embed" ProgID="ChemDraw.Document.6.0" ShapeID="_x0000_i1025" DrawAspect="Content" ObjectID="_1661677385" r:id="rId16"/>
        </w:object>
      </w:r>
    </w:p>
    <w:p w14:paraId="7530B5E8" w14:textId="6093B1FF" w:rsidR="00561D8F" w:rsidRDefault="00561D8F" w:rsidP="000E69C9">
      <w:pPr>
        <w:pStyle w:val="SchemeCaption"/>
      </w:pPr>
      <w:r>
        <w:rPr>
          <w:b/>
        </w:rPr>
        <w:t>Scheme</w:t>
      </w:r>
      <w:r w:rsidRPr="005702B8">
        <w:rPr>
          <w:b/>
        </w:rPr>
        <w:t xml:space="preserve"> 1</w:t>
      </w:r>
      <w:r>
        <w:rPr>
          <w:b/>
        </w:rPr>
        <w:t>.</w:t>
      </w:r>
      <w:r>
        <w:t xml:space="preserve"> General reactions </w:t>
      </w:r>
      <w:r w:rsidR="00A61E06">
        <w:t>catalyzed</w:t>
      </w:r>
      <w:r>
        <w:t xml:space="preserve"> by AADHs and engineered AADHs into AmDHs.</w:t>
      </w:r>
    </w:p>
    <w:p w14:paraId="68BF858E" w14:textId="77777777" w:rsidR="00561D8F" w:rsidRDefault="00561D8F" w:rsidP="000E69C9">
      <w:pPr>
        <w:pStyle w:val="P1withoutIndendation"/>
        <w:sectPr w:rsidR="00561D8F" w:rsidSect="000E69C9">
          <w:type w:val="continuous"/>
          <w:pgSz w:w="11906" w:h="16838" w:code="9"/>
          <w:pgMar w:top="1134" w:right="680" w:bottom="1225" w:left="1361" w:header="709" w:footer="709" w:gutter="0"/>
          <w:cols w:num="2" w:space="340"/>
          <w:docGrid w:linePitch="360"/>
        </w:sectPr>
      </w:pPr>
    </w:p>
    <w:p w14:paraId="16739798" w14:textId="502E69AA" w:rsidR="00561D8F" w:rsidRPr="001F38DA" w:rsidRDefault="00226FA8" w:rsidP="000E69C9">
      <w:pPr>
        <w:spacing w:before="360"/>
        <w:rPr>
          <w:color w:val="FF0000"/>
          <w:sz w:val="18"/>
          <w:szCs w:val="20"/>
          <w:lang w:val="en-GB"/>
        </w:rPr>
      </w:pPr>
      <w:r>
        <w:rPr>
          <w:noProof/>
          <w:color w:val="FF0000"/>
          <w:sz w:val="18"/>
          <w:szCs w:val="20"/>
          <w:lang w:val="en-GB" w:eastAsia="en-GB"/>
        </w:rPr>
        <w:drawing>
          <wp:inline distT="0" distB="0" distL="0" distR="0" wp14:anchorId="1F987347" wp14:editId="61D24E56">
            <wp:extent cx="6264275" cy="2864485"/>
            <wp:effectExtent l="0" t="0" r="317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ructureAADH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64275" cy="2864485"/>
                    </a:xfrm>
                    <a:prstGeom prst="rect">
                      <a:avLst/>
                    </a:prstGeom>
                  </pic:spPr>
                </pic:pic>
              </a:graphicData>
            </a:graphic>
          </wp:inline>
        </w:drawing>
      </w:r>
    </w:p>
    <w:p w14:paraId="6B8B511F" w14:textId="18700250" w:rsidR="00561D8F" w:rsidRPr="00080649" w:rsidRDefault="00561D8F" w:rsidP="000E69C9">
      <w:pPr>
        <w:pStyle w:val="FigureCaption"/>
        <w:rPr>
          <w:lang w:val="de-DE"/>
          <w:rPrChange w:id="0" w:author="Laurine DUCROT" w:date="2020-07-21T14:29:00Z">
            <w:rPr/>
          </w:rPrChange>
        </w:rPr>
        <w:sectPr w:rsidR="00561D8F" w:rsidRPr="00080649" w:rsidSect="000E69C9">
          <w:pgSz w:w="11906" w:h="16838" w:code="9"/>
          <w:pgMar w:top="1134" w:right="680" w:bottom="1225" w:left="1361" w:header="709" w:footer="709" w:gutter="0"/>
          <w:cols w:space="340"/>
          <w:docGrid w:linePitch="360"/>
        </w:sectPr>
      </w:pPr>
      <w:r>
        <w:rPr>
          <w:b/>
        </w:rPr>
        <w:t>Figure 2.</w:t>
      </w:r>
      <w:r w:rsidRPr="00C2552A">
        <w:t xml:space="preserve"> </w:t>
      </w:r>
      <w:r w:rsidRPr="00CD63DF">
        <w:rPr>
          <w:lang w:val="de-DE"/>
        </w:rPr>
        <w:t xml:space="preserve">Structure of LeuDH from </w:t>
      </w:r>
      <w:r w:rsidRPr="00CD63DF">
        <w:rPr>
          <w:i/>
          <w:iCs/>
          <w:lang w:val="de-DE"/>
        </w:rPr>
        <w:t xml:space="preserve">Bacillus stearothermophilus </w:t>
      </w:r>
      <w:r w:rsidRPr="00CD63DF">
        <w:rPr>
          <w:iCs/>
          <w:lang w:val="de-DE"/>
        </w:rPr>
        <w:t xml:space="preserve">(model using 1C1D of PheDH from </w:t>
      </w:r>
      <w:r w:rsidRPr="00CD63DF">
        <w:rPr>
          <w:i/>
          <w:iCs/>
          <w:lang w:val="de-DE"/>
        </w:rPr>
        <w:t xml:space="preserve">Rhodococcus </w:t>
      </w:r>
      <w:r w:rsidRPr="00CB53AB">
        <w:rPr>
          <w:iCs/>
          <w:lang w:val="de-DE"/>
        </w:rPr>
        <w:t>sp.</w:t>
      </w:r>
      <w:r w:rsidRPr="00CD63DF">
        <w:rPr>
          <w:iCs/>
          <w:lang w:val="de-DE"/>
        </w:rPr>
        <w:t xml:space="preserve"> M4 as a template)</w:t>
      </w:r>
      <w:r w:rsidRPr="00CD63DF">
        <w:rPr>
          <w:lang w:val="de-DE"/>
        </w:rPr>
        <w:t xml:space="preserve">. </w:t>
      </w:r>
      <w:r w:rsidRPr="007B6A55">
        <w:rPr>
          <w:b/>
          <w:lang w:val="de-DE"/>
        </w:rPr>
        <w:t>A</w:t>
      </w:r>
      <w:r w:rsidR="00A87E7B" w:rsidRPr="00FB2BAB">
        <w:rPr>
          <w:b/>
          <w:lang w:val="de-DE"/>
        </w:rPr>
        <w:t>)</w:t>
      </w:r>
      <w:r w:rsidRPr="00CD63DF">
        <w:rPr>
          <w:lang w:val="de-DE"/>
        </w:rPr>
        <w:t xml:space="preserve"> Structure of LeuDH in ribbon format</w:t>
      </w:r>
      <w:r w:rsidR="00A61E06">
        <w:rPr>
          <w:lang w:val="de-DE"/>
        </w:rPr>
        <w:t xml:space="preserve"> with the key positions targeted for mutagenesis located outside the catalytic pocket</w:t>
      </w:r>
      <w:r w:rsidR="00596ADA">
        <w:rPr>
          <w:lang w:val="de-DE"/>
        </w:rPr>
        <w:t>.</w:t>
      </w:r>
      <w:r w:rsidRPr="00CD63DF">
        <w:rPr>
          <w:lang w:val="de-DE"/>
        </w:rPr>
        <w:t xml:space="preserve"> </w:t>
      </w:r>
      <w:r w:rsidRPr="007B6A55">
        <w:rPr>
          <w:b/>
          <w:lang w:val="de-DE"/>
        </w:rPr>
        <w:t>B</w:t>
      </w:r>
      <w:r w:rsidR="00A87E7B" w:rsidRPr="00FB2BAB">
        <w:rPr>
          <w:b/>
          <w:lang w:val="de-DE"/>
        </w:rPr>
        <w:t>)</w:t>
      </w:r>
      <w:r w:rsidRPr="00CD63DF">
        <w:rPr>
          <w:lang w:val="de-DE"/>
        </w:rPr>
        <w:t xml:space="preserve"> </w:t>
      </w:r>
      <w:r w:rsidRPr="00CD63DF">
        <w:rPr>
          <w:bCs/>
          <w:lang w:val="de-DE"/>
        </w:rPr>
        <w:t xml:space="preserve">Active site of LeuDH in </w:t>
      </w:r>
      <w:r w:rsidRPr="00CD63DF">
        <w:rPr>
          <w:lang w:val="de-DE"/>
        </w:rPr>
        <w:t xml:space="preserve">complex with </w:t>
      </w:r>
      <w:r w:rsidRPr="00C12A3A">
        <w:rPr>
          <w:sz w:val="18"/>
          <w:szCs w:val="18"/>
          <w:lang w:val="de-DE"/>
        </w:rPr>
        <w:t>L</w:t>
      </w:r>
      <w:r w:rsidRPr="00CD63DF">
        <w:rPr>
          <w:lang w:val="de-DE"/>
        </w:rPr>
        <w:t>-phenylalanine</w:t>
      </w:r>
      <w:r>
        <w:rPr>
          <w:lang w:val="de-DE"/>
        </w:rPr>
        <w:t xml:space="preserve"> </w:t>
      </w:r>
      <w:r w:rsidRPr="00290561">
        <w:rPr>
          <w:b/>
          <w:lang w:val="de-DE"/>
        </w:rPr>
        <w:t>2</w:t>
      </w:r>
      <w:r>
        <w:rPr>
          <w:b/>
          <w:lang w:val="de-DE"/>
        </w:rPr>
        <w:t>a</w:t>
      </w:r>
      <w:r w:rsidRPr="00CD63DF">
        <w:rPr>
          <w:lang w:val="de-DE"/>
        </w:rPr>
        <w:t xml:space="preserve">. Side chains from the two catalytic residues K80 and D115 </w:t>
      </w:r>
      <w:r w:rsidR="00080649">
        <w:rPr>
          <w:lang w:val="de-DE"/>
        </w:rPr>
        <w:t xml:space="preserve">are shown in pink. </w:t>
      </w:r>
      <w:r w:rsidR="00A61E06">
        <w:rPr>
          <w:lang w:val="de-DE"/>
        </w:rPr>
        <w:t>S</w:t>
      </w:r>
      <w:r w:rsidR="00080649">
        <w:rPr>
          <w:lang w:val="de-DE"/>
        </w:rPr>
        <w:t>ide chain</w:t>
      </w:r>
      <w:r w:rsidR="00A61E06">
        <w:rPr>
          <w:lang w:val="de-DE"/>
        </w:rPr>
        <w:t>s</w:t>
      </w:r>
      <w:r w:rsidR="00080649">
        <w:rPr>
          <w:lang w:val="de-DE"/>
        </w:rPr>
        <w:t xml:space="preserve"> of </w:t>
      </w:r>
      <w:r w:rsidRPr="00CD63DF">
        <w:rPr>
          <w:lang w:val="de-DE"/>
        </w:rPr>
        <w:t xml:space="preserve">all the </w:t>
      </w:r>
      <w:r w:rsidR="00080649">
        <w:rPr>
          <w:lang w:val="de-DE"/>
        </w:rPr>
        <w:t xml:space="preserve">positions </w:t>
      </w:r>
      <w:r w:rsidRPr="00CD63DF">
        <w:rPr>
          <w:lang w:val="de-DE"/>
        </w:rPr>
        <w:t xml:space="preserve">mutated </w:t>
      </w:r>
      <w:r w:rsidR="00080649">
        <w:rPr>
          <w:lang w:val="de-DE"/>
        </w:rPr>
        <w:t>in the AADHs included in this review</w:t>
      </w:r>
      <w:r w:rsidRPr="00CD63DF">
        <w:rPr>
          <w:lang w:val="de-DE"/>
        </w:rPr>
        <w:t xml:space="preserve"> are shown in blue. NADPH and </w:t>
      </w:r>
      <w:r w:rsidRPr="00FA4403">
        <w:rPr>
          <w:sz w:val="18"/>
          <w:szCs w:val="18"/>
          <w:lang w:val="de-DE"/>
        </w:rPr>
        <w:t>L</w:t>
      </w:r>
      <w:r w:rsidRPr="00CD63DF">
        <w:rPr>
          <w:lang w:val="de-DE"/>
        </w:rPr>
        <w:t>-phenylalanine</w:t>
      </w:r>
      <w:r>
        <w:rPr>
          <w:lang w:val="de-DE"/>
        </w:rPr>
        <w:t xml:space="preserve"> </w:t>
      </w:r>
      <w:r w:rsidRPr="00290561">
        <w:rPr>
          <w:b/>
          <w:lang w:val="de-DE"/>
        </w:rPr>
        <w:t>2</w:t>
      </w:r>
      <w:r>
        <w:rPr>
          <w:b/>
          <w:lang w:val="de-DE"/>
        </w:rPr>
        <w:t>a</w:t>
      </w:r>
      <w:r w:rsidRPr="00CD63DF">
        <w:rPr>
          <w:lang w:val="de-DE"/>
        </w:rPr>
        <w:t xml:space="preserve"> are shown in cylinder format with carbon atoms in grey and yellow respectively</w:t>
      </w:r>
      <w:r w:rsidRPr="00C2552A">
        <w:t>.</w:t>
      </w:r>
    </w:p>
    <w:p w14:paraId="5AB40739" w14:textId="3DB8480F" w:rsidR="00561D8F" w:rsidRPr="00CD63DF" w:rsidRDefault="00561D8F" w:rsidP="000E69C9">
      <w:pPr>
        <w:pStyle w:val="P1withoutIndendation"/>
      </w:pPr>
      <w:r>
        <w:t>Ubiquitous in nature with central roles in amino acid metabolism, AADHs are mostly NADH-dependent and active only toward k</w:t>
      </w:r>
      <w:r w:rsidRPr="00AC6407">
        <w:t xml:space="preserve">etones </w:t>
      </w:r>
      <w:r>
        <w:t>bearing</w:t>
      </w:r>
      <w:r w:rsidRPr="00AC6407">
        <w:t xml:space="preserve"> a</w:t>
      </w:r>
      <w:r>
        <w:t xml:space="preserve"> </w:t>
      </w:r>
      <w:r w:rsidRPr="00AC6407">
        <w:t>carboxylic</w:t>
      </w:r>
      <w:r w:rsidRPr="00671EC3">
        <w:t xml:space="preserve"> </w:t>
      </w:r>
      <w:r w:rsidRPr="00AC6407">
        <w:t xml:space="preserve">acid group in </w:t>
      </w:r>
      <w:r>
        <w:t xml:space="preserve">the </w:t>
      </w:r>
      <w:r w:rsidRPr="00AC6407">
        <w:t>vicinal position, and</w:t>
      </w:r>
      <w:r>
        <w:t xml:space="preserve"> </w:t>
      </w:r>
      <w:r w:rsidRPr="00AC6407">
        <w:t xml:space="preserve">ammonia is the only </w:t>
      </w:r>
      <w:r>
        <w:t xml:space="preserve">reported </w:t>
      </w:r>
      <w:r w:rsidRPr="00AC6407">
        <w:t xml:space="preserve">amine accepted as substrate. </w:t>
      </w:r>
      <w:r>
        <w:t xml:space="preserve">Extensive characterizations including mechanistic investigations have been carried out, and since 1992 numerous </w:t>
      </w:r>
      <w:r w:rsidRPr="00C7450A">
        <w:t xml:space="preserve">three-dimensional X-ray crystallographic </w:t>
      </w:r>
      <w:r>
        <w:t xml:space="preserve">structures, including those of glutamate DH from </w:t>
      </w:r>
      <w:r w:rsidRPr="00AC6407">
        <w:rPr>
          <w:i/>
        </w:rPr>
        <w:t>Clostridium symbiosum</w:t>
      </w:r>
      <w:r>
        <w:t xml:space="preserve"> and LeuDH from </w:t>
      </w:r>
      <w:r w:rsidRPr="00AC6407">
        <w:rPr>
          <w:i/>
        </w:rPr>
        <w:t>Bacillus sphaericus</w:t>
      </w:r>
      <w:r w:rsidRPr="00C7450A">
        <w:t xml:space="preserve"> </w:t>
      </w:r>
      <w:r>
        <w:t>have been presented.</w:t>
      </w:r>
      <w:r w:rsidR="00E97073">
        <w:rPr>
          <w:noProof/>
          <w:vertAlign w:val="superscript"/>
        </w:rPr>
        <w:t>[16</w:t>
      </w:r>
      <w:r w:rsidRPr="0037218C">
        <w:rPr>
          <w:noProof/>
          <w:vertAlign w:val="superscript"/>
        </w:rPr>
        <w:t>]</w:t>
      </w:r>
    </w:p>
    <w:p w14:paraId="47860460" w14:textId="5CBD5FAF" w:rsidR="00561D8F" w:rsidRPr="00CD63DF" w:rsidRDefault="00561D8F" w:rsidP="000E69C9">
      <w:pPr>
        <w:pStyle w:val="P1withIndendation"/>
      </w:pPr>
      <w:r w:rsidRPr="00CD63DF">
        <w:t xml:space="preserve">The monomer structure of LeuDH is composed of two domains separated by the cofactor binding area, which gather and close in the presence of substrate to enable the hydride transfer.  The main residue involved in the mechanism, K80 (LeuDH from </w:t>
      </w:r>
      <w:r w:rsidRPr="00CD63DF">
        <w:rPr>
          <w:i/>
          <w:iCs/>
        </w:rPr>
        <w:t>Bacillus stearothermophilus</w:t>
      </w:r>
      <w:r w:rsidRPr="00CD63DF">
        <w:t xml:space="preserve"> (Uniprot ID: P13154)), ensures the </w:t>
      </w:r>
      <w:r w:rsidR="00A61E06">
        <w:t>stabilization</w:t>
      </w:r>
      <w:r w:rsidRPr="00CD63DF">
        <w:t xml:space="preserve"> of the transformed carbonyl and acts as a base </w:t>
      </w:r>
      <w:r w:rsidRPr="00CD63DF">
        <w:rPr>
          <w:i/>
        </w:rPr>
        <w:t>via</w:t>
      </w:r>
      <w:r w:rsidRPr="00CD63DF">
        <w:t xml:space="preserve"> its side chain. For details of the whole structure and mechanism, we refer the reader to the recent review of Sharma </w:t>
      </w:r>
      <w:r w:rsidRPr="00CD63DF">
        <w:rPr>
          <w:i/>
        </w:rPr>
        <w:t>et al</w:t>
      </w:r>
      <w:proofErr w:type="gramStart"/>
      <w:r w:rsidRPr="00CD63DF">
        <w:t>.</w:t>
      </w:r>
      <w:r w:rsidR="00CA3CB8">
        <w:rPr>
          <w:noProof/>
          <w:vertAlign w:val="superscript"/>
        </w:rPr>
        <w:t>[</w:t>
      </w:r>
      <w:proofErr w:type="gramEnd"/>
      <w:r w:rsidR="00CA3CB8">
        <w:rPr>
          <w:noProof/>
          <w:vertAlign w:val="superscript"/>
        </w:rPr>
        <w:t>10</w:t>
      </w:r>
      <w:r w:rsidRPr="0037218C">
        <w:rPr>
          <w:noProof/>
          <w:vertAlign w:val="superscript"/>
        </w:rPr>
        <w:t>a]</w:t>
      </w:r>
      <w:r w:rsidRPr="00CD63DF">
        <w:t xml:space="preserve"> </w:t>
      </w:r>
      <w:r w:rsidRPr="007B6A55">
        <w:rPr>
          <w:b/>
        </w:rPr>
        <w:t>Figure 2A</w:t>
      </w:r>
      <w:r w:rsidRPr="00CD63DF">
        <w:t xml:space="preserve"> illustrates the example of the 3D structure of LeuDH from </w:t>
      </w:r>
      <w:r w:rsidRPr="00CD63DF">
        <w:rPr>
          <w:i/>
          <w:iCs/>
        </w:rPr>
        <w:t xml:space="preserve">Bacillus stearothermophilus. </w:t>
      </w:r>
    </w:p>
    <w:p w14:paraId="7B62BB93" w14:textId="0D02619E" w:rsidR="00561D8F" w:rsidRPr="008261A3" w:rsidRDefault="00561D8F" w:rsidP="000E69C9">
      <w:pPr>
        <w:pStyle w:val="P1withIndendation"/>
      </w:pPr>
      <w:r w:rsidRPr="00CD63DF">
        <w:rPr>
          <w:lang w:val="de-DE"/>
        </w:rPr>
        <w:t>Thanks to these published 3D structures and detailed mechanistic studies, site-directed mutagenesis targeting first the residues involved in the coordination of the vicinal carboxylate group, was performed in order to remove their specificity for α-keto acids and so create a proper AmDH activity toward unfunctionalized ketones (</w:t>
      </w:r>
      <w:r w:rsidRPr="00290561">
        <w:rPr>
          <w:b/>
          <w:lang w:val="de-DE"/>
        </w:rPr>
        <w:t>Scheme 1</w:t>
      </w:r>
      <w:r w:rsidRPr="00CD63DF">
        <w:rPr>
          <w:lang w:val="de-DE"/>
        </w:rPr>
        <w:t xml:space="preserve">). The residues equivalent to K80 and D115 described as essential for the catalytic mechanism, were always excluded from the mutation libraries. The analysis of the model of LeuDH from </w:t>
      </w:r>
      <w:r w:rsidRPr="00CD63DF">
        <w:rPr>
          <w:i/>
          <w:iCs/>
          <w:lang w:val="de-DE"/>
        </w:rPr>
        <w:t>Bacillus stearothermophilus</w:t>
      </w:r>
      <w:r w:rsidRPr="00CD63DF">
        <w:rPr>
          <w:lang w:val="de-DE"/>
        </w:rPr>
        <w:t xml:space="preserve"> made using the already solved structure of PheDH from </w:t>
      </w:r>
      <w:r w:rsidRPr="00CD63DF">
        <w:rPr>
          <w:i/>
          <w:iCs/>
          <w:lang w:val="de-DE"/>
        </w:rPr>
        <w:t>Rhodococcus sp</w:t>
      </w:r>
      <w:r w:rsidRPr="00CD63DF">
        <w:rPr>
          <w:lang w:val="de-DE"/>
        </w:rPr>
        <w:t>. M4</w:t>
      </w:r>
      <w:r w:rsidR="00E97073">
        <w:rPr>
          <w:noProof/>
          <w:vertAlign w:val="superscript"/>
          <w:lang w:val="de-DE"/>
        </w:rPr>
        <w:t>[17</w:t>
      </w:r>
      <w:r w:rsidRPr="0037218C">
        <w:rPr>
          <w:noProof/>
          <w:vertAlign w:val="superscript"/>
          <w:lang w:val="de-DE"/>
        </w:rPr>
        <w:t>]</w:t>
      </w:r>
      <w:r w:rsidRPr="00CD63DF">
        <w:rPr>
          <w:lang w:val="de-DE"/>
        </w:rPr>
        <w:t xml:space="preserve"> (PDB: 1C1D; Uniprot ID: Q59771) as a template for the positioning of the cofactor and substrates inside the catalytic pocket, served as a reference. A first run of </w:t>
      </w:r>
      <w:r w:rsidRPr="00E92DDB">
        <w:rPr>
          <w:lang w:val="de-DE"/>
        </w:rPr>
        <w:t>directed evolution</w:t>
      </w:r>
      <w:r w:rsidRPr="00CD63DF">
        <w:rPr>
          <w:lang w:val="de-DE"/>
        </w:rPr>
        <w:t xml:space="preserve"> of this LeuDH with site-saturation mutagenesis of position K68 combined or not with other positions gave successful results and created the first ‘true’ AmDH activity, </w:t>
      </w:r>
      <w:r w:rsidRPr="00D6014C">
        <w:rPr>
          <w:szCs w:val="22"/>
          <w:lang w:val="de-DE"/>
        </w:rPr>
        <w:t>L-</w:t>
      </w:r>
      <w:r w:rsidRPr="00CD63DF">
        <w:rPr>
          <w:lang w:val="de-DE"/>
        </w:rPr>
        <w:t>AmDH harboring the two main important synergistic mutations K68S/D261L or K68M/D261V</w:t>
      </w:r>
      <w:r>
        <w:rPr>
          <w:lang w:val="de-DE"/>
        </w:rPr>
        <w:t xml:space="preserve"> and active, among others, toward cyclohexanone </w:t>
      </w:r>
      <w:r w:rsidRPr="000056C8">
        <w:rPr>
          <w:b/>
          <w:lang w:val="de-DE"/>
        </w:rPr>
        <w:t>3</w:t>
      </w:r>
      <w:r>
        <w:rPr>
          <w:lang w:val="de-DE"/>
        </w:rPr>
        <w:t xml:space="preserve"> and methyl-isobutyl ketone </w:t>
      </w:r>
      <w:r>
        <w:rPr>
          <w:b/>
          <w:lang w:val="de-DE"/>
        </w:rPr>
        <w:t>4</w:t>
      </w:r>
      <w:r>
        <w:rPr>
          <w:lang w:val="de-DE"/>
        </w:rPr>
        <w:t xml:space="preserve"> (MIBK)</w:t>
      </w:r>
      <w:r w:rsidRPr="00CD63DF">
        <w:rPr>
          <w:lang w:val="de-DE"/>
        </w:rPr>
        <w:t>.</w:t>
      </w:r>
      <w:r w:rsidR="00146C46">
        <w:rPr>
          <w:noProof/>
          <w:vertAlign w:val="superscript"/>
          <w:lang w:val="de-DE"/>
        </w:rPr>
        <w:t>[15</w:t>
      </w:r>
      <w:r w:rsidRPr="0037218C">
        <w:rPr>
          <w:noProof/>
          <w:vertAlign w:val="superscript"/>
          <w:lang w:val="de-DE"/>
        </w:rPr>
        <w:t>]</w:t>
      </w:r>
      <w:r w:rsidRPr="00CD63DF">
        <w:rPr>
          <w:lang w:val="de-DE"/>
        </w:rPr>
        <w:t xml:space="preserve"> The transposition of these influential mutations into </w:t>
      </w:r>
      <w:r w:rsidRPr="00D6014C">
        <w:rPr>
          <w:szCs w:val="22"/>
          <w:lang w:val="de-DE"/>
        </w:rPr>
        <w:t>L-</w:t>
      </w:r>
      <w:r w:rsidRPr="00CD63DF">
        <w:rPr>
          <w:lang w:val="de-DE"/>
        </w:rPr>
        <w:t xml:space="preserve">AmDH in the relative homolog PheDH from </w:t>
      </w:r>
      <w:r w:rsidRPr="00CD63DF">
        <w:rPr>
          <w:i/>
          <w:lang w:val="de-DE"/>
        </w:rPr>
        <w:t>Bacillus badius</w:t>
      </w:r>
      <w:r w:rsidRPr="00CD63DF">
        <w:rPr>
          <w:lang w:val="de-DE"/>
        </w:rPr>
        <w:t xml:space="preserve"> led to the creation of the double variant K77M/N276V. Using the restricted and efficient codon DDK to reduce the screening effort, a high-throughput screening of the diverse two</w:t>
      </w:r>
      <w:r w:rsidR="00A33B20">
        <w:rPr>
          <w:lang w:val="de-DE"/>
        </w:rPr>
        <w:t>-</w:t>
      </w:r>
      <w:r w:rsidRPr="00CD63DF">
        <w:rPr>
          <w:lang w:val="de-DE"/>
        </w:rPr>
        <w:t>site PheDH K77DDK</w:t>
      </w:r>
      <w:r w:rsidR="00A61E06">
        <w:rPr>
          <w:lang w:val="de-DE"/>
        </w:rPr>
        <w:t>/</w:t>
      </w:r>
      <w:r w:rsidRPr="00CD63DF">
        <w:rPr>
          <w:lang w:val="de-DE"/>
        </w:rPr>
        <w:t>N276DDK library led to the top candidate K77S/N276L (</w:t>
      </w:r>
      <w:r w:rsidRPr="00FB59FF">
        <w:rPr>
          <w:szCs w:val="22"/>
          <w:lang w:val="de-DE"/>
        </w:rPr>
        <w:t>F</w:t>
      </w:r>
      <w:r w:rsidRPr="00CD63DF">
        <w:rPr>
          <w:lang w:val="de-DE"/>
        </w:rPr>
        <w:t>-AmDH).</w:t>
      </w:r>
      <w:r>
        <w:rPr>
          <w:lang w:val="de-DE"/>
        </w:rPr>
        <w:t xml:space="preserve"> </w:t>
      </w:r>
      <w:r>
        <w:t xml:space="preserve">In addition to displaying higher specific activities, this variant </w:t>
      </w:r>
      <w:r w:rsidR="00A33B20">
        <w:t>was</w:t>
      </w:r>
      <w:r>
        <w:t xml:space="preserve"> capable of aminating </w:t>
      </w:r>
      <w:r w:rsidR="00E95346">
        <w:rPr>
          <w:i/>
        </w:rPr>
        <w:t>p</w:t>
      </w:r>
      <w:r>
        <w:t>-fluorophenyl</w:t>
      </w:r>
      <w:r w:rsidRPr="00114608">
        <w:t>acetone</w:t>
      </w:r>
      <w:r>
        <w:t xml:space="preserve"> </w:t>
      </w:r>
      <w:r>
        <w:rPr>
          <w:b/>
        </w:rPr>
        <w:t>5</w:t>
      </w:r>
      <w:r w:rsidR="00BB1D00">
        <w:t xml:space="preserve"> (4</w:t>
      </w:r>
      <w:r w:rsidR="00CB53AB">
        <w:t xml:space="preserve"> </w:t>
      </w:r>
      <w:r w:rsidR="00BB1D00">
        <w:t xml:space="preserve">U </w:t>
      </w:r>
      <w:r>
        <w:t>mg</w:t>
      </w:r>
      <w:r w:rsidRPr="003549B2">
        <w:rPr>
          <w:vertAlign w:val="superscript"/>
        </w:rPr>
        <w:t>-1</w:t>
      </w:r>
      <w:r>
        <w:t xml:space="preserve"> at 25°C, 93.8% conversion to </w:t>
      </w:r>
      <w:r w:rsidRPr="008263DC">
        <w:t>(</w:t>
      </w:r>
      <w:r w:rsidRPr="008263DC">
        <w:rPr>
          <w:i/>
        </w:rPr>
        <w:t>R</w:t>
      </w:r>
      <w:r w:rsidRPr="008263DC">
        <w:t>)-1-</w:t>
      </w:r>
      <w:r>
        <w:t xml:space="preserve">(4-fluorophenyl)-propyl-2-amine </w:t>
      </w:r>
      <w:r>
        <w:rPr>
          <w:b/>
        </w:rPr>
        <w:t>5a</w:t>
      </w:r>
      <w:r>
        <w:t>)</w:t>
      </w:r>
      <w:r w:rsidRPr="00114608">
        <w:t xml:space="preserve"> </w:t>
      </w:r>
      <w:r>
        <w:t>and other</w:t>
      </w:r>
      <w:r w:rsidRPr="00114608">
        <w:t xml:space="preserve"> aromatic ketones</w:t>
      </w:r>
      <w:r>
        <w:t xml:space="preserve"> such as </w:t>
      </w:r>
      <w:r w:rsidRPr="000056C8">
        <w:rPr>
          <w:b/>
        </w:rPr>
        <w:t>6</w:t>
      </w:r>
      <w:r>
        <w:t xml:space="preserve"> (</w:t>
      </w:r>
      <w:r w:rsidRPr="00290561">
        <w:rPr>
          <w:b/>
        </w:rPr>
        <w:t>Scheme 2</w:t>
      </w:r>
      <w:r>
        <w:t>).</w:t>
      </w:r>
      <w:r w:rsidR="00E97073">
        <w:rPr>
          <w:noProof/>
          <w:vertAlign w:val="superscript"/>
        </w:rPr>
        <w:t>[18</w:t>
      </w:r>
      <w:r w:rsidRPr="00EB6EE9">
        <w:rPr>
          <w:noProof/>
          <w:vertAlign w:val="superscript"/>
        </w:rPr>
        <w:t>]</w:t>
      </w:r>
      <w:r>
        <w:t xml:space="preserve"> Both </w:t>
      </w:r>
      <w:r w:rsidRPr="00D6014C">
        <w:rPr>
          <w:szCs w:val="22"/>
        </w:rPr>
        <w:t>L-</w:t>
      </w:r>
      <w:r>
        <w:t xml:space="preserve">AmDH and F-AmDH served as parental enzymes to generate the chimera </w:t>
      </w:r>
      <w:r w:rsidRPr="008263DC">
        <w:t>cFL1-AmDH</w:t>
      </w:r>
      <w:r>
        <w:t>.</w:t>
      </w:r>
      <w:r w:rsidRPr="00FB59FF">
        <w:t xml:space="preserve"> </w:t>
      </w:r>
      <w:r>
        <w:t xml:space="preserve">While maintaining the substrate scope of F-AmDH and the same stereoselectivity, </w:t>
      </w:r>
      <w:r w:rsidRPr="008263DC">
        <w:t>cFL1-AmDH</w:t>
      </w:r>
      <w:r>
        <w:t xml:space="preserve"> was also active toward benzylic ketones such as acetophenone </w:t>
      </w:r>
      <w:r>
        <w:rPr>
          <w:b/>
        </w:rPr>
        <w:t>7</w:t>
      </w:r>
      <w:r>
        <w:t xml:space="preserve"> and 1-tetralone </w:t>
      </w:r>
      <w:r>
        <w:rPr>
          <w:b/>
        </w:rPr>
        <w:t>8</w:t>
      </w:r>
      <w:r>
        <w:t xml:space="preserve"> and displayed an optimum temperature (&gt;70°C) more than 20°C higher than that of F-AmDH.</w:t>
      </w:r>
      <w:r w:rsidR="003E6B17">
        <w:rPr>
          <w:noProof/>
          <w:vertAlign w:val="superscript"/>
        </w:rPr>
        <w:t>[18a, 19</w:t>
      </w:r>
      <w:r w:rsidRPr="00EB6EE9">
        <w:rPr>
          <w:noProof/>
          <w:vertAlign w:val="superscript"/>
        </w:rPr>
        <w:t>]</w:t>
      </w:r>
    </w:p>
    <w:p w14:paraId="19821124" w14:textId="424C6BC5" w:rsidR="005A0CF9" w:rsidRPr="001F38DA" w:rsidRDefault="00226FA8" w:rsidP="005A0CF9">
      <w:pPr>
        <w:spacing w:before="360"/>
        <w:rPr>
          <w:color w:val="FF0000"/>
          <w:sz w:val="18"/>
          <w:szCs w:val="20"/>
          <w:lang w:val="en-GB"/>
        </w:rPr>
      </w:pPr>
      <w:r>
        <w:rPr>
          <w:noProof/>
          <w:color w:val="FF0000"/>
          <w:sz w:val="18"/>
          <w:szCs w:val="20"/>
          <w:lang w:val="en-GB" w:eastAsia="en-GB"/>
        </w:rPr>
        <w:drawing>
          <wp:inline distT="0" distB="0" distL="0" distR="0" wp14:anchorId="08CF3DCF" wp14:editId="74F6ADA6">
            <wp:extent cx="2947670" cy="7172325"/>
            <wp:effectExtent l="0" t="0" r="508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AADHsFULL.png"/>
                    <pic:cNvPicPr/>
                  </pic:nvPicPr>
                  <pic:blipFill rotWithShape="1">
                    <a:blip r:embed="rId18">
                      <a:extLst>
                        <a:ext uri="{28A0092B-C50C-407E-A947-70E740481C1C}">
                          <a14:useLocalDpi xmlns:a14="http://schemas.microsoft.com/office/drawing/2010/main" val="0"/>
                        </a:ext>
                      </a:extLst>
                    </a:blip>
                    <a:srcRect l="2520"/>
                    <a:stretch/>
                  </pic:blipFill>
                  <pic:spPr bwMode="auto">
                    <a:xfrm>
                      <a:off x="0" y="0"/>
                      <a:ext cx="2947670" cy="7172325"/>
                    </a:xfrm>
                    <a:prstGeom prst="rect">
                      <a:avLst/>
                    </a:prstGeom>
                    <a:ln>
                      <a:noFill/>
                    </a:ln>
                    <a:extLst>
                      <a:ext uri="{53640926-AAD7-44D8-BBD7-CCE9431645EC}">
                        <a14:shadowObscured xmlns:a14="http://schemas.microsoft.com/office/drawing/2010/main"/>
                      </a:ext>
                    </a:extLst>
                  </pic:spPr>
                </pic:pic>
              </a:graphicData>
            </a:graphic>
          </wp:inline>
        </w:drawing>
      </w:r>
    </w:p>
    <w:p w14:paraId="5660874E" w14:textId="31F9C40B" w:rsidR="005A0CF9" w:rsidRDefault="005A0CF9" w:rsidP="005A0CF9">
      <w:pPr>
        <w:pStyle w:val="FigureCaption"/>
      </w:pPr>
      <w:r>
        <w:rPr>
          <w:b/>
        </w:rPr>
        <w:t>Figure</w:t>
      </w:r>
      <w:r w:rsidR="00A51455">
        <w:rPr>
          <w:b/>
        </w:rPr>
        <w:t xml:space="preserve"> 3</w:t>
      </w:r>
      <w:r>
        <w:rPr>
          <w:b/>
        </w:rPr>
        <w:t>.</w:t>
      </w:r>
      <w:r w:rsidRPr="00C2552A">
        <w:t xml:space="preserve"> </w:t>
      </w:r>
      <w:r>
        <w:t xml:space="preserve">Summary of mutation work done on AADHs. </w:t>
      </w:r>
      <w:r w:rsidRPr="0077693A">
        <w:rPr>
          <w:b/>
        </w:rPr>
        <w:t>A)</w:t>
      </w:r>
      <w:r>
        <w:t xml:space="preserve"> </w:t>
      </w:r>
      <w:r>
        <w:rPr>
          <w:szCs w:val="20"/>
        </w:rPr>
        <w:t xml:space="preserve">Logo representation of the conservation patterns of all the residues targeted for mutation in the different studies focusing on engineered AADHs. The two residues </w:t>
      </w:r>
      <w:r w:rsidRPr="00212CE5">
        <w:rPr>
          <w:szCs w:val="20"/>
        </w:rPr>
        <w:t>described as essential for the catalytic mechanism</w:t>
      </w:r>
      <w:r>
        <w:rPr>
          <w:szCs w:val="20"/>
        </w:rPr>
        <w:t xml:space="preserve"> (K80 and D115) are also indicated. The </w:t>
      </w:r>
      <w:r w:rsidRPr="00212CE5">
        <w:rPr>
          <w:szCs w:val="20"/>
        </w:rPr>
        <w:t>two neighboring residues before and after the</w:t>
      </w:r>
      <w:r>
        <w:rPr>
          <w:szCs w:val="20"/>
        </w:rPr>
        <w:t xml:space="preserve"> key</w:t>
      </w:r>
      <w:r w:rsidRPr="00212CE5">
        <w:rPr>
          <w:szCs w:val="20"/>
        </w:rPr>
        <w:t xml:space="preserve"> residues</w:t>
      </w:r>
      <w:r>
        <w:rPr>
          <w:szCs w:val="20"/>
        </w:rPr>
        <w:t xml:space="preserve"> are also included to illustrate their environment.</w:t>
      </w:r>
      <w:r w:rsidRPr="00212CE5">
        <w:rPr>
          <w:szCs w:val="20"/>
        </w:rPr>
        <w:t xml:space="preserve"> </w:t>
      </w:r>
      <w:r>
        <w:rPr>
          <w:szCs w:val="20"/>
        </w:rPr>
        <w:t xml:space="preserve">The sequence numbering used is that of LeuDH from </w:t>
      </w:r>
      <w:r w:rsidRPr="0077693A">
        <w:rPr>
          <w:i/>
          <w:szCs w:val="20"/>
        </w:rPr>
        <w:t>Bacillus stearothermophilus</w:t>
      </w:r>
      <w:r>
        <w:rPr>
          <w:szCs w:val="20"/>
        </w:rPr>
        <w:t xml:space="preserve">. The logo of the variants </w:t>
      </w:r>
      <w:r w:rsidRPr="00212CE5">
        <w:rPr>
          <w:szCs w:val="20"/>
        </w:rPr>
        <w:t>produced for each of them</w:t>
      </w:r>
      <w:r w:rsidR="004C7A3D">
        <w:rPr>
          <w:szCs w:val="20"/>
        </w:rPr>
        <w:t xml:space="preserve"> are placed </w:t>
      </w:r>
      <w:r w:rsidR="004C7A3D" w:rsidRPr="00E92DDB">
        <w:rPr>
          <w:szCs w:val="20"/>
        </w:rPr>
        <w:t>above or under</w:t>
      </w:r>
      <w:r w:rsidR="004C7A3D">
        <w:rPr>
          <w:szCs w:val="20"/>
        </w:rPr>
        <w:t xml:space="preserve"> the corresponding wild-type residue and</w:t>
      </w:r>
      <w:r>
        <w:rPr>
          <w:szCs w:val="20"/>
        </w:rPr>
        <w:t xml:space="preserve"> are highlighted in orange. The logo color code is based on hydrophobicity (</w:t>
      </w:r>
      <w:r w:rsidRPr="003D510D">
        <w:rPr>
          <w:szCs w:val="20"/>
        </w:rPr>
        <w:t>low hydrophobicity</w:t>
      </w:r>
      <w:r>
        <w:rPr>
          <w:szCs w:val="20"/>
        </w:rPr>
        <w:t xml:space="preserve">: blue, medium </w:t>
      </w:r>
      <w:r w:rsidRPr="003D510D">
        <w:rPr>
          <w:szCs w:val="20"/>
        </w:rPr>
        <w:t>hydrophobicity</w:t>
      </w:r>
      <w:r>
        <w:rPr>
          <w:szCs w:val="20"/>
        </w:rPr>
        <w:t xml:space="preserve">: green, high </w:t>
      </w:r>
      <w:r w:rsidRPr="003D510D">
        <w:rPr>
          <w:szCs w:val="20"/>
        </w:rPr>
        <w:t>hydrophobicity</w:t>
      </w:r>
      <w:r>
        <w:rPr>
          <w:szCs w:val="20"/>
        </w:rPr>
        <w:t xml:space="preserve">: black). Logo was generated using the webservice WebLogo3. </w:t>
      </w:r>
      <w:r w:rsidRPr="0077693A">
        <w:rPr>
          <w:b/>
          <w:szCs w:val="20"/>
        </w:rPr>
        <w:t>B)</w:t>
      </w:r>
      <w:r>
        <w:rPr>
          <w:szCs w:val="20"/>
        </w:rPr>
        <w:t xml:space="preserve"> List of residues targeted for mutations in wild-type AADHs (black) and the corresponding mutated residues in the different engineered enzymes (orange).</w:t>
      </w:r>
    </w:p>
    <w:p w14:paraId="5AC09BA5" w14:textId="13C10F98" w:rsidR="00561D8F" w:rsidRDefault="00561D8F" w:rsidP="000E69C9">
      <w:pPr>
        <w:pStyle w:val="P1withIndendation"/>
      </w:pPr>
      <w:r>
        <w:t xml:space="preserve">Due to the high </w:t>
      </w:r>
      <w:r w:rsidRPr="00FF47D0">
        <w:rPr>
          <w:i/>
        </w:rPr>
        <w:t>K</w:t>
      </w:r>
      <w:r w:rsidRPr="00FF47D0">
        <w:rPr>
          <w:vertAlign w:val="subscript"/>
        </w:rPr>
        <w:t>m</w:t>
      </w:r>
      <w:r>
        <w:t xml:space="preserve"> for ammonia (around 500</w:t>
      </w:r>
      <w:r w:rsidR="004F5FCF">
        <w:t xml:space="preserve"> </w:t>
      </w:r>
      <w:r>
        <w:t>mM) presumably due to a decrease in the activation of the carbonyl devoid of the carboxylic acid moiety, a high concentration of ammonia buffer (2</w:t>
      </w:r>
      <w:r w:rsidR="004F5FCF">
        <w:t xml:space="preserve"> </w:t>
      </w:r>
      <w:r>
        <w:t>M NH</w:t>
      </w:r>
      <w:r w:rsidRPr="00FF47D0">
        <w:rPr>
          <w:vertAlign w:val="subscript"/>
        </w:rPr>
        <w:t>4</w:t>
      </w:r>
      <w:r>
        <w:t>Cl/NH</w:t>
      </w:r>
      <w:r w:rsidRPr="00FF47D0">
        <w:rPr>
          <w:vertAlign w:val="subscript"/>
        </w:rPr>
        <w:t>4</w:t>
      </w:r>
      <w:r>
        <w:t xml:space="preserve">OH pH 9.6) </w:t>
      </w:r>
      <w:r w:rsidR="00A33B20">
        <w:t>was</w:t>
      </w:r>
      <w:r>
        <w:t xml:space="preserve"> required with all these engineered enzymes to achieve high activities and high conversion rates.</w:t>
      </w:r>
    </w:p>
    <w:p w14:paraId="2A1FE7E1" w14:textId="77777777" w:rsidR="00561D8F" w:rsidRDefault="00561D8F" w:rsidP="000E69C9">
      <w:pPr>
        <w:pStyle w:val="P1withIndendation"/>
        <w:ind w:firstLine="0"/>
      </w:pPr>
    </w:p>
    <w:p w14:paraId="250F5B89" w14:textId="5042D720" w:rsidR="00561D8F" w:rsidRPr="008261A3" w:rsidRDefault="00561D8F" w:rsidP="000E69C9">
      <w:pPr>
        <w:pStyle w:val="P1withIndendation"/>
        <w:ind w:firstLine="0"/>
      </w:pPr>
      <w:r w:rsidRPr="00082243">
        <w:rPr>
          <w:lang w:val="de-DE"/>
        </w:rPr>
        <w:t xml:space="preserve">Other protein engineering experiments have been carried out since this pioneering work, opening the door to ‘reductive aminase’ reactions for biocatalysis. Through these different site-directed mutagenesis studies, the main residues that confer the targeted AmDH activity have been identified, and other residues outside the catalytic pocket have been shown to influence the substrate spectrum and/or stability of the AmDHs through molecular dynamics. These key residues extracted from the catalytic pocket can be visualized in </w:t>
      </w:r>
      <w:r w:rsidRPr="00953A24">
        <w:rPr>
          <w:b/>
          <w:lang w:val="de-DE"/>
        </w:rPr>
        <w:t>Figure 2B</w:t>
      </w:r>
      <w:r w:rsidRPr="00082243">
        <w:rPr>
          <w:lang w:val="de-DE"/>
        </w:rPr>
        <w:t>. A logo representation of the conservation patterns of the key residues</w:t>
      </w:r>
      <w:r>
        <w:rPr>
          <w:lang w:val="de-DE"/>
        </w:rPr>
        <w:t xml:space="preserve"> in the wild-type enzymes</w:t>
      </w:r>
      <w:r w:rsidRPr="00082243">
        <w:rPr>
          <w:lang w:val="de-DE"/>
        </w:rPr>
        <w:t>, and the variants produced for each of them, illustrates the variability in sequences and in mutations studied until now for engineered AADHs (</w:t>
      </w:r>
      <w:r w:rsidRPr="00953A24">
        <w:rPr>
          <w:b/>
          <w:lang w:val="de-DE"/>
        </w:rPr>
        <w:t>Figure 3</w:t>
      </w:r>
      <w:r w:rsidRPr="00082243">
        <w:rPr>
          <w:lang w:val="de-DE"/>
        </w:rPr>
        <w:t xml:space="preserve">). In these logos the residues neighboring the key residues are deliberately included in order to allow readers to visualize their changing environment, an aspect which remains to be explored. If not specified, in </w:t>
      </w:r>
      <w:r w:rsidRPr="00953A24">
        <w:rPr>
          <w:b/>
          <w:lang w:val="de-DE"/>
        </w:rPr>
        <w:t>Figures 2</w:t>
      </w:r>
      <w:r w:rsidRPr="00082243">
        <w:rPr>
          <w:lang w:val="de-DE"/>
        </w:rPr>
        <w:t xml:space="preserve"> and </w:t>
      </w:r>
      <w:r w:rsidRPr="00953A24">
        <w:rPr>
          <w:b/>
          <w:lang w:val="de-DE"/>
        </w:rPr>
        <w:t>3</w:t>
      </w:r>
      <w:r w:rsidRPr="00082243">
        <w:rPr>
          <w:lang w:val="de-DE"/>
        </w:rPr>
        <w:t xml:space="preserve"> and in the following paragraph</w:t>
      </w:r>
      <w:r>
        <w:rPr>
          <w:lang w:val="de-DE"/>
        </w:rPr>
        <w:t>s</w:t>
      </w:r>
      <w:r w:rsidRPr="00082243">
        <w:rPr>
          <w:lang w:val="de-DE"/>
        </w:rPr>
        <w:t xml:space="preserve">, the residue numbering used is that of the LeuDH from </w:t>
      </w:r>
      <w:r w:rsidRPr="00082243">
        <w:rPr>
          <w:i/>
          <w:lang w:val="de-DE"/>
        </w:rPr>
        <w:t xml:space="preserve">Bacillus stearothermophilus. </w:t>
      </w:r>
      <w:r w:rsidRPr="00082243">
        <w:rPr>
          <w:lang w:val="de-DE"/>
        </w:rPr>
        <w:t>The first double mutation K68S/D261L identified after site-saturation mutagenesis</w:t>
      </w:r>
      <w:r w:rsidR="00146C46">
        <w:rPr>
          <w:noProof/>
          <w:vertAlign w:val="superscript"/>
          <w:lang w:val="de-DE"/>
        </w:rPr>
        <w:t>[15</w:t>
      </w:r>
      <w:r w:rsidRPr="0037218C">
        <w:rPr>
          <w:noProof/>
          <w:vertAlign w:val="superscript"/>
          <w:lang w:val="de-DE"/>
        </w:rPr>
        <w:t>]</w:t>
      </w:r>
      <w:r w:rsidRPr="00082243">
        <w:rPr>
          <w:lang w:val="de-DE"/>
        </w:rPr>
        <w:t xml:space="preserve"> to confer activity towards </w:t>
      </w:r>
      <w:r>
        <w:rPr>
          <w:lang w:val="de-DE"/>
        </w:rPr>
        <w:t xml:space="preserve">MIBK </w:t>
      </w:r>
      <w:r>
        <w:rPr>
          <w:b/>
          <w:lang w:val="de-DE"/>
        </w:rPr>
        <w:t>4</w:t>
      </w:r>
      <w:r w:rsidRPr="00082243">
        <w:rPr>
          <w:lang w:val="de-DE"/>
        </w:rPr>
        <w:t xml:space="preserve">, has subsequently been applied to homologous sequences, supplemented or not with other mutations, to give further AmDHs based on AADH scaffolds. With regard to the mutants directly resulting from the transposition of these mutations on other sequences of AADHs, in 2015 Chen </w:t>
      </w:r>
      <w:r w:rsidRPr="00082243">
        <w:rPr>
          <w:i/>
          <w:lang w:val="de-DE"/>
        </w:rPr>
        <w:t>et al.</w:t>
      </w:r>
      <w:r w:rsidRPr="00082243">
        <w:rPr>
          <w:lang w:val="de-DE"/>
        </w:rPr>
        <w:t xml:space="preserve"> used the mutant K77S/N270L of LeuDH from </w:t>
      </w:r>
      <w:r w:rsidRPr="00082243">
        <w:rPr>
          <w:i/>
          <w:lang w:val="de-DE"/>
        </w:rPr>
        <w:t>Exiguobacterium sibiricum</w:t>
      </w:r>
      <w:r w:rsidRPr="00082243">
        <w:rPr>
          <w:lang w:val="de-DE"/>
        </w:rPr>
        <w:t xml:space="preserve"> (Uniprot ID: B1YLR3), </w:t>
      </w:r>
      <w:r w:rsidRPr="002D52FF">
        <w:rPr>
          <w:i/>
          <w:lang w:val="de-DE"/>
        </w:rPr>
        <w:t>Es</w:t>
      </w:r>
      <w:r>
        <w:rPr>
          <w:lang w:val="de-DE"/>
        </w:rPr>
        <w:t>LeuDH</w:t>
      </w:r>
      <w:r w:rsidRPr="00082243">
        <w:rPr>
          <w:lang w:val="de-DE"/>
        </w:rPr>
        <w:t xml:space="preserve">-DM, to convert secondary alcohols to amines </w:t>
      </w:r>
      <w:r>
        <w:rPr>
          <w:b/>
          <w:lang w:val="de-DE"/>
        </w:rPr>
        <w:t>9</w:t>
      </w:r>
      <w:r w:rsidRPr="0056776E">
        <w:rPr>
          <w:b/>
          <w:lang w:val="de-DE"/>
        </w:rPr>
        <w:t>a</w:t>
      </w:r>
      <w:r>
        <w:rPr>
          <w:lang w:val="de-DE"/>
        </w:rPr>
        <w:t>-</w:t>
      </w:r>
      <w:r>
        <w:rPr>
          <w:b/>
          <w:lang w:val="de-DE"/>
        </w:rPr>
        <w:t>11</w:t>
      </w:r>
      <w:r w:rsidRPr="0056776E">
        <w:rPr>
          <w:b/>
          <w:lang w:val="de-DE"/>
        </w:rPr>
        <w:t>a</w:t>
      </w:r>
      <w:r>
        <w:rPr>
          <w:lang w:val="de-DE"/>
        </w:rPr>
        <w:t xml:space="preserve"> </w:t>
      </w:r>
      <w:r w:rsidRPr="00082243">
        <w:rPr>
          <w:lang w:val="de-DE"/>
        </w:rPr>
        <w:t xml:space="preserve">by coupling it with an alcohol DH from </w:t>
      </w:r>
      <w:r w:rsidRPr="00082243">
        <w:rPr>
          <w:i/>
          <w:lang w:val="de-DE"/>
        </w:rPr>
        <w:t>Streptomyces coelicolor</w:t>
      </w:r>
      <w:r w:rsidRPr="00082243">
        <w:rPr>
          <w:lang w:val="de-DE"/>
        </w:rPr>
        <w:t xml:space="preserve"> in a redox-neutral cascade.</w:t>
      </w:r>
      <w:r w:rsidR="003E6B17">
        <w:rPr>
          <w:noProof/>
          <w:vertAlign w:val="superscript"/>
          <w:lang w:val="de-DE"/>
        </w:rPr>
        <w:t>[20</w:t>
      </w:r>
      <w:r w:rsidRPr="00EB6EE9">
        <w:rPr>
          <w:noProof/>
          <w:vertAlign w:val="superscript"/>
          <w:lang w:val="de-DE"/>
        </w:rPr>
        <w:t>]</w:t>
      </w:r>
      <w:r w:rsidRPr="00082243">
        <w:rPr>
          <w:lang w:val="de-DE"/>
        </w:rPr>
        <w:t xml:space="preserve">. Adopting the same strategy with two other LeuDHs from </w:t>
      </w:r>
      <w:r w:rsidRPr="00082243">
        <w:rPr>
          <w:i/>
          <w:iCs/>
          <w:lang w:val="de-DE"/>
        </w:rPr>
        <w:t>Lysinibacillus fusiformis</w:t>
      </w:r>
      <w:r w:rsidRPr="00082243">
        <w:rPr>
          <w:lang w:val="de-DE"/>
        </w:rPr>
        <w:t xml:space="preserve"> (</w:t>
      </w:r>
      <w:r w:rsidRPr="00082243">
        <w:rPr>
          <w:i/>
          <w:lang w:val="de-DE"/>
        </w:rPr>
        <w:t>Lf</w:t>
      </w:r>
      <w:r w:rsidRPr="00082243">
        <w:rPr>
          <w:lang w:val="de-DE"/>
        </w:rPr>
        <w:t xml:space="preserve">LeuAADH, Uniprot ID: D7WWB4) and </w:t>
      </w:r>
      <w:r w:rsidRPr="00082243">
        <w:rPr>
          <w:i/>
          <w:iCs/>
          <w:lang w:val="de-DE"/>
        </w:rPr>
        <w:t xml:space="preserve">Bacillus sphaericus </w:t>
      </w:r>
      <w:r w:rsidRPr="00082243">
        <w:rPr>
          <w:lang w:val="de-DE"/>
        </w:rPr>
        <w:t xml:space="preserve">(Uniprot ID: Q76GS2), they published in 2018 </w:t>
      </w:r>
      <w:r w:rsidRPr="00082243">
        <w:rPr>
          <w:i/>
          <w:lang w:val="de-DE"/>
        </w:rPr>
        <w:t>Lf</w:t>
      </w:r>
      <w:r w:rsidRPr="00082243">
        <w:rPr>
          <w:lang w:val="de-DE"/>
        </w:rPr>
        <w:t xml:space="preserve">AmDH and </w:t>
      </w:r>
      <w:r w:rsidRPr="00082243">
        <w:rPr>
          <w:i/>
          <w:lang w:val="de-DE"/>
        </w:rPr>
        <w:t>Bsp</w:t>
      </w:r>
      <w:r w:rsidRPr="00082243">
        <w:rPr>
          <w:lang w:val="de-DE"/>
        </w:rPr>
        <w:t>AmDH (K68S/N261L variants) that could catalyze the reductive amination of simple aliphatic ketones</w:t>
      </w:r>
      <w:r>
        <w:rPr>
          <w:lang w:val="de-DE"/>
        </w:rPr>
        <w:t xml:space="preserve"> such as </w:t>
      </w:r>
      <w:r w:rsidRPr="000056C8">
        <w:rPr>
          <w:b/>
          <w:lang w:val="de-DE"/>
        </w:rPr>
        <w:t>4</w:t>
      </w:r>
      <w:r>
        <w:rPr>
          <w:lang w:val="de-DE"/>
        </w:rPr>
        <w:t xml:space="preserve">, </w:t>
      </w:r>
      <w:r w:rsidRPr="000056C8">
        <w:rPr>
          <w:b/>
          <w:lang w:val="de-DE"/>
        </w:rPr>
        <w:t>1</w:t>
      </w:r>
      <w:r>
        <w:rPr>
          <w:b/>
          <w:lang w:val="de-DE"/>
        </w:rPr>
        <w:t>2</w:t>
      </w:r>
      <w:r>
        <w:rPr>
          <w:lang w:val="de-DE"/>
        </w:rPr>
        <w:t>-</w:t>
      </w:r>
      <w:r w:rsidRPr="000056C8">
        <w:rPr>
          <w:b/>
          <w:lang w:val="de-DE"/>
        </w:rPr>
        <w:t>1</w:t>
      </w:r>
      <w:r>
        <w:rPr>
          <w:b/>
          <w:lang w:val="de-DE"/>
        </w:rPr>
        <w:t>3</w:t>
      </w:r>
      <w:r w:rsidRPr="00082243">
        <w:rPr>
          <w:lang w:val="de-DE"/>
        </w:rPr>
        <w:t>.</w:t>
      </w:r>
      <w:r w:rsidR="003E6B17">
        <w:rPr>
          <w:noProof/>
          <w:vertAlign w:val="superscript"/>
          <w:lang w:val="de-DE"/>
        </w:rPr>
        <w:t>[21</w:t>
      </w:r>
      <w:r w:rsidRPr="00EB6EE9">
        <w:rPr>
          <w:noProof/>
          <w:vertAlign w:val="superscript"/>
          <w:lang w:val="de-DE"/>
        </w:rPr>
        <w:t>]</w:t>
      </w:r>
      <w:r w:rsidRPr="00082243">
        <w:rPr>
          <w:lang w:val="de-DE"/>
        </w:rPr>
        <w:t xml:space="preserve"> More recently, Liu </w:t>
      </w:r>
      <w:r w:rsidRPr="00082243">
        <w:rPr>
          <w:i/>
          <w:lang w:val="de-DE"/>
        </w:rPr>
        <w:t>et al.</w:t>
      </w:r>
      <w:r w:rsidRPr="00082243">
        <w:rPr>
          <w:lang w:val="de-DE"/>
        </w:rPr>
        <w:t xml:space="preserve"> have applied equivalent double mutations to the selected sequence from </w:t>
      </w:r>
      <w:r w:rsidRPr="00082243">
        <w:rPr>
          <w:i/>
          <w:lang w:val="de-DE"/>
        </w:rPr>
        <w:t>Geobacillus kaustophilus</w:t>
      </w:r>
      <w:r w:rsidRPr="00082243">
        <w:rPr>
          <w:lang w:val="de-DE"/>
        </w:rPr>
        <w:t xml:space="preserve"> (Uniprot ID: Q5KYC</w:t>
      </w:r>
      <w:r w:rsidR="00473F4D">
        <w:rPr>
          <w:lang w:val="de-DE"/>
        </w:rPr>
        <w:t>0</w:t>
      </w:r>
      <w:r w:rsidRPr="00082243">
        <w:rPr>
          <w:lang w:val="de-DE"/>
        </w:rPr>
        <w:t xml:space="preserve">). The PheDH mutant, </w:t>
      </w:r>
      <w:r w:rsidRPr="00082243">
        <w:rPr>
          <w:i/>
          <w:iCs/>
          <w:lang w:val="de-DE"/>
        </w:rPr>
        <w:t>Gk</w:t>
      </w:r>
      <w:r w:rsidRPr="00082243">
        <w:rPr>
          <w:lang w:val="de-DE"/>
        </w:rPr>
        <w:t>AmDH harboring the mutations K78S/N276L, displayed the desired activity toward various ketones including chiral vicinal keto alcohols</w:t>
      </w:r>
      <w:r>
        <w:rPr>
          <w:lang w:val="de-DE"/>
        </w:rPr>
        <w:t xml:space="preserve"> </w:t>
      </w:r>
      <w:r w:rsidRPr="000056C8">
        <w:rPr>
          <w:b/>
          <w:lang w:val="de-DE"/>
        </w:rPr>
        <w:t>14</w:t>
      </w:r>
      <w:r>
        <w:rPr>
          <w:lang w:val="de-DE"/>
        </w:rPr>
        <w:t xml:space="preserve"> and </w:t>
      </w:r>
      <w:r w:rsidRPr="000056C8">
        <w:rPr>
          <w:b/>
          <w:lang w:val="de-DE"/>
        </w:rPr>
        <w:t>15</w:t>
      </w:r>
      <w:r w:rsidRPr="00082243">
        <w:rPr>
          <w:lang w:val="de-DE"/>
        </w:rPr>
        <w:t>, with ammonia</w:t>
      </w:r>
      <w:r>
        <w:rPr>
          <w:lang w:val="de-DE"/>
        </w:rPr>
        <w:t xml:space="preserve"> </w:t>
      </w:r>
      <w:r w:rsidRPr="00FA4403">
        <w:rPr>
          <w:b/>
          <w:lang w:val="de-DE"/>
        </w:rPr>
        <w:t>a</w:t>
      </w:r>
      <w:r w:rsidRPr="00082243">
        <w:rPr>
          <w:lang w:val="de-DE"/>
        </w:rPr>
        <w:t xml:space="preserve"> or primary amines</w:t>
      </w:r>
      <w:r w:rsidR="007A034D">
        <w:rPr>
          <w:lang w:val="de-DE"/>
        </w:rPr>
        <w:t xml:space="preserve"> </w:t>
      </w:r>
      <w:r w:rsidR="001418F9" w:rsidRPr="007A4981">
        <w:rPr>
          <w:lang w:val="de-DE"/>
        </w:rPr>
        <w:t>such as methylamine</w:t>
      </w:r>
      <w:r w:rsidR="001418F9">
        <w:rPr>
          <w:b/>
          <w:lang w:val="de-DE"/>
        </w:rPr>
        <w:t xml:space="preserve"> b</w:t>
      </w:r>
      <w:r w:rsidR="001418F9" w:rsidRPr="007A4981">
        <w:rPr>
          <w:lang w:val="de-DE"/>
        </w:rPr>
        <w:t>, ethylamine</w:t>
      </w:r>
      <w:r w:rsidR="001418F9">
        <w:rPr>
          <w:b/>
          <w:lang w:val="de-DE"/>
        </w:rPr>
        <w:t xml:space="preserve"> c </w:t>
      </w:r>
      <w:r w:rsidR="001418F9" w:rsidRPr="007A4981">
        <w:rPr>
          <w:lang w:val="de-DE"/>
        </w:rPr>
        <w:t>or cyclopropylamine</w:t>
      </w:r>
      <w:r w:rsidR="001418F9">
        <w:rPr>
          <w:b/>
          <w:lang w:val="de-DE"/>
        </w:rPr>
        <w:t xml:space="preserve"> d</w:t>
      </w:r>
      <w:r w:rsidRPr="00082243">
        <w:rPr>
          <w:lang w:val="de-DE"/>
        </w:rPr>
        <w:t>. In a 100</w:t>
      </w:r>
      <w:r w:rsidR="00A33B20">
        <w:rPr>
          <w:lang w:val="de-DE"/>
        </w:rPr>
        <w:t xml:space="preserve"> </w:t>
      </w:r>
      <w:r w:rsidRPr="00082243">
        <w:rPr>
          <w:lang w:val="de-DE"/>
        </w:rPr>
        <w:t>mL scale up reaction, (</w:t>
      </w:r>
      <w:r w:rsidRPr="00082243">
        <w:rPr>
          <w:i/>
          <w:lang w:val="de-DE"/>
        </w:rPr>
        <w:t>R</w:t>
      </w:r>
      <w:r w:rsidRPr="00082243">
        <w:rPr>
          <w:lang w:val="de-DE"/>
        </w:rPr>
        <w:t>)-4-</w:t>
      </w:r>
      <w:r>
        <w:rPr>
          <w:lang w:val="de-DE"/>
        </w:rPr>
        <w:t>m</w:t>
      </w:r>
      <w:r w:rsidRPr="00082243">
        <w:rPr>
          <w:lang w:val="de-DE"/>
        </w:rPr>
        <w:t>ethoxyamphetamine</w:t>
      </w:r>
      <w:r>
        <w:rPr>
          <w:lang w:val="de-DE"/>
        </w:rPr>
        <w:t xml:space="preserve"> </w:t>
      </w:r>
      <w:r>
        <w:rPr>
          <w:b/>
          <w:lang w:val="de-DE"/>
        </w:rPr>
        <w:t>16a</w:t>
      </w:r>
      <w:r w:rsidRPr="00082243">
        <w:rPr>
          <w:lang w:val="de-DE"/>
        </w:rPr>
        <w:t xml:space="preserve"> was isolated with 43% yield based on a &gt;99% conversion from the corresponding ketone </w:t>
      </w:r>
      <w:r w:rsidRPr="00911C75">
        <w:rPr>
          <w:b/>
          <w:lang w:val="de-DE"/>
        </w:rPr>
        <w:t>16</w:t>
      </w:r>
      <w:r>
        <w:rPr>
          <w:lang w:val="de-DE"/>
        </w:rPr>
        <w:t xml:space="preserve"> </w:t>
      </w:r>
      <w:r w:rsidRPr="00082243">
        <w:rPr>
          <w:lang w:val="de-DE"/>
        </w:rPr>
        <w:t>within 6 h, corresponding to a calculated space–time yield (STY) of 130.9 g L</w:t>
      </w:r>
      <w:r w:rsidRPr="00082243">
        <w:rPr>
          <w:vertAlign w:val="superscript"/>
          <w:lang w:val="de-DE"/>
        </w:rPr>
        <w:t>−1</w:t>
      </w:r>
      <w:r w:rsidRPr="00082243">
        <w:rPr>
          <w:lang w:val="de-DE"/>
        </w:rPr>
        <w:t xml:space="preserve"> d</w:t>
      </w:r>
      <w:r w:rsidRPr="00082243">
        <w:rPr>
          <w:vertAlign w:val="superscript"/>
          <w:lang w:val="de-DE"/>
        </w:rPr>
        <w:t xml:space="preserve">−1 </w:t>
      </w:r>
      <w:r w:rsidRPr="00082243">
        <w:rPr>
          <w:lang w:val="de-DE"/>
        </w:rPr>
        <w:t>(</w:t>
      </w:r>
      <w:r w:rsidRPr="00911C75">
        <w:rPr>
          <w:b/>
          <w:lang w:val="de-DE"/>
        </w:rPr>
        <w:t>Scheme 2</w:t>
      </w:r>
      <w:r w:rsidRPr="00082243">
        <w:rPr>
          <w:lang w:val="de-DE"/>
        </w:rPr>
        <w:t>).</w:t>
      </w:r>
      <w:r w:rsidR="003E6B17">
        <w:rPr>
          <w:noProof/>
          <w:vertAlign w:val="superscript"/>
          <w:lang w:val="de-DE"/>
        </w:rPr>
        <w:t>[22</w:t>
      </w:r>
      <w:r w:rsidRPr="00EB6EE9">
        <w:rPr>
          <w:noProof/>
          <w:vertAlign w:val="superscript"/>
          <w:lang w:val="de-DE"/>
        </w:rPr>
        <w:t>]</w:t>
      </w:r>
    </w:p>
    <w:p w14:paraId="59376478" w14:textId="77777777" w:rsidR="00561D8F" w:rsidRDefault="00561D8F" w:rsidP="000E69C9">
      <w:pPr>
        <w:pStyle w:val="P1withoutIndendation"/>
      </w:pPr>
    </w:p>
    <w:p w14:paraId="3D16374C" w14:textId="3B0F3A88" w:rsidR="00561D8F" w:rsidRPr="008261A3" w:rsidRDefault="00561D8F" w:rsidP="000E69C9">
      <w:pPr>
        <w:pStyle w:val="P1withoutIndendation"/>
        <w:rPr>
          <w:lang w:val="en-GB"/>
        </w:rPr>
      </w:pPr>
      <w:r>
        <w:t xml:space="preserve">In addition to these mutations equivalent to K68S/N261L in other AADH sequences, </w:t>
      </w:r>
      <w:r w:rsidRPr="00ED591D">
        <w:t xml:space="preserve">some publications </w:t>
      </w:r>
      <w:r>
        <w:t xml:space="preserve">have </w:t>
      </w:r>
      <w:r w:rsidRPr="00ED591D">
        <w:t>re</w:t>
      </w:r>
      <w:r>
        <w:t>ported</w:t>
      </w:r>
      <w:r w:rsidRPr="00ED591D">
        <w:t xml:space="preserve"> </w:t>
      </w:r>
      <w:r>
        <w:t>an additional</w:t>
      </w:r>
      <w:r w:rsidRPr="00ED591D">
        <w:t xml:space="preserve"> evolution</w:t>
      </w:r>
      <w:r>
        <w:t xml:space="preserve"> work starting from these two key positions. In 2015, Ye </w:t>
      </w:r>
      <w:r w:rsidRPr="00AF75C1">
        <w:rPr>
          <w:i/>
        </w:rPr>
        <w:t>et al.</w:t>
      </w:r>
      <w:r>
        <w:t xml:space="preserve"> used NKK degenerate codons for site-saturation mutagenesis of the K66/N262 variant (respectively K68/D261 in </w:t>
      </w:r>
      <w:r w:rsidRPr="006B7E08">
        <w:rPr>
          <w:i/>
        </w:rPr>
        <w:t>Bacillus stearothermophilus</w:t>
      </w:r>
      <w:r w:rsidRPr="00CB546A">
        <w:t>) of</w:t>
      </w:r>
      <w:r>
        <w:rPr>
          <w:i/>
        </w:rPr>
        <w:t xml:space="preserve"> </w:t>
      </w:r>
      <w:r w:rsidRPr="00CB546A">
        <w:t xml:space="preserve">the </w:t>
      </w:r>
      <w:r>
        <w:t xml:space="preserve">distant homolog </w:t>
      </w:r>
      <w:r w:rsidR="00832FC4">
        <w:t>PheDH</w:t>
      </w:r>
      <w:r w:rsidR="00832FC4" w:rsidRPr="00CB546A">
        <w:t xml:space="preserve"> </w:t>
      </w:r>
      <w:r w:rsidR="002622A4" w:rsidRPr="00E92DDB">
        <w:t>from</w:t>
      </w:r>
      <w:r w:rsidRPr="00E92DDB">
        <w:rPr>
          <w:i/>
        </w:rPr>
        <w:t xml:space="preserve"> Rhodococcus </w:t>
      </w:r>
      <w:r w:rsidRPr="00E92DDB">
        <w:t>sp</w:t>
      </w:r>
      <w:r w:rsidRPr="00CB546A">
        <w:t>. M4</w:t>
      </w:r>
      <w:r>
        <w:t xml:space="preserve"> (Uniprot ID: Q59771), to create an enzyme with a different substrate scope. The best variant, DM_</w:t>
      </w:r>
      <w:r w:rsidR="00A51455">
        <w:t>p</w:t>
      </w:r>
      <w:r w:rsidR="00A33B20">
        <w:t xml:space="preserve">heDH </w:t>
      </w:r>
      <w:r>
        <w:t xml:space="preserve">K66Q/N262L, could already convert aromatic ketones like phenylacetone </w:t>
      </w:r>
      <w:r w:rsidRPr="00911C75">
        <w:rPr>
          <w:b/>
        </w:rPr>
        <w:t>17</w:t>
      </w:r>
      <w:r>
        <w:t xml:space="preserve"> and 4-phenyl-2-butanone </w:t>
      </w:r>
      <w:r w:rsidRPr="00911C75">
        <w:rPr>
          <w:b/>
        </w:rPr>
        <w:t>18</w:t>
      </w:r>
      <w:r>
        <w:t>, but additional mutations were also introduced to further enhance its activity.</w:t>
      </w:r>
      <w:r w:rsidR="003E6B17">
        <w:rPr>
          <w:noProof/>
          <w:vertAlign w:val="superscript"/>
        </w:rPr>
        <w:t>[23</w:t>
      </w:r>
      <w:r w:rsidRPr="00EB6EE9">
        <w:rPr>
          <w:noProof/>
          <w:vertAlign w:val="superscript"/>
        </w:rPr>
        <w:t>]</w:t>
      </w:r>
      <w:r>
        <w:t xml:space="preserve"> Pushpanath </w:t>
      </w:r>
      <w:r w:rsidRPr="00CB5EA6">
        <w:rPr>
          <w:i/>
        </w:rPr>
        <w:t>et al.</w:t>
      </w:r>
      <w:r>
        <w:t xml:space="preserve"> screened a double-saturation (K68X/N266X) mutant library of the PheDH from the thermophile </w:t>
      </w:r>
      <w:r w:rsidRPr="00491F5F">
        <w:rPr>
          <w:i/>
          <w:iCs/>
        </w:rPr>
        <w:t>Caldalkalibacillus thermarum</w:t>
      </w:r>
      <w:r>
        <w:t xml:space="preserve"> (Uniprot ID: </w:t>
      </w:r>
      <w:r w:rsidRPr="00491F5F">
        <w:t>F5L9G2</w:t>
      </w:r>
      <w:r>
        <w:t>) for AmDH activity.</w:t>
      </w:r>
      <w:r w:rsidR="003E6B17">
        <w:rPr>
          <w:noProof/>
          <w:vertAlign w:val="superscript"/>
        </w:rPr>
        <w:t>[24</w:t>
      </w:r>
      <w:r w:rsidRPr="00EB6EE9">
        <w:rPr>
          <w:noProof/>
          <w:vertAlign w:val="superscript"/>
        </w:rPr>
        <w:t>]</w:t>
      </w:r>
      <w:r>
        <w:t xml:space="preserve"> The starting AADH, with a higher native thermostability than other studied AADHs, was used as a scaffold </w:t>
      </w:r>
      <w:r w:rsidR="00832FC4">
        <w:t xml:space="preserve">to engineer </w:t>
      </w:r>
      <w:r>
        <w:t xml:space="preserve">a stable AmDH and displayed a moderate sequence identity with the originally engineered F-AmDH (63%) with only one change in the active site (S303A). The best variant, </w:t>
      </w:r>
      <w:r w:rsidRPr="00545265">
        <w:rPr>
          <w:i/>
          <w:iCs/>
        </w:rPr>
        <w:t>Cal</w:t>
      </w:r>
      <w:r>
        <w:t xml:space="preserve">-AmDH, harbored the same mutations as </w:t>
      </w:r>
      <w:r w:rsidRPr="00D6014C">
        <w:rPr>
          <w:szCs w:val="22"/>
        </w:rPr>
        <w:t>L-</w:t>
      </w:r>
      <w:r>
        <w:t xml:space="preserve">AmDH (K68S/N266L). It displayed good activity against some bulky aromatic ketones such as </w:t>
      </w:r>
      <w:r w:rsidRPr="00F41A2C">
        <w:rPr>
          <w:b/>
        </w:rPr>
        <w:t>19</w:t>
      </w:r>
      <w:r>
        <w:t xml:space="preserve"> and </w:t>
      </w:r>
      <w:r w:rsidRPr="00F41A2C">
        <w:rPr>
          <w:b/>
        </w:rPr>
        <w:t>20</w:t>
      </w:r>
      <w:r>
        <w:t xml:space="preserve"> but also showed a T</w:t>
      </w:r>
      <w:r>
        <w:rPr>
          <w:vertAlign w:val="subscript"/>
        </w:rPr>
        <w:t>m</w:t>
      </w:r>
      <w:r>
        <w:t xml:space="preserve"> of 83.5°C, 27°C higher than the original F-AmDH. A biphasic system with 25% </w:t>
      </w:r>
      <w:r w:rsidRPr="004871C7">
        <w:rPr>
          <w:i/>
        </w:rPr>
        <w:t>iso</w:t>
      </w:r>
      <w:r>
        <w:t>-amyl acetate enabled the conversion of 400 mM of p</w:t>
      </w:r>
      <w:r w:rsidRPr="00F77038">
        <w:t>henoxy-2-propanone</w:t>
      </w:r>
      <w:r>
        <w:t xml:space="preserve"> </w:t>
      </w:r>
      <w:r>
        <w:rPr>
          <w:b/>
        </w:rPr>
        <w:t>6</w:t>
      </w:r>
      <w:r>
        <w:t xml:space="preserve"> with a STY of 60 g L</w:t>
      </w:r>
      <w:r w:rsidRPr="00576A3B">
        <w:rPr>
          <w:vertAlign w:val="superscript"/>
        </w:rPr>
        <w:t>−1</w:t>
      </w:r>
      <w:r>
        <w:t xml:space="preserve"> d</w:t>
      </w:r>
      <w:r w:rsidRPr="00576A3B">
        <w:rPr>
          <w:vertAlign w:val="superscript"/>
        </w:rPr>
        <w:t>−1</w:t>
      </w:r>
      <w:r>
        <w:t xml:space="preserve"> (</w:t>
      </w:r>
      <w:r w:rsidRPr="0077693A">
        <w:rPr>
          <w:b/>
        </w:rPr>
        <w:t>Scheme 2</w:t>
      </w:r>
      <w:r>
        <w:t xml:space="preserve">). In 2019, Chen </w:t>
      </w:r>
      <w:r w:rsidRPr="0076299D">
        <w:rPr>
          <w:i/>
        </w:rPr>
        <w:t>et al.</w:t>
      </w:r>
      <w:r>
        <w:t xml:space="preserve"> investigated beneficial mutations on these two positions in </w:t>
      </w:r>
      <w:r w:rsidRPr="00270DAE">
        <w:rPr>
          <w:i/>
        </w:rPr>
        <w:t>Lf</w:t>
      </w:r>
      <w:r>
        <w:t xml:space="preserve">LeuAADH using on this occasion saturation mutagenesis. In addition to </w:t>
      </w:r>
      <w:r w:rsidRPr="00270DAE">
        <w:rPr>
          <w:i/>
        </w:rPr>
        <w:t>Lf</w:t>
      </w:r>
      <w:r>
        <w:t>AmDH (K68S/N261L), they obtained an equivalent variant (K68C/N261L) and an additional interesting one, AmDH-M</w:t>
      </w:r>
      <w:r>
        <w:rPr>
          <w:vertAlign w:val="subscript"/>
        </w:rPr>
        <w:t>0</w:t>
      </w:r>
      <w:r>
        <w:t xml:space="preserve"> (K68</w:t>
      </w:r>
      <w:r w:rsidRPr="00545265">
        <w:t>T</w:t>
      </w:r>
      <w:r>
        <w:t xml:space="preserve">/N261L), which showed a preference for aliphatic </w:t>
      </w:r>
      <w:r w:rsidR="005C7DF1">
        <w:t xml:space="preserve">α-hydroxy ketones substrates </w:t>
      </w:r>
      <w:r>
        <w:t xml:space="preserve">such as </w:t>
      </w:r>
      <w:r w:rsidRPr="00F41A2C">
        <w:rPr>
          <w:b/>
        </w:rPr>
        <w:t>21</w:t>
      </w:r>
      <w:r>
        <w:t>-</w:t>
      </w:r>
      <w:r w:rsidRPr="00F41A2C">
        <w:rPr>
          <w:b/>
        </w:rPr>
        <w:t>23</w:t>
      </w:r>
      <w:r>
        <w:t xml:space="preserve"> over methyl ketones.</w:t>
      </w:r>
      <w:r w:rsidR="003E6B17">
        <w:rPr>
          <w:noProof/>
          <w:vertAlign w:val="superscript"/>
        </w:rPr>
        <w:t>[25</w:t>
      </w:r>
      <w:r w:rsidRPr="00EB6EE9">
        <w:rPr>
          <w:noProof/>
          <w:vertAlign w:val="superscript"/>
        </w:rPr>
        <w:t>]</w:t>
      </w:r>
      <w:r>
        <w:t xml:space="preserve"> Such residues enable the same type of interactions with the α-hydroxyl group as the ones present in the wild type make with the α-carboxylate group. The change in the orientation of the hydroxyl group in a threonine compared to a serine may have helped to create </w:t>
      </w:r>
      <w:r w:rsidR="00832FC4">
        <w:t>favorable</w:t>
      </w:r>
      <w:r>
        <w:t xml:space="preserve"> interactions with the hydroxyl group of the ketone substrate, thereby improving recognition of these substrates. However, further studies would be required to validate this hypothesis not mentioned by the authors.</w:t>
      </w:r>
      <w:r w:rsidRPr="00F36549">
        <w:rPr>
          <w:lang w:val="en-GB"/>
        </w:rPr>
        <w:t xml:space="preserve"> </w:t>
      </w:r>
    </w:p>
    <w:p w14:paraId="18542113" w14:textId="77777777" w:rsidR="00561D8F" w:rsidRDefault="00561D8F" w:rsidP="000E69C9">
      <w:pPr>
        <w:pStyle w:val="P1withIndendation"/>
        <w:ind w:firstLine="0"/>
      </w:pPr>
    </w:p>
    <w:p w14:paraId="6E858DCC" w14:textId="77777777" w:rsidR="00561D8F" w:rsidRPr="008261A3" w:rsidRDefault="00561D8F" w:rsidP="000E69C9">
      <w:pPr>
        <w:pStyle w:val="P1withIndendation"/>
        <w:ind w:firstLine="0"/>
      </w:pPr>
      <w:r>
        <w:t>Even though a first round of mutations on these two key hotspots enabled the creation of AmDH activity, in most cases, the newly created AmDHs were only efficient toward simple or short ketone substrates. For this reason, many teams have focused their efforts on enhancing the substrate scope of these engineered enzymes by mutating other positions inside or outside the catalytic pocket while always retaining the two key mutations on K68 and N261.</w:t>
      </w:r>
    </w:p>
    <w:p w14:paraId="149DB848" w14:textId="746F3790" w:rsidR="00561D8F" w:rsidRPr="001F38DA" w:rsidRDefault="004E3061" w:rsidP="000E69C9">
      <w:pPr>
        <w:spacing w:before="360"/>
        <w:rPr>
          <w:color w:val="FF0000"/>
          <w:sz w:val="18"/>
          <w:szCs w:val="20"/>
          <w:lang w:val="en-GB"/>
        </w:rPr>
      </w:pPr>
      <w:r>
        <w:rPr>
          <w:noProof/>
        </w:rPr>
        <w:object w:dxaOrig="8263" w:dyaOrig="4486" w14:anchorId="44983D2A">
          <v:shape id="_x0000_i1026" type="#_x0000_t75" alt="" style="width:237.75pt;height:129pt;mso-width-percent:0;mso-height-percent:0;mso-width-percent:0;mso-height-percent:0" o:ole="">
            <v:imagedata r:id="rId19" o:title=""/>
          </v:shape>
          <o:OLEObject Type="Embed" ProgID="ChemDraw.Document.6.0" ShapeID="_x0000_i1026" DrawAspect="Content" ObjectID="_1661677386" r:id="rId20"/>
        </w:object>
      </w:r>
    </w:p>
    <w:p w14:paraId="01B36EAA" w14:textId="1358E660" w:rsidR="00561D8F" w:rsidRDefault="00561D8F" w:rsidP="000E69C9">
      <w:pPr>
        <w:pStyle w:val="SchemeCaption"/>
      </w:pPr>
      <w:r>
        <w:rPr>
          <w:b/>
        </w:rPr>
        <w:t>Scheme 2.</w:t>
      </w:r>
      <w:r>
        <w:t xml:space="preserve"> </w:t>
      </w:r>
      <w:r w:rsidRPr="0081117E">
        <w:rPr>
          <w:szCs w:val="20"/>
        </w:rPr>
        <w:t xml:space="preserve">Some reductive amination reactions </w:t>
      </w:r>
      <w:r w:rsidR="00A61E06">
        <w:rPr>
          <w:szCs w:val="20"/>
        </w:rPr>
        <w:t>catalyzed</w:t>
      </w:r>
      <w:r w:rsidRPr="0081117E">
        <w:rPr>
          <w:szCs w:val="20"/>
        </w:rPr>
        <w:t xml:space="preserve"> by engineered AADHs with mutations </w:t>
      </w:r>
      <w:r>
        <w:rPr>
          <w:szCs w:val="20"/>
        </w:rPr>
        <w:t>on positions K68/N261</w:t>
      </w:r>
      <w:r w:rsidRPr="0081117E">
        <w:rPr>
          <w:szCs w:val="20"/>
        </w:rPr>
        <w:t xml:space="preserve"> </w:t>
      </w:r>
      <w:r>
        <w:rPr>
          <w:szCs w:val="20"/>
        </w:rPr>
        <w:t xml:space="preserve">(numbering of </w:t>
      </w:r>
      <w:r>
        <w:t xml:space="preserve">LeuDH from </w:t>
      </w:r>
      <w:r w:rsidRPr="006B7E08">
        <w:rPr>
          <w:i/>
        </w:rPr>
        <w:t>Bacillus stearothermophilus</w:t>
      </w:r>
      <w:r>
        <w:rPr>
          <w:i/>
        </w:rPr>
        <w:t>)</w:t>
      </w:r>
      <w:r>
        <w:rPr>
          <w:szCs w:val="20"/>
        </w:rPr>
        <w:t>. LWC</w:t>
      </w:r>
      <w:r w:rsidR="00E817DC">
        <w:rPr>
          <w:szCs w:val="20"/>
        </w:rPr>
        <w:t xml:space="preserve"> </w:t>
      </w:r>
      <w:r>
        <w:rPr>
          <w:szCs w:val="20"/>
        </w:rPr>
        <w:t>=</w:t>
      </w:r>
      <w:r w:rsidR="00E817DC">
        <w:rPr>
          <w:szCs w:val="20"/>
        </w:rPr>
        <w:t xml:space="preserve"> </w:t>
      </w:r>
      <w:r>
        <w:rPr>
          <w:szCs w:val="20"/>
        </w:rPr>
        <w:t>lyophilized whole cells. RS = recycling system.</w:t>
      </w:r>
    </w:p>
    <w:p w14:paraId="5BA90E54" w14:textId="6B4D91B0" w:rsidR="00561D8F" w:rsidRPr="00A51BE9" w:rsidRDefault="00561D8F" w:rsidP="000E69C9">
      <w:pPr>
        <w:pStyle w:val="P1withoutIndendation"/>
        <w:ind w:firstLine="227"/>
      </w:pPr>
      <w:r>
        <w:t xml:space="preserve">First, Bommarius </w:t>
      </w:r>
      <w:r w:rsidRPr="00AF75C1">
        <w:rPr>
          <w:i/>
        </w:rPr>
        <w:t>et al</w:t>
      </w:r>
      <w:r>
        <w:t>., thanks to a considerable effort in protein engineering, found the best reductive amination activity toward several ketones with the quadruple mutant K68S/E114V/N261L/V291C using the LeuDH enzyme as a scaffold.</w:t>
      </w:r>
      <w:r w:rsidR="00146C46">
        <w:rPr>
          <w:noProof/>
          <w:vertAlign w:val="superscript"/>
        </w:rPr>
        <w:t>[15</w:t>
      </w:r>
      <w:r w:rsidRPr="0037218C">
        <w:rPr>
          <w:noProof/>
          <w:vertAlign w:val="superscript"/>
        </w:rPr>
        <w:t>]</w:t>
      </w:r>
      <w:r>
        <w:t xml:space="preserve"> The added E114V and V291C mutations allowed them to directly enlarge the pocket size and to illustrate that position V291 was important for substrate binding in LeuDH.</w:t>
      </w:r>
      <w:r w:rsidR="003E6B17">
        <w:rPr>
          <w:noProof/>
          <w:vertAlign w:val="superscript"/>
        </w:rPr>
        <w:t>[26</w:t>
      </w:r>
      <w:r w:rsidRPr="00EB6EE9">
        <w:rPr>
          <w:noProof/>
          <w:vertAlign w:val="superscript"/>
        </w:rPr>
        <w:t>]</w:t>
      </w:r>
      <w:r>
        <w:t xml:space="preserve"> The mutation of the asparagine N262, located next to the mutated N261L, into leucine in </w:t>
      </w:r>
      <w:r w:rsidRPr="008263DC">
        <w:t>cFL1-AmDH</w:t>
      </w:r>
      <w:r>
        <w:t xml:space="preserve"> (cFL2</w:t>
      </w:r>
      <w:r w:rsidRPr="008263DC">
        <w:t>-AmDH</w:t>
      </w:r>
      <w:r>
        <w:t xml:space="preserve"> </w:t>
      </w:r>
      <w:r w:rsidRPr="006353C5">
        <w:t>N270L/N271L</w:t>
      </w:r>
      <w:r>
        <w:t xml:space="preserve">) increased the </w:t>
      </w:r>
      <w:r w:rsidRPr="00303BC2">
        <w:t xml:space="preserve">apparent </w:t>
      </w:r>
      <w:r w:rsidRPr="004C5CCE">
        <w:rPr>
          <w:i/>
        </w:rPr>
        <w:t>k</w:t>
      </w:r>
      <w:r w:rsidRPr="004C5CCE">
        <w:rPr>
          <w:vertAlign w:val="subscript"/>
        </w:rPr>
        <w:t xml:space="preserve">cat </w:t>
      </w:r>
      <w:r w:rsidRPr="00303BC2">
        <w:t xml:space="preserve">value for </w:t>
      </w:r>
      <w:r w:rsidR="00E95346">
        <w:rPr>
          <w:i/>
        </w:rPr>
        <w:t>p</w:t>
      </w:r>
      <w:r>
        <w:t>-fluorophenyl</w:t>
      </w:r>
      <w:r w:rsidRPr="00114608">
        <w:t>acetone</w:t>
      </w:r>
      <w:r>
        <w:t xml:space="preserve"> </w:t>
      </w:r>
      <w:r>
        <w:rPr>
          <w:b/>
        </w:rPr>
        <w:t>5</w:t>
      </w:r>
      <w:r>
        <w:t>.</w:t>
      </w:r>
      <w:r w:rsidR="003E6B17">
        <w:rPr>
          <w:noProof/>
          <w:vertAlign w:val="superscript"/>
        </w:rPr>
        <w:t>[19</w:t>
      </w:r>
      <w:r w:rsidRPr="00EB6EE9">
        <w:rPr>
          <w:noProof/>
          <w:vertAlign w:val="superscript"/>
        </w:rPr>
        <w:t>]</w:t>
      </w:r>
      <w:r>
        <w:t xml:space="preserve"> Despite this, the mutation could not be always transposed due to a substrate dependence of its effect. This result highlights the importance of considering the amino acids that are adjacent to the key residues when planning an engineering strategy.</w:t>
      </w:r>
    </w:p>
    <w:p w14:paraId="7F978A8D" w14:textId="77515D9C" w:rsidR="00561D8F" w:rsidRDefault="00561D8F" w:rsidP="000E69C9">
      <w:pPr>
        <w:pStyle w:val="P1withoutIndendation"/>
        <w:ind w:firstLine="227"/>
      </w:pPr>
      <w:r>
        <w:t>Starting from their engineered D</w:t>
      </w:r>
      <w:r w:rsidR="000E69C9">
        <w:t>M_p</w:t>
      </w:r>
      <w:r>
        <w:t xml:space="preserve">heDH, Li </w:t>
      </w:r>
      <w:r w:rsidRPr="00AF75C1">
        <w:rPr>
          <w:i/>
        </w:rPr>
        <w:t>et al.</w:t>
      </w:r>
      <w:r>
        <w:t xml:space="preserve"> targeted the residue S149, located at the bottom of the active site pocket.</w:t>
      </w:r>
      <w:r w:rsidR="003E6B17">
        <w:rPr>
          <w:noProof/>
          <w:vertAlign w:val="superscript"/>
        </w:rPr>
        <w:t>[23</w:t>
      </w:r>
      <w:r w:rsidRPr="00EB6EE9">
        <w:rPr>
          <w:noProof/>
          <w:vertAlign w:val="superscript"/>
        </w:rPr>
        <w:t>]</w:t>
      </w:r>
      <w:r>
        <w:t xml:space="preserve"> The mutation S149G, which reduced the side chain length of the amino acid by ~2Å, enabled the enlargement of the binding pocket entrance and improved the ability of the enzyme, TM_</w:t>
      </w:r>
      <w:r w:rsidR="000E69C9">
        <w:t>p</w:t>
      </w:r>
      <w:r>
        <w:t xml:space="preserve">heDH, to convert phenylacetone </w:t>
      </w:r>
      <w:r w:rsidRPr="00295665">
        <w:rPr>
          <w:b/>
        </w:rPr>
        <w:t>17</w:t>
      </w:r>
      <w:r>
        <w:t xml:space="preserve"> into (</w:t>
      </w:r>
      <w:r w:rsidRPr="001D0115">
        <w:rPr>
          <w:i/>
          <w:iCs/>
        </w:rPr>
        <w:t>R</w:t>
      </w:r>
      <w:r>
        <w:t xml:space="preserve">)-amphetamine </w:t>
      </w:r>
      <w:r w:rsidRPr="00295665">
        <w:rPr>
          <w:b/>
        </w:rPr>
        <w:t>17</w:t>
      </w:r>
      <w:r>
        <w:rPr>
          <w:b/>
        </w:rPr>
        <w:t>a</w:t>
      </w:r>
      <w:r>
        <w:t xml:space="preserve"> and 4-phenyl-2-butanone </w:t>
      </w:r>
      <w:r w:rsidRPr="00295665">
        <w:rPr>
          <w:b/>
        </w:rPr>
        <w:t>18</w:t>
      </w:r>
      <w:r>
        <w:t xml:space="preserve"> into (</w:t>
      </w:r>
      <w:r w:rsidRPr="00F35499">
        <w:rPr>
          <w:i/>
        </w:rPr>
        <w:t>R</w:t>
      </w:r>
      <w:r>
        <w:t xml:space="preserve">)-1-methyl-3-phenylpropylamine </w:t>
      </w:r>
      <w:r w:rsidRPr="00295665">
        <w:rPr>
          <w:b/>
        </w:rPr>
        <w:t>18</w:t>
      </w:r>
      <w:r>
        <w:rPr>
          <w:b/>
        </w:rPr>
        <w:t>a</w:t>
      </w:r>
      <w:r w:rsidR="000B62EA">
        <w:t xml:space="preserve"> with 99</w:t>
      </w:r>
      <w:r>
        <w:t xml:space="preserve">% </w:t>
      </w:r>
      <w:r w:rsidR="00453241">
        <w:rPr>
          <w:i/>
        </w:rPr>
        <w:t>e</w:t>
      </w:r>
      <w:r w:rsidRPr="00AF75C1">
        <w:rPr>
          <w:i/>
        </w:rPr>
        <w:t>e</w:t>
      </w:r>
      <w:r>
        <w:t>.</w:t>
      </w:r>
      <w:r w:rsidR="003E6B17">
        <w:rPr>
          <w:noProof/>
          <w:vertAlign w:val="superscript"/>
        </w:rPr>
        <w:t>[18a, 23</w:t>
      </w:r>
      <w:r w:rsidRPr="00EB6EE9">
        <w:rPr>
          <w:noProof/>
          <w:vertAlign w:val="superscript"/>
        </w:rPr>
        <w:t>]</w:t>
      </w:r>
    </w:p>
    <w:p w14:paraId="73AB327D" w14:textId="637CD7ED" w:rsidR="00561D8F" w:rsidRPr="00E92DDB" w:rsidRDefault="00561D8F" w:rsidP="000E69C9">
      <w:pPr>
        <w:pStyle w:val="P1withoutIndendation"/>
        <w:ind w:firstLine="227"/>
      </w:pPr>
      <w:r>
        <w:t xml:space="preserve">A second round of mutations also appeared first in the work of Chen </w:t>
      </w:r>
      <w:r w:rsidRPr="00AF75C1">
        <w:rPr>
          <w:i/>
        </w:rPr>
        <w:t>et al</w:t>
      </w:r>
      <w:r>
        <w:t>., who focused on two interesting residues, A113 and T134 (</w:t>
      </w:r>
      <w:r w:rsidRPr="00270DAE">
        <w:rPr>
          <w:i/>
        </w:rPr>
        <w:t>Lf</w:t>
      </w:r>
      <w:r>
        <w:t>AmDH numbering) to enlarge the cavity on the opposite side of the catalytic and substrate-binding residues.</w:t>
      </w:r>
      <w:r w:rsidR="003E6B17">
        <w:rPr>
          <w:noProof/>
          <w:vertAlign w:val="superscript"/>
        </w:rPr>
        <w:t>[21</w:t>
      </w:r>
      <w:r w:rsidRPr="00EB6EE9">
        <w:rPr>
          <w:noProof/>
          <w:vertAlign w:val="superscript"/>
        </w:rPr>
        <w:t>]</w:t>
      </w:r>
      <w:r>
        <w:t xml:space="preserve"> The single mutation A113G, which reduced the length of </w:t>
      </w:r>
      <w:r w:rsidRPr="00E92DDB">
        <w:t xml:space="preserve">the side-chain that was pointing into the cavity by ~1.5Å, was applied to their previously engineered </w:t>
      </w:r>
      <w:r w:rsidRPr="00E92DDB">
        <w:rPr>
          <w:i/>
          <w:iCs/>
        </w:rPr>
        <w:t>Es</w:t>
      </w:r>
      <w:r w:rsidR="003B7286" w:rsidRPr="00E92DDB">
        <w:t>LeuDH</w:t>
      </w:r>
      <w:r w:rsidRPr="00E92DDB">
        <w:t>-DM</w:t>
      </w:r>
      <w:r w:rsidR="003B7286" w:rsidRPr="00E92DDB">
        <w:t xml:space="preserve"> (</w:t>
      </w:r>
      <w:r w:rsidR="003B7286" w:rsidRPr="00E92DDB">
        <w:rPr>
          <w:i/>
        </w:rPr>
        <w:t>Es</w:t>
      </w:r>
      <w:r w:rsidR="003B7286" w:rsidRPr="00E92DDB">
        <w:t>AmDH)</w:t>
      </w:r>
      <w:r w:rsidRPr="00E92DDB">
        <w:t xml:space="preserve">, </w:t>
      </w:r>
      <w:r w:rsidRPr="00E92DDB">
        <w:rPr>
          <w:i/>
          <w:iCs/>
        </w:rPr>
        <w:t>Lf</w:t>
      </w:r>
      <w:r w:rsidRPr="00E92DDB">
        <w:t xml:space="preserve">AmDH and </w:t>
      </w:r>
      <w:r w:rsidRPr="00E92DDB">
        <w:rPr>
          <w:i/>
          <w:iCs/>
        </w:rPr>
        <w:t>Bsp</w:t>
      </w:r>
      <w:r w:rsidRPr="00E92DDB">
        <w:t xml:space="preserve">AmDH enzymes.  This allowed them to enhance the activity toward medium-sized aliphatic ketones such as </w:t>
      </w:r>
      <w:r w:rsidR="005A3212" w:rsidRPr="00E92DDB">
        <w:t>2-hexanone</w:t>
      </w:r>
      <w:r w:rsidRPr="00E92DDB">
        <w:t xml:space="preserve"> </w:t>
      </w:r>
      <w:r w:rsidRPr="00E92DDB">
        <w:rPr>
          <w:b/>
        </w:rPr>
        <w:t>13</w:t>
      </w:r>
      <w:r w:rsidRPr="00E92DDB">
        <w:t xml:space="preserve"> but also to accommodate longer ones like 2-heptanone </w:t>
      </w:r>
      <w:r w:rsidRPr="00E92DDB">
        <w:rPr>
          <w:b/>
        </w:rPr>
        <w:t>24</w:t>
      </w:r>
      <w:r w:rsidRPr="00E92DDB">
        <w:t xml:space="preserve"> or bulkier ones like 5-methyl</w:t>
      </w:r>
      <w:r w:rsidR="00587E70" w:rsidRPr="00E92DDB">
        <w:t>-</w:t>
      </w:r>
      <w:r w:rsidR="005A3212" w:rsidRPr="00E92DDB">
        <w:t>2-hexanone</w:t>
      </w:r>
      <w:r w:rsidRPr="00E92DDB">
        <w:rPr>
          <w:b/>
        </w:rPr>
        <w:t xml:space="preserve"> 25</w:t>
      </w:r>
      <w:r w:rsidRPr="00E92DDB">
        <w:t>. The neighboring residues of A113 (T112, E114, T134, V294) were then mutated into alanine, and glycine for the positive mutants. The double mutations A113G/T134A and A113G/T134G led to a 43 Å</w:t>
      </w:r>
      <w:r w:rsidRPr="00E92DDB">
        <w:rPr>
          <w:vertAlign w:val="superscript"/>
        </w:rPr>
        <w:t>3</w:t>
      </w:r>
      <w:r w:rsidRPr="00E92DDB">
        <w:t xml:space="preserve"> increased pocket volume suitable for reductive amination of 2-heptanone </w:t>
      </w:r>
      <w:r w:rsidRPr="00E92DDB">
        <w:rPr>
          <w:b/>
        </w:rPr>
        <w:t>24</w:t>
      </w:r>
      <w:r w:rsidRPr="00E92DDB">
        <w:t xml:space="preserve">, confirmed by a nearly total conversion in less than 12 h for these two mutants </w:t>
      </w:r>
      <w:r w:rsidRPr="00E92DDB">
        <w:rPr>
          <w:i/>
        </w:rPr>
        <w:t>Lf</w:t>
      </w:r>
      <w:r w:rsidRPr="00E92DDB">
        <w:t xml:space="preserve">AmDH-M2 and </w:t>
      </w:r>
      <w:r w:rsidRPr="00E92DDB">
        <w:rPr>
          <w:i/>
        </w:rPr>
        <w:t>Lf</w:t>
      </w:r>
      <w:r w:rsidRPr="00E92DDB">
        <w:t>AmDH-M3 respectively. The same strategy was adopted for AmDH-M</w:t>
      </w:r>
      <w:r w:rsidRPr="00E92DDB">
        <w:rPr>
          <w:vertAlign w:val="subscript"/>
        </w:rPr>
        <w:t xml:space="preserve">0 </w:t>
      </w:r>
      <w:r w:rsidRPr="00E92DDB">
        <w:t>(K68T/N261L) and the quadruple variant AmDH-M</w:t>
      </w:r>
      <w:r w:rsidRPr="00E92DDB">
        <w:rPr>
          <w:vertAlign w:val="subscript"/>
        </w:rPr>
        <w:t>3</w:t>
      </w:r>
      <w:r w:rsidRPr="00E92DDB">
        <w:t xml:space="preserve"> (K68T/N261L/A113G/T134G) displayed the highest activity toward longer α-hydroxy ketones up to 1-hydroxy-2-heptanone </w:t>
      </w:r>
      <w:r w:rsidRPr="00E92DDB">
        <w:rPr>
          <w:b/>
        </w:rPr>
        <w:t>26</w:t>
      </w:r>
      <w:r w:rsidRPr="00E92DDB">
        <w:t>.</w:t>
      </w:r>
      <w:r w:rsidR="003E6B17" w:rsidRPr="00E92DDB">
        <w:rPr>
          <w:noProof/>
          <w:vertAlign w:val="superscript"/>
        </w:rPr>
        <w:t>[25</w:t>
      </w:r>
      <w:r w:rsidRPr="00E92DDB">
        <w:rPr>
          <w:noProof/>
          <w:vertAlign w:val="superscript"/>
        </w:rPr>
        <w:t>]</w:t>
      </w:r>
      <w:r w:rsidRPr="00E92DDB">
        <w:t xml:space="preserve"> These enzymes were applied </w:t>
      </w:r>
      <w:r w:rsidR="00065167" w:rsidRPr="00E92DDB">
        <w:t>to</w:t>
      </w:r>
      <w:r w:rsidRPr="00E92DDB">
        <w:t xml:space="preserve"> the synthesis of (</w:t>
      </w:r>
      <w:r w:rsidRPr="00E92DDB">
        <w:rPr>
          <w:i/>
        </w:rPr>
        <w:t>S</w:t>
      </w:r>
      <w:r w:rsidRPr="00E92DDB">
        <w:t>)-2-amino</w:t>
      </w:r>
      <w:r w:rsidR="00587E70" w:rsidRPr="00E92DDB">
        <w:t>-1-</w:t>
      </w:r>
      <w:r w:rsidRPr="00E92DDB">
        <w:t xml:space="preserve">hexanol </w:t>
      </w:r>
      <w:r w:rsidRPr="00E92DDB">
        <w:rPr>
          <w:b/>
        </w:rPr>
        <w:t>27a</w:t>
      </w:r>
      <w:r w:rsidRPr="00E92DDB">
        <w:t xml:space="preserve"> at 100 mM in 56% yield and &gt;99% </w:t>
      </w:r>
      <w:r w:rsidRPr="00E92DDB">
        <w:rPr>
          <w:i/>
        </w:rPr>
        <w:t xml:space="preserve">ee </w:t>
      </w:r>
      <w:r w:rsidRPr="00E92DDB">
        <w:t>and the precursor of ethambutol</w:t>
      </w:r>
      <w:r w:rsidRPr="00E92DDB">
        <w:rPr>
          <w:i/>
        </w:rPr>
        <w:t xml:space="preserve">, </w:t>
      </w:r>
      <w:r w:rsidRPr="00E92DDB">
        <w:t>(</w:t>
      </w:r>
      <w:r w:rsidRPr="00E92DDB">
        <w:rPr>
          <w:i/>
        </w:rPr>
        <w:t>S</w:t>
      </w:r>
      <w:r w:rsidRPr="00E92DDB">
        <w:t>)-2-amino</w:t>
      </w:r>
      <w:r w:rsidR="00587E70" w:rsidRPr="00E92DDB">
        <w:t>-1-</w:t>
      </w:r>
      <w:r w:rsidRPr="00E92DDB">
        <w:t xml:space="preserve">butanol </w:t>
      </w:r>
      <w:r w:rsidRPr="00E92DDB">
        <w:rPr>
          <w:b/>
        </w:rPr>
        <w:t>28a</w:t>
      </w:r>
      <w:r w:rsidRPr="00E92DDB">
        <w:t xml:space="preserve"> in 84% yield and &gt;99% </w:t>
      </w:r>
      <w:r w:rsidRPr="00E92DDB">
        <w:rPr>
          <w:i/>
        </w:rPr>
        <w:t xml:space="preserve">ee </w:t>
      </w:r>
      <w:r w:rsidRPr="00E92DDB">
        <w:t>(</w:t>
      </w:r>
      <w:r w:rsidRPr="00E92DDB">
        <w:rPr>
          <w:b/>
        </w:rPr>
        <w:t>Scheme 3</w:t>
      </w:r>
      <w:r w:rsidRPr="00E92DDB">
        <w:t xml:space="preserve">). It is worth noting that for all the enzymes engineered by Chen </w:t>
      </w:r>
      <w:r w:rsidRPr="00E92DDB">
        <w:rPr>
          <w:i/>
        </w:rPr>
        <w:t>et al</w:t>
      </w:r>
      <w:r w:rsidRPr="00E92DDB">
        <w:t xml:space="preserve">., this second round of mutations led to a decreased activity toward the shortest substrates like 2-pentanone </w:t>
      </w:r>
      <w:r w:rsidRPr="00E92DDB">
        <w:rPr>
          <w:b/>
        </w:rPr>
        <w:t>12</w:t>
      </w:r>
      <w:r w:rsidRPr="00E92DDB">
        <w:t xml:space="preserve"> or 1-hydroxy-2-pentanone </w:t>
      </w:r>
      <w:r w:rsidRPr="00E92DDB">
        <w:rPr>
          <w:b/>
        </w:rPr>
        <w:t>22</w:t>
      </w:r>
      <w:r w:rsidRPr="00E92DDB">
        <w:t xml:space="preserve">. </w:t>
      </w:r>
    </w:p>
    <w:p w14:paraId="09BCDB93" w14:textId="700542C6" w:rsidR="00561D8F" w:rsidRPr="00E92DDB" w:rsidRDefault="00561D8F" w:rsidP="000E69C9">
      <w:pPr>
        <w:pStyle w:val="P1withoutIndendation"/>
        <w:ind w:firstLine="227"/>
      </w:pPr>
      <w:r w:rsidRPr="00E92DDB">
        <w:t xml:space="preserve">More recently, Bommarius and co-workers conducted separate additional sets of mutations starting from the original </w:t>
      </w:r>
      <w:r w:rsidRPr="00E92DDB">
        <w:rPr>
          <w:szCs w:val="22"/>
        </w:rPr>
        <w:t>L-</w:t>
      </w:r>
      <w:r w:rsidRPr="00E92DDB">
        <w:t>AmDH (K68S/E114V/N261L/V291C) published in 2012.</w:t>
      </w:r>
      <w:r w:rsidR="003E6B17" w:rsidRPr="00E92DDB">
        <w:rPr>
          <w:noProof/>
          <w:vertAlign w:val="superscript"/>
        </w:rPr>
        <w:t>[27</w:t>
      </w:r>
      <w:r w:rsidRPr="00E92DDB">
        <w:rPr>
          <w:noProof/>
          <w:vertAlign w:val="superscript"/>
        </w:rPr>
        <w:t>]</w:t>
      </w:r>
      <w:r w:rsidRPr="00E92DDB">
        <w:t xml:space="preserve"> The first set was selected to increase activity and stability and focused on two residues further away from the active site, D32 and F101, which had been previously shown to be promising candidates.</w:t>
      </w:r>
      <w:r w:rsidR="003E6B17" w:rsidRPr="00E92DDB">
        <w:rPr>
          <w:noProof/>
          <w:vertAlign w:val="superscript"/>
        </w:rPr>
        <w:t>[28</w:t>
      </w:r>
      <w:r w:rsidRPr="00E92DDB">
        <w:rPr>
          <w:noProof/>
          <w:vertAlign w:val="superscript"/>
        </w:rPr>
        <w:t>]</w:t>
      </w:r>
      <w:r w:rsidRPr="00E92DDB">
        <w:t xml:space="preserve"> </w:t>
      </w:r>
      <w:r w:rsidRPr="00E92DDB">
        <w:rPr>
          <w:szCs w:val="22"/>
        </w:rPr>
        <w:t>L-</w:t>
      </w:r>
      <w:r w:rsidRPr="00E92DDB">
        <w:t xml:space="preserve">AmDH-TV (D32A/F101S/C290V) displayed an average of 2.5-fold higher activity toward aliphatic ketones </w:t>
      </w:r>
      <w:r w:rsidRPr="00E92DDB">
        <w:rPr>
          <w:b/>
        </w:rPr>
        <w:t>12</w:t>
      </w:r>
      <w:r w:rsidRPr="00E92DDB">
        <w:t>-</w:t>
      </w:r>
      <w:r w:rsidRPr="00E92DDB">
        <w:rPr>
          <w:b/>
        </w:rPr>
        <w:t>13</w:t>
      </w:r>
      <w:r w:rsidRPr="00E92DDB">
        <w:t xml:space="preserve"> and</w:t>
      </w:r>
      <w:r w:rsidRPr="00E92DDB">
        <w:rPr>
          <w:b/>
        </w:rPr>
        <w:t xml:space="preserve"> </w:t>
      </w:r>
      <w:r w:rsidRPr="00E92DDB">
        <w:t>2-butanone</w:t>
      </w:r>
      <w:r w:rsidRPr="00E92DDB">
        <w:rPr>
          <w:b/>
        </w:rPr>
        <w:t xml:space="preserve"> 29</w:t>
      </w:r>
      <w:r w:rsidRPr="00E92DDB">
        <w:t xml:space="preserve"> that were already accepted by </w:t>
      </w:r>
      <w:r w:rsidRPr="00E92DDB">
        <w:rPr>
          <w:szCs w:val="22"/>
        </w:rPr>
        <w:t>L-</w:t>
      </w:r>
      <w:r w:rsidRPr="00E92DDB">
        <w:t xml:space="preserve">AmDH. To expand the substrate scope and accommodate larger substrates, a third round of mutations was performed on </w:t>
      </w:r>
      <w:r w:rsidRPr="00E92DDB">
        <w:rPr>
          <w:szCs w:val="22"/>
        </w:rPr>
        <w:t>L-</w:t>
      </w:r>
      <w:r w:rsidRPr="00E92DDB">
        <w:t>AmDH-TV considering the two previously described mutations A112G and T133A/G</w:t>
      </w:r>
      <w:r w:rsidR="003E6B17" w:rsidRPr="00E92DDB">
        <w:rPr>
          <w:noProof/>
          <w:vertAlign w:val="superscript"/>
        </w:rPr>
        <w:t>[21</w:t>
      </w:r>
      <w:r w:rsidRPr="00E92DDB">
        <w:rPr>
          <w:noProof/>
          <w:vertAlign w:val="superscript"/>
        </w:rPr>
        <w:t>]</w:t>
      </w:r>
      <w:r w:rsidRPr="00E92DDB">
        <w:t xml:space="preserve"> (</w:t>
      </w:r>
      <w:r w:rsidRPr="00E92DDB">
        <w:rPr>
          <w:szCs w:val="22"/>
        </w:rPr>
        <w:t>L-</w:t>
      </w:r>
      <w:r w:rsidRPr="00E92DDB">
        <w:t>AmDH</w:t>
      </w:r>
      <w:r w:rsidR="0022245D" w:rsidRPr="00E92DDB">
        <w:t>-TV</w:t>
      </w:r>
      <w:r w:rsidRPr="00E92DDB">
        <w:t xml:space="preserve"> numbering) but also L39A/G, all positioned with their side chains pointing in toward the substrate binding site.</w:t>
      </w:r>
      <w:r w:rsidR="003E6B17" w:rsidRPr="00E92DDB">
        <w:rPr>
          <w:noProof/>
          <w:vertAlign w:val="superscript"/>
        </w:rPr>
        <w:t>[26</w:t>
      </w:r>
      <w:r w:rsidRPr="00E92DDB">
        <w:rPr>
          <w:noProof/>
          <w:vertAlign w:val="superscript"/>
        </w:rPr>
        <w:t>]</w:t>
      </w:r>
      <w:r w:rsidRPr="00E92DDB">
        <w:t xml:space="preserve"> The single mutant L39A enabled the doubling of the activity toward </w:t>
      </w:r>
      <w:r w:rsidR="005A3212" w:rsidRPr="00E92DDB">
        <w:t>2-hexanone</w:t>
      </w:r>
      <w:r w:rsidRPr="00E92DDB">
        <w:t xml:space="preserve"> </w:t>
      </w:r>
      <w:r w:rsidRPr="00E92DDB">
        <w:rPr>
          <w:b/>
        </w:rPr>
        <w:t xml:space="preserve">13 </w:t>
      </w:r>
      <w:r w:rsidRPr="00E92DDB">
        <w:t xml:space="preserve">and moderate activity toward 2-octanone </w:t>
      </w:r>
      <w:r w:rsidRPr="00E92DDB">
        <w:rPr>
          <w:b/>
        </w:rPr>
        <w:t>30</w:t>
      </w:r>
      <w:r w:rsidRPr="00E92DDB">
        <w:t xml:space="preserve">.  The mutant </w:t>
      </w:r>
      <w:r w:rsidR="00464F66" w:rsidRPr="00E92DDB">
        <w:t xml:space="preserve">devoid of any </w:t>
      </w:r>
      <w:r w:rsidRPr="00E92DDB">
        <w:t xml:space="preserve">side-chain at this position, L39G, permitted the accommodation of ketones as large as 2-nonanone </w:t>
      </w:r>
      <w:r w:rsidRPr="00E92DDB">
        <w:rPr>
          <w:b/>
        </w:rPr>
        <w:t>31</w:t>
      </w:r>
      <w:r w:rsidRPr="00E92DDB">
        <w:t xml:space="preserve"> and 2-decanone </w:t>
      </w:r>
      <w:r w:rsidRPr="00E92DDB">
        <w:rPr>
          <w:b/>
        </w:rPr>
        <w:t>32</w:t>
      </w:r>
      <w:r w:rsidRPr="00E92DDB">
        <w:t xml:space="preserve">, with a lower activity for shorter substrates such as 2-butanone </w:t>
      </w:r>
      <w:r w:rsidRPr="00E92DDB">
        <w:rPr>
          <w:b/>
        </w:rPr>
        <w:t>29</w:t>
      </w:r>
      <w:r w:rsidRPr="00E92DDB">
        <w:t xml:space="preserve"> and 2-pentanone </w:t>
      </w:r>
      <w:r w:rsidRPr="00E92DDB">
        <w:rPr>
          <w:b/>
        </w:rPr>
        <w:t>12</w:t>
      </w:r>
      <w:r w:rsidRPr="00E92DDB">
        <w:t xml:space="preserve">. The benefit for synthesis of these mutations was exemplified by the conversion of 56% and 52% of 2-heptanone </w:t>
      </w:r>
      <w:r w:rsidRPr="00E92DDB">
        <w:rPr>
          <w:b/>
        </w:rPr>
        <w:t>24</w:t>
      </w:r>
      <w:r w:rsidRPr="00E92DDB">
        <w:t xml:space="preserve"> and 2-nonanone </w:t>
      </w:r>
      <w:r w:rsidRPr="00E92DDB">
        <w:rPr>
          <w:b/>
        </w:rPr>
        <w:t>31</w:t>
      </w:r>
      <w:r w:rsidRPr="00E92DDB">
        <w:t xml:space="preserve"> respectively, with </w:t>
      </w:r>
      <w:r w:rsidR="003D6831" w:rsidRPr="00E92DDB">
        <w:rPr>
          <w:szCs w:val="22"/>
        </w:rPr>
        <w:t>L-</w:t>
      </w:r>
      <w:r w:rsidR="003D6831" w:rsidRPr="00E92DDB">
        <w:t>AmDH-</w:t>
      </w:r>
      <w:r w:rsidRPr="00E92DDB">
        <w:t xml:space="preserve">TV/L39A in 24h with </w:t>
      </w:r>
      <w:r w:rsidR="00065167" w:rsidRPr="00E92DDB">
        <w:t xml:space="preserve">a </w:t>
      </w:r>
      <w:r w:rsidRPr="00E92DDB">
        <w:t>formate/cbFDH NADH recycling system (</w:t>
      </w:r>
      <w:r w:rsidRPr="00E92DDB">
        <w:rPr>
          <w:b/>
        </w:rPr>
        <w:t>Scheme 3</w:t>
      </w:r>
      <w:r w:rsidRPr="00E92DDB">
        <w:t xml:space="preserve">). The addition of A112G and T133G further enhanced the activity toward long aliphatic ketones even with methyl substituents such as </w:t>
      </w:r>
      <w:r w:rsidRPr="00E92DDB">
        <w:rPr>
          <w:b/>
        </w:rPr>
        <w:t>33</w:t>
      </w:r>
      <w:r w:rsidRPr="00E92DDB">
        <w:t>-</w:t>
      </w:r>
      <w:r w:rsidRPr="00E92DDB">
        <w:rPr>
          <w:b/>
        </w:rPr>
        <w:t>34</w:t>
      </w:r>
      <w:r w:rsidRPr="00E92DDB">
        <w:t>.</w:t>
      </w:r>
    </w:p>
    <w:p w14:paraId="2D405B1D" w14:textId="6650D887" w:rsidR="00561D8F" w:rsidRPr="008261A3" w:rsidRDefault="00561D8F" w:rsidP="001B58D7">
      <w:pPr>
        <w:pStyle w:val="P1withoutIndendation"/>
        <w:ind w:firstLine="227"/>
      </w:pPr>
      <w:r w:rsidRPr="00E92DDB">
        <w:t xml:space="preserve">Recently, Jiang </w:t>
      </w:r>
      <w:r w:rsidRPr="00E92DDB">
        <w:rPr>
          <w:i/>
        </w:rPr>
        <w:t>et al</w:t>
      </w:r>
      <w:r w:rsidRPr="00E92DDB">
        <w:t xml:space="preserve">. succeeded in changing the substrate specificity of PheDH from </w:t>
      </w:r>
      <w:r w:rsidRPr="00E92DDB">
        <w:rPr>
          <w:i/>
          <w:iCs/>
        </w:rPr>
        <w:t xml:space="preserve">Bacillus halodurans </w:t>
      </w:r>
      <w:r w:rsidRPr="00E92DDB">
        <w:t xml:space="preserve">(Uniprot ID: Q9KG94) without the classical double mutation K77S/N275L (PheDH </w:t>
      </w:r>
      <w:r w:rsidRPr="00E92DDB">
        <w:rPr>
          <w:i/>
          <w:iCs/>
        </w:rPr>
        <w:t>Bacillus halodurans</w:t>
      </w:r>
      <w:r w:rsidRPr="00E92DDB">
        <w:t xml:space="preserve"> numbering) but targeting, as in cFL2-AmDH, the adjacent residue N276 and another, E113, located further away from the cavity.</w:t>
      </w:r>
      <w:r w:rsidR="003E6B17" w:rsidRPr="00E92DDB">
        <w:rPr>
          <w:noProof/>
          <w:vertAlign w:val="superscript"/>
        </w:rPr>
        <w:t>[29</w:t>
      </w:r>
      <w:r w:rsidRPr="00E92DDB">
        <w:rPr>
          <w:noProof/>
          <w:vertAlign w:val="superscript"/>
        </w:rPr>
        <w:t>]</w:t>
      </w:r>
      <w:r w:rsidRPr="00E92DDB">
        <w:t xml:space="preserve">  With a combination of single and double mutations at these two positions, the PheDH variants, named </w:t>
      </w:r>
      <w:r w:rsidRPr="00E92DDB">
        <w:rPr>
          <w:i/>
        </w:rPr>
        <w:t>Bh</w:t>
      </w:r>
      <w:r w:rsidRPr="00E92DDB">
        <w:t>AmDHs</w:t>
      </w:r>
      <w:r w:rsidR="00587E70" w:rsidRPr="00E92DDB">
        <w:t xml:space="preserve"> in this review</w:t>
      </w:r>
      <w:r w:rsidRPr="00E92DDB">
        <w:t xml:space="preserve">, not only displayed an improved activity for the natural substrates, </w:t>
      </w:r>
      <w:r w:rsidRPr="00E92DDB">
        <w:rPr>
          <w:sz w:val="18"/>
          <w:szCs w:val="18"/>
        </w:rPr>
        <w:t>L</w:t>
      </w:r>
      <w:r w:rsidRPr="00E92DDB">
        <w:t xml:space="preserve">-phenylalanine </w:t>
      </w:r>
      <w:r w:rsidRPr="00E92DDB">
        <w:rPr>
          <w:b/>
        </w:rPr>
        <w:t>2a</w:t>
      </w:r>
      <w:r w:rsidRPr="00E92DDB">
        <w:t xml:space="preserve"> (oxidative deamination) and phenylpyruvic acid </w:t>
      </w:r>
      <w:r w:rsidRPr="00E92DDB">
        <w:rPr>
          <w:b/>
        </w:rPr>
        <w:t>2</w:t>
      </w:r>
      <w:r w:rsidRPr="00E92DDB">
        <w:t xml:space="preserve"> (reductive amination), but also toward some aliphatic ketones without a carboxylic group in the α-position, which were not substrates of the wild type enzyme. For example, the double variant PheDH-E113D/N276L displayed a good activity (1.31 U mg</w:t>
      </w:r>
      <w:r w:rsidRPr="00E92DDB">
        <w:rPr>
          <w:vertAlign w:val="superscript"/>
        </w:rPr>
        <w:t>-1</w:t>
      </w:r>
      <w:r w:rsidRPr="00E92DDB">
        <w:t xml:space="preserve">) toward 5-methyl-2,3-hexanedione </w:t>
      </w:r>
      <w:r w:rsidRPr="00E92DDB">
        <w:rPr>
          <w:b/>
        </w:rPr>
        <w:t>35</w:t>
      </w:r>
      <w:r w:rsidRPr="00E92DDB">
        <w:t xml:space="preserve"> and PheDH-N276L toward 3-methylcyclohexanone </w:t>
      </w:r>
      <w:r w:rsidRPr="00E92DDB">
        <w:rPr>
          <w:b/>
        </w:rPr>
        <w:t>11</w:t>
      </w:r>
      <w:r w:rsidRPr="00E92DDB">
        <w:t xml:space="preserve"> (1.67 U</w:t>
      </w:r>
      <w:r w:rsidR="00587E70" w:rsidRPr="00E92DDB">
        <w:t xml:space="preserve"> </w:t>
      </w:r>
      <w:r w:rsidRPr="00E92DDB">
        <w:t>mg</w:t>
      </w:r>
      <w:r w:rsidRPr="00E92DDB">
        <w:rPr>
          <w:vertAlign w:val="superscript"/>
        </w:rPr>
        <w:t>-1</w:t>
      </w:r>
      <w:r w:rsidR="006D19C0" w:rsidRPr="00E92DDB">
        <w:t>)</w:t>
      </w:r>
      <w:r w:rsidR="00065167" w:rsidRPr="00E92DDB">
        <w:t xml:space="preserve">. </w:t>
      </w:r>
      <w:r w:rsidRPr="00E92DDB">
        <w:t>These results highlight the effect of mutations surrounding identified key residues or those positioned even further away.</w:t>
      </w:r>
    </w:p>
    <w:p w14:paraId="18F430AB" w14:textId="00D34ECD" w:rsidR="00561D8F" w:rsidRPr="001F38DA" w:rsidRDefault="004E3061" w:rsidP="000E69C9">
      <w:pPr>
        <w:spacing w:before="360"/>
        <w:rPr>
          <w:color w:val="FF0000"/>
          <w:sz w:val="18"/>
          <w:szCs w:val="20"/>
          <w:lang w:val="en-GB"/>
        </w:rPr>
      </w:pPr>
      <w:r w:rsidRPr="004E3061">
        <w:rPr>
          <w:noProof/>
          <w:color w:val="FF0000"/>
          <w:sz w:val="18"/>
          <w:szCs w:val="20"/>
          <w:lang w:val="en-GB"/>
        </w:rPr>
        <w:object w:dxaOrig="7190" w:dyaOrig="4278" w14:anchorId="117F3615">
          <v:shape id="_x0000_i1027" type="#_x0000_t75" alt="" style="width:243.75pt;height:144.75pt;mso-width-percent:0;mso-height-percent:0;mso-width-percent:0;mso-height-percent:0" o:ole="">
            <v:imagedata r:id="rId21" o:title=""/>
          </v:shape>
          <o:OLEObject Type="Embed" ProgID="ChemDraw.Document.6.0" ShapeID="_x0000_i1027" DrawAspect="Content" ObjectID="_1661677387" r:id="rId22"/>
        </w:object>
      </w:r>
    </w:p>
    <w:p w14:paraId="6AFBCE62" w14:textId="5E5C7A96" w:rsidR="00561D8F" w:rsidRPr="00AC5040" w:rsidRDefault="00561D8F" w:rsidP="000E69C9">
      <w:pPr>
        <w:pStyle w:val="SchemeCaption"/>
        <w:rPr>
          <w:szCs w:val="20"/>
        </w:rPr>
      </w:pPr>
      <w:r>
        <w:rPr>
          <w:b/>
        </w:rPr>
        <w:t>Scheme 3.</w:t>
      </w:r>
      <w:r>
        <w:t xml:space="preserve"> </w:t>
      </w:r>
      <w:r w:rsidRPr="0081117E">
        <w:rPr>
          <w:szCs w:val="20"/>
        </w:rPr>
        <w:t xml:space="preserve">Some reductive amination reactions </w:t>
      </w:r>
      <w:r w:rsidR="00A61E06">
        <w:rPr>
          <w:szCs w:val="20"/>
        </w:rPr>
        <w:t>cataly</w:t>
      </w:r>
      <w:r w:rsidR="003D6831">
        <w:rPr>
          <w:szCs w:val="20"/>
        </w:rPr>
        <w:t>z</w:t>
      </w:r>
      <w:r w:rsidR="00A61E06">
        <w:rPr>
          <w:szCs w:val="20"/>
        </w:rPr>
        <w:t>ed</w:t>
      </w:r>
      <w:r w:rsidRPr="0081117E">
        <w:rPr>
          <w:szCs w:val="20"/>
        </w:rPr>
        <w:t xml:space="preserve"> by engineered AADHs with mutations inside and outside the catalytic pocket. CFE</w:t>
      </w:r>
      <w:r w:rsidR="00E817DC">
        <w:rPr>
          <w:szCs w:val="20"/>
        </w:rPr>
        <w:t xml:space="preserve"> </w:t>
      </w:r>
      <w:r w:rsidRPr="0081117E">
        <w:rPr>
          <w:szCs w:val="20"/>
        </w:rPr>
        <w:t>=</w:t>
      </w:r>
      <w:r w:rsidR="00E817DC">
        <w:rPr>
          <w:szCs w:val="20"/>
        </w:rPr>
        <w:t xml:space="preserve"> </w:t>
      </w:r>
      <w:r w:rsidRPr="0081117E">
        <w:rPr>
          <w:szCs w:val="20"/>
        </w:rPr>
        <w:t>crude cell-free extract.</w:t>
      </w:r>
      <w:r>
        <w:rPr>
          <w:szCs w:val="20"/>
        </w:rPr>
        <w:t xml:space="preserve"> RS = recycling system.</w:t>
      </w:r>
    </w:p>
    <w:p w14:paraId="592983A1" w14:textId="033FA43C" w:rsidR="00561D8F" w:rsidRDefault="00561D8F" w:rsidP="000E69C9">
      <w:pPr>
        <w:pStyle w:val="P1withIndendation"/>
        <w:ind w:firstLine="0"/>
      </w:pPr>
      <w:r>
        <w:t>In contrast to the findings of most previous studies, these engineered AmDHs may also accept amine donors other than ammonia, as shown by Mutti and co-workers with TM-</w:t>
      </w:r>
      <w:r w:rsidR="000E69C9">
        <w:t>p</w:t>
      </w:r>
      <w:r>
        <w:t>heDH and cFL1-AmDH.</w:t>
      </w:r>
      <w:r w:rsidR="003E6B17">
        <w:rPr>
          <w:noProof/>
          <w:vertAlign w:val="superscript"/>
        </w:rPr>
        <w:t>[30</w:t>
      </w:r>
      <w:r w:rsidRPr="00EB6EE9">
        <w:rPr>
          <w:noProof/>
          <w:vertAlign w:val="superscript"/>
        </w:rPr>
        <w:t>]</w:t>
      </w:r>
      <w:r>
        <w:t xml:space="preserve"> In addition to an understanding of the molecular determinants necessary for the reaction to proceed with high turnover, they provided an unprecedented mechanistic explanation of how the enantioenriched, but not enantiopure, secondary amines were obtained together with the unexpected additional primary amines.</w:t>
      </w:r>
    </w:p>
    <w:p w14:paraId="28ABA569" w14:textId="77777777" w:rsidR="00561D8F" w:rsidRDefault="00561D8F" w:rsidP="000E69C9">
      <w:pPr>
        <w:pStyle w:val="P1withIndendation"/>
      </w:pPr>
    </w:p>
    <w:p w14:paraId="5BF57287" w14:textId="77313944" w:rsidR="00561D8F" w:rsidRDefault="00561D8F" w:rsidP="000E69C9">
      <w:pPr>
        <w:pStyle w:val="P1withoutIndendation"/>
      </w:pPr>
      <w:r>
        <w:rPr>
          <w:noProof/>
          <w:lang w:eastAsia="fr-FR"/>
        </w:rPr>
        <w:t>Unlike</w:t>
      </w:r>
      <w:r>
        <w:t xml:space="preserve"> previously described enzymes engineered from very similar scaffolds and following an identical strategy, Tseliou </w:t>
      </w:r>
      <w:r w:rsidRPr="00B814D6">
        <w:rPr>
          <w:i/>
        </w:rPr>
        <w:t>et al</w:t>
      </w:r>
      <w:r w:rsidRPr="009A5AC4">
        <w:rPr>
          <w:i/>
        </w:rPr>
        <w:t>.</w:t>
      </w:r>
      <w:r>
        <w:t xml:space="preserve"> focused on a different type of AADH that apparently does not catalyze an asymmetric transformation, the ε-deaminating </w:t>
      </w:r>
      <w:r w:rsidRPr="00A51455">
        <w:rPr>
          <w:sz w:val="18"/>
          <w:szCs w:val="18"/>
        </w:rPr>
        <w:t>L-</w:t>
      </w:r>
      <w:r>
        <w:t xml:space="preserve">lysine dehydrogenase from </w:t>
      </w:r>
      <w:r w:rsidRPr="00892B51">
        <w:rPr>
          <w:i/>
          <w:iCs/>
        </w:rPr>
        <w:t>Geobacillus stearothermophilus</w:t>
      </w:r>
      <w:r w:rsidR="003D6831" w:rsidRPr="002D0211">
        <w:rPr>
          <w:iCs/>
        </w:rPr>
        <w:t>, LysEDH</w:t>
      </w:r>
      <w:r>
        <w:t xml:space="preserve"> (Uniprot ID: </w:t>
      </w:r>
      <w:r w:rsidRPr="00892B51">
        <w:t>Q9AJC6</w:t>
      </w:r>
      <w:r>
        <w:t>).</w:t>
      </w:r>
      <w:r w:rsidR="003E6B17">
        <w:rPr>
          <w:noProof/>
          <w:vertAlign w:val="superscript"/>
        </w:rPr>
        <w:t>[31</w:t>
      </w:r>
      <w:r w:rsidRPr="00EB6EE9">
        <w:rPr>
          <w:noProof/>
          <w:vertAlign w:val="superscript"/>
        </w:rPr>
        <w:t>]</w:t>
      </w:r>
    </w:p>
    <w:p w14:paraId="72378686" w14:textId="6ED973AD" w:rsidR="00561D8F" w:rsidRPr="001F38DA" w:rsidRDefault="004E3061" w:rsidP="000E69C9">
      <w:pPr>
        <w:spacing w:before="360"/>
        <w:rPr>
          <w:color w:val="FF0000"/>
          <w:sz w:val="18"/>
          <w:szCs w:val="20"/>
          <w:lang w:val="en-GB"/>
        </w:rPr>
      </w:pPr>
      <w:r w:rsidRPr="004E3061">
        <w:rPr>
          <w:noProof/>
          <w:color w:val="FF0000"/>
          <w:sz w:val="18"/>
          <w:szCs w:val="20"/>
          <w:lang w:val="en-GB"/>
        </w:rPr>
        <w:object w:dxaOrig="6796" w:dyaOrig="2563" w14:anchorId="584A85F0">
          <v:shape id="_x0000_i1028" type="#_x0000_t75" alt="" style="width:239.25pt;height:91.5pt;mso-width-percent:0;mso-height-percent:0;mso-width-percent:0;mso-height-percent:0" o:ole="">
            <v:imagedata r:id="rId23" o:title=""/>
          </v:shape>
          <o:OLEObject Type="Embed" ProgID="ChemDraw.Document.6.0" ShapeID="_x0000_i1028" DrawAspect="Content" ObjectID="_1661677388" r:id="rId24"/>
        </w:object>
      </w:r>
    </w:p>
    <w:p w14:paraId="5730A895" w14:textId="3DB63153" w:rsidR="00561D8F" w:rsidRDefault="00561D8F" w:rsidP="000E69C9">
      <w:pPr>
        <w:pStyle w:val="SchemeCaption"/>
      </w:pPr>
      <w:r>
        <w:rPr>
          <w:b/>
        </w:rPr>
        <w:t>Scheme 4.</w:t>
      </w:r>
      <w:r>
        <w:t xml:space="preserve"> </w:t>
      </w:r>
      <w:r w:rsidRPr="00B47E9D">
        <w:rPr>
          <w:szCs w:val="20"/>
        </w:rPr>
        <w:t xml:space="preserve">General reaction </w:t>
      </w:r>
      <w:r w:rsidR="00A61E06">
        <w:rPr>
          <w:szCs w:val="20"/>
        </w:rPr>
        <w:t>cataly</w:t>
      </w:r>
      <w:r w:rsidR="003D6831">
        <w:rPr>
          <w:szCs w:val="20"/>
        </w:rPr>
        <w:t>z</w:t>
      </w:r>
      <w:r w:rsidR="00A61E06">
        <w:rPr>
          <w:szCs w:val="20"/>
        </w:rPr>
        <w:t>ed</w:t>
      </w:r>
      <w:r w:rsidRPr="00B47E9D">
        <w:rPr>
          <w:szCs w:val="20"/>
        </w:rPr>
        <w:t xml:space="preserve"> by LysEDH and the engineered LysEDH.</w:t>
      </w:r>
    </w:p>
    <w:p w14:paraId="00C0372C" w14:textId="1E3614A2" w:rsidR="00561D8F" w:rsidRDefault="00561D8F" w:rsidP="000E69C9">
      <w:pPr>
        <w:pStyle w:val="P1withoutIndendation"/>
        <w:ind w:firstLine="227"/>
        <w:rPr>
          <w:szCs w:val="22"/>
        </w:rPr>
      </w:pPr>
      <w:r>
        <w:t xml:space="preserve">In this case, the reaction occurs at the terminal amino group of </w:t>
      </w:r>
      <w:r w:rsidRPr="00A51455">
        <w:rPr>
          <w:sz w:val="18"/>
          <w:szCs w:val="18"/>
        </w:rPr>
        <w:t>L-</w:t>
      </w:r>
      <w:r>
        <w:t xml:space="preserve">lysine </w:t>
      </w:r>
      <w:r w:rsidRPr="004D774F">
        <w:rPr>
          <w:b/>
        </w:rPr>
        <w:t>36</w:t>
      </w:r>
      <w:r>
        <w:rPr>
          <w:b/>
        </w:rPr>
        <w:t>a</w:t>
      </w:r>
      <w:r>
        <w:t xml:space="preserve"> instead of the</w:t>
      </w:r>
      <w:r w:rsidRPr="001817C3">
        <w:t xml:space="preserve"> α</w:t>
      </w:r>
      <w:r>
        <w:t>-</w:t>
      </w:r>
      <w:r w:rsidRPr="001817C3">
        <w:t>amine moiety</w:t>
      </w:r>
      <w:r>
        <w:t xml:space="preserve">, which was shown to be non-essential for the activity in this wild type enzyme. </w:t>
      </w:r>
      <w:r w:rsidRPr="003A13A6">
        <w:rPr>
          <w:szCs w:val="22"/>
        </w:rPr>
        <w:t xml:space="preserve">The objectives </w:t>
      </w:r>
      <w:r>
        <w:rPr>
          <w:szCs w:val="22"/>
        </w:rPr>
        <w:t xml:space="preserve">of this study </w:t>
      </w:r>
      <w:r w:rsidRPr="003A13A6">
        <w:rPr>
          <w:szCs w:val="22"/>
        </w:rPr>
        <w:t xml:space="preserve">were to remove the </w:t>
      </w:r>
      <w:r>
        <w:rPr>
          <w:szCs w:val="22"/>
        </w:rPr>
        <w:t>essential</w:t>
      </w:r>
      <w:r w:rsidRPr="003A13A6">
        <w:rPr>
          <w:szCs w:val="22"/>
        </w:rPr>
        <w:t xml:space="preserve"> nature of the α-carboxyl group</w:t>
      </w:r>
      <w:r>
        <w:rPr>
          <w:szCs w:val="22"/>
        </w:rPr>
        <w:t xml:space="preserve"> for recognition by</w:t>
      </w:r>
      <w:r w:rsidRPr="003A13A6">
        <w:rPr>
          <w:szCs w:val="22"/>
        </w:rPr>
        <w:t xml:space="preserve"> the wild type enzyme, which prevents any activity toward substrates devoid of this function</w:t>
      </w:r>
      <w:r>
        <w:rPr>
          <w:szCs w:val="22"/>
        </w:rPr>
        <w:t>,</w:t>
      </w:r>
      <w:r w:rsidRPr="003A13A6">
        <w:rPr>
          <w:szCs w:val="22"/>
        </w:rPr>
        <w:t xml:space="preserve"> </w:t>
      </w:r>
      <w:r>
        <w:rPr>
          <w:szCs w:val="22"/>
        </w:rPr>
        <w:t>such as</w:t>
      </w:r>
      <w:r w:rsidRPr="003A13A6">
        <w:rPr>
          <w:szCs w:val="22"/>
        </w:rPr>
        <w:t xml:space="preserve"> </w:t>
      </w:r>
      <w:r w:rsidR="00E95346" w:rsidRPr="00D03517">
        <w:rPr>
          <w:i/>
          <w:szCs w:val="22"/>
        </w:rPr>
        <w:t>m</w:t>
      </w:r>
      <w:r w:rsidR="00E95346">
        <w:rPr>
          <w:szCs w:val="22"/>
        </w:rPr>
        <w:t>-fluoroacetophenone</w:t>
      </w:r>
      <w:r>
        <w:rPr>
          <w:szCs w:val="22"/>
        </w:rPr>
        <w:t xml:space="preserve"> </w:t>
      </w:r>
      <w:r w:rsidRPr="004D774F">
        <w:rPr>
          <w:b/>
          <w:szCs w:val="22"/>
        </w:rPr>
        <w:t>37</w:t>
      </w:r>
      <w:r w:rsidRPr="003A13A6">
        <w:rPr>
          <w:szCs w:val="22"/>
        </w:rPr>
        <w:t>, 2-heptanone</w:t>
      </w:r>
      <w:r>
        <w:rPr>
          <w:szCs w:val="22"/>
        </w:rPr>
        <w:t xml:space="preserve"> </w:t>
      </w:r>
      <w:r w:rsidRPr="004D774F">
        <w:rPr>
          <w:b/>
          <w:szCs w:val="22"/>
        </w:rPr>
        <w:t>24</w:t>
      </w:r>
      <w:r w:rsidRPr="003A13A6">
        <w:rPr>
          <w:szCs w:val="22"/>
        </w:rPr>
        <w:t>, acetophenone</w:t>
      </w:r>
      <w:r>
        <w:rPr>
          <w:szCs w:val="22"/>
        </w:rPr>
        <w:t xml:space="preserve"> </w:t>
      </w:r>
      <w:r>
        <w:rPr>
          <w:b/>
          <w:szCs w:val="22"/>
        </w:rPr>
        <w:t>7</w:t>
      </w:r>
      <w:r>
        <w:rPr>
          <w:szCs w:val="22"/>
        </w:rPr>
        <w:t xml:space="preserve"> or</w:t>
      </w:r>
      <w:r w:rsidRPr="003A13A6">
        <w:rPr>
          <w:szCs w:val="22"/>
        </w:rPr>
        <w:t xml:space="preserve"> α-chromanone</w:t>
      </w:r>
      <w:r>
        <w:rPr>
          <w:szCs w:val="22"/>
        </w:rPr>
        <w:t xml:space="preserve"> </w:t>
      </w:r>
      <w:r w:rsidRPr="004D774F">
        <w:rPr>
          <w:b/>
          <w:szCs w:val="22"/>
        </w:rPr>
        <w:t>38</w:t>
      </w:r>
      <w:r w:rsidR="00E95346">
        <w:rPr>
          <w:szCs w:val="22"/>
        </w:rPr>
        <w:t xml:space="preserve"> </w:t>
      </w:r>
      <w:r>
        <w:rPr>
          <w:szCs w:val="22"/>
        </w:rPr>
        <w:t>(</w:t>
      </w:r>
      <w:r w:rsidRPr="004D774F">
        <w:rPr>
          <w:b/>
          <w:szCs w:val="22"/>
        </w:rPr>
        <w:t>Scheme 4</w:t>
      </w:r>
      <w:r>
        <w:rPr>
          <w:szCs w:val="22"/>
        </w:rPr>
        <w:t>)</w:t>
      </w:r>
      <w:r w:rsidRPr="003A13A6">
        <w:rPr>
          <w:szCs w:val="22"/>
        </w:rPr>
        <w:t>.</w:t>
      </w:r>
    </w:p>
    <w:p w14:paraId="69113AB2" w14:textId="7B3A48BB" w:rsidR="00561D8F" w:rsidRPr="001F38DA" w:rsidRDefault="004E3061" w:rsidP="000E69C9">
      <w:pPr>
        <w:spacing w:before="360"/>
        <w:rPr>
          <w:color w:val="FF0000"/>
          <w:sz w:val="18"/>
          <w:szCs w:val="20"/>
          <w:lang w:val="en-GB"/>
        </w:rPr>
      </w:pPr>
      <w:r w:rsidRPr="004E3061">
        <w:rPr>
          <w:noProof/>
          <w:color w:val="FF0000"/>
          <w:sz w:val="18"/>
          <w:szCs w:val="20"/>
          <w:lang w:val="en-GB"/>
        </w:rPr>
        <w:object w:dxaOrig="8068" w:dyaOrig="1754" w14:anchorId="3E013EE0">
          <v:shape id="_x0000_i1029" type="#_x0000_t75" alt="" style="width:247.5pt;height:53.25pt;mso-width-percent:0;mso-height-percent:0;mso-width-percent:0;mso-height-percent:0" o:ole="">
            <v:imagedata r:id="rId25" o:title=""/>
          </v:shape>
          <o:OLEObject Type="Embed" ProgID="ChemDraw.Document.6.0" ShapeID="_x0000_i1029" DrawAspect="Content" ObjectID="_1661677389" r:id="rId26"/>
        </w:object>
      </w:r>
    </w:p>
    <w:p w14:paraId="5505A2D8" w14:textId="3BE52673" w:rsidR="00561D8F" w:rsidRPr="00F85F5E" w:rsidRDefault="00561D8F" w:rsidP="000E69C9">
      <w:pPr>
        <w:pStyle w:val="SchemeCaption"/>
      </w:pPr>
      <w:r>
        <w:rPr>
          <w:b/>
        </w:rPr>
        <w:t>Scheme 5.</w:t>
      </w:r>
      <w:r>
        <w:t xml:space="preserve"> </w:t>
      </w:r>
      <w:r>
        <w:rPr>
          <w:szCs w:val="20"/>
        </w:rPr>
        <w:t>Example of reductive amination reaction</w:t>
      </w:r>
      <w:r w:rsidRPr="0081117E">
        <w:rPr>
          <w:szCs w:val="20"/>
        </w:rPr>
        <w:t xml:space="preserve"> </w:t>
      </w:r>
      <w:r w:rsidR="00A61E06">
        <w:rPr>
          <w:szCs w:val="20"/>
        </w:rPr>
        <w:t>catalyzed</w:t>
      </w:r>
      <w:r w:rsidRPr="0081117E">
        <w:rPr>
          <w:szCs w:val="20"/>
        </w:rPr>
        <w:t xml:space="preserve"> by </w:t>
      </w:r>
      <w:r>
        <w:rPr>
          <w:szCs w:val="20"/>
        </w:rPr>
        <w:t xml:space="preserve">the </w:t>
      </w:r>
      <w:r w:rsidRPr="0081117E">
        <w:rPr>
          <w:szCs w:val="20"/>
        </w:rPr>
        <w:t xml:space="preserve">engineered </w:t>
      </w:r>
      <w:r>
        <w:t xml:space="preserve">ε-deaminating </w:t>
      </w:r>
      <w:r w:rsidRPr="00A51455">
        <w:rPr>
          <w:sz w:val="18"/>
          <w:szCs w:val="18"/>
        </w:rPr>
        <w:t>L-</w:t>
      </w:r>
      <w:r>
        <w:t>lysine dehydrogenase</w:t>
      </w:r>
      <w:r w:rsidRPr="0081117E">
        <w:rPr>
          <w:szCs w:val="20"/>
        </w:rPr>
        <w:t>.</w:t>
      </w:r>
    </w:p>
    <w:p w14:paraId="54451827" w14:textId="2E8EC368" w:rsidR="00561D8F" w:rsidRDefault="00561D8F" w:rsidP="000E69C9">
      <w:pPr>
        <w:pStyle w:val="P1withoutIndendation"/>
        <w:ind w:firstLine="227"/>
        <w:rPr>
          <w:szCs w:val="22"/>
        </w:rPr>
        <w:sectPr w:rsidR="00561D8F" w:rsidSect="000E69C9">
          <w:type w:val="continuous"/>
          <w:pgSz w:w="11906" w:h="16838" w:code="9"/>
          <w:pgMar w:top="1134" w:right="680" w:bottom="1225" w:left="1361" w:header="709" w:footer="709" w:gutter="0"/>
          <w:cols w:num="2" w:space="340"/>
          <w:docGrid w:linePitch="360"/>
        </w:sectPr>
      </w:pPr>
      <w:r w:rsidRPr="003A13A6">
        <w:rPr>
          <w:szCs w:val="22"/>
        </w:rPr>
        <w:t xml:space="preserve">Based on computational studies of a LysEDH homology model, created </w:t>
      </w:r>
      <w:r>
        <w:rPr>
          <w:szCs w:val="22"/>
        </w:rPr>
        <w:t xml:space="preserve">using </w:t>
      </w:r>
      <w:r w:rsidRPr="003A13A6">
        <w:rPr>
          <w:szCs w:val="22"/>
        </w:rPr>
        <w:t xml:space="preserve">different templates with both NADH cofactor and ligand within the active site, seven residues, shown in </w:t>
      </w:r>
      <w:r w:rsidR="00F838BE">
        <w:rPr>
          <w:b/>
          <w:szCs w:val="22"/>
        </w:rPr>
        <w:t>F</w:t>
      </w:r>
      <w:r w:rsidRPr="004D774F">
        <w:rPr>
          <w:b/>
          <w:szCs w:val="22"/>
        </w:rPr>
        <w:t>igure 4</w:t>
      </w:r>
      <w:r w:rsidRPr="003A13A6">
        <w:rPr>
          <w:szCs w:val="22"/>
        </w:rPr>
        <w:t xml:space="preserve">, were identified as potential targets for mutagenesis. Among them, only the mutation of F173 enabled </w:t>
      </w:r>
      <w:r>
        <w:rPr>
          <w:szCs w:val="22"/>
        </w:rPr>
        <w:t xml:space="preserve">the </w:t>
      </w:r>
      <w:r w:rsidRPr="003A13A6">
        <w:rPr>
          <w:szCs w:val="22"/>
        </w:rPr>
        <w:t>conver</w:t>
      </w:r>
      <w:r>
        <w:rPr>
          <w:szCs w:val="22"/>
        </w:rPr>
        <w:t>sion of</w:t>
      </w:r>
      <w:r w:rsidRPr="003A13A6">
        <w:rPr>
          <w:szCs w:val="22"/>
        </w:rPr>
        <w:t xml:space="preserve"> medium-sized aliphatic ketone</w:t>
      </w:r>
      <w:r>
        <w:rPr>
          <w:szCs w:val="22"/>
        </w:rPr>
        <w:t>s</w:t>
      </w:r>
      <w:r w:rsidRPr="003A13A6">
        <w:rPr>
          <w:szCs w:val="22"/>
        </w:rPr>
        <w:t xml:space="preserve"> and, above all, the targeted bulky aromatic ketones such as acetophenone</w:t>
      </w:r>
      <w:r>
        <w:rPr>
          <w:szCs w:val="22"/>
        </w:rPr>
        <w:t xml:space="preserve"> </w:t>
      </w:r>
      <w:r>
        <w:rPr>
          <w:b/>
          <w:szCs w:val="22"/>
        </w:rPr>
        <w:t>7</w:t>
      </w:r>
      <w:r w:rsidRPr="003A13A6">
        <w:rPr>
          <w:szCs w:val="22"/>
        </w:rPr>
        <w:t xml:space="preserve"> or 1-tetralone</w:t>
      </w:r>
      <w:r>
        <w:rPr>
          <w:szCs w:val="22"/>
        </w:rPr>
        <w:t xml:space="preserve"> </w:t>
      </w:r>
      <w:r w:rsidRPr="004D774F">
        <w:rPr>
          <w:b/>
          <w:szCs w:val="22"/>
        </w:rPr>
        <w:t>8</w:t>
      </w:r>
      <w:r w:rsidRPr="003A13A6">
        <w:rPr>
          <w:szCs w:val="22"/>
        </w:rPr>
        <w:t>.</w:t>
      </w:r>
      <w:r w:rsidRPr="00E30395">
        <w:rPr>
          <w:szCs w:val="22"/>
        </w:rPr>
        <w:t xml:space="preserve"> </w:t>
      </w:r>
      <w:r w:rsidRPr="00893261">
        <w:rPr>
          <w:szCs w:val="22"/>
        </w:rPr>
        <w:t>Th</w:t>
      </w:r>
      <w:r>
        <w:rPr>
          <w:szCs w:val="22"/>
        </w:rPr>
        <w:t xml:space="preserve">e </w:t>
      </w:r>
      <w:r w:rsidRPr="00893261">
        <w:rPr>
          <w:szCs w:val="22"/>
        </w:rPr>
        <w:t>bulky residue</w:t>
      </w:r>
      <w:r>
        <w:rPr>
          <w:szCs w:val="22"/>
        </w:rPr>
        <w:t xml:space="preserve"> F173 is</w:t>
      </w:r>
      <w:r w:rsidRPr="00893261">
        <w:rPr>
          <w:szCs w:val="22"/>
        </w:rPr>
        <w:t xml:space="preserve"> located at the opposite side of the hydrophilic cavity </w:t>
      </w:r>
      <w:r>
        <w:rPr>
          <w:szCs w:val="22"/>
        </w:rPr>
        <w:t>to that which</w:t>
      </w:r>
      <w:r w:rsidRPr="00893261">
        <w:rPr>
          <w:szCs w:val="22"/>
        </w:rPr>
        <w:t xml:space="preserve"> accommodates the α-amino moiety of </w:t>
      </w:r>
      <w:r w:rsidRPr="00A51455">
        <w:rPr>
          <w:sz w:val="18"/>
          <w:szCs w:val="18"/>
        </w:rPr>
        <w:t>L-</w:t>
      </w:r>
      <w:r w:rsidRPr="00893261">
        <w:rPr>
          <w:szCs w:val="22"/>
        </w:rPr>
        <w:t>lysine</w:t>
      </w:r>
      <w:r>
        <w:rPr>
          <w:szCs w:val="22"/>
        </w:rPr>
        <w:t xml:space="preserve"> </w:t>
      </w:r>
      <w:r w:rsidRPr="004D774F">
        <w:rPr>
          <w:b/>
          <w:szCs w:val="22"/>
        </w:rPr>
        <w:t>36</w:t>
      </w:r>
      <w:r>
        <w:rPr>
          <w:b/>
          <w:szCs w:val="22"/>
        </w:rPr>
        <w:t>a</w:t>
      </w:r>
      <w:r w:rsidRPr="00893261">
        <w:rPr>
          <w:szCs w:val="22"/>
        </w:rPr>
        <w:t xml:space="preserve"> </w:t>
      </w:r>
      <w:r>
        <w:rPr>
          <w:szCs w:val="22"/>
        </w:rPr>
        <w:t xml:space="preserve">and serves to </w:t>
      </w:r>
      <w:r w:rsidRPr="00893261">
        <w:rPr>
          <w:szCs w:val="22"/>
        </w:rPr>
        <w:t>provide</w:t>
      </w:r>
      <w:r>
        <w:rPr>
          <w:szCs w:val="22"/>
        </w:rPr>
        <w:t xml:space="preserve"> both</w:t>
      </w:r>
      <w:r w:rsidRPr="00893261">
        <w:rPr>
          <w:szCs w:val="22"/>
        </w:rPr>
        <w:t xml:space="preserve"> the hydrophobic property of the cavity and </w:t>
      </w:r>
      <w:r>
        <w:rPr>
          <w:szCs w:val="22"/>
        </w:rPr>
        <w:t>t</w:t>
      </w:r>
      <w:r w:rsidRPr="00893261">
        <w:rPr>
          <w:szCs w:val="22"/>
        </w:rPr>
        <w:t xml:space="preserve">he orientation of the side chain of </w:t>
      </w:r>
      <w:r>
        <w:rPr>
          <w:szCs w:val="22"/>
        </w:rPr>
        <w:t>the substrate</w:t>
      </w:r>
      <w:r w:rsidRPr="00893261">
        <w:rPr>
          <w:szCs w:val="22"/>
        </w:rPr>
        <w:t>.</w:t>
      </w:r>
      <w:r>
        <w:rPr>
          <w:szCs w:val="22"/>
        </w:rPr>
        <w:t xml:space="preserve"> </w:t>
      </w:r>
      <w:r w:rsidRPr="00893261">
        <w:rPr>
          <w:szCs w:val="22"/>
        </w:rPr>
        <w:t>Its mutation into alanine enabled the enlargement of the hydrophobic binding pocket by reducing the size of the residue by 4.3Å, without</w:t>
      </w:r>
      <w:r>
        <w:rPr>
          <w:szCs w:val="22"/>
        </w:rPr>
        <w:t xml:space="preserve"> substantially</w:t>
      </w:r>
      <w:r w:rsidRPr="00893261">
        <w:rPr>
          <w:szCs w:val="22"/>
        </w:rPr>
        <w:t xml:space="preserve"> increasing the flexibility </w:t>
      </w:r>
      <w:r>
        <w:rPr>
          <w:szCs w:val="22"/>
        </w:rPr>
        <w:t>of</w:t>
      </w:r>
      <w:r w:rsidRPr="00893261">
        <w:rPr>
          <w:szCs w:val="22"/>
        </w:rPr>
        <w:t xml:space="preserve"> the active site, which </w:t>
      </w:r>
      <w:r>
        <w:rPr>
          <w:szCs w:val="22"/>
        </w:rPr>
        <w:t xml:space="preserve">was </w:t>
      </w:r>
      <w:r w:rsidRPr="00893261">
        <w:rPr>
          <w:szCs w:val="22"/>
        </w:rPr>
        <w:t>show</w:t>
      </w:r>
      <w:r>
        <w:rPr>
          <w:szCs w:val="22"/>
        </w:rPr>
        <w:t>n</w:t>
      </w:r>
      <w:r w:rsidRPr="00893261">
        <w:rPr>
          <w:szCs w:val="22"/>
        </w:rPr>
        <w:t xml:space="preserve"> to be detrimental for the </w:t>
      </w:r>
      <w:r w:rsidRPr="00065167">
        <w:rPr>
          <w:iCs/>
          <w:szCs w:val="22"/>
        </w:rPr>
        <w:t>activity</w:t>
      </w:r>
      <w:r w:rsidRPr="00893261">
        <w:rPr>
          <w:szCs w:val="22"/>
        </w:rPr>
        <w:t xml:space="preserve"> </w:t>
      </w:r>
      <w:r w:rsidR="00065167">
        <w:rPr>
          <w:iCs/>
          <w:szCs w:val="22"/>
        </w:rPr>
        <w:t>by measuring the activity of</w:t>
      </w:r>
      <w:r w:rsidRPr="00893261">
        <w:rPr>
          <w:szCs w:val="22"/>
        </w:rPr>
        <w:t xml:space="preserve"> mutant F173G. </w:t>
      </w:r>
      <w:r>
        <w:rPr>
          <w:szCs w:val="22"/>
        </w:rPr>
        <w:t>Apart from</w:t>
      </w:r>
      <w:r w:rsidRPr="00893261">
        <w:rPr>
          <w:szCs w:val="22"/>
        </w:rPr>
        <w:t xml:space="preserve"> </w:t>
      </w:r>
      <w:r w:rsidR="00F838BE">
        <w:rPr>
          <w:szCs w:val="22"/>
        </w:rPr>
        <w:t xml:space="preserve">the variants harboring the additonal mutations  </w:t>
      </w:r>
      <w:r w:rsidRPr="00893261">
        <w:rPr>
          <w:szCs w:val="22"/>
        </w:rPr>
        <w:t>V130A</w:t>
      </w:r>
      <w:r w:rsidR="00F838BE">
        <w:rPr>
          <w:szCs w:val="22"/>
        </w:rPr>
        <w:t xml:space="preserve">/G to </w:t>
      </w:r>
      <w:r w:rsidRPr="00893261">
        <w:rPr>
          <w:szCs w:val="22"/>
        </w:rPr>
        <w:t>F173A</w:t>
      </w:r>
      <w:r>
        <w:rPr>
          <w:szCs w:val="22"/>
        </w:rPr>
        <w:t>,</w:t>
      </w:r>
      <w:r w:rsidRPr="00893261">
        <w:rPr>
          <w:szCs w:val="22"/>
        </w:rPr>
        <w:t xml:space="preserve"> which also </w:t>
      </w:r>
      <w:r>
        <w:rPr>
          <w:szCs w:val="22"/>
        </w:rPr>
        <w:t xml:space="preserve">displayed </w:t>
      </w:r>
      <w:r w:rsidRPr="00893261">
        <w:rPr>
          <w:szCs w:val="22"/>
        </w:rPr>
        <w:t>interesting activity toward aromatic ketones, all the other mutated residues (H181, Y238, T240 and V172) gave unsatisfactory results, including R242</w:t>
      </w:r>
      <w:r>
        <w:rPr>
          <w:szCs w:val="22"/>
        </w:rPr>
        <w:t>,</w:t>
      </w:r>
      <w:r w:rsidRPr="00893261">
        <w:rPr>
          <w:szCs w:val="22"/>
        </w:rPr>
        <w:t xml:space="preserve"> </w:t>
      </w:r>
      <w:r>
        <w:rPr>
          <w:szCs w:val="22"/>
        </w:rPr>
        <w:t>also</w:t>
      </w:r>
      <w:r w:rsidRPr="00893261">
        <w:rPr>
          <w:szCs w:val="22"/>
        </w:rPr>
        <w:t xml:space="preserve"> involved in the binding of the α-carboxylic group of </w:t>
      </w:r>
      <w:r w:rsidRPr="00A51455">
        <w:rPr>
          <w:sz w:val="18"/>
          <w:szCs w:val="18"/>
        </w:rPr>
        <w:t>L-</w:t>
      </w:r>
      <w:r w:rsidRPr="00893261">
        <w:rPr>
          <w:szCs w:val="22"/>
        </w:rPr>
        <w:t>lysine</w:t>
      </w:r>
      <w:r>
        <w:rPr>
          <w:szCs w:val="22"/>
        </w:rPr>
        <w:t xml:space="preserve"> </w:t>
      </w:r>
      <w:r w:rsidRPr="00215BAC">
        <w:rPr>
          <w:b/>
          <w:szCs w:val="22"/>
        </w:rPr>
        <w:t>36</w:t>
      </w:r>
      <w:r w:rsidRPr="00893261">
        <w:rPr>
          <w:szCs w:val="22"/>
        </w:rPr>
        <w:t xml:space="preserve">. This surprising result </w:t>
      </w:r>
      <w:r>
        <w:rPr>
          <w:szCs w:val="22"/>
        </w:rPr>
        <w:t>accords with that</w:t>
      </w:r>
      <w:r w:rsidRPr="00893261">
        <w:rPr>
          <w:szCs w:val="22"/>
        </w:rPr>
        <w:t xml:space="preserve"> of Jiang </w:t>
      </w:r>
      <w:r w:rsidRPr="00893261">
        <w:rPr>
          <w:i/>
          <w:szCs w:val="22"/>
        </w:rPr>
        <w:t>et al.</w:t>
      </w:r>
      <w:r w:rsidRPr="00893261">
        <w:rPr>
          <w:szCs w:val="22"/>
        </w:rPr>
        <w:t xml:space="preserve"> with </w:t>
      </w:r>
      <w:r w:rsidRPr="008F4B11">
        <w:rPr>
          <w:i/>
          <w:szCs w:val="22"/>
        </w:rPr>
        <w:t>Bh</w:t>
      </w:r>
      <w:r w:rsidRPr="00893261">
        <w:rPr>
          <w:szCs w:val="22"/>
        </w:rPr>
        <w:t>PheDH</w:t>
      </w:r>
      <w:r>
        <w:rPr>
          <w:szCs w:val="22"/>
        </w:rPr>
        <w:t>,</w:t>
      </w:r>
      <w:r w:rsidRPr="00893261">
        <w:rPr>
          <w:szCs w:val="22"/>
        </w:rPr>
        <w:t xml:space="preserve"> </w:t>
      </w:r>
      <w:r w:rsidRPr="00893261">
        <w:rPr>
          <w:iCs/>
          <w:szCs w:val="22"/>
        </w:rPr>
        <w:t xml:space="preserve">who obtained active variants without any mutation of the residue binding the </w:t>
      </w:r>
      <w:r w:rsidRPr="00893261">
        <w:rPr>
          <w:szCs w:val="22"/>
        </w:rPr>
        <w:t>α-carboxylic group</w:t>
      </w:r>
      <w:r w:rsidRPr="00893261">
        <w:rPr>
          <w:iCs/>
          <w:szCs w:val="22"/>
        </w:rPr>
        <w:t xml:space="preserve"> of the native substrate.</w:t>
      </w:r>
      <w:r w:rsidR="003E6B17">
        <w:rPr>
          <w:iCs/>
          <w:noProof/>
          <w:szCs w:val="22"/>
          <w:vertAlign w:val="superscript"/>
        </w:rPr>
        <w:t>[29</w:t>
      </w:r>
      <w:r w:rsidRPr="00EB6EE9">
        <w:rPr>
          <w:iCs/>
          <w:noProof/>
          <w:szCs w:val="22"/>
          <w:vertAlign w:val="superscript"/>
        </w:rPr>
        <w:t>]</w:t>
      </w:r>
      <w:r w:rsidRPr="00893261" w:rsidDel="006E6A5C">
        <w:rPr>
          <w:szCs w:val="22"/>
        </w:rPr>
        <w:t xml:space="preserve"> </w:t>
      </w:r>
      <w:r w:rsidRPr="00893261">
        <w:rPr>
          <w:szCs w:val="22"/>
        </w:rPr>
        <w:t xml:space="preserve">Remarkably, LE-AmDH-v1 (F173A) displayed a high stability (Tm: 69°C) and a reduced product inhibition compared to other </w:t>
      </w:r>
      <w:r>
        <w:rPr>
          <w:szCs w:val="22"/>
        </w:rPr>
        <w:t>engineered AADHs</w:t>
      </w:r>
      <w:r w:rsidRPr="00893261">
        <w:rPr>
          <w:szCs w:val="22"/>
        </w:rPr>
        <w:t xml:space="preserve">, thus leading to </w:t>
      </w:r>
      <w:r w:rsidR="00AF1EB6">
        <w:rPr>
          <w:szCs w:val="22"/>
        </w:rPr>
        <w:t xml:space="preserve">a </w:t>
      </w:r>
      <w:r w:rsidRPr="00893261">
        <w:rPr>
          <w:szCs w:val="22"/>
        </w:rPr>
        <w:t xml:space="preserve">high biocatalytic performance. </w:t>
      </w:r>
    </w:p>
    <w:p w14:paraId="4BF9835F" w14:textId="1E45C9ED" w:rsidR="00561D8F" w:rsidRPr="001F38DA" w:rsidRDefault="00226FA8" w:rsidP="000E69C9">
      <w:pPr>
        <w:spacing w:before="360"/>
        <w:rPr>
          <w:color w:val="FF0000"/>
          <w:sz w:val="18"/>
          <w:szCs w:val="20"/>
          <w:lang w:val="en-GB"/>
        </w:rPr>
      </w:pPr>
      <w:r>
        <w:rPr>
          <w:noProof/>
          <w:color w:val="FF0000"/>
          <w:sz w:val="18"/>
          <w:szCs w:val="20"/>
          <w:lang w:val="en-GB" w:eastAsia="en-GB"/>
        </w:rPr>
        <w:drawing>
          <wp:inline distT="0" distB="0" distL="0" distR="0" wp14:anchorId="76603F0B" wp14:editId="465E133C">
            <wp:extent cx="6264275" cy="2781300"/>
            <wp:effectExtent l="0" t="0" r="317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ructureLysEDH.png"/>
                    <pic:cNvPicPr/>
                  </pic:nvPicPr>
                  <pic:blipFill>
                    <a:blip r:embed="rId27">
                      <a:extLst>
                        <a:ext uri="{28A0092B-C50C-407E-A947-70E740481C1C}">
                          <a14:useLocalDpi xmlns:a14="http://schemas.microsoft.com/office/drawing/2010/main" val="0"/>
                        </a:ext>
                      </a:extLst>
                    </a:blip>
                    <a:stretch>
                      <a:fillRect/>
                    </a:stretch>
                  </pic:blipFill>
                  <pic:spPr>
                    <a:xfrm>
                      <a:off x="0" y="0"/>
                      <a:ext cx="6264275" cy="2781300"/>
                    </a:xfrm>
                    <a:prstGeom prst="rect">
                      <a:avLst/>
                    </a:prstGeom>
                  </pic:spPr>
                </pic:pic>
              </a:graphicData>
            </a:graphic>
          </wp:inline>
        </w:drawing>
      </w:r>
    </w:p>
    <w:p w14:paraId="3E31BF09" w14:textId="446C27EA" w:rsidR="00561D8F" w:rsidRDefault="00561D8F" w:rsidP="000E69C9">
      <w:pPr>
        <w:pStyle w:val="FigureCaption"/>
      </w:pPr>
      <w:r>
        <w:rPr>
          <w:b/>
        </w:rPr>
        <w:t>Figure 4.</w:t>
      </w:r>
      <w:r w:rsidRPr="00C2552A">
        <w:t xml:space="preserve"> </w:t>
      </w:r>
      <w:r w:rsidRPr="008F4B11">
        <w:rPr>
          <w:szCs w:val="20"/>
        </w:rPr>
        <w:t xml:space="preserve">Model of the ε-deaminating </w:t>
      </w:r>
      <w:r w:rsidRPr="00A51455">
        <w:rPr>
          <w:sz w:val="18"/>
          <w:szCs w:val="18"/>
        </w:rPr>
        <w:t>L-</w:t>
      </w:r>
      <w:r w:rsidRPr="008F4B11">
        <w:rPr>
          <w:szCs w:val="20"/>
        </w:rPr>
        <w:t xml:space="preserve">lysine dehydrogenase from </w:t>
      </w:r>
      <w:r w:rsidRPr="008F4B11">
        <w:rPr>
          <w:i/>
          <w:szCs w:val="20"/>
        </w:rPr>
        <w:t xml:space="preserve">Geobacillus stearothermophilus </w:t>
      </w:r>
      <w:r w:rsidRPr="008F4B11">
        <w:rPr>
          <w:szCs w:val="20"/>
        </w:rPr>
        <w:t xml:space="preserve">(model using 1E5Q of saccharopine dehydrogenase from </w:t>
      </w:r>
      <w:r w:rsidRPr="008F4B11">
        <w:rPr>
          <w:i/>
          <w:szCs w:val="20"/>
        </w:rPr>
        <w:t>Magnaporthe oryzae</w:t>
      </w:r>
      <w:r w:rsidRPr="008F4B11">
        <w:rPr>
          <w:szCs w:val="20"/>
        </w:rPr>
        <w:t xml:space="preserve">). </w:t>
      </w:r>
      <w:r w:rsidRPr="002D0211">
        <w:rPr>
          <w:b/>
          <w:szCs w:val="20"/>
        </w:rPr>
        <w:t>A</w:t>
      </w:r>
      <w:r w:rsidR="00A87E7B" w:rsidRPr="002D0211">
        <w:rPr>
          <w:b/>
          <w:szCs w:val="20"/>
        </w:rPr>
        <w:t>)</w:t>
      </w:r>
      <w:r w:rsidRPr="008F4B11">
        <w:rPr>
          <w:szCs w:val="20"/>
        </w:rPr>
        <w:t xml:space="preserve"> Structure of LysEDH in ribbon format </w:t>
      </w:r>
      <w:r w:rsidRPr="002D0211">
        <w:rPr>
          <w:b/>
          <w:szCs w:val="20"/>
        </w:rPr>
        <w:t>B</w:t>
      </w:r>
      <w:r w:rsidR="00A87E7B" w:rsidRPr="002D0211">
        <w:rPr>
          <w:b/>
          <w:szCs w:val="20"/>
        </w:rPr>
        <w:t>)</w:t>
      </w:r>
      <w:r w:rsidRPr="008F4B11">
        <w:rPr>
          <w:szCs w:val="20"/>
        </w:rPr>
        <w:t xml:space="preserve"> Detail of key positions described in this survey, F173 is highlighted in </w:t>
      </w:r>
      <w:r w:rsidR="00A645F2">
        <w:rPr>
          <w:szCs w:val="20"/>
        </w:rPr>
        <w:t>orange</w:t>
      </w:r>
      <w:r w:rsidR="00A645F2" w:rsidRPr="008F4B11">
        <w:rPr>
          <w:szCs w:val="20"/>
        </w:rPr>
        <w:t xml:space="preserve"> </w:t>
      </w:r>
      <w:r w:rsidRPr="008F4B11">
        <w:rPr>
          <w:szCs w:val="20"/>
        </w:rPr>
        <w:t xml:space="preserve">as </w:t>
      </w:r>
      <w:r w:rsidR="00F838BE">
        <w:rPr>
          <w:szCs w:val="20"/>
        </w:rPr>
        <w:t xml:space="preserve">the target </w:t>
      </w:r>
      <w:r w:rsidRPr="008F4B11">
        <w:rPr>
          <w:szCs w:val="20"/>
        </w:rPr>
        <w:t>for successful mutagenesis. Side chains of the key positions detailed in the paper are shown with carbon atoms in blue. NADPH is shown in cylinder format with carbon atoms in grey.</w:t>
      </w:r>
    </w:p>
    <w:p w14:paraId="18E0B8BD" w14:textId="61797A2C" w:rsidR="00561D8F" w:rsidRPr="001F38DA" w:rsidRDefault="00226FA8" w:rsidP="000E69C9">
      <w:pPr>
        <w:spacing w:before="360"/>
        <w:rPr>
          <w:color w:val="FF0000"/>
          <w:sz w:val="18"/>
          <w:szCs w:val="20"/>
          <w:lang w:val="en-GB"/>
        </w:rPr>
      </w:pPr>
      <w:r>
        <w:rPr>
          <w:noProof/>
          <w:color w:val="FF0000"/>
          <w:sz w:val="18"/>
          <w:szCs w:val="20"/>
          <w:lang w:val="en-GB" w:eastAsia="en-GB"/>
        </w:rPr>
        <w:drawing>
          <wp:inline distT="0" distB="0" distL="0" distR="0" wp14:anchorId="0C50DFED" wp14:editId="66A06E0F">
            <wp:extent cx="6264275" cy="572198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bstratsAADHs.png"/>
                    <pic:cNvPicPr/>
                  </pic:nvPicPr>
                  <pic:blipFill>
                    <a:blip r:embed="rId28">
                      <a:extLst>
                        <a:ext uri="{28A0092B-C50C-407E-A947-70E740481C1C}">
                          <a14:useLocalDpi xmlns:a14="http://schemas.microsoft.com/office/drawing/2010/main" val="0"/>
                        </a:ext>
                      </a:extLst>
                    </a:blip>
                    <a:stretch>
                      <a:fillRect/>
                    </a:stretch>
                  </pic:blipFill>
                  <pic:spPr>
                    <a:xfrm>
                      <a:off x="0" y="0"/>
                      <a:ext cx="6264275" cy="5721985"/>
                    </a:xfrm>
                    <a:prstGeom prst="rect">
                      <a:avLst/>
                    </a:prstGeom>
                  </pic:spPr>
                </pic:pic>
              </a:graphicData>
            </a:graphic>
          </wp:inline>
        </w:drawing>
      </w:r>
    </w:p>
    <w:p w14:paraId="1A65483B" w14:textId="5A394F6E" w:rsidR="00E67283" w:rsidRDefault="00561D8F" w:rsidP="00E67283">
      <w:pPr>
        <w:pStyle w:val="FigureCaption"/>
        <w:rPr>
          <w:b/>
          <w:szCs w:val="22"/>
        </w:rPr>
        <w:sectPr w:rsidR="00E67283" w:rsidSect="000E69C9">
          <w:type w:val="continuous"/>
          <w:pgSz w:w="11906" w:h="16838" w:code="9"/>
          <w:pgMar w:top="1134" w:right="680" w:bottom="1225" w:left="1361" w:header="709" w:footer="709" w:gutter="0"/>
          <w:cols w:space="340"/>
          <w:docGrid w:linePitch="360"/>
        </w:sectPr>
      </w:pPr>
      <w:r>
        <w:rPr>
          <w:b/>
        </w:rPr>
        <w:t>Figure 5.</w:t>
      </w:r>
      <w:r w:rsidRPr="00C2552A">
        <w:t xml:space="preserve"> </w:t>
      </w:r>
      <w:r w:rsidRPr="003A13A6">
        <w:rPr>
          <w:szCs w:val="20"/>
        </w:rPr>
        <w:t>Substrate specificity of all the engineered AADHs described in this review. The substrates associated to each variant were selected as the ones displaying the highest activities or considered as “new” substrates compared to the substrate scope of the whole family. In the case of enzymes without activity data, the substrates showing the highest conversion rates for one experimental condition were selected</w:t>
      </w:r>
      <w:r>
        <w:rPr>
          <w:szCs w:val="20"/>
        </w:rPr>
        <w:t>.</w:t>
      </w:r>
      <w:r w:rsidRPr="008F4B11">
        <w:rPr>
          <w:szCs w:val="20"/>
        </w:rPr>
        <w:t xml:space="preserve"> </w:t>
      </w:r>
      <w:r>
        <w:rPr>
          <w:szCs w:val="20"/>
        </w:rPr>
        <w:t xml:space="preserve">If not mentioned, the amine substrate is ammonia. The </w:t>
      </w:r>
      <w:r w:rsidR="00293A57">
        <w:rPr>
          <w:szCs w:val="20"/>
        </w:rPr>
        <w:t xml:space="preserve">orange </w:t>
      </w:r>
      <w:r>
        <w:rPr>
          <w:szCs w:val="20"/>
        </w:rPr>
        <w:t xml:space="preserve">and blue lines correspond to a set of mutations respectively inside or outside the catalytic pocket. The grey dashed lines correspond to the creation of a chimera from the two parental enzymes </w:t>
      </w:r>
      <w:r w:rsidRPr="00254367">
        <w:rPr>
          <w:szCs w:val="20"/>
        </w:rPr>
        <w:t>L-</w:t>
      </w:r>
      <w:r>
        <w:rPr>
          <w:szCs w:val="20"/>
        </w:rPr>
        <w:t>AmDH and F-AmDH.</w:t>
      </w:r>
      <w:r w:rsidR="001B00B7">
        <w:rPr>
          <w:szCs w:val="20"/>
        </w:rPr>
        <w:t xml:space="preserve"> </w:t>
      </w:r>
      <w:r w:rsidR="00534E77">
        <w:rPr>
          <w:szCs w:val="20"/>
        </w:rPr>
        <w:t>The specific activities indicated in this Figure are given as information but not to be compared as</w:t>
      </w:r>
      <w:r w:rsidR="009E1D39">
        <w:rPr>
          <w:szCs w:val="20"/>
        </w:rPr>
        <w:t xml:space="preserve"> all the assays were not done with</w:t>
      </w:r>
      <w:r w:rsidR="00534E77">
        <w:rPr>
          <w:szCs w:val="20"/>
        </w:rPr>
        <w:t xml:space="preserve"> the exact same conditions. The following </w:t>
      </w:r>
      <w:r w:rsidR="009E1D39">
        <w:rPr>
          <w:szCs w:val="20"/>
        </w:rPr>
        <w:t>ones</w:t>
      </w:r>
      <w:r w:rsidR="00534E77">
        <w:rPr>
          <w:szCs w:val="20"/>
        </w:rPr>
        <w:t xml:space="preserve"> correspond to a range</w:t>
      </w:r>
      <w:r w:rsidR="009E1D39">
        <w:rPr>
          <w:szCs w:val="20"/>
        </w:rPr>
        <w:t xml:space="preserve"> of typical conditions</w:t>
      </w:r>
      <w:r w:rsidR="001B00B7">
        <w:rPr>
          <w:szCs w:val="20"/>
        </w:rPr>
        <w:t>: 10-40</w:t>
      </w:r>
      <w:r w:rsidR="00065167">
        <w:rPr>
          <w:szCs w:val="20"/>
        </w:rPr>
        <w:t xml:space="preserve"> </w:t>
      </w:r>
      <w:r w:rsidR="001B00B7">
        <w:rPr>
          <w:szCs w:val="20"/>
        </w:rPr>
        <w:t>mM carbonyl substrate, 0.1-0.2</w:t>
      </w:r>
      <w:r w:rsidR="00065167">
        <w:rPr>
          <w:szCs w:val="20"/>
        </w:rPr>
        <w:t xml:space="preserve"> </w:t>
      </w:r>
      <w:r w:rsidR="001B00B7">
        <w:rPr>
          <w:szCs w:val="20"/>
        </w:rPr>
        <w:t xml:space="preserve">mM </w:t>
      </w:r>
      <w:proofErr w:type="gramStart"/>
      <w:r w:rsidR="001B00B7">
        <w:rPr>
          <w:szCs w:val="20"/>
        </w:rPr>
        <w:t>NAD(</w:t>
      </w:r>
      <w:proofErr w:type="gramEnd"/>
      <w:r w:rsidR="001B00B7">
        <w:rPr>
          <w:szCs w:val="20"/>
        </w:rPr>
        <w:t>P)H cofactor, 1-6</w:t>
      </w:r>
      <w:r w:rsidR="00065167">
        <w:rPr>
          <w:szCs w:val="20"/>
        </w:rPr>
        <w:t xml:space="preserve"> </w:t>
      </w:r>
      <w:r w:rsidR="001B00B7">
        <w:rPr>
          <w:szCs w:val="20"/>
        </w:rPr>
        <w:t>M ammonium-based buffer pH 8.8-9.6, 25-30°C.</w:t>
      </w:r>
      <w:r w:rsidR="00E24C93">
        <w:rPr>
          <w:szCs w:val="20"/>
        </w:rPr>
        <w:t xml:space="preserve"> </w:t>
      </w:r>
      <w:r w:rsidR="001B00B7">
        <w:rPr>
          <w:szCs w:val="20"/>
          <w:vertAlign w:val="superscript"/>
        </w:rPr>
        <w:t>[</w:t>
      </w:r>
      <w:proofErr w:type="gramStart"/>
      <w:r w:rsidR="001B00B7">
        <w:rPr>
          <w:szCs w:val="20"/>
          <w:vertAlign w:val="superscript"/>
        </w:rPr>
        <w:t>a</w:t>
      </w:r>
      <w:proofErr w:type="gramEnd"/>
      <w:r w:rsidR="001B00B7">
        <w:rPr>
          <w:szCs w:val="20"/>
          <w:vertAlign w:val="superscript"/>
        </w:rPr>
        <w:t xml:space="preserve">] </w:t>
      </w:r>
      <w:r w:rsidR="001B00B7">
        <w:rPr>
          <w:szCs w:val="20"/>
        </w:rPr>
        <w:t>Activity assays done with lower ammonia concentrations 0.225-0.5</w:t>
      </w:r>
      <w:r w:rsidR="00065167">
        <w:rPr>
          <w:szCs w:val="20"/>
        </w:rPr>
        <w:t xml:space="preserve"> </w:t>
      </w:r>
      <w:r w:rsidR="001B00B7">
        <w:rPr>
          <w:szCs w:val="20"/>
        </w:rPr>
        <w:t xml:space="preserve">M that could not allow to reach the saturation of ammonia. </w:t>
      </w:r>
      <w:r w:rsidR="001B00B7">
        <w:rPr>
          <w:szCs w:val="20"/>
          <w:vertAlign w:val="superscript"/>
        </w:rPr>
        <w:t xml:space="preserve">[b] </w:t>
      </w:r>
      <w:r w:rsidR="001B00B7">
        <w:rPr>
          <w:szCs w:val="20"/>
        </w:rPr>
        <w:t>Activity assays done at 60°C, conversion tests at 30°C.</w:t>
      </w:r>
      <w:r w:rsidR="000641E0">
        <w:rPr>
          <w:szCs w:val="20"/>
        </w:rPr>
        <w:t xml:space="preserve"> The mutations written in bold correspond to the </w:t>
      </w:r>
      <w:r w:rsidR="000641E0" w:rsidRPr="00254367">
        <w:rPr>
          <w:szCs w:val="20"/>
        </w:rPr>
        <w:t>L-</w:t>
      </w:r>
      <w:r w:rsidR="000641E0">
        <w:rPr>
          <w:szCs w:val="20"/>
        </w:rPr>
        <w:t xml:space="preserve">AmDH </w:t>
      </w:r>
      <w:r w:rsidR="0008270E">
        <w:rPr>
          <w:szCs w:val="20"/>
        </w:rPr>
        <w:t xml:space="preserve">or F-AmDH </w:t>
      </w:r>
      <w:r w:rsidR="000641E0">
        <w:rPr>
          <w:szCs w:val="20"/>
        </w:rPr>
        <w:t>numbering while the other mutations refer to the numbering of the targeted enzyme.</w:t>
      </w:r>
    </w:p>
    <w:p w14:paraId="7ABE05DF" w14:textId="12D3BA35" w:rsidR="00930392" w:rsidRDefault="00930392" w:rsidP="000E69C9">
      <w:pPr>
        <w:pStyle w:val="P1withoutIndendation"/>
        <w:rPr>
          <w:szCs w:val="22"/>
        </w:rPr>
      </w:pPr>
      <w:r>
        <w:rPr>
          <w:szCs w:val="22"/>
        </w:rPr>
        <w:t xml:space="preserve">The reductive amination of 5 mM acetophenone </w:t>
      </w:r>
      <w:r>
        <w:rPr>
          <w:b/>
          <w:szCs w:val="22"/>
        </w:rPr>
        <w:t>7</w:t>
      </w:r>
      <w:r>
        <w:rPr>
          <w:szCs w:val="22"/>
        </w:rPr>
        <w:t xml:space="preserve"> and propiophenone </w:t>
      </w:r>
      <w:r w:rsidRPr="00215BAC">
        <w:rPr>
          <w:b/>
          <w:szCs w:val="22"/>
        </w:rPr>
        <w:t>3</w:t>
      </w:r>
      <w:r w:rsidRPr="00F85F5E">
        <w:rPr>
          <w:b/>
          <w:szCs w:val="22"/>
        </w:rPr>
        <w:t>9</w:t>
      </w:r>
      <w:r>
        <w:rPr>
          <w:szCs w:val="22"/>
        </w:rPr>
        <w:t xml:space="preserve"> was performed on a 600 mg scale to give respectively 82 and 65% isolate yield of the (</w:t>
      </w:r>
      <w:r w:rsidRPr="006460BC">
        <w:rPr>
          <w:i/>
          <w:szCs w:val="22"/>
        </w:rPr>
        <w:t>R</w:t>
      </w:r>
      <w:r>
        <w:rPr>
          <w:szCs w:val="22"/>
        </w:rPr>
        <w:t xml:space="preserve">)-amine products </w:t>
      </w:r>
      <w:r>
        <w:rPr>
          <w:b/>
          <w:szCs w:val="22"/>
        </w:rPr>
        <w:t>7a</w:t>
      </w:r>
      <w:r>
        <w:rPr>
          <w:szCs w:val="22"/>
        </w:rPr>
        <w:t xml:space="preserve"> and </w:t>
      </w:r>
      <w:r>
        <w:rPr>
          <w:b/>
          <w:szCs w:val="22"/>
        </w:rPr>
        <w:t>39a</w:t>
      </w:r>
      <w:r>
        <w:rPr>
          <w:szCs w:val="22"/>
        </w:rPr>
        <w:t xml:space="preserve"> with excellent</w:t>
      </w:r>
      <w:r w:rsidRPr="005C7DF1">
        <w:rPr>
          <w:i/>
          <w:iCs/>
          <w:szCs w:val="22"/>
        </w:rPr>
        <w:t xml:space="preserve"> ee</w:t>
      </w:r>
      <w:r>
        <w:rPr>
          <w:szCs w:val="22"/>
        </w:rPr>
        <w:t xml:space="preserve"> &gt;99.9% (</w:t>
      </w:r>
      <w:r w:rsidRPr="00215BAC">
        <w:rPr>
          <w:b/>
          <w:szCs w:val="22"/>
        </w:rPr>
        <w:t>Scheme 5</w:t>
      </w:r>
      <w:r>
        <w:rPr>
          <w:szCs w:val="22"/>
        </w:rPr>
        <w:t>).</w:t>
      </w:r>
      <w:r>
        <w:rPr>
          <w:color w:val="FF0000"/>
        </w:rPr>
        <w:t xml:space="preserve"> </w:t>
      </w:r>
      <w:r w:rsidRPr="00893261">
        <w:rPr>
          <w:szCs w:val="22"/>
        </w:rPr>
        <w:t xml:space="preserve">The stereochemistry of the amines obtained was </w:t>
      </w:r>
      <w:r>
        <w:rPr>
          <w:szCs w:val="22"/>
        </w:rPr>
        <w:t>(</w:t>
      </w:r>
      <w:r w:rsidRPr="00893261">
        <w:rPr>
          <w:i/>
          <w:szCs w:val="22"/>
        </w:rPr>
        <w:t>R</w:t>
      </w:r>
      <w:r>
        <w:rPr>
          <w:iCs/>
          <w:szCs w:val="22"/>
        </w:rPr>
        <w:t>)</w:t>
      </w:r>
      <w:r w:rsidRPr="00893261">
        <w:rPr>
          <w:szCs w:val="22"/>
        </w:rPr>
        <w:t>, except for 2-aminoheptanoic acid</w:t>
      </w:r>
      <w:r>
        <w:rPr>
          <w:szCs w:val="22"/>
        </w:rPr>
        <w:t xml:space="preserve"> </w:t>
      </w:r>
      <w:r w:rsidRPr="00215BAC">
        <w:rPr>
          <w:b/>
          <w:szCs w:val="22"/>
        </w:rPr>
        <w:t>40</w:t>
      </w:r>
      <w:r>
        <w:rPr>
          <w:b/>
          <w:szCs w:val="22"/>
        </w:rPr>
        <w:t>a</w:t>
      </w:r>
      <w:r>
        <w:rPr>
          <w:szCs w:val="22"/>
        </w:rPr>
        <w:t>, which was</w:t>
      </w:r>
      <w:r w:rsidRPr="00893261">
        <w:rPr>
          <w:szCs w:val="22"/>
        </w:rPr>
        <w:t xml:space="preserve"> produced </w:t>
      </w:r>
      <w:r>
        <w:rPr>
          <w:szCs w:val="22"/>
        </w:rPr>
        <w:t>with</w:t>
      </w:r>
      <w:r w:rsidRPr="00893261">
        <w:rPr>
          <w:szCs w:val="22"/>
        </w:rPr>
        <w:t xml:space="preserve"> an enantiomerically pure </w:t>
      </w:r>
      <w:r>
        <w:rPr>
          <w:szCs w:val="22"/>
        </w:rPr>
        <w:t>(</w:t>
      </w:r>
      <w:r w:rsidRPr="00893261">
        <w:rPr>
          <w:i/>
          <w:szCs w:val="22"/>
        </w:rPr>
        <w:t>S</w:t>
      </w:r>
      <w:r>
        <w:rPr>
          <w:iCs/>
          <w:szCs w:val="22"/>
        </w:rPr>
        <w:t>)</w:t>
      </w:r>
      <w:r w:rsidRPr="00893261">
        <w:rPr>
          <w:szCs w:val="22"/>
        </w:rPr>
        <w:t xml:space="preserve">-conﬁguration </w:t>
      </w:r>
      <w:r>
        <w:rPr>
          <w:szCs w:val="22"/>
        </w:rPr>
        <w:t>as with the wild type enzyme.</w:t>
      </w:r>
    </w:p>
    <w:p w14:paraId="61AE4E07" w14:textId="77777777" w:rsidR="00930392" w:rsidRDefault="00930392" w:rsidP="000E69C9">
      <w:pPr>
        <w:pStyle w:val="P1withoutIndendation"/>
        <w:rPr>
          <w:b/>
          <w:szCs w:val="22"/>
        </w:rPr>
      </w:pPr>
    </w:p>
    <w:p w14:paraId="5819373F" w14:textId="725324F7" w:rsidR="00561D8F" w:rsidRPr="00173BD9" w:rsidRDefault="00561D8F" w:rsidP="000E69C9">
      <w:pPr>
        <w:pStyle w:val="P1withoutIndendation"/>
        <w:rPr>
          <w:lang w:val="en-GB"/>
        </w:rPr>
      </w:pPr>
      <w:r w:rsidRPr="001A56DC">
        <w:rPr>
          <w:b/>
          <w:szCs w:val="22"/>
        </w:rPr>
        <w:t>Figure 5</w:t>
      </w:r>
      <w:r>
        <w:rPr>
          <w:szCs w:val="22"/>
        </w:rPr>
        <w:t xml:space="preserve"> summarizes all the type of ketones described as substrates of the various mutants obtained from AADHs and </w:t>
      </w:r>
      <w:r w:rsidRPr="0087525B">
        <w:rPr>
          <w:szCs w:val="22"/>
        </w:rPr>
        <w:t xml:space="preserve">ε-deaminating </w:t>
      </w:r>
      <w:r w:rsidRPr="00A51455">
        <w:rPr>
          <w:sz w:val="18"/>
          <w:szCs w:val="18"/>
        </w:rPr>
        <w:t>L-</w:t>
      </w:r>
      <w:r w:rsidRPr="0087525B">
        <w:rPr>
          <w:szCs w:val="22"/>
        </w:rPr>
        <w:t>lysine dehydrogenase</w:t>
      </w:r>
      <w:r>
        <w:rPr>
          <w:szCs w:val="22"/>
        </w:rPr>
        <w:t xml:space="preserve">, and the </w:t>
      </w:r>
      <w:r w:rsidRPr="0087525B">
        <w:rPr>
          <w:szCs w:val="22"/>
        </w:rPr>
        <w:t>engineering scheme</w:t>
      </w:r>
      <w:r>
        <w:rPr>
          <w:szCs w:val="22"/>
        </w:rPr>
        <w:t>s</w:t>
      </w:r>
      <w:r w:rsidRPr="0087525B">
        <w:rPr>
          <w:szCs w:val="22"/>
        </w:rPr>
        <w:t xml:space="preserve"> followed to obtain them</w:t>
      </w:r>
      <w:r>
        <w:rPr>
          <w:szCs w:val="22"/>
        </w:rPr>
        <w:t xml:space="preserve">. Since the first engineering of an AADH for AmDH activity in 2012, a considerable amount of engineering work has been carried out by many groups. As illustrated in </w:t>
      </w:r>
      <w:r w:rsidRPr="00215BAC">
        <w:rPr>
          <w:b/>
          <w:szCs w:val="22"/>
        </w:rPr>
        <w:t>Figure 3</w:t>
      </w:r>
      <w:r>
        <w:rPr>
          <w:szCs w:val="22"/>
        </w:rPr>
        <w:t xml:space="preserve">, there is still scope for more mutagenesis, especially </w:t>
      </w:r>
      <w:r w:rsidRPr="00915527">
        <w:rPr>
          <w:szCs w:val="22"/>
        </w:rPr>
        <w:t xml:space="preserve">in the vicinity of the </w:t>
      </w:r>
      <w:r>
        <w:rPr>
          <w:szCs w:val="22"/>
        </w:rPr>
        <w:t xml:space="preserve">already </w:t>
      </w:r>
      <w:r w:rsidRPr="00915527">
        <w:rPr>
          <w:szCs w:val="22"/>
        </w:rPr>
        <w:t xml:space="preserve">mutated residues and </w:t>
      </w:r>
      <w:r>
        <w:rPr>
          <w:szCs w:val="22"/>
        </w:rPr>
        <w:t>outside the catalytic pocket for which</w:t>
      </w:r>
      <w:r w:rsidRPr="00EE7D01">
        <w:rPr>
          <w:szCs w:val="22"/>
        </w:rPr>
        <w:t xml:space="preserve"> examples have only been published very recently</w:t>
      </w:r>
      <w:r>
        <w:rPr>
          <w:szCs w:val="22"/>
        </w:rPr>
        <w:t>.</w:t>
      </w:r>
    </w:p>
    <w:p w14:paraId="5A6948DF" w14:textId="036A0505" w:rsidR="00561D8F" w:rsidRPr="00726F3A" w:rsidRDefault="006F2767" w:rsidP="000E69C9">
      <w:pPr>
        <w:pStyle w:val="H1"/>
      </w:pPr>
      <w:r w:rsidRPr="00E97073">
        <w:rPr>
          <w:highlight w:val="yellow"/>
        </w:rPr>
        <w:t>3</w:t>
      </w:r>
      <w:r>
        <w:t xml:space="preserve"> </w:t>
      </w:r>
      <w:r w:rsidR="00561D8F">
        <w:t>Engineered Opine dehydrogenases</w:t>
      </w:r>
      <w:r w:rsidR="0076552B">
        <w:t xml:space="preserve"> (OpDHs)</w:t>
      </w:r>
    </w:p>
    <w:p w14:paraId="2293AD34" w14:textId="2D618FCB" w:rsidR="00E67283" w:rsidRPr="008261A3" w:rsidRDefault="00561D8F" w:rsidP="00E67283">
      <w:pPr>
        <w:pStyle w:val="P1withoutIndendation"/>
        <w:ind w:firstLine="227"/>
        <w:rPr>
          <w:lang w:val="en-GB"/>
        </w:rPr>
      </w:pPr>
      <w:r>
        <w:t>Opine dehydrogenases (OpDHs) are a class of oxidoreductases that catalyze the reductive amination of α-keto acids, not with ammonia like AADHs, but with α-amino acids, using NADH as cofactor (</w:t>
      </w:r>
      <w:r w:rsidRPr="00624DBD">
        <w:rPr>
          <w:b/>
        </w:rPr>
        <w:t>Scheme 6</w:t>
      </w:r>
      <w:r>
        <w:t>). The resulting products, opines, have very different physiological roles, depend</w:t>
      </w:r>
      <w:r w:rsidR="00711B2B">
        <w:t>ing</w:t>
      </w:r>
      <w:r>
        <w:t xml:space="preserve"> on whether they are formed in </w:t>
      </w:r>
      <w:r w:rsidRPr="00804280">
        <w:t>invertebrates</w:t>
      </w:r>
      <w:r>
        <w:t xml:space="preserve"> or in plants.</w:t>
      </w:r>
      <w:r w:rsidR="003E6B17">
        <w:rPr>
          <w:noProof/>
          <w:vertAlign w:val="superscript"/>
        </w:rPr>
        <w:t>[32</w:t>
      </w:r>
      <w:r w:rsidRPr="00EB6EE9">
        <w:rPr>
          <w:noProof/>
          <w:vertAlign w:val="superscript"/>
        </w:rPr>
        <w:t>]</w:t>
      </w:r>
      <w:r>
        <w:t xml:space="preserve"> </w:t>
      </w:r>
      <w:r w:rsidR="00E67283">
        <w:t>In the former, their formation ensures</w:t>
      </w:r>
      <w:r w:rsidR="00EF5F5A">
        <w:t xml:space="preserve"> the</w:t>
      </w:r>
      <w:r w:rsidR="00E67283">
        <w:t xml:space="preserve"> consumption of pyruvate and NADH keeping glycolysis running upon anaerobic exercise; in the latter they ensure the growth of the </w:t>
      </w:r>
      <w:r w:rsidR="00E67283" w:rsidRPr="00953C87">
        <w:t xml:space="preserve">parasitic </w:t>
      </w:r>
      <w:r w:rsidR="00E67283" w:rsidRPr="008E16D0">
        <w:rPr>
          <w:i/>
        </w:rPr>
        <w:t>Agrobacteria</w:t>
      </w:r>
      <w:r w:rsidR="00E67283" w:rsidRPr="00953C87">
        <w:t xml:space="preserve"> </w:t>
      </w:r>
      <w:r w:rsidR="00E67283">
        <w:t>responsible for crown gall disease of plants after genomic insertion of the OpDH coding region into the host plant.</w:t>
      </w:r>
      <w:r w:rsidR="003E6B17">
        <w:rPr>
          <w:noProof/>
          <w:vertAlign w:val="superscript"/>
        </w:rPr>
        <w:t>[33</w:t>
      </w:r>
      <w:r w:rsidR="00E67283" w:rsidRPr="00EB6EE9">
        <w:rPr>
          <w:noProof/>
          <w:vertAlign w:val="superscript"/>
        </w:rPr>
        <w:t>]</w:t>
      </w:r>
    </w:p>
    <w:p w14:paraId="1668660E" w14:textId="77777777" w:rsidR="00E67283" w:rsidRPr="001F38DA" w:rsidRDefault="004E3061" w:rsidP="00E67283">
      <w:pPr>
        <w:spacing w:before="360"/>
        <w:rPr>
          <w:color w:val="FF0000"/>
          <w:sz w:val="18"/>
          <w:szCs w:val="20"/>
          <w:lang w:val="en-GB"/>
        </w:rPr>
      </w:pPr>
      <w:r w:rsidRPr="004E3061">
        <w:rPr>
          <w:noProof/>
          <w:color w:val="FF0000"/>
          <w:sz w:val="18"/>
          <w:szCs w:val="20"/>
          <w:lang w:val="en-GB"/>
        </w:rPr>
        <w:object w:dxaOrig="6427" w:dyaOrig="3665" w14:anchorId="7228CED5">
          <v:shape id="_x0000_i1030" type="#_x0000_t75" alt="" style="width:237.75pt;height:137.25pt;mso-width-percent:0;mso-height-percent:0;mso-width-percent:0;mso-height-percent:0" o:ole="">
            <v:imagedata r:id="rId29" o:title=""/>
          </v:shape>
          <o:OLEObject Type="Embed" ProgID="ChemDraw.Document.6.0" ShapeID="_x0000_i1030" DrawAspect="Content" ObjectID="_1661677390" r:id="rId30"/>
        </w:object>
      </w:r>
    </w:p>
    <w:p w14:paraId="3E1FE979" w14:textId="77777777" w:rsidR="00E67283" w:rsidRPr="008261A3" w:rsidRDefault="00E67283" w:rsidP="00E67283">
      <w:pPr>
        <w:pStyle w:val="SchemeCaption"/>
      </w:pPr>
      <w:r>
        <w:rPr>
          <w:b/>
        </w:rPr>
        <w:t>Scheme 6.</w:t>
      </w:r>
      <w:r>
        <w:t xml:space="preserve"> </w:t>
      </w:r>
      <w:r w:rsidRPr="00B47E9D">
        <w:rPr>
          <w:szCs w:val="20"/>
        </w:rPr>
        <w:t xml:space="preserve">General reaction </w:t>
      </w:r>
      <w:r>
        <w:rPr>
          <w:szCs w:val="20"/>
        </w:rPr>
        <w:t>catalyzed</w:t>
      </w:r>
      <w:r w:rsidRPr="00B47E9D">
        <w:rPr>
          <w:szCs w:val="20"/>
        </w:rPr>
        <w:t xml:space="preserve"> by OpDHs and engineered CENDH</w:t>
      </w:r>
      <w:r>
        <w:rPr>
          <w:szCs w:val="20"/>
        </w:rPr>
        <w:t>.</w:t>
      </w:r>
    </w:p>
    <w:p w14:paraId="694C9E3F" w14:textId="24012527" w:rsidR="00E67283" w:rsidRDefault="00E67283" w:rsidP="00E67283">
      <w:pPr>
        <w:pStyle w:val="P1withIndendation"/>
      </w:pPr>
      <w:r>
        <w:t xml:space="preserve">The OpDH from </w:t>
      </w:r>
      <w:r w:rsidRPr="00804280">
        <w:rPr>
          <w:i/>
        </w:rPr>
        <w:t>Arthrobacter</w:t>
      </w:r>
      <w:r>
        <w:t xml:space="preserve"> sp. strain 1C (Uniprot ID: Q44297), named CENDH, is one of the most characterized OpDHs</w:t>
      </w:r>
      <w:proofErr w:type="gramStart"/>
      <w:r>
        <w:t>,</w:t>
      </w:r>
      <w:r w:rsidR="003E6B17">
        <w:rPr>
          <w:noProof/>
          <w:vertAlign w:val="superscript"/>
        </w:rPr>
        <w:t>[</w:t>
      </w:r>
      <w:proofErr w:type="gramEnd"/>
      <w:r w:rsidR="003E6B17">
        <w:rPr>
          <w:noProof/>
          <w:vertAlign w:val="superscript"/>
        </w:rPr>
        <w:t>34</w:t>
      </w:r>
      <w:r w:rsidRPr="00EB6EE9">
        <w:rPr>
          <w:noProof/>
          <w:vertAlign w:val="superscript"/>
        </w:rPr>
        <w:t>]</w:t>
      </w:r>
      <w:r>
        <w:t xml:space="preserve"> together with that of </w:t>
      </w:r>
      <w:r w:rsidRPr="00CD6972">
        <w:t xml:space="preserve">the great scallop </w:t>
      </w:r>
      <w:r w:rsidRPr="008E16D0">
        <w:rPr>
          <w:i/>
        </w:rPr>
        <w:t>Pecten maximus</w:t>
      </w:r>
      <w:r>
        <w:t>.</w:t>
      </w:r>
      <w:r w:rsidR="003E6B17">
        <w:rPr>
          <w:noProof/>
          <w:vertAlign w:val="superscript"/>
        </w:rPr>
        <w:t>[35</w:t>
      </w:r>
      <w:r w:rsidRPr="00EB6EE9">
        <w:rPr>
          <w:noProof/>
          <w:vertAlign w:val="superscript"/>
        </w:rPr>
        <w:t>]</w:t>
      </w:r>
      <w:r>
        <w:t xml:space="preserve"> In addition to NAD</w:t>
      </w:r>
      <w:r w:rsidRPr="00804280">
        <w:rPr>
          <w:vertAlign w:val="superscript"/>
        </w:rPr>
        <w:t>+</w:t>
      </w:r>
      <w:r>
        <w:t xml:space="preserve">-dependent oxidation of opines of plant origin, such as methiopine, reductive aminations are also performed by these enzymes, with the </w:t>
      </w:r>
      <w:r w:rsidRPr="006F6D20">
        <w:t>(</w:t>
      </w:r>
      <w:r w:rsidRPr="006F6D20">
        <w:rPr>
          <w:i/>
        </w:rPr>
        <w:t>R</w:t>
      </w:r>
      <w:r w:rsidRPr="006F6D20">
        <w:t>)</w:t>
      </w:r>
      <w:r>
        <w:t>-</w:t>
      </w:r>
      <w:r w:rsidRPr="006F6D20">
        <w:t xml:space="preserve">configuration at the newly generated </w:t>
      </w:r>
      <w:r w:rsidRPr="00E92DDB">
        <w:t>stereogenic cent</w:t>
      </w:r>
      <w:r w:rsidR="00EF5F5A" w:rsidRPr="00E92DDB">
        <w:t>er</w:t>
      </w:r>
      <w:r w:rsidRPr="00E92DDB">
        <w:t xml:space="preserve"> of the opine products. They preferentially bind pyruvate </w:t>
      </w:r>
      <w:r w:rsidRPr="00E92DDB">
        <w:rPr>
          <w:b/>
        </w:rPr>
        <w:t>41</w:t>
      </w:r>
      <w:r w:rsidRPr="00E92DDB">
        <w:t xml:space="preserve"> as electrophile and, to a lesser extent, α-ketobutyrate </w:t>
      </w:r>
      <w:r w:rsidRPr="00E92DDB">
        <w:rPr>
          <w:b/>
        </w:rPr>
        <w:t>42</w:t>
      </w:r>
      <w:r w:rsidRPr="00E92DDB">
        <w:t xml:space="preserve">, α-ketovalerate </w:t>
      </w:r>
      <w:r w:rsidRPr="00E92DDB">
        <w:rPr>
          <w:b/>
        </w:rPr>
        <w:t>43</w:t>
      </w:r>
      <w:r w:rsidRPr="00E92DDB">
        <w:t xml:space="preserve"> </w:t>
      </w:r>
      <w:r w:rsidR="00EF5F5A" w:rsidRPr="00E92DDB">
        <w:t xml:space="preserve">and </w:t>
      </w:r>
      <w:r w:rsidRPr="00E92DDB">
        <w:t xml:space="preserve">oxaloacetate </w:t>
      </w:r>
      <w:r w:rsidRPr="00E92DDB">
        <w:rPr>
          <w:b/>
        </w:rPr>
        <w:t>44</w:t>
      </w:r>
      <w:r w:rsidRPr="00E92DDB">
        <w:t>. In addition to its activity toward (</w:t>
      </w:r>
      <w:r w:rsidRPr="00E92DDB">
        <w:rPr>
          <w:i/>
        </w:rPr>
        <w:t>S</w:t>
      </w:r>
      <w:r w:rsidRPr="00E92DDB">
        <w:t>)-methionine and (</w:t>
      </w:r>
      <w:r w:rsidRPr="00E92DDB">
        <w:rPr>
          <w:i/>
        </w:rPr>
        <w:t>S</w:t>
      </w:r>
      <w:r w:rsidRPr="00E92DDB">
        <w:t>)-</w:t>
      </w:r>
      <w:r>
        <w:t xml:space="preserve">phenylalanine, ODH was found to be even more active toward </w:t>
      </w:r>
      <w:r w:rsidRPr="00995376">
        <w:rPr>
          <w:sz w:val="18"/>
          <w:szCs w:val="18"/>
        </w:rPr>
        <w:t>L</w:t>
      </w:r>
      <w:r>
        <w:t xml:space="preserve">-norvaline, hence its name </w:t>
      </w:r>
      <w:r w:rsidRPr="006F6D20">
        <w:rPr>
          <w:i/>
        </w:rPr>
        <w:t>N</w:t>
      </w:r>
      <w:r>
        <w:t>-(1-</w:t>
      </w:r>
      <w:r w:rsidRPr="006F6D20">
        <w:rPr>
          <w:sz w:val="18"/>
          <w:szCs w:val="18"/>
        </w:rPr>
        <w:t>D</w:t>
      </w:r>
      <w:r>
        <w:t>-carboxyethyl)-</w:t>
      </w:r>
      <w:r w:rsidRPr="006F6D20">
        <w:rPr>
          <w:sz w:val="18"/>
          <w:szCs w:val="18"/>
        </w:rPr>
        <w:t>L</w:t>
      </w:r>
      <w:r>
        <w:t>-norvaline dehydrogenase (CENDH) (</w:t>
      </w:r>
      <w:r w:rsidRPr="0012499F">
        <w:rPr>
          <w:b/>
        </w:rPr>
        <w:t>Scheme 6</w:t>
      </w:r>
      <w:r>
        <w:t>).</w:t>
      </w:r>
      <w:r w:rsidRPr="00F223A7">
        <w:t xml:space="preserve"> </w:t>
      </w:r>
    </w:p>
    <w:p w14:paraId="7182F8D1" w14:textId="1C801409" w:rsidR="00E67283" w:rsidRDefault="00E67283" w:rsidP="00E67283">
      <w:pPr>
        <w:pStyle w:val="P1withoutIndendation"/>
        <w:sectPr w:rsidR="00E67283" w:rsidSect="00E67283">
          <w:pgSz w:w="11906" w:h="16838" w:code="9"/>
          <w:pgMar w:top="1134" w:right="680" w:bottom="1225" w:left="1361" w:header="709" w:footer="709" w:gutter="0"/>
          <w:cols w:num="2" w:space="340"/>
          <w:docGrid w:linePitch="360"/>
        </w:sectPr>
      </w:pPr>
    </w:p>
    <w:p w14:paraId="759DCABD" w14:textId="6FCE24C3" w:rsidR="00E67283" w:rsidRPr="001F38DA" w:rsidRDefault="00226FA8" w:rsidP="00E67283">
      <w:pPr>
        <w:spacing w:before="360"/>
        <w:rPr>
          <w:color w:val="FF0000"/>
          <w:sz w:val="18"/>
          <w:szCs w:val="20"/>
          <w:lang w:val="en-GB"/>
        </w:rPr>
      </w:pPr>
      <w:r>
        <w:rPr>
          <w:noProof/>
          <w:color w:val="FF0000"/>
          <w:sz w:val="18"/>
          <w:szCs w:val="20"/>
          <w:lang w:val="en-GB" w:eastAsia="en-GB"/>
        </w:rPr>
        <w:drawing>
          <wp:inline distT="0" distB="0" distL="0" distR="0" wp14:anchorId="52654E3D" wp14:editId="06BBD0AC">
            <wp:extent cx="6178550" cy="246062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ructureOpDH.png"/>
                    <pic:cNvPicPr/>
                  </pic:nvPicPr>
                  <pic:blipFill rotWithShape="1">
                    <a:blip r:embed="rId31">
                      <a:extLst>
                        <a:ext uri="{28A0092B-C50C-407E-A947-70E740481C1C}">
                          <a14:useLocalDpi xmlns:a14="http://schemas.microsoft.com/office/drawing/2010/main" val="0"/>
                        </a:ext>
                      </a:extLst>
                    </a:blip>
                    <a:srcRect l="1369"/>
                    <a:stretch/>
                  </pic:blipFill>
                  <pic:spPr bwMode="auto">
                    <a:xfrm>
                      <a:off x="0" y="0"/>
                      <a:ext cx="6178550" cy="2460625"/>
                    </a:xfrm>
                    <a:prstGeom prst="rect">
                      <a:avLst/>
                    </a:prstGeom>
                    <a:ln>
                      <a:noFill/>
                    </a:ln>
                    <a:extLst>
                      <a:ext uri="{53640926-AAD7-44D8-BBD7-CCE9431645EC}">
                        <a14:shadowObscured xmlns:a14="http://schemas.microsoft.com/office/drawing/2010/main"/>
                      </a:ext>
                    </a:extLst>
                  </pic:spPr>
                </pic:pic>
              </a:graphicData>
            </a:graphic>
          </wp:inline>
        </w:drawing>
      </w:r>
    </w:p>
    <w:p w14:paraId="65F7670C" w14:textId="07EE17A7" w:rsidR="00561D8F" w:rsidRDefault="00E67283" w:rsidP="000E69C9">
      <w:pPr>
        <w:pStyle w:val="FigureCaption"/>
        <w:sectPr w:rsidR="00561D8F" w:rsidSect="00E67283">
          <w:type w:val="continuous"/>
          <w:pgSz w:w="11906" w:h="16838" w:code="9"/>
          <w:pgMar w:top="1134" w:right="680" w:bottom="1225" w:left="1361" w:header="709" w:footer="709" w:gutter="0"/>
          <w:cols w:space="340"/>
          <w:docGrid w:linePitch="360"/>
        </w:sectPr>
      </w:pPr>
      <w:r w:rsidRPr="00E92DDB">
        <w:rPr>
          <w:b/>
        </w:rPr>
        <w:t>Figure 6.</w:t>
      </w:r>
      <w:r w:rsidRPr="00E92DDB">
        <w:t xml:space="preserve"> </w:t>
      </w:r>
      <w:r w:rsidRPr="00E92DDB">
        <w:rPr>
          <w:bCs/>
          <w:szCs w:val="20"/>
        </w:rPr>
        <w:t xml:space="preserve">Global structure of CENDH (PDB: 1BG6). </w:t>
      </w:r>
      <w:r w:rsidRPr="00E92DDB">
        <w:rPr>
          <w:b/>
          <w:szCs w:val="20"/>
        </w:rPr>
        <w:t>A)</w:t>
      </w:r>
      <w:r w:rsidRPr="00E92DDB">
        <w:rPr>
          <w:szCs w:val="20"/>
        </w:rPr>
        <w:t xml:space="preserve"> Structure of CENDH in ribbon format </w:t>
      </w:r>
      <w:r w:rsidRPr="00E92DDB">
        <w:rPr>
          <w:b/>
          <w:szCs w:val="20"/>
        </w:rPr>
        <w:t>B)</w:t>
      </w:r>
      <w:r w:rsidRPr="00E92DDB">
        <w:rPr>
          <w:szCs w:val="20"/>
        </w:rPr>
        <w:t xml:space="preserve"> Detail of the key positions targeted for mutagenesis by Codexis, shown with carbon atoms in blue. The position of NADPH and pyruvate, respectively in grey and yellow, were obtained by 3D-alignment with the structure of OpDH from </w:t>
      </w:r>
      <w:r w:rsidRPr="00E92DDB">
        <w:rPr>
          <w:i/>
          <w:szCs w:val="20"/>
        </w:rPr>
        <w:t>Pecten maximus</w:t>
      </w:r>
      <w:r w:rsidRPr="00E92DDB">
        <w:rPr>
          <w:szCs w:val="20"/>
        </w:rPr>
        <w:t xml:space="preserve"> (PDB:  3C7D).</w:t>
      </w:r>
    </w:p>
    <w:p w14:paraId="6B795C76" w14:textId="16A75849" w:rsidR="00561D8F" w:rsidRPr="00E92DDB" w:rsidRDefault="00E67283" w:rsidP="0054071D">
      <w:pPr>
        <w:pStyle w:val="P1withIndendation"/>
        <w:rPr>
          <w:noProof/>
          <w:szCs w:val="22"/>
          <w:vertAlign w:val="superscript"/>
        </w:rPr>
      </w:pPr>
      <w:r w:rsidRPr="00E92DDB">
        <w:t xml:space="preserve">The resolution of its structure (PDB: </w:t>
      </w:r>
      <w:r w:rsidR="00503141" w:rsidRPr="00E92DDB">
        <w:t xml:space="preserve">1BG6 </w:t>
      </w:r>
      <w:r w:rsidRPr="00E92DDB">
        <w:t xml:space="preserve">apo structure) combined with a mechanistic study of the already resolved OpDH from </w:t>
      </w:r>
      <w:r w:rsidRPr="00E92DDB">
        <w:rPr>
          <w:i/>
        </w:rPr>
        <w:t>Pecten maximus</w:t>
      </w:r>
      <w:r w:rsidRPr="00E92DDB">
        <w:t xml:space="preserve"> (PDB: 3C7C holo structure with </w:t>
      </w:r>
      <w:r w:rsidRPr="00E92DDB">
        <w:rPr>
          <w:sz w:val="18"/>
          <w:szCs w:val="18"/>
        </w:rPr>
        <w:t>L</w:t>
      </w:r>
      <w:r w:rsidRPr="00E92DDB">
        <w:t xml:space="preserve">-arginine; 3C7D holo structure with pyruvate </w:t>
      </w:r>
      <w:r w:rsidRPr="00E92DDB">
        <w:rPr>
          <w:b/>
        </w:rPr>
        <w:t>41</w:t>
      </w:r>
      <w:r w:rsidRPr="00E92DDB">
        <w:t>) provided preliminary insights into its mechanism (</w:t>
      </w:r>
      <w:r w:rsidRPr="00E92DDB">
        <w:rPr>
          <w:b/>
        </w:rPr>
        <w:t>Figure 6</w:t>
      </w:r>
      <w:r w:rsidRPr="00E92DDB">
        <w:t xml:space="preserve">). Like other AADHs, these enzymes possess a two-domain structure with a cleft at the interface holding the cofactor. Despite the identification of key residues binding pyruvate </w:t>
      </w:r>
      <w:r w:rsidRPr="00E92DDB">
        <w:rPr>
          <w:b/>
        </w:rPr>
        <w:t>41</w:t>
      </w:r>
      <w:r w:rsidRPr="00E92DDB">
        <w:t xml:space="preserve"> (Q118, H212 and E142 in the case of OpDH from </w:t>
      </w:r>
      <w:r w:rsidRPr="00E92DDB">
        <w:rPr>
          <w:i/>
        </w:rPr>
        <w:t>Pecten maximus</w:t>
      </w:r>
      <w:r w:rsidRPr="00E92DDB">
        <w:t>) and some NMR evidence of sequential order of substrate binding</w:t>
      </w:r>
      <w:proofErr w:type="gramStart"/>
      <w:r w:rsidRPr="00E92DDB">
        <w:t>,</w:t>
      </w:r>
      <w:r w:rsidR="003E6B17" w:rsidRPr="00E92DDB">
        <w:rPr>
          <w:noProof/>
          <w:vertAlign w:val="superscript"/>
        </w:rPr>
        <w:t>[</w:t>
      </w:r>
      <w:proofErr w:type="gramEnd"/>
      <w:r w:rsidR="003E6B17" w:rsidRPr="00E92DDB">
        <w:rPr>
          <w:noProof/>
          <w:vertAlign w:val="superscript"/>
        </w:rPr>
        <w:t>36</w:t>
      </w:r>
      <w:r w:rsidRPr="00E92DDB">
        <w:rPr>
          <w:noProof/>
          <w:vertAlign w:val="superscript"/>
        </w:rPr>
        <w:t>]</w:t>
      </w:r>
      <w:r w:rsidRPr="00E92DDB">
        <w:t xml:space="preserve"> no further description of the mechanism has been reported. Considering its relaxed substrate scope</w:t>
      </w:r>
      <w:r w:rsidRPr="00E92DDB">
        <w:rPr>
          <w:szCs w:val="22"/>
        </w:rPr>
        <w:t>, Codexis used CENDH as a starting template to evolve it into a catalyst able to synthesize tertiary amines.</w:t>
      </w:r>
      <w:r w:rsidR="003E6B17" w:rsidRPr="00E92DDB">
        <w:rPr>
          <w:noProof/>
          <w:szCs w:val="22"/>
          <w:vertAlign w:val="superscript"/>
        </w:rPr>
        <w:t>[37</w:t>
      </w:r>
      <w:r w:rsidRPr="00E92DDB">
        <w:rPr>
          <w:noProof/>
          <w:szCs w:val="22"/>
          <w:vertAlign w:val="superscript"/>
        </w:rPr>
        <w:t>]</w:t>
      </w:r>
      <w:r w:rsidR="0054071D" w:rsidRPr="00E92DDB">
        <w:rPr>
          <w:noProof/>
          <w:szCs w:val="22"/>
          <w:vertAlign w:val="superscript"/>
        </w:rPr>
        <w:t xml:space="preserve"> </w:t>
      </w:r>
      <w:r w:rsidRPr="00E92DDB">
        <w:rPr>
          <w:szCs w:val="22"/>
        </w:rPr>
        <w:t xml:space="preserve">The variants, obtained after an extensive effort on directed evolution experiments using the protein engineering technology CodeEvolver®, were not only more active toward the two native substrates of CENDH, pyruvate </w:t>
      </w:r>
      <w:r w:rsidRPr="00E92DDB">
        <w:rPr>
          <w:b/>
          <w:szCs w:val="22"/>
        </w:rPr>
        <w:t xml:space="preserve">41 </w:t>
      </w:r>
      <w:r w:rsidRPr="00E92DDB">
        <w:rPr>
          <w:szCs w:val="22"/>
        </w:rPr>
        <w:t xml:space="preserve">and </w:t>
      </w:r>
      <w:r w:rsidRPr="00E92DDB">
        <w:rPr>
          <w:sz w:val="18"/>
          <w:szCs w:val="18"/>
        </w:rPr>
        <w:t>L</w:t>
      </w:r>
      <w:r w:rsidRPr="00E92DDB">
        <w:rPr>
          <w:szCs w:val="22"/>
        </w:rPr>
        <w:t xml:space="preserve">-norvaline, but were also able to catalyze the coupling of a range of ketone substrates, such as cyclohexanone </w:t>
      </w:r>
      <w:r w:rsidRPr="00E92DDB">
        <w:rPr>
          <w:b/>
          <w:szCs w:val="22"/>
        </w:rPr>
        <w:t>3</w:t>
      </w:r>
      <w:r w:rsidRPr="00E92DDB">
        <w:rPr>
          <w:szCs w:val="22"/>
        </w:rPr>
        <w:t xml:space="preserve">, cyclopentanone </w:t>
      </w:r>
      <w:r w:rsidRPr="00E92DDB">
        <w:rPr>
          <w:b/>
          <w:szCs w:val="22"/>
        </w:rPr>
        <w:t>45</w:t>
      </w:r>
      <w:r w:rsidRPr="00E92DDB">
        <w:rPr>
          <w:szCs w:val="22"/>
        </w:rPr>
        <w:t xml:space="preserve"> or 5-methoxy-tetralone </w:t>
      </w:r>
      <w:r w:rsidRPr="00E92DDB">
        <w:rPr>
          <w:b/>
          <w:szCs w:val="22"/>
        </w:rPr>
        <w:t>46</w:t>
      </w:r>
      <w:r w:rsidRPr="00E92DDB">
        <w:rPr>
          <w:szCs w:val="22"/>
        </w:rPr>
        <w:t xml:space="preserve"> (</w:t>
      </w:r>
      <w:r w:rsidRPr="00E92DDB">
        <w:rPr>
          <w:b/>
          <w:szCs w:val="22"/>
        </w:rPr>
        <w:t>Scheme 6</w:t>
      </w:r>
      <w:r w:rsidRPr="00E92DDB">
        <w:rPr>
          <w:szCs w:val="22"/>
        </w:rPr>
        <w:t>).</w:t>
      </w:r>
      <w:r w:rsidR="0054071D" w:rsidRPr="00E92DDB">
        <w:rPr>
          <w:szCs w:val="22"/>
        </w:rPr>
        <w:t xml:space="preserve"> </w:t>
      </w:r>
      <w:r w:rsidR="00561D8F" w:rsidRPr="00E92DDB">
        <w:rPr>
          <w:szCs w:val="22"/>
        </w:rPr>
        <w:t>A variety of amine partners was accepted, such as butylamine or pyrrolidinol, and transformed to products with high enantiomeric excess. The mutations that could positively impact the activity toward a wide range of substrates mostly targeted residues located in the active site cleft.</w:t>
      </w:r>
      <w:r w:rsidR="00561D8F" w:rsidRPr="00E92DDB" w:rsidDel="00FE4444">
        <w:rPr>
          <w:szCs w:val="22"/>
        </w:rPr>
        <w:t xml:space="preserve"> </w:t>
      </w:r>
      <w:r w:rsidR="00561D8F" w:rsidRPr="00E92DDB">
        <w:rPr>
          <w:szCs w:val="22"/>
        </w:rPr>
        <w:t>For example, the multiple variant A111M/K156T/N198H/Y259M/Y280L/R292V/Y293H was ranked first for the conversion of</w:t>
      </w:r>
      <w:r w:rsidR="00561D8F" w:rsidRPr="00E92DDB">
        <w:rPr>
          <w:szCs w:val="18"/>
        </w:rPr>
        <w:t xml:space="preserve"> cyclohexanone</w:t>
      </w:r>
      <w:r w:rsidR="00711B2B" w:rsidRPr="00E92DDB">
        <w:rPr>
          <w:szCs w:val="18"/>
        </w:rPr>
        <w:t xml:space="preserve"> </w:t>
      </w:r>
      <w:r w:rsidR="00711B2B" w:rsidRPr="00E92DDB">
        <w:rPr>
          <w:b/>
          <w:szCs w:val="18"/>
        </w:rPr>
        <w:t>3</w:t>
      </w:r>
      <w:r w:rsidR="00561D8F" w:rsidRPr="00E92DDB">
        <w:rPr>
          <w:szCs w:val="18"/>
        </w:rPr>
        <w:t xml:space="preserve"> and butylamine into </w:t>
      </w:r>
      <w:r w:rsidR="00561D8F" w:rsidRPr="00E92DDB">
        <w:rPr>
          <w:i/>
          <w:szCs w:val="18"/>
        </w:rPr>
        <w:t>N</w:t>
      </w:r>
      <w:r w:rsidR="00561D8F" w:rsidRPr="00E92DDB">
        <w:rPr>
          <w:szCs w:val="18"/>
        </w:rPr>
        <w:t>-butyl-</w:t>
      </w:r>
      <w:r w:rsidR="00561D8F" w:rsidRPr="00E92DDB">
        <w:rPr>
          <w:i/>
          <w:szCs w:val="18"/>
        </w:rPr>
        <w:t>N</w:t>
      </w:r>
      <w:r w:rsidR="00561D8F" w:rsidRPr="00E92DDB">
        <w:rPr>
          <w:szCs w:val="18"/>
        </w:rPr>
        <w:t>-cyclohexylamine. To our knowledge, no other work regarding the engineering of these enzymes for reductive amination has been published. More structural studies are required to expand their biocatalytic potential, bearing in mind their native activity toward various type of amines and the actual mechanistic knowledge of AADHs. Other types of OpDHs</w:t>
      </w:r>
      <w:r w:rsidR="00065167" w:rsidRPr="00E92DDB">
        <w:rPr>
          <w:szCs w:val="18"/>
        </w:rPr>
        <w:t>, such as saccharopine DHs,</w:t>
      </w:r>
      <w:r w:rsidR="00561D8F" w:rsidRPr="00E92DDB">
        <w:rPr>
          <w:szCs w:val="18"/>
        </w:rPr>
        <w:t xml:space="preserve"> </w:t>
      </w:r>
      <w:r w:rsidR="00065167" w:rsidRPr="00E92DDB">
        <w:rPr>
          <w:szCs w:val="18"/>
        </w:rPr>
        <w:t>may also</w:t>
      </w:r>
      <w:r w:rsidR="00561D8F" w:rsidRPr="00E92DDB">
        <w:rPr>
          <w:szCs w:val="18"/>
        </w:rPr>
        <w:t xml:space="preserve"> be valuable templates</w:t>
      </w:r>
      <w:r w:rsidR="00065167" w:rsidRPr="00E92DDB">
        <w:rPr>
          <w:szCs w:val="18"/>
        </w:rPr>
        <w:t xml:space="preserve"> for engineering.</w:t>
      </w:r>
      <w:r w:rsidR="00561D8F" w:rsidRPr="00E92DDB">
        <w:rPr>
          <w:szCs w:val="18"/>
        </w:rPr>
        <w:t xml:space="preserve"> In view of the significant difference</w:t>
      </w:r>
      <w:r w:rsidR="00503141" w:rsidRPr="00E92DDB">
        <w:rPr>
          <w:szCs w:val="18"/>
        </w:rPr>
        <w:t>s</w:t>
      </w:r>
      <w:r w:rsidR="00561D8F" w:rsidRPr="00E92DDB">
        <w:rPr>
          <w:szCs w:val="18"/>
        </w:rPr>
        <w:t xml:space="preserve"> between their native substrates and the targeted substrates, the evolution of OpDHs constitutes a considerable piece of enzyme engineering.</w:t>
      </w:r>
    </w:p>
    <w:p w14:paraId="29DD0C63" w14:textId="56784032" w:rsidR="00561D8F" w:rsidRPr="00E92DDB" w:rsidRDefault="006F2767" w:rsidP="000E69C9">
      <w:pPr>
        <w:pStyle w:val="H1"/>
      </w:pPr>
      <w:r w:rsidRPr="00E92DDB">
        <w:t xml:space="preserve">4 </w:t>
      </w:r>
      <w:r w:rsidR="00561D8F" w:rsidRPr="00E92DDB">
        <w:t xml:space="preserve">Native Amine </w:t>
      </w:r>
      <w:r w:rsidR="0076552B" w:rsidRPr="00E92DDB">
        <w:t>D</w:t>
      </w:r>
      <w:r w:rsidR="00561D8F" w:rsidRPr="00E92DDB">
        <w:t>ehydrogenases</w:t>
      </w:r>
    </w:p>
    <w:p w14:paraId="2030ECA3" w14:textId="615A3A8C" w:rsidR="00561D8F" w:rsidRPr="008261A3" w:rsidRDefault="00561D8F" w:rsidP="000E69C9">
      <w:pPr>
        <w:pStyle w:val="P1withoutIndendation"/>
        <w:rPr>
          <w:lang w:val="en-GB"/>
        </w:rPr>
      </w:pPr>
      <w:r w:rsidRPr="00E92DDB">
        <w:t>To meet the demand in synthetically useful AmDHs, an exploration of protein biodiversity was considered a good strategy to find wild-type AmDHs with various substrate scopes and new scaffolds to provide templates for protein engineering (</w:t>
      </w:r>
      <w:r w:rsidRPr="00E92DDB">
        <w:rPr>
          <w:b/>
        </w:rPr>
        <w:t>Scheme 7</w:t>
      </w:r>
      <w:r w:rsidRPr="00E92DDB">
        <w:t xml:space="preserve">). Some examples of this activity occurring in nature were published at the beginning of the 2000s by Itoh and coworkers, who reported an amine dehydrogenase from </w:t>
      </w:r>
      <w:r w:rsidRPr="00E92DDB">
        <w:rPr>
          <w:i/>
        </w:rPr>
        <w:t>Streptomyces virginiae</w:t>
      </w:r>
      <w:r w:rsidRPr="00E92DDB">
        <w:rPr>
          <w:iCs/>
        </w:rPr>
        <w:t xml:space="preserve"> that was active toward a broad range of ketone and aldehyde substrates but displayed low enantioselectivity for most of these substrates</w:t>
      </w:r>
      <w:r w:rsidRPr="00E92DDB">
        <w:t>.</w:t>
      </w:r>
      <w:r w:rsidR="003E6B17" w:rsidRPr="00E92DDB">
        <w:rPr>
          <w:noProof/>
          <w:vertAlign w:val="superscript"/>
        </w:rPr>
        <w:t>[38</w:t>
      </w:r>
      <w:r w:rsidRPr="00E92DDB">
        <w:rPr>
          <w:noProof/>
          <w:vertAlign w:val="superscript"/>
        </w:rPr>
        <w:t>]</w:t>
      </w:r>
      <w:r w:rsidRPr="00E92DDB">
        <w:t xml:space="preserve"> Later on, Wang </w:t>
      </w:r>
      <w:r w:rsidRPr="00E92DDB">
        <w:rPr>
          <w:i/>
        </w:rPr>
        <w:t>et al.</w:t>
      </w:r>
      <w:r w:rsidRPr="00E92DDB">
        <w:t xml:space="preserve"> also identified an activity using  whole cells of </w:t>
      </w:r>
      <w:r w:rsidRPr="00E92DDB">
        <w:rPr>
          <w:i/>
        </w:rPr>
        <w:t>Pseudomonas kilonensis</w:t>
      </w:r>
      <w:r w:rsidRPr="00E92DDB">
        <w:t>.</w:t>
      </w:r>
      <w:r w:rsidR="003E6B17" w:rsidRPr="00E92DDB">
        <w:rPr>
          <w:noProof/>
          <w:vertAlign w:val="superscript"/>
        </w:rPr>
        <w:t>[39</w:t>
      </w:r>
      <w:r w:rsidRPr="00E92DDB">
        <w:rPr>
          <w:noProof/>
          <w:vertAlign w:val="superscript"/>
        </w:rPr>
        <w:t>]</w:t>
      </w:r>
      <w:r w:rsidRPr="00E92DDB">
        <w:t xml:space="preserve"> The absence of gene identification in these studies prevented any further </w:t>
      </w:r>
      <w:r w:rsidR="00912376" w:rsidRPr="00E92DDB">
        <w:t>characterization</w:t>
      </w:r>
      <w:r w:rsidRPr="00E92DDB">
        <w:t xml:space="preserve"> of these enzymes, but these detected native activities demonstrated the usefulness of exploring biodiversity in addition to protein engineering for the identification of novel AmDH activities in addition to carry</w:t>
      </w:r>
      <w:r w:rsidR="00F42584" w:rsidRPr="00E92DDB">
        <w:t>ing</w:t>
      </w:r>
      <w:r w:rsidRPr="00E92DDB">
        <w:t xml:space="preserve"> out</w:t>
      </w:r>
      <w:r w:rsidRPr="00325477">
        <w:t xml:space="preserve"> engineering work</w:t>
      </w:r>
      <w:r>
        <w:t xml:space="preserve"> with other families.</w:t>
      </w:r>
    </w:p>
    <w:p w14:paraId="0FF2E550" w14:textId="77777777" w:rsidR="00561D8F" w:rsidRPr="001F38DA" w:rsidRDefault="004E3061" w:rsidP="000E69C9">
      <w:pPr>
        <w:spacing w:before="360"/>
        <w:rPr>
          <w:color w:val="FF0000"/>
          <w:sz w:val="18"/>
          <w:szCs w:val="20"/>
          <w:lang w:val="en-GB"/>
        </w:rPr>
      </w:pPr>
      <w:r w:rsidRPr="004E3061">
        <w:rPr>
          <w:noProof/>
          <w:color w:val="FF0000"/>
          <w:sz w:val="18"/>
          <w:szCs w:val="20"/>
          <w:lang w:val="en-GB"/>
        </w:rPr>
        <w:object w:dxaOrig="6154" w:dyaOrig="1757" w14:anchorId="329BAAFE">
          <v:shape id="_x0000_i1031" type="#_x0000_t75" alt="" style="width:240pt;height:69.75pt;mso-width-percent:0;mso-height-percent:0;mso-width-percent:0;mso-height-percent:0" o:ole="">
            <v:imagedata r:id="rId32" o:title=""/>
          </v:shape>
          <o:OLEObject Type="Embed" ProgID="ChemDraw.Document.6.0" ShapeID="_x0000_i1031" DrawAspect="Content" ObjectID="_1661677391" r:id="rId33"/>
        </w:object>
      </w:r>
    </w:p>
    <w:p w14:paraId="7453D519" w14:textId="228B0635" w:rsidR="00561D8F" w:rsidRPr="008261A3" w:rsidRDefault="00561D8F" w:rsidP="000E69C9">
      <w:pPr>
        <w:pStyle w:val="SchemeCaption"/>
      </w:pPr>
      <w:r>
        <w:rPr>
          <w:b/>
        </w:rPr>
        <w:t>Scheme 7.</w:t>
      </w:r>
      <w:r>
        <w:t xml:space="preserve"> </w:t>
      </w:r>
      <w:r w:rsidRPr="00F53AF3">
        <w:rPr>
          <w:szCs w:val="20"/>
        </w:rPr>
        <w:t xml:space="preserve">General reactions </w:t>
      </w:r>
      <w:r w:rsidR="00A61E06">
        <w:rPr>
          <w:szCs w:val="20"/>
        </w:rPr>
        <w:t>cataly</w:t>
      </w:r>
      <w:r w:rsidR="00711B2B">
        <w:rPr>
          <w:szCs w:val="20"/>
        </w:rPr>
        <w:t>z</w:t>
      </w:r>
      <w:r w:rsidR="00A61E06">
        <w:rPr>
          <w:szCs w:val="20"/>
        </w:rPr>
        <w:t>ed</w:t>
      </w:r>
      <w:r w:rsidRPr="00F53AF3">
        <w:rPr>
          <w:szCs w:val="20"/>
        </w:rPr>
        <w:t xml:space="preserve"> by native AmDHs.</w:t>
      </w:r>
    </w:p>
    <w:p w14:paraId="4F231246" w14:textId="4CBD4547" w:rsidR="00561D8F" w:rsidRPr="008261A3" w:rsidRDefault="00561D8F" w:rsidP="000E69C9">
      <w:pPr>
        <w:pStyle w:val="P1withIndendation"/>
      </w:pPr>
      <w:r w:rsidRPr="00864BA2">
        <w:t>I</w:t>
      </w:r>
      <w:r>
        <w:t xml:space="preserve">n compiling an inventory of all the natural NAD(P)H-dependent reductive amination enzymes using ammonia in the biological genomic databases, and by excluding the reactions on α- or β-ketoacids (i.e. α- or β-AADHs), Mayol </w:t>
      </w:r>
      <w:r w:rsidRPr="00FD572F">
        <w:rPr>
          <w:i/>
        </w:rPr>
        <w:t>et al.</w:t>
      </w:r>
      <w:r>
        <w:t xml:space="preserve"> identified the sequence of (</w:t>
      </w:r>
      <w:r w:rsidRPr="00847E28">
        <w:t>2</w:t>
      </w:r>
      <w:r w:rsidRPr="001D0115">
        <w:rPr>
          <w:i/>
          <w:iCs/>
        </w:rPr>
        <w:t>R,</w:t>
      </w:r>
      <w:r w:rsidRPr="00847E28">
        <w:t>4</w:t>
      </w:r>
      <w:r w:rsidRPr="001D0115">
        <w:rPr>
          <w:i/>
          <w:iCs/>
        </w:rPr>
        <w:t>S</w:t>
      </w:r>
      <w:r>
        <w:t xml:space="preserve">)-2,4-diaminopentanoate dehydrogenase (2,4-DAPDH) from </w:t>
      </w:r>
      <w:r w:rsidRPr="001D0115">
        <w:rPr>
          <w:i/>
          <w:iCs/>
        </w:rPr>
        <w:t xml:space="preserve">Clostridium sticklandii </w:t>
      </w:r>
      <w:r>
        <w:t>(Uniprot ID: E3PY99) and used it in a sequence-driven approach to build a collection of candidate enzymes.</w:t>
      </w:r>
      <w:r w:rsidR="003E6B17">
        <w:rPr>
          <w:noProof/>
          <w:vertAlign w:val="superscript"/>
        </w:rPr>
        <w:t>[40</w:t>
      </w:r>
      <w:r w:rsidRPr="00EB6EE9">
        <w:rPr>
          <w:noProof/>
          <w:vertAlign w:val="superscript"/>
        </w:rPr>
        <w:t>]</w:t>
      </w:r>
      <w:r>
        <w:t xml:space="preserve"> The aim of this approach was to </w:t>
      </w:r>
      <w:r w:rsidRPr="00E92DDB">
        <w:t>use</w:t>
      </w:r>
      <w:r w:rsidR="00B04D37" w:rsidRPr="00E92DDB">
        <w:t>,</w:t>
      </w:r>
      <w:r w:rsidRPr="00E92DDB">
        <w:t xml:space="preserve"> as </w:t>
      </w:r>
      <w:r w:rsidR="00B04D37" w:rsidRPr="00E92DDB">
        <w:t>reference,</w:t>
      </w:r>
      <w:r w:rsidRPr="00E92DDB">
        <w:t xml:space="preserve"> enzymes already aminating a ketone </w:t>
      </w:r>
      <w:r w:rsidRPr="00E92DDB">
        <w:rPr>
          <w:b/>
        </w:rPr>
        <w:t>47</w:t>
      </w:r>
      <w:r w:rsidRPr="00E92DDB">
        <w:t xml:space="preserve"> without any close functionalization unlike AADHs, in order to identify </w:t>
      </w:r>
      <w:r w:rsidR="00912376" w:rsidRPr="00E92DDB">
        <w:t>homologs</w:t>
      </w:r>
      <w:r w:rsidRPr="00E92DDB">
        <w:t xml:space="preserve"> with proper AmDH activity. Among the collected and selected enzymes, 6 of them (AmDH2, AmDH4, AmDH5 being the originally considered 2</w:t>
      </w:r>
      <w:proofErr w:type="gramStart"/>
      <w:r w:rsidRPr="00E92DDB">
        <w:t>,4</w:t>
      </w:r>
      <w:proofErr w:type="gramEnd"/>
      <w:r w:rsidRPr="00E92DDB">
        <w:t xml:space="preserve">-DAPDH, and AmDH7-9) were found active toward 4-oxopentanoic acid </w:t>
      </w:r>
      <w:r w:rsidRPr="00E92DDB">
        <w:rPr>
          <w:b/>
        </w:rPr>
        <w:t>48</w:t>
      </w:r>
      <w:r w:rsidRPr="00E92DDB">
        <w:t xml:space="preserve"> (4OP-AmDHs) including 3 proteins displaying slight activity toward the homologous 5-oxohexanoic acid </w:t>
      </w:r>
      <w:r w:rsidRPr="00E92DDB">
        <w:rPr>
          <w:b/>
        </w:rPr>
        <w:t>49</w:t>
      </w:r>
      <w:r w:rsidRPr="00E92DDB">
        <w:t xml:space="preserve">. The NADH-dependent AmDH4, from the thermophilic bacteria </w:t>
      </w:r>
      <w:r w:rsidRPr="00E92DDB">
        <w:rPr>
          <w:i/>
          <w:iCs/>
        </w:rPr>
        <w:t>Petrotoga mobilis</w:t>
      </w:r>
      <w:r w:rsidRPr="00E92DDB">
        <w:t xml:space="preserve"> (Uniprot ID: A9BHL2), was further investigated, including a study of its biocatalytic performance. High substrate loading tolerance enabled the isolation of (</w:t>
      </w:r>
      <w:r w:rsidRPr="00E92DDB">
        <w:rPr>
          <w:iCs/>
        </w:rPr>
        <w:t>4</w:t>
      </w:r>
      <w:r w:rsidRPr="00E92DDB">
        <w:rPr>
          <w:i/>
        </w:rPr>
        <w:t>S</w:t>
      </w:r>
      <w:r w:rsidRPr="00E92DDB">
        <w:t xml:space="preserve">)-4-aminopentanoic acid </w:t>
      </w:r>
      <w:r w:rsidRPr="00E92DDB">
        <w:rPr>
          <w:b/>
        </w:rPr>
        <w:t>48a</w:t>
      </w:r>
      <w:r w:rsidRPr="00E92DDB">
        <w:t xml:space="preserve"> in 88% yield with a significant STY of 53 g</w:t>
      </w:r>
      <w:r w:rsidR="0058114F" w:rsidRPr="00E92DDB">
        <w:t xml:space="preserve"> </w:t>
      </w:r>
      <w:r w:rsidRPr="00E92DDB">
        <w:t>L</w:t>
      </w:r>
      <w:r w:rsidRPr="00E92DDB">
        <w:rPr>
          <w:vertAlign w:val="superscript"/>
        </w:rPr>
        <w:t>-1</w:t>
      </w:r>
      <w:r w:rsidR="0058114F" w:rsidRPr="00E92DDB">
        <w:rPr>
          <w:vertAlign w:val="superscript"/>
        </w:rPr>
        <w:t xml:space="preserve"> </w:t>
      </w:r>
      <w:r w:rsidRPr="00E92DDB">
        <w:t>d</w:t>
      </w:r>
      <w:r w:rsidRPr="00E92DDB">
        <w:rPr>
          <w:vertAlign w:val="superscript"/>
        </w:rPr>
        <w:t>-1</w:t>
      </w:r>
      <w:r w:rsidRPr="00E92DDB">
        <w:t xml:space="preserve"> (</w:t>
      </w:r>
      <w:r w:rsidRPr="00E92DDB">
        <w:rPr>
          <w:b/>
        </w:rPr>
        <w:t>Scheme 8</w:t>
      </w:r>
      <w:r w:rsidRPr="00E92DDB">
        <w:t>). The resolution of its structure (PDB: 6G1H) permitted some insights into its mechanism</w:t>
      </w:r>
      <w:proofErr w:type="gramStart"/>
      <w:r w:rsidRPr="00E92DDB">
        <w:t>.</w:t>
      </w:r>
      <w:r w:rsidR="003E6B17" w:rsidRPr="00E92DDB">
        <w:rPr>
          <w:noProof/>
          <w:vertAlign w:val="superscript"/>
        </w:rPr>
        <w:t>[</w:t>
      </w:r>
      <w:proofErr w:type="gramEnd"/>
      <w:r w:rsidR="003E6B17" w:rsidRPr="00E92DDB">
        <w:rPr>
          <w:noProof/>
          <w:vertAlign w:val="superscript"/>
        </w:rPr>
        <w:t>41</w:t>
      </w:r>
      <w:r w:rsidRPr="00E92DDB">
        <w:rPr>
          <w:noProof/>
          <w:vertAlign w:val="superscript"/>
        </w:rPr>
        <w:t>]</w:t>
      </w:r>
      <w:r w:rsidRPr="00E92DDB">
        <w:t xml:space="preserve"> E102 was found to be the main catalytic residue, while R161, N163 and H264 were observed to bind the carboxylate moiety of 2,4-DAP </w:t>
      </w:r>
      <w:r w:rsidRPr="00E92DDB">
        <w:rPr>
          <w:b/>
        </w:rPr>
        <w:t>47a</w:t>
      </w:r>
      <w:r w:rsidRPr="00E92DDB">
        <w:t xml:space="preserve"> and </w:t>
      </w:r>
      <w:r w:rsidRPr="00E92DDB">
        <w:rPr>
          <w:b/>
        </w:rPr>
        <w:t>48a</w:t>
      </w:r>
      <w:r w:rsidRPr="00E92DDB">
        <w:t xml:space="preserve"> through electrostatic interactions.  Site</w:t>
      </w:r>
      <w:r w:rsidR="00F42584" w:rsidRPr="00E92DDB">
        <w:t>-</w:t>
      </w:r>
      <w:r w:rsidRPr="00E92DDB">
        <w:t>directed mutagenesis of residue</w:t>
      </w:r>
      <w:r>
        <w:t xml:space="preserve"> E102 into alanine resulted in a mutant with which it proved impossible to reach NH</w:t>
      </w:r>
      <w:r w:rsidRPr="00570526">
        <w:rPr>
          <w:vertAlign w:val="subscript"/>
        </w:rPr>
        <w:t>3</w:t>
      </w:r>
      <w:r>
        <w:t xml:space="preserve"> saturation in kinetics studies, underlying the importance of this residue for both the fixation and activation of NH</w:t>
      </w:r>
      <w:r w:rsidRPr="00570526">
        <w:rPr>
          <w:vertAlign w:val="subscript"/>
        </w:rPr>
        <w:t>3</w:t>
      </w:r>
      <w:r>
        <w:t>.</w:t>
      </w:r>
    </w:p>
    <w:p w14:paraId="0F80DA61" w14:textId="77777777" w:rsidR="00561D8F" w:rsidRDefault="00561D8F" w:rsidP="000E69C9">
      <w:pPr>
        <w:spacing w:before="360"/>
        <w:rPr>
          <w:color w:val="FF0000"/>
          <w:sz w:val="18"/>
          <w:szCs w:val="20"/>
          <w:lang w:val="en-GB"/>
        </w:rPr>
        <w:sectPr w:rsidR="00561D8F" w:rsidSect="000E69C9">
          <w:type w:val="continuous"/>
          <w:pgSz w:w="11906" w:h="16838" w:code="9"/>
          <w:pgMar w:top="1134" w:right="680" w:bottom="1225" w:left="1361" w:header="709" w:footer="709" w:gutter="0"/>
          <w:cols w:num="2" w:space="340"/>
          <w:docGrid w:linePitch="360"/>
        </w:sectPr>
      </w:pPr>
    </w:p>
    <w:p w14:paraId="5D4671A2" w14:textId="2F4B62FE" w:rsidR="00561D8F" w:rsidRPr="001F38DA" w:rsidRDefault="00226FA8" w:rsidP="000E69C9">
      <w:pPr>
        <w:spacing w:before="360"/>
        <w:rPr>
          <w:color w:val="FF0000"/>
          <w:sz w:val="18"/>
          <w:szCs w:val="20"/>
          <w:lang w:val="en-GB"/>
        </w:rPr>
      </w:pPr>
      <w:r>
        <w:rPr>
          <w:noProof/>
          <w:color w:val="FF0000"/>
          <w:sz w:val="18"/>
          <w:szCs w:val="20"/>
          <w:lang w:val="en-GB" w:eastAsia="en-GB"/>
        </w:rPr>
        <w:drawing>
          <wp:inline distT="0" distB="0" distL="0" distR="0" wp14:anchorId="7A217C51" wp14:editId="1C376EFF">
            <wp:extent cx="6264275" cy="28981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ructureCfus.png"/>
                    <pic:cNvPicPr/>
                  </pic:nvPicPr>
                  <pic:blipFill>
                    <a:blip r:embed="rId34">
                      <a:extLst>
                        <a:ext uri="{28A0092B-C50C-407E-A947-70E740481C1C}">
                          <a14:useLocalDpi xmlns:a14="http://schemas.microsoft.com/office/drawing/2010/main" val="0"/>
                        </a:ext>
                      </a:extLst>
                    </a:blip>
                    <a:stretch>
                      <a:fillRect/>
                    </a:stretch>
                  </pic:blipFill>
                  <pic:spPr>
                    <a:xfrm>
                      <a:off x="0" y="0"/>
                      <a:ext cx="6264275" cy="2898140"/>
                    </a:xfrm>
                    <a:prstGeom prst="rect">
                      <a:avLst/>
                    </a:prstGeom>
                  </pic:spPr>
                </pic:pic>
              </a:graphicData>
            </a:graphic>
          </wp:inline>
        </w:drawing>
      </w:r>
    </w:p>
    <w:p w14:paraId="0C21B74C" w14:textId="36961481" w:rsidR="00561D8F" w:rsidRDefault="00561D8F" w:rsidP="009925AD">
      <w:pPr>
        <w:pStyle w:val="FigureCaption"/>
        <w:sectPr w:rsidR="00561D8F" w:rsidSect="000E69C9">
          <w:type w:val="continuous"/>
          <w:pgSz w:w="11906" w:h="16838" w:code="9"/>
          <w:pgMar w:top="1134" w:right="680" w:bottom="1225" w:left="1361" w:header="709" w:footer="709" w:gutter="0"/>
          <w:cols w:space="340"/>
          <w:docGrid w:linePitch="360"/>
        </w:sectPr>
      </w:pPr>
      <w:r>
        <w:rPr>
          <w:b/>
        </w:rPr>
        <w:t>Figure 7.</w:t>
      </w:r>
      <w:r w:rsidRPr="00C2552A">
        <w:t xml:space="preserve"> </w:t>
      </w:r>
      <w:r w:rsidRPr="00625583">
        <w:rPr>
          <w:szCs w:val="22"/>
        </w:rPr>
        <w:t xml:space="preserve">Structure of </w:t>
      </w:r>
      <w:r>
        <w:rPr>
          <w:i/>
          <w:iCs/>
          <w:szCs w:val="22"/>
        </w:rPr>
        <w:t>Cfus</w:t>
      </w:r>
      <w:r w:rsidRPr="00625583">
        <w:rPr>
          <w:szCs w:val="22"/>
        </w:rPr>
        <w:t>AmDH</w:t>
      </w:r>
      <w:r w:rsidR="00B61DA1">
        <w:rPr>
          <w:szCs w:val="22"/>
        </w:rPr>
        <w:t xml:space="preserve"> (</w:t>
      </w:r>
      <w:r w:rsidR="00B61DA1">
        <w:t>PDB: 6IAU)</w:t>
      </w:r>
      <w:r w:rsidRPr="00625583">
        <w:rPr>
          <w:szCs w:val="22"/>
        </w:rPr>
        <w:t xml:space="preserve"> </w:t>
      </w:r>
      <w:r w:rsidRPr="00A87E7B">
        <w:rPr>
          <w:b/>
          <w:szCs w:val="22"/>
        </w:rPr>
        <w:t>A</w:t>
      </w:r>
      <w:r w:rsidR="00A87E7B" w:rsidRPr="009925AD">
        <w:rPr>
          <w:b/>
          <w:szCs w:val="22"/>
        </w:rPr>
        <w:t>)</w:t>
      </w:r>
      <w:r w:rsidRPr="00625583">
        <w:rPr>
          <w:szCs w:val="22"/>
        </w:rPr>
        <w:t xml:space="preserve"> </w:t>
      </w:r>
      <w:r>
        <w:rPr>
          <w:szCs w:val="22"/>
        </w:rPr>
        <w:t xml:space="preserve">Structure of </w:t>
      </w:r>
      <w:r>
        <w:rPr>
          <w:i/>
          <w:szCs w:val="22"/>
        </w:rPr>
        <w:t>Cfus</w:t>
      </w:r>
      <w:r>
        <w:rPr>
          <w:szCs w:val="22"/>
        </w:rPr>
        <w:t xml:space="preserve">AmDH in ribbon format </w:t>
      </w:r>
      <w:r w:rsidRPr="00A87E7B">
        <w:rPr>
          <w:b/>
          <w:szCs w:val="22"/>
        </w:rPr>
        <w:t>B</w:t>
      </w:r>
      <w:r w:rsidR="00A87E7B" w:rsidRPr="009925AD">
        <w:rPr>
          <w:b/>
          <w:szCs w:val="22"/>
        </w:rPr>
        <w:t>)</w:t>
      </w:r>
      <w:r w:rsidRPr="00625583">
        <w:rPr>
          <w:szCs w:val="22"/>
        </w:rPr>
        <w:t xml:space="preserve"> </w:t>
      </w:r>
      <w:r>
        <w:rPr>
          <w:szCs w:val="22"/>
        </w:rPr>
        <w:t xml:space="preserve">Active site of </w:t>
      </w:r>
      <w:r>
        <w:rPr>
          <w:i/>
          <w:szCs w:val="22"/>
        </w:rPr>
        <w:t>Cfus</w:t>
      </w:r>
      <w:r>
        <w:rPr>
          <w:szCs w:val="22"/>
        </w:rPr>
        <w:t>AmDH with a focus on the P1-P20 positions</w:t>
      </w:r>
      <w:r w:rsidR="008E60C2">
        <w:rPr>
          <w:szCs w:val="22"/>
        </w:rPr>
        <w:t xml:space="preserve"> (blue)</w:t>
      </w:r>
      <w:r>
        <w:rPr>
          <w:szCs w:val="22"/>
        </w:rPr>
        <w:t xml:space="preserve">, shown in cylinder format, </w:t>
      </w:r>
      <w:r w:rsidRPr="00625583">
        <w:rPr>
          <w:szCs w:val="22"/>
        </w:rPr>
        <w:t>defini</w:t>
      </w:r>
      <w:r>
        <w:rPr>
          <w:szCs w:val="22"/>
        </w:rPr>
        <w:t>ng the cavity with NADPH (grey</w:t>
      </w:r>
      <w:r w:rsidRPr="00625583">
        <w:rPr>
          <w:szCs w:val="22"/>
        </w:rPr>
        <w:t>)</w:t>
      </w:r>
      <w:r w:rsidR="00912376">
        <w:rPr>
          <w:szCs w:val="22"/>
        </w:rPr>
        <w:t>,</w:t>
      </w:r>
      <w:r w:rsidRPr="00625583">
        <w:rPr>
          <w:szCs w:val="22"/>
        </w:rPr>
        <w:t xml:space="preserve"> cyclohexanone (</w:t>
      </w:r>
      <w:r>
        <w:rPr>
          <w:szCs w:val="22"/>
        </w:rPr>
        <w:t>yellow</w:t>
      </w:r>
      <w:r w:rsidRPr="00625583">
        <w:rPr>
          <w:szCs w:val="22"/>
        </w:rPr>
        <w:t>) and ammonia</w:t>
      </w:r>
      <w:r>
        <w:rPr>
          <w:szCs w:val="22"/>
        </w:rPr>
        <w:t xml:space="preserve">. For </w:t>
      </w:r>
      <w:r w:rsidRPr="00625583">
        <w:rPr>
          <w:szCs w:val="22"/>
        </w:rPr>
        <w:t>clarity, P</w:t>
      </w:r>
      <w:r>
        <w:rPr>
          <w:szCs w:val="22"/>
        </w:rPr>
        <w:t>1-2-</w:t>
      </w:r>
      <w:r w:rsidRPr="00625583">
        <w:rPr>
          <w:szCs w:val="22"/>
        </w:rPr>
        <w:t>4-</w:t>
      </w:r>
      <w:r>
        <w:rPr>
          <w:szCs w:val="22"/>
        </w:rPr>
        <w:t>10-13-</w:t>
      </w:r>
      <w:r w:rsidRPr="00625583">
        <w:rPr>
          <w:szCs w:val="22"/>
        </w:rPr>
        <w:t>14-15-18</w:t>
      </w:r>
      <w:r>
        <w:rPr>
          <w:szCs w:val="22"/>
        </w:rPr>
        <w:t>-20</w:t>
      </w:r>
      <w:r w:rsidRPr="00625583">
        <w:rPr>
          <w:szCs w:val="22"/>
        </w:rPr>
        <w:t xml:space="preserve"> </w:t>
      </w:r>
      <w:r>
        <w:rPr>
          <w:szCs w:val="22"/>
        </w:rPr>
        <w:t>are omitted</w:t>
      </w:r>
      <w:r w:rsidR="008E60C2">
        <w:rPr>
          <w:szCs w:val="22"/>
        </w:rPr>
        <w:t>.</w:t>
      </w:r>
    </w:p>
    <w:p w14:paraId="04819516" w14:textId="7E7073B0" w:rsidR="00561D8F" w:rsidRDefault="00561D8F" w:rsidP="000E69C9">
      <w:pPr>
        <w:pStyle w:val="P1withoutIndendation"/>
        <w:ind w:firstLine="227"/>
      </w:pPr>
      <w:r>
        <w:t>To alter the substrate specificity and enable the conversion of ketone substrates devoid of the carboxylic moiety, these polar residues were mutated into non-polar ones. Among the 8 variants produced, N135V/N163V/R161M/H264L mutant, named here AmDH4_M1, displayed the highest activity with 105 mU mg</w:t>
      </w:r>
      <w:r w:rsidRPr="00E14FB3">
        <w:rPr>
          <w:vertAlign w:val="superscript"/>
        </w:rPr>
        <w:t>-1</w:t>
      </w:r>
      <w:r>
        <w:t xml:space="preserve"> toward 2-pentanone </w:t>
      </w:r>
      <w:r>
        <w:rPr>
          <w:b/>
        </w:rPr>
        <w:t>12</w:t>
      </w:r>
      <w:r>
        <w:t xml:space="preserve">. The main mutation responsible for this switch of substrate scope seemed to be R161M but as yet no further mutation work has been done to further explore this site. Interestingly, 4OP-AmDHs do not share significant sequence homology with the previously described engineered AADHs </w:t>
      </w:r>
      <w:r w:rsidR="0084743B">
        <w:t>nor</w:t>
      </w:r>
      <w:r>
        <w:t xml:space="preserve"> RedAms, demonstrating that enzymes catalyzing reductive amination </w:t>
      </w:r>
      <w:r w:rsidRPr="00DF47D3">
        <w:t>are distributed among very varied families</w:t>
      </w:r>
      <w:r>
        <w:t>.</w:t>
      </w:r>
    </w:p>
    <w:p w14:paraId="7A41227D" w14:textId="77777777" w:rsidR="00561D8F" w:rsidRDefault="00561D8F" w:rsidP="000E69C9">
      <w:pPr>
        <w:pStyle w:val="P1withoutIndendation"/>
      </w:pPr>
    </w:p>
    <w:p w14:paraId="2FD509C6" w14:textId="267DA1E4" w:rsidR="00561D8F" w:rsidRDefault="00561D8F" w:rsidP="000E69C9">
      <w:pPr>
        <w:pStyle w:val="P1withoutIndendation"/>
      </w:pPr>
      <w:r>
        <w:t xml:space="preserve">To further explore AmDH biodiversity and discover distant </w:t>
      </w:r>
      <w:r w:rsidR="00912376">
        <w:t>homologs</w:t>
      </w:r>
      <w:r>
        <w:t xml:space="preserve"> with activity toward unfunctionalized ketones, 4OP-AmDHs were in turn used in a second sequence-driven approach by the same group. This iterative approach successfully led to the identification and characterization of six AmDHs (</w:t>
      </w:r>
      <w:r w:rsidRPr="001D0115">
        <w:rPr>
          <w:i/>
          <w:iCs/>
        </w:rPr>
        <w:t>Msme</w:t>
      </w:r>
      <w:r>
        <w:t>AmDH</w:t>
      </w:r>
      <w:r w:rsidR="00AE0925">
        <w:t xml:space="preserve"> Uniprot ID: A0A0D6I8P6</w:t>
      </w:r>
      <w:r>
        <w:t xml:space="preserve">, </w:t>
      </w:r>
      <w:r w:rsidRPr="001D0115">
        <w:rPr>
          <w:i/>
          <w:iCs/>
        </w:rPr>
        <w:t>Cfus</w:t>
      </w:r>
      <w:r>
        <w:t>AmDH</w:t>
      </w:r>
      <w:r w:rsidR="00AE0925">
        <w:t xml:space="preserve"> Uniprot ID: S9Q235</w:t>
      </w:r>
      <w:r>
        <w:t xml:space="preserve">, </w:t>
      </w:r>
      <w:r w:rsidRPr="001D0115">
        <w:rPr>
          <w:i/>
          <w:iCs/>
        </w:rPr>
        <w:t>Micro</w:t>
      </w:r>
      <w:r>
        <w:t>AmDH</w:t>
      </w:r>
      <w:r w:rsidR="00AE0925">
        <w:t xml:space="preserve"> Uniprot ID: C3UMY1</w:t>
      </w:r>
      <w:r>
        <w:t xml:space="preserve">, </w:t>
      </w:r>
      <w:r w:rsidRPr="001D0115">
        <w:rPr>
          <w:i/>
          <w:iCs/>
        </w:rPr>
        <w:t>Apau</w:t>
      </w:r>
      <w:r>
        <w:t>AmDH</w:t>
      </w:r>
      <w:r w:rsidR="00AE0925">
        <w:t xml:space="preserve"> Uniprot ID: E3CZE3</w:t>
      </w:r>
      <w:r>
        <w:t xml:space="preserve">, </w:t>
      </w:r>
      <w:r w:rsidRPr="001D0115">
        <w:rPr>
          <w:i/>
          <w:iCs/>
        </w:rPr>
        <w:t>Myco</w:t>
      </w:r>
      <w:r>
        <w:t>AmDH</w:t>
      </w:r>
      <w:r w:rsidR="00AE0925">
        <w:t xml:space="preserve"> Uniprot ID: A0A101AWU7</w:t>
      </w:r>
      <w:r>
        <w:t xml:space="preserve"> and </w:t>
      </w:r>
      <w:r w:rsidRPr="001D0115">
        <w:rPr>
          <w:i/>
          <w:iCs/>
        </w:rPr>
        <w:t>Mvac</w:t>
      </w:r>
      <w:r>
        <w:t>AmDH</w:t>
      </w:r>
      <w:r w:rsidR="00AE0925">
        <w:t xml:space="preserve"> Uniprot ID: K0UKT5</w:t>
      </w:r>
      <w:r>
        <w:t xml:space="preserve">) with similar substrate spectra, with a preference for cycloalkanones such as </w:t>
      </w:r>
      <w:r w:rsidRPr="000B45EC">
        <w:rPr>
          <w:b/>
        </w:rPr>
        <w:t>3</w:t>
      </w:r>
      <w:r>
        <w:t xml:space="preserve"> and </w:t>
      </w:r>
      <w:r w:rsidRPr="000B45EC">
        <w:rPr>
          <w:b/>
        </w:rPr>
        <w:t>50</w:t>
      </w:r>
      <w:r>
        <w:t xml:space="preserve">, and aliphatic aldehydes such as </w:t>
      </w:r>
      <w:r w:rsidRPr="000B45EC">
        <w:rPr>
          <w:b/>
        </w:rPr>
        <w:t>51</w:t>
      </w:r>
      <w:r>
        <w:t>-</w:t>
      </w:r>
      <w:r w:rsidRPr="000B45EC">
        <w:rPr>
          <w:b/>
        </w:rPr>
        <w:t>52</w:t>
      </w:r>
      <w:r>
        <w:t xml:space="preserve">. </w:t>
      </w:r>
      <w:r w:rsidRPr="000B45EC">
        <w:rPr>
          <w:i/>
        </w:rPr>
        <w:t>Msme</w:t>
      </w:r>
      <w:r>
        <w:t xml:space="preserve">AmDH displayed also significant activity toward α-hydroxy ketone </w:t>
      </w:r>
      <w:r w:rsidRPr="000B45EC">
        <w:rPr>
          <w:b/>
        </w:rPr>
        <w:t>53</w:t>
      </w:r>
      <w:r>
        <w:t xml:space="preserve">. No activity toward the initial substrates </w:t>
      </w:r>
      <w:r w:rsidRPr="001F2ED5">
        <w:rPr>
          <w:b/>
        </w:rPr>
        <w:t>47</w:t>
      </w:r>
      <w:r>
        <w:t xml:space="preserve"> and </w:t>
      </w:r>
      <w:r>
        <w:rPr>
          <w:b/>
        </w:rPr>
        <w:t>48</w:t>
      </w:r>
      <w:r>
        <w:t xml:space="preserve"> was detected with these enzymes</w:t>
      </w:r>
      <w:r w:rsidR="00BB1D00">
        <w:t>. With low sequence identity (&lt;</w:t>
      </w:r>
      <w:r>
        <w:t>30%) with 2,4-DAPDH and 4OP-AmDHs, and no apparent common biological role, these enzymes are members of the first family of native AmDHs (nat-AmDHs).</w:t>
      </w:r>
      <w:r w:rsidR="003E6B17">
        <w:rPr>
          <w:noProof/>
          <w:vertAlign w:val="superscript"/>
        </w:rPr>
        <w:t>[41</w:t>
      </w:r>
      <w:r w:rsidRPr="00EB6EE9">
        <w:rPr>
          <w:noProof/>
          <w:vertAlign w:val="superscript"/>
        </w:rPr>
        <w:t>]</w:t>
      </w:r>
      <w:r>
        <w:t xml:space="preserve"> As indicated by biochemical characterization and substrate spectrum, these enzymes</w:t>
      </w:r>
      <w:r w:rsidRPr="00FF61E2">
        <w:t xml:space="preserve"> are slightly more efficient with NADPH than NADH</w:t>
      </w:r>
      <w:r>
        <w:t xml:space="preserve"> even if the substrate seemed to influence this cofactor specificity.</w:t>
      </w:r>
    </w:p>
    <w:p w14:paraId="1AE4CE38" w14:textId="26524861" w:rsidR="00561D8F" w:rsidRPr="008261A3" w:rsidRDefault="00561D8F" w:rsidP="000E69C9">
      <w:pPr>
        <w:pStyle w:val="P1withoutIndendation"/>
        <w:ind w:firstLine="227"/>
      </w:pPr>
      <w:r>
        <w:t xml:space="preserve">As for engineered AADHs, the high </w:t>
      </w:r>
      <w:r w:rsidRPr="001F070C">
        <w:rPr>
          <w:i/>
        </w:rPr>
        <w:t>K</w:t>
      </w:r>
      <w:r w:rsidRPr="001F070C">
        <w:rPr>
          <w:vertAlign w:val="subscript"/>
        </w:rPr>
        <w:t>m</w:t>
      </w:r>
      <w:r>
        <w:t xml:space="preserve"> of ammonia required the use of a high concentration of ammonia buffer, usually in the range of 1 – 2</w:t>
      </w:r>
      <w:r w:rsidR="0084743B">
        <w:t xml:space="preserve"> </w:t>
      </w:r>
      <w:r>
        <w:t xml:space="preserve">M, at pH 8.0 – 9.5. </w:t>
      </w:r>
    </w:p>
    <w:p w14:paraId="56C7F34A" w14:textId="120119B8" w:rsidR="00561D8F" w:rsidRPr="001F38DA" w:rsidRDefault="004E3061" w:rsidP="000E69C9">
      <w:pPr>
        <w:spacing w:before="360"/>
        <w:rPr>
          <w:color w:val="FF0000"/>
          <w:sz w:val="18"/>
          <w:szCs w:val="20"/>
          <w:lang w:val="en-GB"/>
        </w:rPr>
      </w:pPr>
      <w:r>
        <w:rPr>
          <w:noProof/>
        </w:rPr>
        <w:object w:dxaOrig="6766" w:dyaOrig="6373" w14:anchorId="6CB7ED76">
          <v:shape id="_x0000_i1032" type="#_x0000_t75" alt="" style="width:238.5pt;height:225pt;mso-width-percent:0;mso-height-percent:0;mso-width-percent:0;mso-height-percent:0" o:ole="">
            <v:imagedata r:id="rId35" o:title=""/>
          </v:shape>
          <o:OLEObject Type="Embed" ProgID="ChemDraw.Document.6.0" ShapeID="_x0000_i1032" DrawAspect="Content" ObjectID="_1661677392" r:id="rId36"/>
        </w:object>
      </w:r>
    </w:p>
    <w:p w14:paraId="4FCD3985" w14:textId="3424157B" w:rsidR="00561D8F" w:rsidRDefault="00561D8F" w:rsidP="000E69C9">
      <w:pPr>
        <w:pStyle w:val="SchemeCaption"/>
      </w:pPr>
      <w:r>
        <w:rPr>
          <w:b/>
        </w:rPr>
        <w:t>Scheme 8.</w:t>
      </w:r>
      <w:r>
        <w:t xml:space="preserve"> </w:t>
      </w:r>
      <w:r w:rsidRPr="00B00D2F">
        <w:rPr>
          <w:szCs w:val="20"/>
        </w:rPr>
        <w:t>Example</w:t>
      </w:r>
      <w:r>
        <w:rPr>
          <w:szCs w:val="20"/>
        </w:rPr>
        <w:t>s</w:t>
      </w:r>
      <w:r w:rsidRPr="00B00D2F">
        <w:rPr>
          <w:szCs w:val="20"/>
        </w:rPr>
        <w:t xml:space="preserve"> of reductive amination reactions </w:t>
      </w:r>
      <w:r w:rsidR="00A61E06">
        <w:rPr>
          <w:szCs w:val="20"/>
        </w:rPr>
        <w:t>cataly</w:t>
      </w:r>
      <w:r w:rsidR="002E41F9">
        <w:rPr>
          <w:szCs w:val="20"/>
        </w:rPr>
        <w:t>z</w:t>
      </w:r>
      <w:r w:rsidR="00A61E06">
        <w:rPr>
          <w:szCs w:val="20"/>
        </w:rPr>
        <w:t>ed</w:t>
      </w:r>
      <w:r w:rsidRPr="00B00D2F">
        <w:rPr>
          <w:szCs w:val="20"/>
        </w:rPr>
        <w:t xml:space="preserve"> by native 4OP-AmDH and nat-AmDHs.</w:t>
      </w:r>
      <w:r>
        <w:rPr>
          <w:szCs w:val="20"/>
        </w:rPr>
        <w:t xml:space="preserve"> RS = recycling system.</w:t>
      </w:r>
    </w:p>
    <w:p w14:paraId="0F2482C7" w14:textId="34CB405C" w:rsidR="00561D8F" w:rsidRDefault="00561D8F" w:rsidP="000E69C9">
      <w:pPr>
        <w:pStyle w:val="P1withoutIndendation"/>
      </w:pPr>
      <w:r>
        <w:t>Biocatalytic synthes</w:t>
      </w:r>
      <w:r w:rsidR="00823C63">
        <w:t>i</w:t>
      </w:r>
      <w:r>
        <w:t>s performed on 100 mg scale afforded (</w:t>
      </w:r>
      <w:r w:rsidRPr="00D86A24">
        <w:rPr>
          <w:i/>
        </w:rPr>
        <w:t>S</w:t>
      </w:r>
      <w:r>
        <w:t>)-</w:t>
      </w:r>
      <w:r w:rsidR="0058114F">
        <w:t>2-aminopentane</w:t>
      </w:r>
      <w:r>
        <w:t xml:space="preserve"> </w:t>
      </w:r>
      <w:r>
        <w:rPr>
          <w:b/>
        </w:rPr>
        <w:t>12a</w:t>
      </w:r>
      <w:r>
        <w:t xml:space="preserve"> or (1</w:t>
      </w:r>
      <w:r w:rsidRPr="00D86A24">
        <w:rPr>
          <w:i/>
        </w:rPr>
        <w:t>S</w:t>
      </w:r>
      <w:r>
        <w:t>, 2</w:t>
      </w:r>
      <w:r w:rsidRPr="00D86A24">
        <w:rPr>
          <w:i/>
        </w:rPr>
        <w:t>R</w:t>
      </w:r>
      <w:r>
        <w:t xml:space="preserve">)-2-methylcyclohexylamine </w:t>
      </w:r>
      <w:r>
        <w:rPr>
          <w:b/>
        </w:rPr>
        <w:t>50a</w:t>
      </w:r>
      <w:r>
        <w:t xml:space="preserve"> from the equivalent carbonyl compounds in 39% and 35% yield respectively, corresponding to a STY of 2.4-2.6 g</w:t>
      </w:r>
      <w:r w:rsidR="0058114F">
        <w:t xml:space="preserve"> </w:t>
      </w:r>
      <w:r>
        <w:t>L</w:t>
      </w:r>
      <w:r w:rsidRPr="00D140CD">
        <w:rPr>
          <w:vertAlign w:val="superscript"/>
        </w:rPr>
        <w:t>-1</w:t>
      </w:r>
      <w:r w:rsidR="0058114F">
        <w:rPr>
          <w:vertAlign w:val="superscript"/>
        </w:rPr>
        <w:t xml:space="preserve"> </w:t>
      </w:r>
      <w:r>
        <w:t>d</w:t>
      </w:r>
      <w:r w:rsidRPr="00D140CD">
        <w:rPr>
          <w:vertAlign w:val="superscript"/>
        </w:rPr>
        <w:t>-1</w:t>
      </w:r>
      <w:r>
        <w:t xml:space="preserve"> (</w:t>
      </w:r>
      <w:r w:rsidRPr="000B45EC">
        <w:rPr>
          <w:b/>
        </w:rPr>
        <w:t>Scheme 8</w:t>
      </w:r>
      <w:r w:rsidRPr="00ED5D1D">
        <w:t>).</w:t>
      </w:r>
    </w:p>
    <w:p w14:paraId="06B9CF82" w14:textId="77777777" w:rsidR="00561D8F" w:rsidRDefault="00561D8F" w:rsidP="000E69C9">
      <w:pPr>
        <w:pStyle w:val="P1withoutIndendation"/>
      </w:pPr>
    </w:p>
    <w:p w14:paraId="215A5F15" w14:textId="26C11C43" w:rsidR="00561D8F" w:rsidRDefault="00561D8F" w:rsidP="000E69C9">
      <w:pPr>
        <w:pStyle w:val="P1withoutIndendation"/>
      </w:pPr>
      <w:r>
        <w:t xml:space="preserve">The structural resolution of </w:t>
      </w:r>
      <w:r w:rsidRPr="001D0115">
        <w:rPr>
          <w:i/>
          <w:iCs/>
        </w:rPr>
        <w:t>Cfus</w:t>
      </w:r>
      <w:r>
        <w:t xml:space="preserve">AmDH (PDB: 6IAU) and </w:t>
      </w:r>
      <w:r w:rsidRPr="001D0115">
        <w:rPr>
          <w:i/>
          <w:iCs/>
        </w:rPr>
        <w:t>Msme</w:t>
      </w:r>
      <w:r>
        <w:t xml:space="preserve">AmDH (PDB: 6IAQ) showed that their whole structure </w:t>
      </w:r>
      <w:r w:rsidRPr="00090463">
        <w:t>is</w:t>
      </w:r>
      <w:r>
        <w:t xml:space="preserve"> highly similar to that of AmDH4. Their dimeric structures are rather similar to </w:t>
      </w:r>
      <w:r w:rsidRPr="00090463">
        <w:t>meso-diaminopimelate dehydrogenases</w:t>
      </w:r>
      <w:r>
        <w:t xml:space="preserve">, with a well-conserved Rossman fold in the N-terminal domain, but significant </w:t>
      </w:r>
      <w:r w:rsidRPr="00090463">
        <w:t>differences i</w:t>
      </w:r>
      <w:r>
        <w:t>n the C-terminal β-sheet domain. (</w:t>
      </w:r>
      <w:r w:rsidRPr="000B45EC">
        <w:rPr>
          <w:b/>
        </w:rPr>
        <w:t>Figure 7A</w:t>
      </w:r>
      <w:r>
        <w:t>)</w:t>
      </w:r>
      <w:r w:rsidRPr="00090463">
        <w:t xml:space="preserve"> </w:t>
      </w:r>
      <w:r>
        <w:t xml:space="preserve">The binding of the substrate in the catalytic pocket </w:t>
      </w:r>
      <w:r w:rsidRPr="00090463">
        <w:t xml:space="preserve">significantly </w:t>
      </w:r>
      <w:r>
        <w:t>changes</w:t>
      </w:r>
      <w:r w:rsidRPr="00090463">
        <w:t xml:space="preserve"> the nature of the active site</w:t>
      </w:r>
      <w:r>
        <w:t xml:space="preserve">, bringing it into close proximity with the nicotinamide cofactor. The catalytic pockets are </w:t>
      </w:r>
      <w:r w:rsidR="00823C63">
        <w:t xml:space="preserve">also </w:t>
      </w:r>
      <w:r>
        <w:t>rather similar to that of AmDH4, with the same conserved key residue E102, but with the R161, N163 and H264</w:t>
      </w:r>
      <w:r w:rsidRPr="001A204D">
        <w:t xml:space="preserve"> </w:t>
      </w:r>
      <w:r>
        <w:t>carboxylate binding residues (AmDH4 numbering) absent, as would be expected (</w:t>
      </w:r>
      <w:r w:rsidRPr="000B45EC">
        <w:rPr>
          <w:b/>
        </w:rPr>
        <w:t>Figure 7B</w:t>
      </w:r>
      <w:r>
        <w:t>).</w:t>
      </w:r>
      <w:r w:rsidRPr="006A5918">
        <w:t xml:space="preserve"> </w:t>
      </w:r>
      <w:r>
        <w:t xml:space="preserve">Similarly to AmDH4, the hypothetical mechanism involved the conserved glutamate activating ammonia, which in turn would attack the electrophilic carbon of the carbonyl secured by the conserved hydrogen bond donors tyrosine/tryptophan within the active site (II). The resulting carbinolamine (III) would be dehydrated to lead to the amine product (V) after reduction by the hydride of the nicotinamide cofactor (IV) on the </w:t>
      </w:r>
      <w:r w:rsidRPr="00CD2BF2">
        <w:rPr>
          <w:i/>
          <w:iCs/>
        </w:rPr>
        <w:t>re</w:t>
      </w:r>
      <w:r>
        <w:t>-face in the case of prochiral substrate (</w:t>
      </w:r>
      <w:r w:rsidRPr="00E70FFF">
        <w:rPr>
          <w:b/>
        </w:rPr>
        <w:t>Scheme 9</w:t>
      </w:r>
      <w:r>
        <w:t>).</w:t>
      </w:r>
    </w:p>
    <w:p w14:paraId="22FE6C97" w14:textId="139FB013" w:rsidR="00561D8F" w:rsidRPr="001F38DA" w:rsidRDefault="00146C46" w:rsidP="000E69C9">
      <w:pPr>
        <w:spacing w:before="360"/>
        <w:rPr>
          <w:color w:val="FF0000"/>
          <w:sz w:val="18"/>
          <w:szCs w:val="20"/>
          <w:lang w:val="en-GB"/>
        </w:rPr>
      </w:pPr>
      <w:r>
        <w:rPr>
          <w:noProof/>
        </w:rPr>
        <w:object w:dxaOrig="9780" w:dyaOrig="9592" w14:anchorId="471E2338">
          <v:shape id="_x0000_i1033" type="#_x0000_t75" alt="" style="width:255pt;height:252pt;mso-width-percent:0;mso-height-percent:0;mso-width-percent:0;mso-height-percent:0" o:ole="">
            <v:imagedata r:id="rId37" o:title=""/>
          </v:shape>
          <o:OLEObject Type="Embed" ProgID="ChemDraw.Document.6.0" ShapeID="_x0000_i1033" DrawAspect="Content" ObjectID="_1661677393" r:id="rId38"/>
        </w:object>
      </w:r>
    </w:p>
    <w:p w14:paraId="1598AD08" w14:textId="77777777" w:rsidR="00561D8F" w:rsidRDefault="00561D8F" w:rsidP="000E69C9">
      <w:pPr>
        <w:pStyle w:val="SchemeCaption"/>
      </w:pPr>
      <w:r>
        <w:rPr>
          <w:b/>
        </w:rPr>
        <w:t>Scheme 9.</w:t>
      </w:r>
      <w:r>
        <w:t xml:space="preserve"> </w:t>
      </w:r>
      <w:r w:rsidRPr="00D1567F">
        <w:rPr>
          <w:szCs w:val="20"/>
        </w:rPr>
        <w:t>Hypothetical mechanism of nat-AmDHs.</w:t>
      </w:r>
      <w:r w:rsidRPr="00D1567F">
        <w:rPr>
          <w:b/>
          <w:szCs w:val="20"/>
        </w:rPr>
        <w:t xml:space="preserve"> </w:t>
      </w:r>
      <w:r w:rsidRPr="00D1567F">
        <w:rPr>
          <w:szCs w:val="20"/>
        </w:rPr>
        <w:t xml:space="preserve">The proposed mechanism is showed for </w:t>
      </w:r>
      <w:r w:rsidRPr="00D1567F">
        <w:rPr>
          <w:i/>
          <w:szCs w:val="20"/>
        </w:rPr>
        <w:t>Cfus</w:t>
      </w:r>
      <w:r w:rsidRPr="00D1567F">
        <w:rPr>
          <w:szCs w:val="20"/>
        </w:rPr>
        <w:t>AmDH and cyclohexanone as carbonyl substrate</w:t>
      </w:r>
      <w:r>
        <w:rPr>
          <w:szCs w:val="20"/>
        </w:rPr>
        <w:t>.</w:t>
      </w:r>
    </w:p>
    <w:p w14:paraId="1D32CD05" w14:textId="77777777" w:rsidR="00561D8F" w:rsidRPr="008261A3" w:rsidRDefault="00561D8F" w:rsidP="000E69C9">
      <w:pPr>
        <w:pStyle w:val="P1withoutIndendation"/>
        <w:rPr>
          <w:lang w:val="en-GB"/>
        </w:rPr>
      </w:pPr>
    </w:p>
    <w:p w14:paraId="40F00CBD" w14:textId="77777777" w:rsidR="00561D8F" w:rsidRDefault="00561D8F" w:rsidP="000E69C9">
      <w:pPr>
        <w:pStyle w:val="P1withIndendation"/>
        <w:ind w:firstLine="0"/>
        <w:sectPr w:rsidR="00561D8F" w:rsidSect="000E69C9">
          <w:type w:val="continuous"/>
          <w:pgSz w:w="11906" w:h="16838" w:code="9"/>
          <w:pgMar w:top="1134" w:right="680" w:bottom="1225" w:left="1361" w:header="709" w:footer="709" w:gutter="0"/>
          <w:cols w:num="2" w:space="340"/>
          <w:docGrid w:linePitch="360"/>
        </w:sectPr>
      </w:pPr>
    </w:p>
    <w:p w14:paraId="542572EB" w14:textId="3EC60CC1" w:rsidR="00561D8F" w:rsidRPr="001F38DA" w:rsidRDefault="00226FA8" w:rsidP="000E69C9">
      <w:pPr>
        <w:spacing w:before="360"/>
        <w:rPr>
          <w:color w:val="FF0000"/>
          <w:sz w:val="18"/>
          <w:szCs w:val="20"/>
          <w:lang w:val="en-GB"/>
        </w:rPr>
      </w:pPr>
      <w:r>
        <w:rPr>
          <w:noProof/>
          <w:color w:val="FF0000"/>
          <w:sz w:val="18"/>
          <w:szCs w:val="20"/>
          <w:lang w:val="en-GB" w:eastAsia="en-GB"/>
        </w:rPr>
        <w:drawing>
          <wp:inline distT="0" distB="0" distL="0" distR="0" wp14:anchorId="4EE422C7" wp14:editId="6524618D">
            <wp:extent cx="5940425" cy="2785745"/>
            <wp:effectExtent l="0" t="0" r="317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AmDHs.png"/>
                    <pic:cNvPicPr/>
                  </pic:nvPicPr>
                  <pic:blipFill rotWithShape="1">
                    <a:blip r:embed="rId39" cstate="print">
                      <a:extLst>
                        <a:ext uri="{28A0092B-C50C-407E-A947-70E740481C1C}">
                          <a14:useLocalDpi xmlns:a14="http://schemas.microsoft.com/office/drawing/2010/main" val="0"/>
                        </a:ext>
                      </a:extLst>
                    </a:blip>
                    <a:srcRect l="5170" t="10139"/>
                    <a:stretch/>
                  </pic:blipFill>
                  <pic:spPr bwMode="auto">
                    <a:xfrm>
                      <a:off x="0" y="0"/>
                      <a:ext cx="5940425" cy="2785745"/>
                    </a:xfrm>
                    <a:prstGeom prst="rect">
                      <a:avLst/>
                    </a:prstGeom>
                    <a:ln>
                      <a:noFill/>
                    </a:ln>
                    <a:extLst>
                      <a:ext uri="{53640926-AAD7-44D8-BBD7-CCE9431645EC}">
                        <a14:shadowObscured xmlns:a14="http://schemas.microsoft.com/office/drawing/2010/main"/>
                      </a:ext>
                    </a:extLst>
                  </pic:spPr>
                </pic:pic>
              </a:graphicData>
            </a:graphic>
          </wp:inline>
        </w:drawing>
      </w:r>
    </w:p>
    <w:p w14:paraId="3BB68D6B" w14:textId="0CA7EDE5" w:rsidR="00561D8F" w:rsidRDefault="007519D1" w:rsidP="000E69C9">
      <w:pPr>
        <w:pStyle w:val="FigureCaption"/>
      </w:pPr>
      <w:r>
        <w:rPr>
          <w:b/>
        </w:rPr>
        <w:t>Figure 8</w:t>
      </w:r>
      <w:r w:rsidR="00561D8F">
        <w:t xml:space="preserve">. </w:t>
      </w:r>
      <w:r w:rsidR="009925AD" w:rsidRPr="007519D1">
        <w:t>P</w:t>
      </w:r>
      <w:r w:rsidR="009925AD">
        <w:t xml:space="preserve">ocket diversity found in the nat-AmDHs family and mutation work done on AmDH4 </w:t>
      </w:r>
      <w:r w:rsidR="00561D8F" w:rsidRPr="009925AD">
        <w:rPr>
          <w:b/>
        </w:rPr>
        <w:t>A</w:t>
      </w:r>
      <w:r w:rsidR="00A87E7B" w:rsidRPr="009925AD">
        <w:rPr>
          <w:b/>
        </w:rPr>
        <w:t>)</w:t>
      </w:r>
      <w:r w:rsidR="00561D8F">
        <w:t xml:space="preserve"> </w:t>
      </w:r>
      <w:r w:rsidR="00561D8F" w:rsidRPr="00893261">
        <w:rPr>
          <w:szCs w:val="20"/>
        </w:rPr>
        <w:t xml:space="preserve">Logo representation of </w:t>
      </w:r>
      <w:r w:rsidR="00561D8F">
        <w:rPr>
          <w:szCs w:val="20"/>
        </w:rPr>
        <w:t xml:space="preserve">the conservation patterns of </w:t>
      </w:r>
      <w:r w:rsidR="00561D8F" w:rsidRPr="00893261">
        <w:rPr>
          <w:szCs w:val="20"/>
        </w:rPr>
        <w:t xml:space="preserve">the main residues defining the catalytic pocket of characterized native AmDHs (AmDH2, AmDH4-5, AmDH7-9, </w:t>
      </w:r>
      <w:r w:rsidR="00561D8F" w:rsidRPr="00893261">
        <w:rPr>
          <w:i/>
          <w:szCs w:val="20"/>
        </w:rPr>
        <w:t>Msme</w:t>
      </w:r>
      <w:r w:rsidR="00561D8F" w:rsidRPr="00893261">
        <w:rPr>
          <w:szCs w:val="20"/>
        </w:rPr>
        <w:t xml:space="preserve">AmDH, </w:t>
      </w:r>
      <w:r w:rsidR="00561D8F" w:rsidRPr="00893261">
        <w:rPr>
          <w:i/>
          <w:szCs w:val="20"/>
        </w:rPr>
        <w:t>Cfus</w:t>
      </w:r>
      <w:r w:rsidR="00561D8F" w:rsidRPr="00893261">
        <w:rPr>
          <w:szCs w:val="20"/>
        </w:rPr>
        <w:t xml:space="preserve">AmDH, </w:t>
      </w:r>
      <w:r w:rsidR="00561D8F" w:rsidRPr="00893261">
        <w:rPr>
          <w:i/>
          <w:szCs w:val="20"/>
        </w:rPr>
        <w:t>Micro</w:t>
      </w:r>
      <w:r w:rsidR="00561D8F" w:rsidRPr="00893261">
        <w:rPr>
          <w:szCs w:val="20"/>
        </w:rPr>
        <w:t xml:space="preserve">AmDH, </w:t>
      </w:r>
      <w:r w:rsidR="00561D8F" w:rsidRPr="00893261">
        <w:rPr>
          <w:i/>
          <w:szCs w:val="20"/>
        </w:rPr>
        <w:t>Apau</w:t>
      </w:r>
      <w:r w:rsidR="00561D8F" w:rsidRPr="00893261">
        <w:rPr>
          <w:szCs w:val="20"/>
        </w:rPr>
        <w:t xml:space="preserve">AmDH, </w:t>
      </w:r>
      <w:r w:rsidR="00561D8F" w:rsidRPr="00893261">
        <w:rPr>
          <w:i/>
          <w:szCs w:val="20"/>
        </w:rPr>
        <w:t>Myco</w:t>
      </w:r>
      <w:r w:rsidR="00561D8F" w:rsidRPr="00893261">
        <w:rPr>
          <w:szCs w:val="20"/>
        </w:rPr>
        <w:t xml:space="preserve">AmDH, </w:t>
      </w:r>
      <w:r w:rsidR="00561D8F" w:rsidRPr="00893261">
        <w:rPr>
          <w:i/>
          <w:szCs w:val="20"/>
        </w:rPr>
        <w:t>Mvac</w:t>
      </w:r>
      <w:r w:rsidR="00561D8F" w:rsidRPr="00893261">
        <w:rPr>
          <w:szCs w:val="20"/>
        </w:rPr>
        <w:t xml:space="preserve">AmDH, </w:t>
      </w:r>
      <w:r w:rsidR="00561D8F" w:rsidRPr="00893261">
        <w:rPr>
          <w:i/>
          <w:szCs w:val="20"/>
        </w:rPr>
        <w:t>Chat</w:t>
      </w:r>
      <w:r w:rsidR="00561D8F" w:rsidRPr="00893261">
        <w:rPr>
          <w:szCs w:val="20"/>
        </w:rPr>
        <w:t xml:space="preserve">AmDH, </w:t>
      </w:r>
      <w:r w:rsidR="00561D8F" w:rsidRPr="00893261">
        <w:rPr>
          <w:i/>
          <w:szCs w:val="20"/>
        </w:rPr>
        <w:t>Sgor</w:t>
      </w:r>
      <w:r w:rsidR="00561D8F" w:rsidRPr="00893261">
        <w:rPr>
          <w:szCs w:val="20"/>
        </w:rPr>
        <w:t xml:space="preserve">AmDH, </w:t>
      </w:r>
      <w:r w:rsidR="00561D8F" w:rsidRPr="00893261">
        <w:rPr>
          <w:i/>
          <w:szCs w:val="20"/>
        </w:rPr>
        <w:t>Acol</w:t>
      </w:r>
      <w:r w:rsidR="00561D8F" w:rsidRPr="00893261">
        <w:rPr>
          <w:szCs w:val="20"/>
        </w:rPr>
        <w:t xml:space="preserve">AmDH, IGCAmDH1, IGCAmDH5 and MATOUAmDH2). For clarity, positions P13 and P14 have been removed from this Figure. The two neighboring residues before and after these residues are </w:t>
      </w:r>
      <w:r w:rsidR="00561D8F">
        <w:rPr>
          <w:szCs w:val="20"/>
        </w:rPr>
        <w:t xml:space="preserve">included as </w:t>
      </w:r>
      <w:r w:rsidR="00561D8F" w:rsidRPr="00893261">
        <w:rPr>
          <w:szCs w:val="20"/>
        </w:rPr>
        <w:t>part of the logos to illustra</w:t>
      </w:r>
      <w:r w:rsidR="00561D8F">
        <w:rPr>
          <w:szCs w:val="20"/>
        </w:rPr>
        <w:t>te their environ</w:t>
      </w:r>
      <w:r w:rsidR="00561D8F" w:rsidRPr="00893261">
        <w:rPr>
          <w:szCs w:val="20"/>
        </w:rPr>
        <w:t xml:space="preserve">ment. The </w:t>
      </w:r>
      <w:r w:rsidR="00561D8F">
        <w:rPr>
          <w:szCs w:val="20"/>
        </w:rPr>
        <w:t xml:space="preserve">mutated </w:t>
      </w:r>
      <w:r w:rsidR="00561D8F" w:rsidRPr="00893261">
        <w:rPr>
          <w:szCs w:val="20"/>
        </w:rPr>
        <w:t>amino</w:t>
      </w:r>
      <w:r w:rsidR="00561D8F">
        <w:rPr>
          <w:szCs w:val="20"/>
        </w:rPr>
        <w:t xml:space="preserve"> </w:t>
      </w:r>
      <w:r w:rsidR="00561D8F" w:rsidRPr="00893261">
        <w:rPr>
          <w:szCs w:val="20"/>
        </w:rPr>
        <w:t>acid</w:t>
      </w:r>
      <w:r w:rsidR="00561D8F">
        <w:rPr>
          <w:szCs w:val="20"/>
        </w:rPr>
        <w:t>s</w:t>
      </w:r>
      <w:r w:rsidR="00561D8F" w:rsidRPr="00893261">
        <w:rPr>
          <w:szCs w:val="20"/>
        </w:rPr>
        <w:t xml:space="preserve"> in </w:t>
      </w:r>
      <w:r w:rsidR="00561D8F" w:rsidRPr="00E92DDB">
        <w:rPr>
          <w:szCs w:val="20"/>
        </w:rPr>
        <w:t>AmDH4 engineering are placed above</w:t>
      </w:r>
      <w:r w:rsidR="004C7A3D" w:rsidRPr="00E92DDB">
        <w:rPr>
          <w:szCs w:val="20"/>
        </w:rPr>
        <w:t xml:space="preserve"> or under</w:t>
      </w:r>
      <w:r w:rsidR="00561D8F" w:rsidRPr="00E92DDB">
        <w:rPr>
          <w:szCs w:val="20"/>
        </w:rPr>
        <w:t xml:space="preserve"> the corresponding wild-type residue and are highlighted in orange. The sequence numbering used is that of </w:t>
      </w:r>
      <w:r w:rsidR="00561D8F" w:rsidRPr="00E92DDB">
        <w:rPr>
          <w:i/>
          <w:szCs w:val="20"/>
        </w:rPr>
        <w:t>Cfus</w:t>
      </w:r>
      <w:r w:rsidR="00561D8F" w:rsidRPr="00E92DDB">
        <w:rPr>
          <w:szCs w:val="20"/>
        </w:rPr>
        <w:t xml:space="preserve">AmDH. The color code is based on hydrophobicity (low hydrophobicity: blue, </w:t>
      </w:r>
      <w:r w:rsidR="0058114F" w:rsidRPr="00E92DDB">
        <w:rPr>
          <w:szCs w:val="20"/>
        </w:rPr>
        <w:t>medium</w:t>
      </w:r>
      <w:r w:rsidR="00561D8F" w:rsidRPr="00E92DDB">
        <w:rPr>
          <w:szCs w:val="20"/>
        </w:rPr>
        <w:t xml:space="preserve"> hydrophobicity: green, high hydrophobicity: black). Logo</w:t>
      </w:r>
      <w:r w:rsidR="0084743B" w:rsidRPr="00E92DDB">
        <w:rPr>
          <w:szCs w:val="20"/>
        </w:rPr>
        <w:t>s</w:t>
      </w:r>
      <w:r w:rsidR="00561D8F" w:rsidRPr="00E92DDB">
        <w:rPr>
          <w:szCs w:val="20"/>
        </w:rPr>
        <w:t xml:space="preserve"> were generated using the webservice WebLogo3.</w:t>
      </w:r>
      <w:r w:rsidR="00561D8F" w:rsidRPr="00E92DDB">
        <w:t xml:space="preserve"> </w:t>
      </w:r>
      <w:r w:rsidR="00561D8F" w:rsidRPr="00E92DDB">
        <w:rPr>
          <w:b/>
          <w:szCs w:val="20"/>
        </w:rPr>
        <w:t>B</w:t>
      </w:r>
      <w:r w:rsidR="00A87E7B" w:rsidRPr="00E92DDB">
        <w:rPr>
          <w:b/>
          <w:szCs w:val="20"/>
        </w:rPr>
        <w:t>)</w:t>
      </w:r>
      <w:r w:rsidR="00561D8F" w:rsidRPr="00E92DDB">
        <w:rPr>
          <w:szCs w:val="20"/>
        </w:rPr>
        <w:t xml:space="preserve"> List of</w:t>
      </w:r>
      <w:r w:rsidR="0058114F" w:rsidRPr="00E92DDB">
        <w:rPr>
          <w:szCs w:val="20"/>
        </w:rPr>
        <w:t xml:space="preserve"> </w:t>
      </w:r>
      <w:r w:rsidR="00561D8F" w:rsidRPr="00E92DDB">
        <w:rPr>
          <w:szCs w:val="20"/>
        </w:rPr>
        <w:t>main residues defining the catalytic pocket in wild-type nat-AmDHs (black) and the corresponding mutated residues in the engineered enzyme (orange).</w:t>
      </w:r>
    </w:p>
    <w:p w14:paraId="655C18DC" w14:textId="77777777" w:rsidR="00561D8F" w:rsidRDefault="00561D8F" w:rsidP="000E69C9">
      <w:pPr>
        <w:pStyle w:val="P1withoutIndendation"/>
        <w:sectPr w:rsidR="00561D8F" w:rsidSect="000E69C9">
          <w:type w:val="continuous"/>
          <w:pgSz w:w="11906" w:h="16838" w:code="9"/>
          <w:pgMar w:top="1134" w:right="680" w:bottom="1225" w:left="1361" w:header="709" w:footer="709" w:gutter="0"/>
          <w:cols w:space="340"/>
          <w:docGrid w:linePitch="360"/>
        </w:sectPr>
      </w:pPr>
    </w:p>
    <w:p w14:paraId="47F1F4ED" w14:textId="700A4413" w:rsidR="00561D8F" w:rsidRPr="00E92DDB" w:rsidRDefault="00561D8F" w:rsidP="000E69C9">
      <w:pPr>
        <w:pStyle w:val="P1withoutIndendation"/>
      </w:pPr>
      <w:r>
        <w:t xml:space="preserve">Using the three solved structures AmDH4, </w:t>
      </w:r>
      <w:r w:rsidRPr="00E97C42">
        <w:rPr>
          <w:i/>
        </w:rPr>
        <w:t>Msme</w:t>
      </w:r>
      <w:r>
        <w:t xml:space="preserve">AmDH and </w:t>
      </w:r>
      <w:r w:rsidRPr="00E97C42">
        <w:rPr>
          <w:i/>
        </w:rPr>
        <w:t>Cfus</w:t>
      </w:r>
      <w:r>
        <w:t>AmDH, a classification of the nat-AmDH</w:t>
      </w:r>
      <w:r w:rsidR="00823C63">
        <w:t>s</w:t>
      </w:r>
      <w:r>
        <w:t xml:space="preserve"> family based on the spatial conservation of the residues defining the active site pocket (positions named P1 to P20) was built</w:t>
      </w:r>
      <w:r w:rsidRPr="00F11894">
        <w:t xml:space="preserve"> </w:t>
      </w:r>
      <w:r w:rsidRPr="00E97C42">
        <w:t>and a mechanistic and structural role ha</w:t>
      </w:r>
      <w:r>
        <w:t xml:space="preserve">s </w:t>
      </w:r>
      <w:r w:rsidRPr="00E97C42">
        <w:t>been assigned to several of them</w:t>
      </w:r>
      <w:r>
        <w:t>.</w:t>
      </w:r>
      <w:r w:rsidR="003E6B17">
        <w:rPr>
          <w:noProof/>
          <w:vertAlign w:val="superscript"/>
        </w:rPr>
        <w:t>[41</w:t>
      </w:r>
      <w:r w:rsidRPr="00EB6EE9">
        <w:rPr>
          <w:noProof/>
          <w:vertAlign w:val="superscript"/>
        </w:rPr>
        <w:t>]</w:t>
      </w:r>
      <w:r>
        <w:t xml:space="preserve"> Analysis of this </w:t>
      </w:r>
      <w:r w:rsidRPr="0049204E">
        <w:t xml:space="preserve">three-dimensional catalytic site distribution among bacterial biodiversity </w:t>
      </w:r>
      <w:r>
        <w:t xml:space="preserve">revealed five groups, including four hypothesized to catalyze imine formation through the conserved glutamate (position P3). As </w:t>
      </w:r>
      <w:r w:rsidRPr="00E92DDB">
        <w:t xml:space="preserve">exemplified by AmDH4 (group G2), </w:t>
      </w:r>
      <w:r w:rsidRPr="00E92DDB">
        <w:rPr>
          <w:i/>
        </w:rPr>
        <w:t>Msme</w:t>
      </w:r>
      <w:r w:rsidRPr="00E92DDB">
        <w:t>AmDH/</w:t>
      </w:r>
      <w:r w:rsidRPr="00E92DDB">
        <w:rPr>
          <w:i/>
        </w:rPr>
        <w:t>Micro</w:t>
      </w:r>
      <w:r w:rsidRPr="00E92DDB">
        <w:t xml:space="preserve">AmDH (group G3) and </w:t>
      </w:r>
      <w:r w:rsidRPr="00E92DDB">
        <w:rPr>
          <w:i/>
        </w:rPr>
        <w:t>Cfus</w:t>
      </w:r>
      <w:r w:rsidRPr="00E92DDB">
        <w:t>AmDH (group G4), some variations can be observed, such as at position P9 (</w:t>
      </w:r>
      <w:r w:rsidR="007E305C" w:rsidRPr="00E92DDB">
        <w:t>Y168</w:t>
      </w:r>
      <w:r w:rsidRPr="00E92DDB">
        <w:t xml:space="preserve">, </w:t>
      </w:r>
      <w:r w:rsidR="007E305C" w:rsidRPr="00E92DDB">
        <w:rPr>
          <w:i/>
        </w:rPr>
        <w:t>Cfus</w:t>
      </w:r>
      <w:r w:rsidR="007E305C" w:rsidRPr="00E92DDB">
        <w:t xml:space="preserve">AmDH </w:t>
      </w:r>
      <w:r w:rsidRPr="00E92DDB">
        <w:t>numbering) hypothesized to bind the ketone, or position P11 (</w:t>
      </w:r>
      <w:r w:rsidR="007E305C" w:rsidRPr="00E92DDB">
        <w:t>Y173</w:t>
      </w:r>
      <w:r w:rsidRPr="00E92DDB">
        <w:t xml:space="preserve">, </w:t>
      </w:r>
      <w:r w:rsidR="007E305C" w:rsidRPr="00E92DDB">
        <w:rPr>
          <w:i/>
        </w:rPr>
        <w:t>Cfus</w:t>
      </w:r>
      <w:r w:rsidR="007E305C" w:rsidRPr="00E92DDB">
        <w:t xml:space="preserve">AmDH </w:t>
      </w:r>
      <w:r w:rsidRPr="00E92DDB">
        <w:t xml:space="preserve">numbering) thought to be essential for closing the active site during catalysis. </w:t>
      </w:r>
      <w:r w:rsidR="00D36C88" w:rsidRPr="00E92DDB">
        <w:rPr>
          <w:b/>
        </w:rPr>
        <w:t>Figure 8</w:t>
      </w:r>
      <w:r w:rsidRPr="00E92DDB">
        <w:t xml:space="preserve"> illustrates this diversity through a logo representation of the conservation patterns of the main residues defining the catalytic pocket of the characterized members of this superfamily. Together with the identification of residues surrounding these positions, these structural insights may help in further engineering experiments on nat-AmDHs.</w:t>
      </w:r>
    </w:p>
    <w:p w14:paraId="284E0E74" w14:textId="77777777" w:rsidR="00561D8F" w:rsidRPr="00E92DDB" w:rsidRDefault="00561D8F" w:rsidP="000E69C9">
      <w:pPr>
        <w:pStyle w:val="P1withIndendation"/>
      </w:pPr>
    </w:p>
    <w:p w14:paraId="558D3043" w14:textId="74432A90" w:rsidR="00561D8F" w:rsidRPr="008261A3" w:rsidRDefault="00561D8F" w:rsidP="000E69C9">
      <w:pPr>
        <w:pStyle w:val="P1withIndendation"/>
        <w:ind w:firstLine="0"/>
      </w:pPr>
      <w:r w:rsidRPr="00E92DDB">
        <w:t xml:space="preserve">More recently, Caparco </w:t>
      </w:r>
      <w:r w:rsidRPr="00E92DDB">
        <w:rPr>
          <w:i/>
        </w:rPr>
        <w:t>et al.</w:t>
      </w:r>
      <w:r w:rsidRPr="00E92DDB">
        <w:t xml:space="preserve"> identified other members of this family among metagenomics databases, hitherto unexplored for their biocatalytic resources:  IGC (Integrated Gene Catalog) sourced from the human microbiome and OM-RGC (Ocean Microbial Reference Gene Catalog) and MATOUv1 (Marine Atlas of Tara Oceans Unigenes) from marine samples.</w:t>
      </w:r>
      <w:r w:rsidR="003E6B17" w:rsidRPr="00E92DDB">
        <w:rPr>
          <w:noProof/>
          <w:vertAlign w:val="superscript"/>
        </w:rPr>
        <w:t>[42</w:t>
      </w:r>
      <w:r w:rsidRPr="00E92DDB">
        <w:rPr>
          <w:noProof/>
          <w:vertAlign w:val="superscript"/>
        </w:rPr>
        <w:t>]</w:t>
      </w:r>
      <w:r w:rsidRPr="00E92DDB">
        <w:t xml:space="preserve"> Bearing a similar substrate spectrum, some of the selected enzymes, and in particular  MATOUAmDH2 from an eukaryotic organism, displayed the highest native activities recorded to date toward aliphatic aldehydes, such as isobutyraldehyde </w:t>
      </w:r>
      <w:r w:rsidRPr="00E92DDB">
        <w:rPr>
          <w:b/>
        </w:rPr>
        <w:t>51</w:t>
      </w:r>
      <w:r w:rsidRPr="00E92DDB">
        <w:t xml:space="preserve"> and pentanal </w:t>
      </w:r>
      <w:r w:rsidRPr="00E92DDB">
        <w:rPr>
          <w:b/>
        </w:rPr>
        <w:t>54</w:t>
      </w:r>
      <w:r w:rsidRPr="00E92DDB">
        <w:t>.</w:t>
      </w:r>
      <w:r>
        <w:t xml:space="preserve"> </w:t>
      </w:r>
    </w:p>
    <w:p w14:paraId="2481560E" w14:textId="77777777" w:rsidR="00561D8F" w:rsidRDefault="00561D8F" w:rsidP="000E69C9">
      <w:pPr>
        <w:pStyle w:val="P1withIndendation"/>
        <w:rPr>
          <w:lang w:val="de-DE"/>
        </w:rPr>
        <w:sectPr w:rsidR="00561D8F" w:rsidSect="000E69C9">
          <w:type w:val="continuous"/>
          <w:pgSz w:w="11906" w:h="16838" w:code="9"/>
          <w:pgMar w:top="1134" w:right="680" w:bottom="1225" w:left="1361" w:header="709" w:footer="709" w:gutter="0"/>
          <w:cols w:num="2" w:space="340"/>
          <w:docGrid w:linePitch="360"/>
        </w:sectPr>
      </w:pPr>
    </w:p>
    <w:p w14:paraId="10CF1727" w14:textId="4A8D2145" w:rsidR="00561D8F" w:rsidRPr="001F38DA" w:rsidRDefault="00226FA8" w:rsidP="000E69C9">
      <w:pPr>
        <w:spacing w:before="360"/>
        <w:rPr>
          <w:color w:val="FF0000"/>
          <w:sz w:val="18"/>
          <w:szCs w:val="20"/>
          <w:lang w:val="en-GB"/>
        </w:rPr>
      </w:pPr>
      <w:r>
        <w:rPr>
          <w:noProof/>
          <w:color w:val="FF0000"/>
          <w:sz w:val="18"/>
          <w:szCs w:val="20"/>
          <w:lang w:val="en-GB" w:eastAsia="en-GB"/>
        </w:rPr>
        <w:drawing>
          <wp:inline distT="0" distB="0" distL="0" distR="0" wp14:anchorId="234229F0" wp14:editId="22CEED41">
            <wp:extent cx="6264275" cy="5199380"/>
            <wp:effectExtent l="0" t="0" r="317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bstratsAmDHs.png"/>
                    <pic:cNvPicPr/>
                  </pic:nvPicPr>
                  <pic:blipFill>
                    <a:blip r:embed="rId40">
                      <a:extLst>
                        <a:ext uri="{28A0092B-C50C-407E-A947-70E740481C1C}">
                          <a14:useLocalDpi xmlns:a14="http://schemas.microsoft.com/office/drawing/2010/main" val="0"/>
                        </a:ext>
                      </a:extLst>
                    </a:blip>
                    <a:stretch>
                      <a:fillRect/>
                    </a:stretch>
                  </pic:blipFill>
                  <pic:spPr>
                    <a:xfrm>
                      <a:off x="0" y="0"/>
                      <a:ext cx="6264275" cy="5199380"/>
                    </a:xfrm>
                    <a:prstGeom prst="rect">
                      <a:avLst/>
                    </a:prstGeom>
                  </pic:spPr>
                </pic:pic>
              </a:graphicData>
            </a:graphic>
          </wp:inline>
        </w:drawing>
      </w:r>
    </w:p>
    <w:p w14:paraId="72D5A591" w14:textId="68DAADE3" w:rsidR="00561D8F" w:rsidRDefault="00561D8F" w:rsidP="001B58D7">
      <w:pPr>
        <w:pStyle w:val="TableFoot"/>
        <w:sectPr w:rsidR="00561D8F" w:rsidSect="000E69C9">
          <w:type w:val="continuous"/>
          <w:pgSz w:w="11906" w:h="16838" w:code="9"/>
          <w:pgMar w:top="1134" w:right="680" w:bottom="1225" w:left="1361" w:header="709" w:footer="709" w:gutter="0"/>
          <w:cols w:space="340"/>
          <w:docGrid w:linePitch="360"/>
        </w:sectPr>
      </w:pPr>
      <w:r>
        <w:rPr>
          <w:b/>
        </w:rPr>
        <w:t>Figure</w:t>
      </w:r>
      <w:r w:rsidR="007519D1">
        <w:rPr>
          <w:b/>
        </w:rPr>
        <w:t xml:space="preserve"> 9</w:t>
      </w:r>
      <w:r>
        <w:rPr>
          <w:b/>
        </w:rPr>
        <w:t>.</w:t>
      </w:r>
      <w:r w:rsidRPr="00C2552A">
        <w:t xml:space="preserve"> </w:t>
      </w:r>
      <w:r w:rsidRPr="00AC18C5">
        <w:rPr>
          <w:szCs w:val="22"/>
        </w:rPr>
        <w:t xml:space="preserve">Substrate specificity of </w:t>
      </w:r>
      <w:r>
        <w:rPr>
          <w:szCs w:val="22"/>
        </w:rPr>
        <w:t xml:space="preserve">the nat-AmDHs </w:t>
      </w:r>
      <w:r w:rsidRPr="00AC18C5">
        <w:rPr>
          <w:szCs w:val="22"/>
        </w:rPr>
        <w:t xml:space="preserve">described in this review. The substrates associated to each </w:t>
      </w:r>
      <w:r>
        <w:rPr>
          <w:szCs w:val="22"/>
        </w:rPr>
        <w:t>enzyme</w:t>
      </w:r>
      <w:r w:rsidRPr="00AC18C5">
        <w:rPr>
          <w:szCs w:val="22"/>
        </w:rPr>
        <w:t xml:space="preserve"> were selected as the ones displaying the highest activities or considered as “new” substrates compared to the substrate scope of the whole family.</w:t>
      </w:r>
      <w:r w:rsidRPr="003D2C85">
        <w:rPr>
          <w:szCs w:val="20"/>
        </w:rPr>
        <w:t xml:space="preserve"> </w:t>
      </w:r>
      <w:r>
        <w:rPr>
          <w:szCs w:val="20"/>
        </w:rPr>
        <w:t>If not mentioned, the amine substrate is ammonia</w:t>
      </w:r>
      <w:r w:rsidR="00293A57">
        <w:rPr>
          <w:szCs w:val="20"/>
        </w:rPr>
        <w:t xml:space="preserve">. The green and orange lines correspond respectively </w:t>
      </w:r>
      <w:r w:rsidR="00534E77">
        <w:rPr>
          <w:szCs w:val="20"/>
        </w:rPr>
        <w:t xml:space="preserve">to </w:t>
      </w:r>
      <w:r w:rsidR="00293A57">
        <w:rPr>
          <w:szCs w:val="20"/>
        </w:rPr>
        <w:t>exploration</w:t>
      </w:r>
      <w:r w:rsidR="00534E77">
        <w:rPr>
          <w:szCs w:val="20"/>
        </w:rPr>
        <w:t>s</w:t>
      </w:r>
      <w:r w:rsidR="00293A57">
        <w:rPr>
          <w:szCs w:val="20"/>
        </w:rPr>
        <w:t xml:space="preserve"> of biodiversity and a mutation work.</w:t>
      </w:r>
      <w:r w:rsidR="0081142B">
        <w:rPr>
          <w:szCs w:val="20"/>
        </w:rPr>
        <w:t xml:space="preserve"> </w:t>
      </w:r>
      <w:r w:rsidR="00534E77">
        <w:rPr>
          <w:szCs w:val="20"/>
        </w:rPr>
        <w:t>The specific activities</w:t>
      </w:r>
      <w:r w:rsidR="00E24C93">
        <w:rPr>
          <w:szCs w:val="20"/>
        </w:rPr>
        <w:t xml:space="preserve"> indicated in this Figure </w:t>
      </w:r>
      <w:r w:rsidR="00534E77">
        <w:rPr>
          <w:szCs w:val="20"/>
        </w:rPr>
        <w:t>are given for information but not to be</w:t>
      </w:r>
      <w:r w:rsidR="00E24C93">
        <w:rPr>
          <w:szCs w:val="20"/>
        </w:rPr>
        <w:t xml:space="preserve"> compare</w:t>
      </w:r>
      <w:r w:rsidR="00534E77">
        <w:rPr>
          <w:szCs w:val="20"/>
        </w:rPr>
        <w:t>d</w:t>
      </w:r>
      <w:r w:rsidR="00E24C93">
        <w:rPr>
          <w:szCs w:val="20"/>
        </w:rPr>
        <w:t xml:space="preserve"> because </w:t>
      </w:r>
      <w:r w:rsidR="00534E77">
        <w:rPr>
          <w:szCs w:val="20"/>
        </w:rPr>
        <w:t xml:space="preserve">all the assays were not done with the exact same reaction conditions. The following </w:t>
      </w:r>
      <w:r w:rsidR="009E1D39">
        <w:rPr>
          <w:szCs w:val="20"/>
        </w:rPr>
        <w:t>ones</w:t>
      </w:r>
      <w:r w:rsidR="00534E77">
        <w:rPr>
          <w:szCs w:val="20"/>
        </w:rPr>
        <w:t xml:space="preserve"> correspond to a range of typical conditons: </w:t>
      </w:r>
      <w:r w:rsidR="00FE0DFF">
        <w:rPr>
          <w:szCs w:val="20"/>
        </w:rPr>
        <w:t>10</w:t>
      </w:r>
      <w:r w:rsidR="0076552B">
        <w:rPr>
          <w:szCs w:val="20"/>
        </w:rPr>
        <w:t xml:space="preserve"> </w:t>
      </w:r>
      <w:r w:rsidR="00FE0DFF">
        <w:rPr>
          <w:szCs w:val="20"/>
        </w:rPr>
        <w:t>mM carbonyl substrate, 0.2</w:t>
      </w:r>
      <w:r w:rsidR="0076552B">
        <w:rPr>
          <w:szCs w:val="20"/>
        </w:rPr>
        <w:t xml:space="preserve"> </w:t>
      </w:r>
      <w:r w:rsidR="00FE0DFF">
        <w:rPr>
          <w:szCs w:val="20"/>
        </w:rPr>
        <w:t xml:space="preserve">mM </w:t>
      </w:r>
      <w:proofErr w:type="gramStart"/>
      <w:r w:rsidR="00FE0DFF">
        <w:rPr>
          <w:szCs w:val="20"/>
        </w:rPr>
        <w:t>NAD(</w:t>
      </w:r>
      <w:proofErr w:type="gramEnd"/>
      <w:r w:rsidR="00FE0DFF">
        <w:rPr>
          <w:szCs w:val="20"/>
        </w:rPr>
        <w:t>P)H cofactor, 1-2</w:t>
      </w:r>
      <w:r w:rsidR="0076552B">
        <w:rPr>
          <w:szCs w:val="20"/>
        </w:rPr>
        <w:t xml:space="preserve"> </w:t>
      </w:r>
      <w:r w:rsidR="0081142B">
        <w:rPr>
          <w:szCs w:val="20"/>
        </w:rPr>
        <w:t xml:space="preserve">M </w:t>
      </w:r>
      <w:r w:rsidR="00FE0DFF">
        <w:rPr>
          <w:szCs w:val="20"/>
        </w:rPr>
        <w:t>ammonium-based buffer pH 8-9.5</w:t>
      </w:r>
      <w:r w:rsidR="0081142B">
        <w:rPr>
          <w:szCs w:val="20"/>
        </w:rPr>
        <w:t xml:space="preserve">, </w:t>
      </w:r>
      <w:r w:rsidR="00FE0DFF">
        <w:rPr>
          <w:szCs w:val="20"/>
        </w:rPr>
        <w:t>20-25</w:t>
      </w:r>
      <w:r w:rsidR="0081142B">
        <w:rPr>
          <w:szCs w:val="20"/>
        </w:rPr>
        <w:t>°C.</w:t>
      </w:r>
      <w:r w:rsidR="00534E77">
        <w:rPr>
          <w:szCs w:val="20"/>
        </w:rPr>
        <w:t xml:space="preserve"> </w:t>
      </w:r>
      <w:r w:rsidR="00534E77">
        <w:rPr>
          <w:szCs w:val="20"/>
          <w:vertAlign w:val="superscript"/>
        </w:rPr>
        <w:t>[</w:t>
      </w:r>
      <w:proofErr w:type="gramStart"/>
      <w:r w:rsidR="00534E77">
        <w:rPr>
          <w:szCs w:val="20"/>
          <w:vertAlign w:val="superscript"/>
        </w:rPr>
        <w:t>a</w:t>
      </w:r>
      <w:proofErr w:type="gramEnd"/>
      <w:r w:rsidR="00534E77">
        <w:rPr>
          <w:szCs w:val="20"/>
          <w:vertAlign w:val="superscript"/>
        </w:rPr>
        <w:t xml:space="preserve">] </w:t>
      </w:r>
      <w:r w:rsidR="00534E77">
        <w:rPr>
          <w:szCs w:val="20"/>
        </w:rPr>
        <w:t>Activity assays done with 100</w:t>
      </w:r>
      <w:r w:rsidR="0076552B">
        <w:rPr>
          <w:szCs w:val="20"/>
        </w:rPr>
        <w:t xml:space="preserve"> </w:t>
      </w:r>
      <w:r w:rsidR="00534E77">
        <w:rPr>
          <w:szCs w:val="20"/>
        </w:rPr>
        <w:t>mM carbonyl substrate and 0.3</w:t>
      </w:r>
      <w:r w:rsidR="0076552B">
        <w:rPr>
          <w:szCs w:val="20"/>
        </w:rPr>
        <w:t xml:space="preserve"> </w:t>
      </w:r>
      <w:r w:rsidR="00534E77">
        <w:rPr>
          <w:szCs w:val="20"/>
        </w:rPr>
        <w:t>M ammonium-based buffer</w:t>
      </w:r>
      <w:r w:rsidR="0081142B">
        <w:rPr>
          <w:szCs w:val="20"/>
        </w:rPr>
        <w:t xml:space="preserve">  </w:t>
      </w:r>
      <w:r w:rsidR="00534E77">
        <w:rPr>
          <w:szCs w:val="20"/>
          <w:vertAlign w:val="superscript"/>
        </w:rPr>
        <w:t>[b</w:t>
      </w:r>
      <w:r w:rsidR="0081142B">
        <w:rPr>
          <w:szCs w:val="20"/>
          <w:vertAlign w:val="superscript"/>
        </w:rPr>
        <w:t xml:space="preserve">] </w:t>
      </w:r>
      <w:r w:rsidR="0081142B">
        <w:rPr>
          <w:szCs w:val="20"/>
        </w:rPr>
        <w:t xml:space="preserve">Activity assays </w:t>
      </w:r>
      <w:r w:rsidR="0076552B">
        <w:rPr>
          <w:szCs w:val="20"/>
        </w:rPr>
        <w:t>performed</w:t>
      </w:r>
      <w:r w:rsidR="0081142B">
        <w:rPr>
          <w:szCs w:val="20"/>
        </w:rPr>
        <w:t xml:space="preserve"> at 50°C.</w:t>
      </w:r>
    </w:p>
    <w:p w14:paraId="093D928E" w14:textId="77777777" w:rsidR="00561D8F" w:rsidRPr="008261A3" w:rsidRDefault="00561D8F" w:rsidP="000E69C9">
      <w:pPr>
        <w:pStyle w:val="P1withoutIndendation"/>
        <w:ind w:firstLine="227"/>
        <w:rPr>
          <w:lang w:val="en-GB"/>
        </w:rPr>
      </w:pPr>
      <w:r>
        <w:t xml:space="preserve">Above all, this more distant homolog also showed high activity toward 1,2-cyclohexadione </w:t>
      </w:r>
      <w:r w:rsidRPr="00E70FFF">
        <w:rPr>
          <w:b/>
        </w:rPr>
        <w:t>55</w:t>
      </w:r>
      <w:r>
        <w:t xml:space="preserve">, but lower activity with bulkier substrates like norcamphor </w:t>
      </w:r>
      <w:r w:rsidRPr="00E70FFF">
        <w:rPr>
          <w:b/>
        </w:rPr>
        <w:t>56</w:t>
      </w:r>
      <w:r>
        <w:t xml:space="preserve"> or benzaldehyde </w:t>
      </w:r>
      <w:r w:rsidRPr="00E70FFF">
        <w:rPr>
          <w:b/>
        </w:rPr>
        <w:t>57</w:t>
      </w:r>
      <w:r>
        <w:t>, not substrates of previously identified nat-AmDHs. The noticeable differences, in terms of P1-P20 positions, of this eukaryote-sourced enzyme but also of some of the other modelled ones, can explain their different cofactor specificities (NADH-dependent enzymes, excepting MATOUAmDH2) and slightly different substrate scope compared to previously reported nat-AmDHs.</w:t>
      </w:r>
      <w:r w:rsidRPr="00BF1C62">
        <w:t xml:space="preserve"> </w:t>
      </w:r>
      <w:r>
        <w:t xml:space="preserve">Further studies including resolution of some 3D-structures and protein engineering are required to better link structure / activity of these recently discovered enzymes which have a synthetic potential, as exemplified by the 85% conversion of 10 mM isobutyraldehyde </w:t>
      </w:r>
      <w:r w:rsidRPr="00E70FFF">
        <w:rPr>
          <w:b/>
        </w:rPr>
        <w:t>51</w:t>
      </w:r>
      <w:r>
        <w:t xml:space="preserve"> into isobutyrylamine </w:t>
      </w:r>
      <w:r w:rsidRPr="00E70FFF">
        <w:rPr>
          <w:b/>
        </w:rPr>
        <w:t>51</w:t>
      </w:r>
      <w:r>
        <w:rPr>
          <w:b/>
        </w:rPr>
        <w:t>a</w:t>
      </w:r>
      <w:r>
        <w:t xml:space="preserve"> by IGCAmDH1 at 30°C or even 50°C (</w:t>
      </w:r>
      <w:r w:rsidRPr="00E70FFF">
        <w:rPr>
          <w:b/>
        </w:rPr>
        <w:t>Scheme 8</w:t>
      </w:r>
      <w:r>
        <w:t>).</w:t>
      </w:r>
    </w:p>
    <w:p w14:paraId="1A2C1433" w14:textId="77777777" w:rsidR="00561D8F" w:rsidRDefault="00561D8F" w:rsidP="000E69C9">
      <w:pPr>
        <w:pStyle w:val="P1withIndendation"/>
        <w:ind w:firstLine="0"/>
      </w:pPr>
    </w:p>
    <w:p w14:paraId="280FAE5D" w14:textId="1D9F46D9" w:rsidR="00561D8F" w:rsidRPr="008261A3" w:rsidRDefault="00D36C88" w:rsidP="000E69C9">
      <w:pPr>
        <w:pStyle w:val="P1withIndendation"/>
        <w:ind w:firstLine="0"/>
      </w:pPr>
      <w:r>
        <w:rPr>
          <w:b/>
        </w:rPr>
        <w:t>Figure 9</w:t>
      </w:r>
      <w:r w:rsidR="00561D8F">
        <w:t xml:space="preserve"> highlights the main substrates of native AmDHs discovered throughout the different (meta</w:t>
      </w:r>
      <w:proofErr w:type="gramStart"/>
      <w:r w:rsidR="00561D8F">
        <w:t>)genomic</w:t>
      </w:r>
      <w:proofErr w:type="gramEnd"/>
      <w:r w:rsidR="00561D8F">
        <w:t xml:space="preserve"> approaches and the only preliminary engineering done on AmDH4. Reliable engineering work can now be undertaken on these recently discovered enzymes. Further scope fo</w:t>
      </w:r>
      <w:r w:rsidR="00933DAB">
        <w:t>r</w:t>
      </w:r>
      <w:r w:rsidR="00561D8F">
        <w:t xml:space="preserve"> beneficial mutagenesis work is possible, either on the well-conserved residues (such as P1, P4,</w:t>
      </w:r>
      <w:r w:rsidR="00561D8F" w:rsidRPr="00F309F0">
        <w:t xml:space="preserve"> </w:t>
      </w:r>
      <w:r w:rsidR="00561D8F">
        <w:t xml:space="preserve">P9, P10, P11, P12, P20) or the less conserved ones (such as P2, P6, P7, P8, P17), including all the </w:t>
      </w:r>
      <w:r w:rsidR="00561D8F" w:rsidRPr="001D5B1E">
        <w:t xml:space="preserve">neighboring </w:t>
      </w:r>
      <w:r w:rsidR="00561D8F">
        <w:t>positions.</w:t>
      </w:r>
    </w:p>
    <w:p w14:paraId="7CA0E459" w14:textId="0FAFE76F" w:rsidR="00561D8F" w:rsidRPr="008261A3" w:rsidRDefault="00561D8F" w:rsidP="000E69C9">
      <w:pPr>
        <w:pStyle w:val="P1withoutIndendation"/>
        <w:ind w:firstLine="227"/>
        <w:rPr>
          <w:lang w:val="en-GB"/>
        </w:rPr>
      </w:pPr>
      <w:r>
        <w:t>For all these native AmDHs, the (</w:t>
      </w:r>
      <w:r w:rsidRPr="00B75CBF">
        <w:rPr>
          <w:i/>
        </w:rPr>
        <w:t>S</w:t>
      </w:r>
      <w:r>
        <w:t xml:space="preserve">)-amines </w:t>
      </w:r>
      <w:r w:rsidRPr="009118B3">
        <w:t>w</w:t>
      </w:r>
      <w:r>
        <w:t>ere</w:t>
      </w:r>
      <w:r w:rsidRPr="009118B3">
        <w:t xml:space="preserve"> preferentially formed</w:t>
      </w:r>
      <w:r>
        <w:t xml:space="preserve"> a</w:t>
      </w:r>
      <w:r w:rsidRPr="009118B3">
        <w:t>s for 4OP-AmDH</w:t>
      </w:r>
      <w:r>
        <w:t>s and 2,4-DAPDHs</w:t>
      </w:r>
      <w:r w:rsidRPr="009118B3">
        <w:t xml:space="preserve">, in contrast to engineered </w:t>
      </w:r>
      <w:r>
        <w:t>AADHs</w:t>
      </w:r>
      <w:r w:rsidR="0008270E">
        <w:t xml:space="preserve"> and </w:t>
      </w:r>
      <w:r>
        <w:t xml:space="preserve">LE-AmDH-v1, </w:t>
      </w:r>
      <w:r w:rsidRPr="009118B3">
        <w:t>each of which g</w:t>
      </w:r>
      <w:r>
        <w:t>iving</w:t>
      </w:r>
      <w:r w:rsidRPr="009118B3">
        <w:t xml:space="preserve"> the (</w:t>
      </w:r>
      <w:r w:rsidRPr="00B2778B">
        <w:rPr>
          <w:i/>
        </w:rPr>
        <w:t>R</w:t>
      </w:r>
      <w:r w:rsidRPr="009118B3">
        <w:t>)-enantiomer for the reaction with ammonia</w:t>
      </w:r>
      <w:r>
        <w:t xml:space="preserve"> </w:t>
      </w:r>
      <w:r w:rsidRPr="00183132">
        <w:rPr>
          <w:b/>
        </w:rPr>
        <w:t>a</w:t>
      </w:r>
      <w:r>
        <w:t xml:space="preserve"> (following Cahn-Ingold-</w:t>
      </w:r>
      <w:r w:rsidRPr="00C9335C">
        <w:t>Prelog</w:t>
      </w:r>
      <w:r>
        <w:t xml:space="preserve"> priority rules</w:t>
      </w:r>
      <w:r w:rsidRPr="00C9335C">
        <w:t xml:space="preserve"> </w:t>
      </w:r>
      <w:r>
        <w:t>in the case of unfunctionalized carbonyl substrates)</w:t>
      </w:r>
      <w:r w:rsidRPr="009118B3">
        <w:t>.</w:t>
      </w:r>
      <w:r>
        <w:t xml:space="preserve"> The latter is the amine source highly preferentially accepted by these native enzymes, but secondary activity toward methylamine </w:t>
      </w:r>
      <w:r w:rsidRPr="00183132">
        <w:rPr>
          <w:b/>
        </w:rPr>
        <w:t>b</w:t>
      </w:r>
      <w:r>
        <w:t xml:space="preserve"> was also recorded, particularly for MATOUAmDH2, which is promising for widening the application of AmDHs to the synthesis of secondary amines.</w:t>
      </w:r>
    </w:p>
    <w:p w14:paraId="43651DDF" w14:textId="77777777" w:rsidR="00561D8F" w:rsidRPr="008261A3" w:rsidRDefault="00561D8F" w:rsidP="000E69C9">
      <w:pPr>
        <w:pStyle w:val="P1withIndendation"/>
      </w:pPr>
    </w:p>
    <w:p w14:paraId="1937D173" w14:textId="64759CB7" w:rsidR="00561D8F" w:rsidRPr="00726F3A" w:rsidRDefault="00561D8F" w:rsidP="000E69C9">
      <w:pPr>
        <w:pStyle w:val="H1"/>
      </w:pPr>
      <w:r>
        <w:t>5 Imine Reductases</w:t>
      </w:r>
      <w:r w:rsidR="0076552B">
        <w:t xml:space="preserve"> (IREDs)</w:t>
      </w:r>
      <w:r>
        <w:t xml:space="preserve"> active toward carbonyl-containing substrates and </w:t>
      </w:r>
      <w:r w:rsidR="0076552B">
        <w:t>R</w:t>
      </w:r>
      <w:r>
        <w:t xml:space="preserve">eductive </w:t>
      </w:r>
      <w:r w:rsidR="0076552B">
        <w:t>A</w:t>
      </w:r>
      <w:r>
        <w:t>minases</w:t>
      </w:r>
      <w:r w:rsidR="0076552B">
        <w:t xml:space="preserve"> (RedAms)</w:t>
      </w:r>
    </w:p>
    <w:p w14:paraId="0D6AEFAA" w14:textId="3B7810FD" w:rsidR="00561D8F" w:rsidRPr="00C26D85" w:rsidRDefault="00561D8F" w:rsidP="000E69C9">
      <w:pPr>
        <w:pStyle w:val="P1withoutIndendation"/>
        <w:rPr>
          <w:lang w:val="en-GB"/>
        </w:rPr>
      </w:pPr>
      <w:r w:rsidRPr="009C2D05">
        <w:t>Imine reductases (IREDs) are NADPH-dependent oxidoreductases</w:t>
      </w:r>
      <w:r>
        <w:t xml:space="preserve"> that have been shown to catalyz</w:t>
      </w:r>
      <w:r w:rsidRPr="009C2D05">
        <w:t>e the asymmetric reduction of pre-formed prochiral imines</w:t>
      </w:r>
      <w:r>
        <w:t>.</w:t>
      </w:r>
      <w:r w:rsidR="00146C46">
        <w:rPr>
          <w:noProof/>
          <w:vertAlign w:val="superscript"/>
        </w:rPr>
        <w:t>[13</w:t>
      </w:r>
      <w:r w:rsidR="003E6B17">
        <w:rPr>
          <w:noProof/>
          <w:vertAlign w:val="superscript"/>
        </w:rPr>
        <w:t>b, 43</w:t>
      </w:r>
      <w:r w:rsidRPr="00EB6EE9">
        <w:rPr>
          <w:noProof/>
          <w:vertAlign w:val="superscript"/>
        </w:rPr>
        <w:t>]</w:t>
      </w:r>
      <w:r w:rsidRPr="009C2D05">
        <w:t xml:space="preserve"> IREDs present a good starting point for biocatalytic reductive amination as the imine reduction step constitutes the second half of the reductive amination reaction (</w:t>
      </w:r>
      <w:r w:rsidRPr="009C2D05">
        <w:rPr>
          <w:b/>
          <w:bCs/>
        </w:rPr>
        <w:t xml:space="preserve">Scheme </w:t>
      </w:r>
      <w:r>
        <w:rPr>
          <w:b/>
          <w:bCs/>
        </w:rPr>
        <w:t>10</w:t>
      </w:r>
      <w:r w:rsidRPr="009C2D05">
        <w:t>) and a subset of these enzymes, Re</w:t>
      </w:r>
      <w:r>
        <w:t>dAms, have been shown to also catalyz</w:t>
      </w:r>
      <w:r w:rsidRPr="009C2D05">
        <w:t>e the imine formation reaction.</w:t>
      </w:r>
    </w:p>
    <w:p w14:paraId="5A78F9CA" w14:textId="77777777" w:rsidR="00561D8F" w:rsidRPr="001F38DA" w:rsidRDefault="004E3061" w:rsidP="000E69C9">
      <w:pPr>
        <w:spacing w:before="360"/>
        <w:rPr>
          <w:color w:val="FF0000"/>
          <w:sz w:val="18"/>
          <w:szCs w:val="20"/>
          <w:lang w:val="en-GB"/>
        </w:rPr>
      </w:pPr>
      <w:r w:rsidRPr="004E3061">
        <w:rPr>
          <w:noProof/>
          <w:color w:val="FF0000"/>
          <w:sz w:val="18"/>
          <w:szCs w:val="20"/>
          <w:lang w:val="en-GB"/>
        </w:rPr>
        <w:object w:dxaOrig="7246" w:dyaOrig="1947" w14:anchorId="643221AE">
          <v:shape id="_x0000_i1034" type="#_x0000_t75" alt="" style="width:243pt;height:64.5pt;mso-width-percent:0;mso-height-percent:0;mso-width-percent:0;mso-height-percent:0" o:ole="">
            <v:imagedata r:id="rId41" o:title=""/>
          </v:shape>
          <o:OLEObject Type="Embed" ProgID="ChemDraw.Document.6.0" ShapeID="_x0000_i1034" DrawAspect="Content" ObjectID="_1661677394" r:id="rId42"/>
        </w:object>
      </w:r>
    </w:p>
    <w:p w14:paraId="6E139A97" w14:textId="28087DDE" w:rsidR="00561D8F" w:rsidRPr="00E92DDB" w:rsidRDefault="00561D8F" w:rsidP="000E69C9">
      <w:pPr>
        <w:pStyle w:val="SchemeCaption"/>
      </w:pPr>
      <w:r>
        <w:rPr>
          <w:b/>
        </w:rPr>
        <w:t>Scheme</w:t>
      </w:r>
      <w:r w:rsidRPr="005702B8">
        <w:rPr>
          <w:b/>
        </w:rPr>
        <w:t xml:space="preserve"> 1</w:t>
      </w:r>
      <w:r w:rsidR="007519D1">
        <w:rPr>
          <w:b/>
        </w:rPr>
        <w:t>0</w:t>
      </w:r>
      <w:r>
        <w:rPr>
          <w:b/>
        </w:rPr>
        <w:t>.</w:t>
      </w:r>
      <w:r>
        <w:t xml:space="preserve"> </w:t>
      </w:r>
      <w:r>
        <w:rPr>
          <w:bCs/>
        </w:rPr>
        <w:t>IREDs (red) catalyz</w:t>
      </w:r>
      <w:r w:rsidRPr="009C2D05">
        <w:rPr>
          <w:bCs/>
        </w:rPr>
        <w:t>e the reduction of imines preformed in solution to give optically acti</w:t>
      </w:r>
      <w:r>
        <w:rPr>
          <w:bCs/>
        </w:rPr>
        <w:t>ve amines. RedAms (blue) catalyz</w:t>
      </w:r>
      <w:r w:rsidRPr="009C2D05">
        <w:rPr>
          <w:bCs/>
        </w:rPr>
        <w:t xml:space="preserve">e the formation of the imine from a carbonyl substrate and amine donor and also the reduction </w:t>
      </w:r>
      <w:r w:rsidRPr="00E92DDB">
        <w:rPr>
          <w:bCs/>
        </w:rPr>
        <w:t>of the imine</w:t>
      </w:r>
      <w:r w:rsidRPr="00E92DDB">
        <w:t>.</w:t>
      </w:r>
    </w:p>
    <w:p w14:paraId="011E7564" w14:textId="67027C5C" w:rsidR="00561D8F" w:rsidRPr="00EF6C1B" w:rsidRDefault="00561D8F" w:rsidP="000E69C9">
      <w:pPr>
        <w:pStyle w:val="P1withIndendation"/>
        <w:rPr>
          <w:szCs w:val="22"/>
        </w:rPr>
      </w:pPr>
      <w:r w:rsidRPr="00E92DDB">
        <w:rPr>
          <w:szCs w:val="22"/>
        </w:rPr>
        <w:t xml:space="preserve">Stereocomplementary IREDs from </w:t>
      </w:r>
      <w:r w:rsidRPr="00E92DDB">
        <w:rPr>
          <w:i/>
          <w:szCs w:val="22"/>
        </w:rPr>
        <w:t xml:space="preserve">Streptomyces </w:t>
      </w:r>
      <w:r w:rsidRPr="00E92DDB">
        <w:rPr>
          <w:szCs w:val="22"/>
        </w:rPr>
        <w:t>sp. GF3587 and GF3546, with (</w:t>
      </w:r>
      <w:r w:rsidRPr="00E92DDB">
        <w:rPr>
          <w:i/>
          <w:iCs/>
          <w:szCs w:val="22"/>
        </w:rPr>
        <w:t>R</w:t>
      </w:r>
      <w:r w:rsidRPr="00E92DDB">
        <w:rPr>
          <w:szCs w:val="22"/>
        </w:rPr>
        <w:t>)</w:t>
      </w:r>
      <w:r w:rsidRPr="00E92DDB">
        <w:rPr>
          <w:i/>
          <w:iCs/>
          <w:szCs w:val="22"/>
        </w:rPr>
        <w:t>-</w:t>
      </w:r>
      <w:r w:rsidRPr="00E92DDB">
        <w:rPr>
          <w:szCs w:val="22"/>
        </w:rPr>
        <w:t xml:space="preserve"> and (</w:t>
      </w:r>
      <w:r w:rsidRPr="00E92DDB">
        <w:rPr>
          <w:i/>
          <w:iCs/>
          <w:szCs w:val="22"/>
        </w:rPr>
        <w:t>S</w:t>
      </w:r>
      <w:r w:rsidRPr="00E92DDB">
        <w:rPr>
          <w:szCs w:val="22"/>
        </w:rPr>
        <w:t>)-selectivity respectively for the reduction of 2-methylpyrroline, were the first examples to be identified.</w:t>
      </w:r>
      <w:r w:rsidR="003E6B17" w:rsidRPr="00E92DDB">
        <w:rPr>
          <w:noProof/>
          <w:szCs w:val="22"/>
          <w:vertAlign w:val="superscript"/>
        </w:rPr>
        <w:t>[44</w:t>
      </w:r>
      <w:r w:rsidRPr="00E92DDB">
        <w:rPr>
          <w:noProof/>
          <w:szCs w:val="22"/>
          <w:vertAlign w:val="superscript"/>
        </w:rPr>
        <w:t>]</w:t>
      </w:r>
      <w:r w:rsidRPr="00E92DDB">
        <w:rPr>
          <w:szCs w:val="22"/>
        </w:rPr>
        <w:t xml:space="preserve">  In 2014</w:t>
      </w:r>
      <w:r w:rsidR="00933DAB" w:rsidRPr="00E92DDB">
        <w:rPr>
          <w:szCs w:val="22"/>
        </w:rPr>
        <w:t>,</w:t>
      </w:r>
      <w:r w:rsidRPr="00E92DDB">
        <w:rPr>
          <w:szCs w:val="22"/>
        </w:rPr>
        <w:t xml:space="preserve"> Huber and co-workers showed for the first time that, in the presence of a large excess of an amine donor, in that case a 212 mM methylammonium buffer at pH 9.5, low conversions (up to 8.8 ± 1.6%) of a ketone, 4-phenyl-2-butanone </w:t>
      </w:r>
      <w:r w:rsidRPr="00E92DDB">
        <w:rPr>
          <w:b/>
          <w:bCs/>
          <w:szCs w:val="22"/>
        </w:rPr>
        <w:t>18</w:t>
      </w:r>
      <w:r w:rsidRPr="00E92DDB">
        <w:rPr>
          <w:szCs w:val="22"/>
        </w:rPr>
        <w:t>, to the secondary amine  (</w:t>
      </w:r>
      <w:r w:rsidRPr="00E92DDB">
        <w:rPr>
          <w:i/>
          <w:iCs/>
          <w:szCs w:val="22"/>
        </w:rPr>
        <w:t>S</w:t>
      </w:r>
      <w:r w:rsidRPr="00E92DDB">
        <w:rPr>
          <w:szCs w:val="22"/>
        </w:rPr>
        <w:t xml:space="preserve">)-2‐(methylamino)‐4‐phenylbutane </w:t>
      </w:r>
      <w:r w:rsidRPr="00E92DDB">
        <w:rPr>
          <w:b/>
          <w:bCs/>
          <w:szCs w:val="22"/>
        </w:rPr>
        <w:t>18b</w:t>
      </w:r>
      <w:r w:rsidRPr="00E92DDB">
        <w:rPr>
          <w:szCs w:val="22"/>
        </w:rPr>
        <w:t xml:space="preserve"> with 76% </w:t>
      </w:r>
      <w:r w:rsidRPr="00E92DDB">
        <w:rPr>
          <w:i/>
          <w:szCs w:val="22"/>
        </w:rPr>
        <w:t>e</w:t>
      </w:r>
      <w:r w:rsidR="00453241" w:rsidRPr="00E92DDB">
        <w:rPr>
          <w:i/>
          <w:szCs w:val="22"/>
        </w:rPr>
        <w:t>e</w:t>
      </w:r>
      <w:r w:rsidRPr="00E92DDB">
        <w:rPr>
          <w:szCs w:val="22"/>
        </w:rPr>
        <w:t>, could be achieved in the presence of high loadings of the (</w:t>
      </w:r>
      <w:r w:rsidRPr="00E92DDB">
        <w:rPr>
          <w:i/>
          <w:iCs/>
          <w:szCs w:val="22"/>
        </w:rPr>
        <w:t>S</w:t>
      </w:r>
      <w:r w:rsidRPr="00E92DDB">
        <w:rPr>
          <w:szCs w:val="22"/>
        </w:rPr>
        <w:t xml:space="preserve">)-IRED from </w:t>
      </w:r>
      <w:r w:rsidRPr="00E92DDB">
        <w:rPr>
          <w:i/>
          <w:szCs w:val="22"/>
        </w:rPr>
        <w:t xml:space="preserve">Streptomyces </w:t>
      </w:r>
      <w:r w:rsidRPr="00E92DDB">
        <w:rPr>
          <w:szCs w:val="22"/>
        </w:rPr>
        <w:t>sp. GF3546 (Uniprot ID: M4ZS15) (</w:t>
      </w:r>
      <w:r w:rsidRPr="00E92DDB">
        <w:rPr>
          <w:b/>
          <w:bCs/>
          <w:szCs w:val="22"/>
        </w:rPr>
        <w:t>Scheme 11</w:t>
      </w:r>
      <w:r w:rsidRPr="00E92DDB">
        <w:rPr>
          <w:szCs w:val="22"/>
        </w:rPr>
        <w:t>).</w:t>
      </w:r>
      <w:r w:rsidR="003E6B17" w:rsidRPr="00E92DDB">
        <w:rPr>
          <w:noProof/>
          <w:szCs w:val="22"/>
          <w:vertAlign w:val="superscript"/>
        </w:rPr>
        <w:t>[45</w:t>
      </w:r>
      <w:r w:rsidRPr="00E92DDB">
        <w:rPr>
          <w:noProof/>
          <w:szCs w:val="22"/>
          <w:vertAlign w:val="superscript"/>
        </w:rPr>
        <w:t>]</w:t>
      </w:r>
      <w:r w:rsidRPr="00E92DDB">
        <w:rPr>
          <w:szCs w:val="22"/>
        </w:rPr>
        <w:t xml:space="preserve">  The excess of amine donor and high pH were thought to favor the formation of an intermediate imine that would be recruited from solution and reduced from one prochiral face by the enzyme.</w:t>
      </w:r>
    </w:p>
    <w:p w14:paraId="088A2B6A" w14:textId="0D0D42F9" w:rsidR="00561D8F" w:rsidRPr="001F38DA" w:rsidRDefault="004E3061" w:rsidP="000E69C9">
      <w:pPr>
        <w:spacing w:before="360"/>
        <w:rPr>
          <w:color w:val="FF0000"/>
          <w:sz w:val="18"/>
          <w:szCs w:val="20"/>
          <w:lang w:val="en-GB"/>
        </w:rPr>
      </w:pPr>
      <w:r>
        <w:rPr>
          <w:noProof/>
        </w:rPr>
        <w:object w:dxaOrig="8748" w:dyaOrig="2205" w14:anchorId="3F926027">
          <v:shape id="_x0000_i1035" type="#_x0000_t75" alt="" style="width:237.75pt;height:60pt;mso-width-percent:0;mso-height-percent:0;mso-width-percent:0;mso-height-percent:0" o:ole="">
            <v:imagedata r:id="rId43" o:title=""/>
          </v:shape>
          <o:OLEObject Type="Embed" ProgID="ChemDraw.Document.6.0" ShapeID="_x0000_i1035" DrawAspect="Content" ObjectID="_1661677395" r:id="rId44"/>
        </w:object>
      </w:r>
    </w:p>
    <w:p w14:paraId="37B029D2" w14:textId="440F5358" w:rsidR="00561D8F" w:rsidRPr="008261A3" w:rsidRDefault="00561D8F" w:rsidP="000E69C9">
      <w:pPr>
        <w:pStyle w:val="FigureCaption"/>
      </w:pPr>
      <w:r>
        <w:rPr>
          <w:b/>
        </w:rPr>
        <w:t>Scheme 11.</w:t>
      </w:r>
      <w:r w:rsidRPr="00C2552A">
        <w:t xml:space="preserve"> </w:t>
      </w:r>
      <w:r>
        <w:t xml:space="preserve">Example of reaction </w:t>
      </w:r>
      <w:r w:rsidR="00A61E06">
        <w:t>cataly</w:t>
      </w:r>
      <w:r w:rsidR="00753FCB">
        <w:t>z</w:t>
      </w:r>
      <w:r w:rsidR="00A61E06">
        <w:t>ed</w:t>
      </w:r>
      <w:r>
        <w:t xml:space="preserve"> by </w:t>
      </w:r>
      <w:r w:rsidR="00753FCB">
        <w:t>(</w:t>
      </w:r>
      <w:r w:rsidR="00753FCB" w:rsidRPr="009925AD">
        <w:rPr>
          <w:i/>
        </w:rPr>
        <w:t>S</w:t>
      </w:r>
      <w:r w:rsidR="00753FCB">
        <w:t>)-</w:t>
      </w:r>
      <w:r>
        <w:rPr>
          <w:bCs/>
        </w:rPr>
        <w:t xml:space="preserve">IRED </w:t>
      </w:r>
      <w:r w:rsidR="00753FCB">
        <w:rPr>
          <w:bCs/>
        </w:rPr>
        <w:t xml:space="preserve">from </w:t>
      </w:r>
      <w:r w:rsidR="00753FCB" w:rsidRPr="009925AD">
        <w:rPr>
          <w:bCs/>
          <w:i/>
        </w:rPr>
        <w:t>Streptomyces</w:t>
      </w:r>
      <w:r w:rsidR="00753FCB">
        <w:rPr>
          <w:bCs/>
        </w:rPr>
        <w:t xml:space="preserve"> sp. </w:t>
      </w:r>
      <w:r>
        <w:rPr>
          <w:bCs/>
        </w:rPr>
        <w:t>GF3546.</w:t>
      </w:r>
    </w:p>
    <w:p w14:paraId="7C4137FD" w14:textId="36D23E56" w:rsidR="00561D8F" w:rsidRPr="00E92DDB" w:rsidRDefault="00561D8F" w:rsidP="000E69C9">
      <w:pPr>
        <w:pStyle w:val="P1withIndendation"/>
        <w:rPr>
          <w:szCs w:val="22"/>
        </w:rPr>
      </w:pPr>
      <w:r w:rsidRPr="009C2D05">
        <w:rPr>
          <w:szCs w:val="22"/>
        </w:rPr>
        <w:t>The discovery of new IREDs and the exploration of their substrate scope yielded further observations of reductive amination reactions. (</w:t>
      </w:r>
      <w:r w:rsidRPr="009C2D05">
        <w:rPr>
          <w:i/>
          <w:iCs/>
          <w:szCs w:val="22"/>
        </w:rPr>
        <w:t>R</w:t>
      </w:r>
      <w:r w:rsidRPr="009C2D05">
        <w:rPr>
          <w:szCs w:val="22"/>
        </w:rPr>
        <w:t>)-IRED-Sr</w:t>
      </w:r>
      <w:r>
        <w:rPr>
          <w:szCs w:val="22"/>
        </w:rPr>
        <w:t xml:space="preserve"> (Uniprot ID: </w:t>
      </w:r>
      <w:r w:rsidRPr="009F7A17">
        <w:rPr>
          <w:szCs w:val="22"/>
        </w:rPr>
        <w:t>D2B7Z8</w:t>
      </w:r>
      <w:r>
        <w:rPr>
          <w:szCs w:val="22"/>
        </w:rPr>
        <w:t>)</w:t>
      </w:r>
      <w:r w:rsidRPr="009C2D05">
        <w:rPr>
          <w:szCs w:val="22"/>
        </w:rPr>
        <w:t xml:space="preserve">, from </w:t>
      </w:r>
      <w:r w:rsidRPr="009C2D05">
        <w:rPr>
          <w:i/>
          <w:szCs w:val="22"/>
        </w:rPr>
        <w:t>Streptosporangium roseum</w:t>
      </w:r>
      <w:r w:rsidRPr="009C2D05">
        <w:rPr>
          <w:szCs w:val="22"/>
        </w:rPr>
        <w:t xml:space="preserve">, was screened for carbonyl </w:t>
      </w:r>
      <w:r w:rsidR="004B04C5">
        <w:rPr>
          <w:szCs w:val="22"/>
        </w:rPr>
        <w:t>reaction</w:t>
      </w:r>
      <w:r w:rsidRPr="009C2D05">
        <w:rPr>
          <w:szCs w:val="22"/>
        </w:rPr>
        <w:t xml:space="preserve"> scope as well as activity towards different amine donors in reductive amination reactions. In the presence of (</w:t>
      </w:r>
      <w:r w:rsidRPr="009C2D05">
        <w:rPr>
          <w:i/>
          <w:iCs/>
          <w:szCs w:val="22"/>
        </w:rPr>
        <w:t>R</w:t>
      </w:r>
      <w:r w:rsidRPr="009C2D05">
        <w:rPr>
          <w:szCs w:val="22"/>
        </w:rPr>
        <w:t xml:space="preserve">)-IRED-Sr, benzaldehyde </w:t>
      </w:r>
      <w:r w:rsidRPr="00F5049D">
        <w:rPr>
          <w:b/>
          <w:szCs w:val="22"/>
        </w:rPr>
        <w:t>57</w:t>
      </w:r>
      <w:r>
        <w:rPr>
          <w:szCs w:val="22"/>
        </w:rPr>
        <w:t xml:space="preserve"> </w:t>
      </w:r>
      <w:r w:rsidRPr="009C2D05">
        <w:rPr>
          <w:szCs w:val="22"/>
        </w:rPr>
        <w:t>was transformed to amine products using either ammonia</w:t>
      </w:r>
      <w:r w:rsidR="00A35EC6">
        <w:rPr>
          <w:szCs w:val="22"/>
        </w:rPr>
        <w:t xml:space="preserve"> </w:t>
      </w:r>
      <w:r w:rsidR="00A35EC6" w:rsidRPr="007A4981">
        <w:rPr>
          <w:b/>
          <w:szCs w:val="22"/>
        </w:rPr>
        <w:t>a</w:t>
      </w:r>
      <w:r w:rsidRPr="009C2D05">
        <w:rPr>
          <w:szCs w:val="22"/>
        </w:rPr>
        <w:t xml:space="preserve"> or methylamine</w:t>
      </w:r>
      <w:r w:rsidR="00A35EC6">
        <w:rPr>
          <w:szCs w:val="22"/>
        </w:rPr>
        <w:t xml:space="preserve"> </w:t>
      </w:r>
      <w:r w:rsidR="00A35EC6" w:rsidRPr="007A4981">
        <w:rPr>
          <w:b/>
          <w:szCs w:val="22"/>
        </w:rPr>
        <w:t>b</w:t>
      </w:r>
      <w:r w:rsidRPr="009C2D05">
        <w:rPr>
          <w:szCs w:val="22"/>
        </w:rPr>
        <w:t>, with conversions of up to 73% for the reaction with methylamine</w:t>
      </w:r>
      <w:r w:rsidR="00A35EC6">
        <w:rPr>
          <w:szCs w:val="22"/>
        </w:rPr>
        <w:t xml:space="preserve"> </w:t>
      </w:r>
      <w:r w:rsidR="00A35EC6" w:rsidRPr="007A4981">
        <w:rPr>
          <w:b/>
          <w:szCs w:val="22"/>
        </w:rPr>
        <w:t>b</w:t>
      </w:r>
      <w:r w:rsidRPr="009C2D05">
        <w:rPr>
          <w:szCs w:val="22"/>
        </w:rPr>
        <w:t>, when 50 equivalents of the amine w</w:t>
      </w:r>
      <w:r>
        <w:rPr>
          <w:szCs w:val="22"/>
        </w:rPr>
        <w:t>ere employed</w:t>
      </w:r>
      <w:proofErr w:type="gramStart"/>
      <w:r w:rsidRPr="009C2D05">
        <w:rPr>
          <w:szCs w:val="22"/>
        </w:rPr>
        <w:t>.</w:t>
      </w:r>
      <w:r w:rsidR="003E6B17">
        <w:rPr>
          <w:noProof/>
          <w:szCs w:val="22"/>
          <w:vertAlign w:val="superscript"/>
        </w:rPr>
        <w:t>[</w:t>
      </w:r>
      <w:proofErr w:type="gramEnd"/>
      <w:r w:rsidR="003E6B17">
        <w:rPr>
          <w:noProof/>
          <w:szCs w:val="22"/>
          <w:vertAlign w:val="superscript"/>
        </w:rPr>
        <w:t>46</w:t>
      </w:r>
      <w:r w:rsidRPr="00EB6EE9">
        <w:rPr>
          <w:noProof/>
          <w:szCs w:val="22"/>
          <w:vertAlign w:val="superscript"/>
        </w:rPr>
        <w:t>]</w:t>
      </w:r>
      <w:r w:rsidRPr="009C2D05">
        <w:rPr>
          <w:szCs w:val="22"/>
        </w:rPr>
        <w:t xml:space="preserve"> Lower conversions were observed with aniline</w:t>
      </w:r>
      <w:r w:rsidR="00A35EC6">
        <w:rPr>
          <w:szCs w:val="22"/>
        </w:rPr>
        <w:t xml:space="preserve"> </w:t>
      </w:r>
      <w:r w:rsidR="001418F9">
        <w:rPr>
          <w:b/>
          <w:szCs w:val="22"/>
        </w:rPr>
        <w:t>e</w:t>
      </w:r>
      <w:r w:rsidR="00684928" w:rsidRPr="00684928">
        <w:rPr>
          <w:szCs w:val="22"/>
        </w:rPr>
        <w:t>.</w:t>
      </w:r>
      <w:r w:rsidRPr="009C2D05">
        <w:rPr>
          <w:szCs w:val="22"/>
        </w:rPr>
        <w:t xml:space="preserve"> Moreover, incubation of acetophenone </w:t>
      </w:r>
      <w:r w:rsidRPr="004D774F">
        <w:rPr>
          <w:b/>
          <w:szCs w:val="22"/>
        </w:rPr>
        <w:t>7</w:t>
      </w:r>
      <w:r>
        <w:rPr>
          <w:szCs w:val="22"/>
        </w:rPr>
        <w:t xml:space="preserve"> </w:t>
      </w:r>
      <w:r w:rsidRPr="009C2D05">
        <w:rPr>
          <w:szCs w:val="22"/>
        </w:rPr>
        <w:t>with methylamine</w:t>
      </w:r>
      <w:r w:rsidR="00A35EC6">
        <w:rPr>
          <w:szCs w:val="22"/>
        </w:rPr>
        <w:t xml:space="preserve"> </w:t>
      </w:r>
      <w:r w:rsidR="00A35EC6" w:rsidRPr="007A4981">
        <w:rPr>
          <w:b/>
          <w:szCs w:val="22"/>
        </w:rPr>
        <w:t>b</w:t>
      </w:r>
      <w:r w:rsidRPr="009C2D05">
        <w:rPr>
          <w:szCs w:val="22"/>
        </w:rPr>
        <w:t xml:space="preserve"> gave 39% conversion to the (</w:t>
      </w:r>
      <w:r w:rsidRPr="009C2D05">
        <w:rPr>
          <w:i/>
          <w:iCs/>
          <w:szCs w:val="22"/>
        </w:rPr>
        <w:t>R</w:t>
      </w:r>
      <w:r w:rsidRPr="009C2D05">
        <w:rPr>
          <w:szCs w:val="22"/>
        </w:rPr>
        <w:t xml:space="preserve">)-amine product </w:t>
      </w:r>
      <w:r w:rsidRPr="009C2D05">
        <w:rPr>
          <w:i/>
          <w:iCs/>
          <w:szCs w:val="22"/>
        </w:rPr>
        <w:t>N</w:t>
      </w:r>
      <w:r w:rsidRPr="009C2D05">
        <w:rPr>
          <w:szCs w:val="22"/>
        </w:rPr>
        <w:t xml:space="preserve">-methyl-1-phenylethylamine </w:t>
      </w:r>
      <w:r w:rsidRPr="00F5049D">
        <w:rPr>
          <w:b/>
          <w:szCs w:val="22"/>
        </w:rPr>
        <w:t>7</w:t>
      </w:r>
      <w:r>
        <w:rPr>
          <w:b/>
          <w:szCs w:val="22"/>
        </w:rPr>
        <w:t>b</w:t>
      </w:r>
      <w:r>
        <w:rPr>
          <w:szCs w:val="22"/>
        </w:rPr>
        <w:t xml:space="preserve"> </w:t>
      </w:r>
      <w:r w:rsidRPr="009C2D05">
        <w:rPr>
          <w:szCs w:val="22"/>
        </w:rPr>
        <w:t xml:space="preserve">with 87% </w:t>
      </w:r>
      <w:r w:rsidR="00453241" w:rsidRPr="00453241">
        <w:rPr>
          <w:i/>
          <w:szCs w:val="22"/>
        </w:rPr>
        <w:t>ee</w:t>
      </w:r>
      <w:r w:rsidRPr="009C2D05">
        <w:rPr>
          <w:szCs w:val="22"/>
        </w:rPr>
        <w:t xml:space="preserve"> using 50 equivalents of amine and at a pH of 9.0, each of </w:t>
      </w:r>
      <w:r w:rsidRPr="00E92DDB">
        <w:rPr>
          <w:szCs w:val="22"/>
        </w:rPr>
        <w:t>which was thought to favor the formation of the intermediate imine in solution.  Indeed, NMR studies failed to show accumulation of an imine intermediate, suggesting that (</w:t>
      </w:r>
      <w:r w:rsidRPr="00E92DDB">
        <w:rPr>
          <w:i/>
          <w:iCs/>
          <w:szCs w:val="22"/>
        </w:rPr>
        <w:t>R</w:t>
      </w:r>
      <w:r w:rsidRPr="00E92DDB">
        <w:rPr>
          <w:szCs w:val="22"/>
        </w:rPr>
        <w:t>)-IRED-Sr, was remarkably efficient in withdrawing the imine from solution for reduction.</w:t>
      </w:r>
    </w:p>
    <w:p w14:paraId="6D0DCD35" w14:textId="6BC0CC91" w:rsidR="00561D8F" w:rsidRPr="008261A3" w:rsidRDefault="00561D8F" w:rsidP="000E69C9">
      <w:pPr>
        <w:pStyle w:val="P1withIndendation"/>
      </w:pPr>
      <w:r w:rsidRPr="00E92DDB">
        <w:rPr>
          <w:szCs w:val="22"/>
        </w:rPr>
        <w:t xml:space="preserve">The application of IREDs to the asymmetric reductive amination of ketones was expanded by Wetzl and co-workers at Roche, who screened a library of 28 IREDs </w:t>
      </w:r>
      <w:r w:rsidR="00E70B00" w:rsidRPr="00E92DDB">
        <w:rPr>
          <w:szCs w:val="22"/>
        </w:rPr>
        <w:t xml:space="preserve">(named here Roche_IRXX) </w:t>
      </w:r>
      <w:r w:rsidRPr="00E92DDB">
        <w:rPr>
          <w:szCs w:val="22"/>
        </w:rPr>
        <w:t xml:space="preserve">for activity </w:t>
      </w:r>
      <w:r w:rsidR="004B04C5" w:rsidRPr="00E92DDB">
        <w:rPr>
          <w:szCs w:val="22"/>
        </w:rPr>
        <w:t>with</w:t>
      </w:r>
      <w:r w:rsidRPr="00E92DDB">
        <w:rPr>
          <w:szCs w:val="22"/>
        </w:rPr>
        <w:t xml:space="preserve"> various aromatic, aliphatic and cyclic ketones, for the production of either secondary or primary amines.</w:t>
      </w:r>
      <w:r w:rsidR="003E6B17" w:rsidRPr="00E92DDB">
        <w:rPr>
          <w:noProof/>
          <w:szCs w:val="22"/>
          <w:vertAlign w:val="superscript"/>
        </w:rPr>
        <w:t>[47</w:t>
      </w:r>
      <w:r w:rsidRPr="00E92DDB">
        <w:rPr>
          <w:noProof/>
          <w:szCs w:val="22"/>
          <w:vertAlign w:val="superscript"/>
        </w:rPr>
        <w:t>]</w:t>
      </w:r>
      <w:r w:rsidRPr="00E92DDB">
        <w:rPr>
          <w:szCs w:val="22"/>
        </w:rPr>
        <w:t xml:space="preserve"> It was found that all of the IREDs displayed activity towards at least one ketone, with higher conversions typically achieved with methylamine</w:t>
      </w:r>
      <w:r w:rsidR="00A35EC6" w:rsidRPr="00E92DDB">
        <w:rPr>
          <w:szCs w:val="22"/>
        </w:rPr>
        <w:t xml:space="preserve"> </w:t>
      </w:r>
      <w:r w:rsidR="00A35EC6" w:rsidRPr="00E92DDB">
        <w:rPr>
          <w:b/>
          <w:szCs w:val="22"/>
        </w:rPr>
        <w:t>b</w:t>
      </w:r>
      <w:r w:rsidRPr="00E92DDB">
        <w:rPr>
          <w:szCs w:val="22"/>
        </w:rPr>
        <w:t xml:space="preserve"> as the amine donor, when suppl</w:t>
      </w:r>
      <w:r w:rsidR="00753FCB" w:rsidRPr="00E92DDB">
        <w:rPr>
          <w:szCs w:val="22"/>
        </w:rPr>
        <w:t>i</w:t>
      </w:r>
      <w:r w:rsidRPr="00E92DDB">
        <w:rPr>
          <w:szCs w:val="22"/>
        </w:rPr>
        <w:t xml:space="preserve">ed at 12.5 molar equivalents and at pH 9.3. The best examples were carried out on 100 mg scale, with the IRED </w:t>
      </w:r>
      <w:r w:rsidR="00E70B00" w:rsidRPr="00E92DDB">
        <w:rPr>
          <w:szCs w:val="22"/>
        </w:rPr>
        <w:t>Roche_IR</w:t>
      </w:r>
      <w:r w:rsidRPr="00E92DDB">
        <w:rPr>
          <w:szCs w:val="22"/>
        </w:rPr>
        <w:t xml:space="preserve">11 (Uniprot ID: F4F8G5) converting substrate </w:t>
      </w:r>
      <w:r w:rsidRPr="00E92DDB">
        <w:rPr>
          <w:b/>
          <w:bCs/>
          <w:szCs w:val="22"/>
        </w:rPr>
        <w:t>11</w:t>
      </w:r>
      <w:r w:rsidRPr="00E92DDB">
        <w:rPr>
          <w:szCs w:val="22"/>
        </w:rPr>
        <w:t xml:space="preserve"> and methylamine </w:t>
      </w:r>
      <w:r w:rsidRPr="00E92DDB">
        <w:rPr>
          <w:b/>
          <w:szCs w:val="22"/>
        </w:rPr>
        <w:t>b</w:t>
      </w:r>
      <w:r w:rsidRPr="00E92DDB">
        <w:rPr>
          <w:szCs w:val="22"/>
        </w:rPr>
        <w:t xml:space="preserve"> to the (1</w:t>
      </w:r>
      <w:r w:rsidRPr="00E92DDB">
        <w:rPr>
          <w:i/>
          <w:iCs/>
          <w:szCs w:val="22"/>
        </w:rPr>
        <w:t>S</w:t>
      </w:r>
      <w:r w:rsidRPr="00E92DDB">
        <w:rPr>
          <w:szCs w:val="22"/>
        </w:rPr>
        <w:t>, 3</w:t>
      </w:r>
      <w:r w:rsidRPr="00E92DDB">
        <w:rPr>
          <w:i/>
          <w:iCs/>
          <w:szCs w:val="22"/>
        </w:rPr>
        <w:t>R</w:t>
      </w:r>
      <w:r w:rsidRPr="00E92DDB">
        <w:rPr>
          <w:szCs w:val="22"/>
        </w:rPr>
        <w:t>)-</w:t>
      </w:r>
      <w:r w:rsidRPr="00E92DDB">
        <w:rPr>
          <w:b/>
          <w:bCs/>
          <w:szCs w:val="22"/>
        </w:rPr>
        <w:t>11b</w:t>
      </w:r>
      <w:r w:rsidRPr="00E92DDB">
        <w:rPr>
          <w:szCs w:val="22"/>
        </w:rPr>
        <w:t xml:space="preserve"> product in 71% yield with 98% </w:t>
      </w:r>
      <w:r w:rsidR="00D7581F" w:rsidRPr="00E92DDB">
        <w:rPr>
          <w:i/>
          <w:szCs w:val="22"/>
        </w:rPr>
        <w:t>de</w:t>
      </w:r>
      <w:r w:rsidRPr="00E92DDB">
        <w:rPr>
          <w:szCs w:val="22"/>
        </w:rPr>
        <w:t xml:space="preserve">, and </w:t>
      </w:r>
      <w:r w:rsidR="005A3212" w:rsidRPr="00E92DDB">
        <w:rPr>
          <w:szCs w:val="22"/>
        </w:rPr>
        <w:t>2-hexanone</w:t>
      </w:r>
      <w:r w:rsidRPr="00E92DDB">
        <w:rPr>
          <w:szCs w:val="22"/>
        </w:rPr>
        <w:t xml:space="preserve"> </w:t>
      </w:r>
      <w:r w:rsidRPr="00E92DDB">
        <w:rPr>
          <w:b/>
          <w:bCs/>
          <w:szCs w:val="22"/>
        </w:rPr>
        <w:t>13</w:t>
      </w:r>
      <w:r w:rsidRPr="00E92DDB">
        <w:rPr>
          <w:szCs w:val="22"/>
        </w:rPr>
        <w:t xml:space="preserve"> to the (</w:t>
      </w:r>
      <w:r w:rsidRPr="00E92DDB">
        <w:rPr>
          <w:i/>
          <w:iCs/>
          <w:szCs w:val="22"/>
        </w:rPr>
        <w:t>R</w:t>
      </w:r>
      <w:r w:rsidRPr="00E92DDB">
        <w:rPr>
          <w:szCs w:val="22"/>
        </w:rPr>
        <w:t xml:space="preserve">)- amine product </w:t>
      </w:r>
      <w:r w:rsidRPr="00E92DDB">
        <w:rPr>
          <w:b/>
          <w:bCs/>
          <w:szCs w:val="22"/>
        </w:rPr>
        <w:t>13b</w:t>
      </w:r>
      <w:r w:rsidRPr="00E92DDB">
        <w:rPr>
          <w:szCs w:val="22"/>
        </w:rPr>
        <w:t xml:space="preserve"> in 55% yield with 96%</w:t>
      </w:r>
      <w:r w:rsidRPr="009C2D05">
        <w:rPr>
          <w:szCs w:val="22"/>
        </w:rPr>
        <w:t xml:space="preserve"> </w:t>
      </w:r>
      <w:r w:rsidR="00453241" w:rsidRPr="00453241">
        <w:rPr>
          <w:i/>
          <w:szCs w:val="22"/>
        </w:rPr>
        <w:t>ee</w:t>
      </w:r>
      <w:r w:rsidR="00453241">
        <w:rPr>
          <w:szCs w:val="22"/>
        </w:rPr>
        <w:t xml:space="preserve"> </w:t>
      </w:r>
      <w:r w:rsidRPr="009C2D05">
        <w:rPr>
          <w:szCs w:val="22"/>
        </w:rPr>
        <w:t>(</w:t>
      </w:r>
      <w:r w:rsidRPr="00F5049D">
        <w:rPr>
          <w:b/>
          <w:bCs/>
          <w:szCs w:val="22"/>
        </w:rPr>
        <w:t>Scheme 12</w:t>
      </w:r>
      <w:r w:rsidRPr="009C2D05">
        <w:rPr>
          <w:szCs w:val="22"/>
        </w:rPr>
        <w:t>). Again, NMR studies did not reveal significant formation of the imine intermediate in solution.  Höhne and co-workers subsequently screened the Roche IRED enzymes</w:t>
      </w:r>
      <w:r>
        <w:rPr>
          <w:szCs w:val="22"/>
        </w:rPr>
        <w:t xml:space="preserve"> </w:t>
      </w:r>
      <w:r w:rsidRPr="009C2D05">
        <w:rPr>
          <w:szCs w:val="22"/>
        </w:rPr>
        <w:t>and others for additional reductive amination reactions using cyclohexanone</w:t>
      </w:r>
      <w:r w:rsidRPr="00F5049D">
        <w:rPr>
          <w:b/>
          <w:szCs w:val="22"/>
        </w:rPr>
        <w:t xml:space="preserve"> 3</w:t>
      </w:r>
      <w:r w:rsidRPr="009C2D05">
        <w:rPr>
          <w:szCs w:val="22"/>
        </w:rPr>
        <w:t xml:space="preserve"> and indanone</w:t>
      </w:r>
      <w:r>
        <w:rPr>
          <w:szCs w:val="22"/>
        </w:rPr>
        <w:t xml:space="preserve"> </w:t>
      </w:r>
      <w:r w:rsidRPr="00F5049D">
        <w:rPr>
          <w:b/>
          <w:szCs w:val="22"/>
        </w:rPr>
        <w:t>58</w:t>
      </w:r>
      <w:r w:rsidRPr="009C2D05">
        <w:rPr>
          <w:szCs w:val="22"/>
        </w:rPr>
        <w:t>, among other ketone substrates, and short alkyl amines, including secondary amines s</w:t>
      </w:r>
      <w:r>
        <w:rPr>
          <w:szCs w:val="22"/>
        </w:rPr>
        <w:t>uch a pyrrolidine</w:t>
      </w:r>
      <w:r w:rsidR="00D7581F">
        <w:rPr>
          <w:szCs w:val="22"/>
        </w:rPr>
        <w:t xml:space="preserve"> </w:t>
      </w:r>
      <w:r w:rsidR="001418F9" w:rsidRPr="001418F9">
        <w:rPr>
          <w:b/>
          <w:szCs w:val="22"/>
        </w:rPr>
        <w:t>f</w:t>
      </w:r>
      <w:r>
        <w:rPr>
          <w:szCs w:val="22"/>
        </w:rPr>
        <w:t>, as donors</w:t>
      </w:r>
      <w:r w:rsidRPr="009C2D05">
        <w:rPr>
          <w:szCs w:val="22"/>
        </w:rPr>
        <w:t>.</w:t>
      </w:r>
      <w:r w:rsidR="00BB4BD0">
        <w:rPr>
          <w:noProof/>
          <w:szCs w:val="22"/>
          <w:vertAlign w:val="superscript"/>
        </w:rPr>
        <w:t>[48</w:t>
      </w:r>
      <w:r w:rsidRPr="00EB6EE9">
        <w:rPr>
          <w:noProof/>
          <w:szCs w:val="22"/>
          <w:vertAlign w:val="superscript"/>
        </w:rPr>
        <w:t>]</w:t>
      </w:r>
      <w:r w:rsidRPr="009C2D05">
        <w:rPr>
          <w:szCs w:val="22"/>
        </w:rPr>
        <w:t xml:space="preserve"> The enzymes </w:t>
      </w:r>
      <w:r w:rsidR="00DF6CD8">
        <w:rPr>
          <w:szCs w:val="22"/>
        </w:rPr>
        <w:t>Roche_</w:t>
      </w:r>
      <w:r>
        <w:rPr>
          <w:szCs w:val="22"/>
        </w:rPr>
        <w:t xml:space="preserve">IR14 (Uniprot ID: </w:t>
      </w:r>
      <w:r w:rsidRPr="00923AE2">
        <w:rPr>
          <w:szCs w:val="22"/>
        </w:rPr>
        <w:t>H6RB67</w:t>
      </w:r>
      <w:r>
        <w:rPr>
          <w:szCs w:val="22"/>
        </w:rPr>
        <w:t xml:space="preserve">) </w:t>
      </w:r>
      <w:r w:rsidRPr="009C2D05">
        <w:rPr>
          <w:szCs w:val="22"/>
        </w:rPr>
        <w:t xml:space="preserve">and IR-Sip </w:t>
      </w:r>
      <w:r>
        <w:rPr>
          <w:szCs w:val="22"/>
        </w:rPr>
        <w:t>(Uniprot ID:</w:t>
      </w:r>
      <w:r w:rsidRPr="002026C2">
        <w:rPr>
          <w:szCs w:val="22"/>
        </w:rPr>
        <w:t xml:space="preserve"> </w:t>
      </w:r>
      <w:r w:rsidRPr="00923AE2">
        <w:rPr>
          <w:szCs w:val="22"/>
        </w:rPr>
        <w:t>L1KNB7</w:t>
      </w:r>
      <w:r>
        <w:rPr>
          <w:szCs w:val="22"/>
        </w:rPr>
        <w:t xml:space="preserve">) </w:t>
      </w:r>
      <w:r w:rsidRPr="009C2D05">
        <w:rPr>
          <w:szCs w:val="22"/>
        </w:rPr>
        <w:t>were applied to the synthesis of the (</w:t>
      </w:r>
      <w:r w:rsidRPr="009C2D05">
        <w:rPr>
          <w:i/>
          <w:iCs/>
          <w:szCs w:val="22"/>
        </w:rPr>
        <w:t>R</w:t>
      </w:r>
      <w:r w:rsidRPr="009C2D05">
        <w:rPr>
          <w:szCs w:val="22"/>
        </w:rPr>
        <w:t>)- and (</w:t>
      </w:r>
      <w:r w:rsidRPr="009C2D05">
        <w:rPr>
          <w:i/>
          <w:iCs/>
          <w:szCs w:val="22"/>
        </w:rPr>
        <w:t>S</w:t>
      </w:r>
      <w:r w:rsidRPr="009C2D05">
        <w:rPr>
          <w:szCs w:val="22"/>
        </w:rPr>
        <w:t xml:space="preserve">)- enantiomers respectively of the anti-Parkinson’s agent rasagiline </w:t>
      </w:r>
      <w:r>
        <w:rPr>
          <w:b/>
          <w:bCs/>
          <w:szCs w:val="22"/>
        </w:rPr>
        <w:t>58</w:t>
      </w:r>
      <w:r w:rsidR="001418F9">
        <w:rPr>
          <w:b/>
          <w:bCs/>
          <w:szCs w:val="22"/>
        </w:rPr>
        <w:t>g</w:t>
      </w:r>
      <w:r w:rsidRPr="009C2D05">
        <w:rPr>
          <w:szCs w:val="22"/>
        </w:rPr>
        <w:t xml:space="preserve"> from indanone </w:t>
      </w:r>
      <w:r>
        <w:rPr>
          <w:b/>
          <w:bCs/>
          <w:szCs w:val="22"/>
        </w:rPr>
        <w:t>58</w:t>
      </w:r>
      <w:r>
        <w:rPr>
          <w:szCs w:val="22"/>
        </w:rPr>
        <w:t xml:space="preserve"> and propargylamine </w:t>
      </w:r>
      <w:r w:rsidR="001418F9">
        <w:rPr>
          <w:b/>
          <w:szCs w:val="22"/>
        </w:rPr>
        <w:t>g</w:t>
      </w:r>
      <w:r w:rsidRPr="009C2D05">
        <w:rPr>
          <w:szCs w:val="22"/>
        </w:rPr>
        <w:t>, the latter supplied at 40 molar equivalents at pH 9.5 (</w:t>
      </w:r>
      <w:r w:rsidRPr="002516C9">
        <w:rPr>
          <w:b/>
          <w:bCs/>
          <w:szCs w:val="22"/>
        </w:rPr>
        <w:t>Scheme 12</w:t>
      </w:r>
      <w:r w:rsidRPr="009C2D05">
        <w:rPr>
          <w:szCs w:val="22"/>
        </w:rPr>
        <w:t>). In this way, (</w:t>
      </w:r>
      <w:r w:rsidRPr="009C2D05">
        <w:rPr>
          <w:i/>
          <w:iCs/>
          <w:szCs w:val="22"/>
        </w:rPr>
        <w:t>R</w:t>
      </w:r>
      <w:proofErr w:type="gramStart"/>
      <w:r w:rsidRPr="009C2D05">
        <w:rPr>
          <w:szCs w:val="22"/>
        </w:rPr>
        <w:t>)-</w:t>
      </w:r>
      <w:proofErr w:type="gramEnd"/>
      <w:r w:rsidRPr="009C2D05">
        <w:rPr>
          <w:szCs w:val="22"/>
        </w:rPr>
        <w:t xml:space="preserve"> and (</w:t>
      </w:r>
      <w:r w:rsidRPr="009C2D05">
        <w:rPr>
          <w:i/>
          <w:iCs/>
          <w:szCs w:val="22"/>
        </w:rPr>
        <w:t>S</w:t>
      </w:r>
      <w:r w:rsidRPr="009C2D05">
        <w:rPr>
          <w:szCs w:val="22"/>
        </w:rPr>
        <w:t>)- rasagiline</w:t>
      </w:r>
      <w:r>
        <w:rPr>
          <w:szCs w:val="22"/>
        </w:rPr>
        <w:t xml:space="preserve"> </w:t>
      </w:r>
      <w:r w:rsidRPr="00F5049D">
        <w:rPr>
          <w:b/>
          <w:szCs w:val="22"/>
        </w:rPr>
        <w:t>58</w:t>
      </w:r>
      <w:r w:rsidR="001418F9">
        <w:rPr>
          <w:b/>
          <w:szCs w:val="22"/>
        </w:rPr>
        <w:t>g</w:t>
      </w:r>
      <w:r w:rsidRPr="009C2D05">
        <w:rPr>
          <w:szCs w:val="22"/>
        </w:rPr>
        <w:t xml:space="preserve"> were produced in 58% and 81% yields with 90% and 83% </w:t>
      </w:r>
      <w:r w:rsidR="00453241" w:rsidRPr="00453241">
        <w:rPr>
          <w:i/>
          <w:szCs w:val="22"/>
        </w:rPr>
        <w:t>ee</w:t>
      </w:r>
      <w:r w:rsidRPr="009C2D05">
        <w:rPr>
          <w:szCs w:val="22"/>
        </w:rPr>
        <w:t xml:space="preserve"> respectively. Additionally, </w:t>
      </w:r>
      <w:r w:rsidR="00DF6CD8">
        <w:rPr>
          <w:szCs w:val="22"/>
        </w:rPr>
        <w:t>Roche_</w:t>
      </w:r>
      <w:r w:rsidRPr="009C2D05">
        <w:rPr>
          <w:szCs w:val="22"/>
        </w:rPr>
        <w:t xml:space="preserve">IR14 enabled the reductive amination of cyclohexanone </w:t>
      </w:r>
      <w:r>
        <w:rPr>
          <w:b/>
          <w:bCs/>
          <w:szCs w:val="22"/>
        </w:rPr>
        <w:t>3</w:t>
      </w:r>
      <w:r w:rsidRPr="009C2D05">
        <w:rPr>
          <w:szCs w:val="22"/>
        </w:rPr>
        <w:t xml:space="preserve"> with 3-methylamino</w:t>
      </w:r>
      <w:r w:rsidR="00AE4158">
        <w:rPr>
          <w:szCs w:val="22"/>
        </w:rPr>
        <w:t>-</w:t>
      </w:r>
      <w:r w:rsidRPr="009C2D05">
        <w:rPr>
          <w:szCs w:val="22"/>
        </w:rPr>
        <w:t>1-propyne</w:t>
      </w:r>
      <w:r>
        <w:rPr>
          <w:szCs w:val="22"/>
        </w:rPr>
        <w:t xml:space="preserve"> </w:t>
      </w:r>
      <w:r w:rsidR="001418F9">
        <w:rPr>
          <w:b/>
          <w:szCs w:val="22"/>
        </w:rPr>
        <w:t>h</w:t>
      </w:r>
      <w:r>
        <w:rPr>
          <w:szCs w:val="22"/>
        </w:rPr>
        <w:t xml:space="preserve"> to form the tertiary amine </w:t>
      </w:r>
      <w:r>
        <w:rPr>
          <w:b/>
          <w:szCs w:val="22"/>
        </w:rPr>
        <w:t>3</w:t>
      </w:r>
      <w:r w:rsidR="001418F9">
        <w:rPr>
          <w:b/>
          <w:szCs w:val="22"/>
        </w:rPr>
        <w:t>h</w:t>
      </w:r>
      <w:r>
        <w:rPr>
          <w:szCs w:val="22"/>
        </w:rPr>
        <w:t xml:space="preserve"> in 59% yield (</w:t>
      </w:r>
      <w:r w:rsidRPr="00F5049D">
        <w:rPr>
          <w:b/>
          <w:szCs w:val="22"/>
        </w:rPr>
        <w:t>Scheme 12</w:t>
      </w:r>
      <w:r>
        <w:rPr>
          <w:szCs w:val="22"/>
        </w:rPr>
        <w:t>).</w:t>
      </w:r>
    </w:p>
    <w:p w14:paraId="45866476" w14:textId="20B63D73" w:rsidR="00561D8F" w:rsidRPr="001F38DA" w:rsidRDefault="004E3061" w:rsidP="000E69C9">
      <w:pPr>
        <w:spacing w:before="360"/>
        <w:rPr>
          <w:color w:val="FF0000"/>
          <w:sz w:val="18"/>
          <w:szCs w:val="20"/>
          <w:lang w:val="en-GB"/>
        </w:rPr>
      </w:pPr>
      <w:r>
        <w:rPr>
          <w:noProof/>
        </w:rPr>
        <w:object w:dxaOrig="6969" w:dyaOrig="6371" w14:anchorId="53314F9E">
          <v:shape id="_x0000_i1036" type="#_x0000_t75" alt="" style="width:237pt;height:218.25pt;mso-width-percent:0;mso-height-percent:0;mso-width-percent:0;mso-height-percent:0" o:ole="">
            <v:imagedata r:id="rId45" o:title=""/>
          </v:shape>
          <o:OLEObject Type="Embed" ProgID="ChemDraw.Document.6.0" ShapeID="_x0000_i1036" DrawAspect="Content" ObjectID="_1661677396" r:id="rId46"/>
        </w:object>
      </w:r>
    </w:p>
    <w:p w14:paraId="4FC8E699" w14:textId="77777777" w:rsidR="00561D8F" w:rsidRDefault="00561D8F" w:rsidP="000E69C9">
      <w:pPr>
        <w:pStyle w:val="SchemeCaption"/>
      </w:pPr>
      <w:r>
        <w:rPr>
          <w:b/>
        </w:rPr>
        <w:t>Scheme</w:t>
      </w:r>
      <w:r w:rsidRPr="005702B8">
        <w:rPr>
          <w:b/>
        </w:rPr>
        <w:t xml:space="preserve"> 1</w:t>
      </w:r>
      <w:r>
        <w:rPr>
          <w:b/>
        </w:rPr>
        <w:t>2.</w:t>
      </w:r>
      <w:r>
        <w:t xml:space="preserve"> </w:t>
      </w:r>
      <w:r w:rsidRPr="003D2D07">
        <w:t>Some reductive amination of ketones using the IRED collection at Roche.</w:t>
      </w:r>
      <w:r>
        <w:t xml:space="preserve"> RS = recycling system.</w:t>
      </w:r>
    </w:p>
    <w:p w14:paraId="69434C5A" w14:textId="3C536744" w:rsidR="00561D8F" w:rsidRPr="000B2944" w:rsidRDefault="00561D8F" w:rsidP="000E69C9">
      <w:pPr>
        <w:pStyle w:val="P1withoutIndendation"/>
        <w:rPr>
          <w:lang w:val="en-GB"/>
        </w:rPr>
      </w:pPr>
      <w:r w:rsidRPr="007E42DD">
        <w:rPr>
          <w:szCs w:val="22"/>
        </w:rPr>
        <w:t xml:space="preserve">These advances were significant in establishing the utility of IREDs in asymmetric reductive aminations, however, the reactions were still disadvantaged by their dependence upon a large molar excess of amine, presumably because of the need to favor imine formation in solution and so creating the substrate for IRED-catalyzed reduction. In 2017, an oxidoreductase of the IRED family from the fungus </w:t>
      </w:r>
      <w:r w:rsidRPr="007E42DD">
        <w:rPr>
          <w:i/>
          <w:iCs/>
          <w:szCs w:val="22"/>
        </w:rPr>
        <w:t>Aspergillus oryzae</w:t>
      </w:r>
      <w:r w:rsidRPr="007E42DD">
        <w:rPr>
          <w:szCs w:val="22"/>
        </w:rPr>
        <w:t xml:space="preserve">, </w:t>
      </w:r>
      <w:r w:rsidRPr="007E42DD">
        <w:rPr>
          <w:i/>
          <w:szCs w:val="22"/>
        </w:rPr>
        <w:t>Asp</w:t>
      </w:r>
      <w:r w:rsidRPr="007E42DD">
        <w:rPr>
          <w:szCs w:val="22"/>
        </w:rPr>
        <w:t>RedAm</w:t>
      </w:r>
      <w:r>
        <w:rPr>
          <w:szCs w:val="22"/>
        </w:rPr>
        <w:t xml:space="preserve"> (Uniprot ID: </w:t>
      </w:r>
      <w:r w:rsidRPr="00D236CD">
        <w:rPr>
          <w:szCs w:val="22"/>
        </w:rPr>
        <w:t>Q2TW47</w:t>
      </w:r>
      <w:r>
        <w:rPr>
          <w:szCs w:val="22"/>
        </w:rPr>
        <w:t>)</w:t>
      </w:r>
      <w:r w:rsidRPr="007E42DD">
        <w:rPr>
          <w:szCs w:val="22"/>
        </w:rPr>
        <w:t>, was reported to be the first enzyme capable of enabling the reductive amination of ketones with amine partners supplied at, or near to, molar equivalence and at neutral pH.</w:t>
      </w:r>
      <w:r w:rsidR="003E6B17">
        <w:rPr>
          <w:noProof/>
          <w:szCs w:val="22"/>
          <w:vertAlign w:val="superscript"/>
        </w:rPr>
        <w:t>[49</w:t>
      </w:r>
      <w:r w:rsidRPr="00EB6EE9">
        <w:rPr>
          <w:noProof/>
          <w:szCs w:val="22"/>
          <w:vertAlign w:val="superscript"/>
        </w:rPr>
        <w:t>]</w:t>
      </w:r>
      <w:r w:rsidRPr="007E42DD">
        <w:rPr>
          <w:szCs w:val="22"/>
        </w:rPr>
        <w:t xml:space="preserve"> This suggested that this enzyme was both catalyzing imine formation, as well as imine reduction within the active site and therefore constituted a true enzymatic reductive amination reaction. </w:t>
      </w:r>
      <w:r w:rsidRPr="007E42DD">
        <w:rPr>
          <w:i/>
          <w:szCs w:val="22"/>
        </w:rPr>
        <w:t>Asp</w:t>
      </w:r>
      <w:r w:rsidRPr="007E42DD">
        <w:rPr>
          <w:szCs w:val="22"/>
        </w:rPr>
        <w:t>RedAm catalyzed the reductive amination of alicyclic and aliphatic carbonyls of various chain lengths using small amin</w:t>
      </w:r>
      <w:r>
        <w:rPr>
          <w:szCs w:val="22"/>
        </w:rPr>
        <w:t xml:space="preserve">e </w:t>
      </w:r>
      <w:r w:rsidRPr="007E42DD">
        <w:rPr>
          <w:szCs w:val="22"/>
        </w:rPr>
        <w:t xml:space="preserve">donors with typically higher conversion rates achieved when compared to previously studied IREDs.  In some cases, notably with cyclohexanone </w:t>
      </w:r>
      <w:r>
        <w:rPr>
          <w:b/>
          <w:szCs w:val="22"/>
        </w:rPr>
        <w:t>3</w:t>
      </w:r>
      <w:r>
        <w:rPr>
          <w:szCs w:val="22"/>
        </w:rPr>
        <w:t xml:space="preserve"> </w:t>
      </w:r>
      <w:r w:rsidRPr="007E42DD">
        <w:rPr>
          <w:szCs w:val="22"/>
        </w:rPr>
        <w:t>and small amines such as allylamine</w:t>
      </w:r>
      <w:r>
        <w:rPr>
          <w:szCs w:val="22"/>
        </w:rPr>
        <w:t xml:space="preserve"> </w:t>
      </w:r>
      <w:r w:rsidR="001418F9">
        <w:rPr>
          <w:b/>
          <w:szCs w:val="22"/>
        </w:rPr>
        <w:t>i</w:t>
      </w:r>
      <w:r w:rsidRPr="007E42DD">
        <w:rPr>
          <w:szCs w:val="22"/>
        </w:rPr>
        <w:t xml:space="preserve"> and propargylamine</w:t>
      </w:r>
      <w:r>
        <w:rPr>
          <w:szCs w:val="22"/>
        </w:rPr>
        <w:t xml:space="preserve"> </w:t>
      </w:r>
      <w:r w:rsidR="001418F9">
        <w:rPr>
          <w:b/>
          <w:szCs w:val="22"/>
        </w:rPr>
        <w:t>g</w:t>
      </w:r>
      <w:r w:rsidRPr="007E42DD">
        <w:rPr>
          <w:szCs w:val="22"/>
        </w:rPr>
        <w:t>, up to 94% conversion to the amine product was achieved even at equimolar concentrations of the amine nucleophile (</w:t>
      </w:r>
      <w:r w:rsidRPr="00E81220">
        <w:rPr>
          <w:b/>
          <w:bCs/>
          <w:szCs w:val="22"/>
        </w:rPr>
        <w:t>Scheme 13</w:t>
      </w:r>
      <w:r w:rsidRPr="009E16E1">
        <w:rPr>
          <w:bCs/>
          <w:szCs w:val="22"/>
        </w:rPr>
        <w:t>)</w:t>
      </w:r>
      <w:r w:rsidRPr="007E42DD">
        <w:rPr>
          <w:szCs w:val="22"/>
        </w:rPr>
        <w:t>. The reductive amination of 50 mM cyclohexanone</w:t>
      </w:r>
      <w:r>
        <w:rPr>
          <w:szCs w:val="22"/>
        </w:rPr>
        <w:t xml:space="preserve"> </w:t>
      </w:r>
      <w:r>
        <w:rPr>
          <w:b/>
          <w:szCs w:val="22"/>
        </w:rPr>
        <w:t>3</w:t>
      </w:r>
      <w:r w:rsidRPr="007E42DD">
        <w:rPr>
          <w:szCs w:val="22"/>
        </w:rPr>
        <w:t xml:space="preserve"> with two equivalents of methylamine</w:t>
      </w:r>
      <w:r>
        <w:rPr>
          <w:szCs w:val="22"/>
        </w:rPr>
        <w:t xml:space="preserve"> </w:t>
      </w:r>
      <w:r w:rsidRPr="00183132">
        <w:rPr>
          <w:b/>
          <w:szCs w:val="22"/>
        </w:rPr>
        <w:t>b</w:t>
      </w:r>
      <w:r w:rsidRPr="007E42DD">
        <w:rPr>
          <w:szCs w:val="22"/>
        </w:rPr>
        <w:t xml:space="preserve"> was performed on a 100 mg scale using 0.1 mg</w:t>
      </w:r>
      <w:r w:rsidR="00BB1D00">
        <w:rPr>
          <w:szCs w:val="22"/>
        </w:rPr>
        <w:t xml:space="preserve"> </w:t>
      </w:r>
      <w:r w:rsidRPr="007E42DD">
        <w:rPr>
          <w:szCs w:val="22"/>
        </w:rPr>
        <w:t>mL</w:t>
      </w:r>
      <w:r w:rsidRPr="007E42DD">
        <w:rPr>
          <w:szCs w:val="22"/>
          <w:vertAlign w:val="superscript"/>
        </w:rPr>
        <w:t xml:space="preserve">-1 </w:t>
      </w:r>
      <w:r w:rsidRPr="00E92DDB">
        <w:rPr>
          <w:i/>
          <w:iCs/>
          <w:szCs w:val="22"/>
        </w:rPr>
        <w:t>Asp</w:t>
      </w:r>
      <w:r w:rsidRPr="00E92DDB">
        <w:rPr>
          <w:szCs w:val="22"/>
        </w:rPr>
        <w:t>RedAm to give 75% isolate</w:t>
      </w:r>
      <w:r w:rsidR="00765936" w:rsidRPr="00E92DDB">
        <w:rPr>
          <w:szCs w:val="22"/>
        </w:rPr>
        <w:t>d</w:t>
      </w:r>
      <w:r w:rsidRPr="00E92DDB">
        <w:rPr>
          <w:szCs w:val="22"/>
        </w:rPr>
        <w:t xml:space="preserve"> yield of the </w:t>
      </w:r>
      <w:r w:rsidRPr="00E92DDB">
        <w:rPr>
          <w:i/>
          <w:iCs/>
          <w:szCs w:val="22"/>
        </w:rPr>
        <w:t>N</w:t>
      </w:r>
      <w:r w:rsidRPr="00E92DDB">
        <w:rPr>
          <w:szCs w:val="22"/>
        </w:rPr>
        <w:t xml:space="preserve">-methylcyclohexylamine product </w:t>
      </w:r>
      <w:r w:rsidRPr="00E92DDB">
        <w:rPr>
          <w:b/>
          <w:szCs w:val="22"/>
        </w:rPr>
        <w:t>3b</w:t>
      </w:r>
      <w:r w:rsidRPr="00E92DDB">
        <w:rPr>
          <w:szCs w:val="22"/>
        </w:rPr>
        <w:t>.</w:t>
      </w:r>
    </w:p>
    <w:p w14:paraId="55D5118E" w14:textId="6191E884" w:rsidR="00561D8F" w:rsidRPr="001F38DA" w:rsidRDefault="004E3061" w:rsidP="000E69C9">
      <w:pPr>
        <w:spacing w:before="360"/>
        <w:rPr>
          <w:color w:val="FF0000"/>
          <w:sz w:val="18"/>
          <w:szCs w:val="20"/>
          <w:lang w:val="en-GB"/>
        </w:rPr>
      </w:pPr>
      <w:r>
        <w:rPr>
          <w:noProof/>
        </w:rPr>
        <w:object w:dxaOrig="7192" w:dyaOrig="5498" w14:anchorId="579D3419">
          <v:shape id="_x0000_i1037" type="#_x0000_t75" alt="" style="width:237pt;height:182.25pt;mso-width-percent:0;mso-height-percent:0;mso-width-percent:0;mso-height-percent:0" o:ole="">
            <v:imagedata r:id="rId47" o:title=""/>
          </v:shape>
          <o:OLEObject Type="Embed" ProgID="ChemDraw.Document.6.0" ShapeID="_x0000_i1037" DrawAspect="Content" ObjectID="_1661677397" r:id="rId48"/>
        </w:object>
      </w:r>
    </w:p>
    <w:p w14:paraId="6A0F4DE6" w14:textId="60E2B2D2" w:rsidR="00561D8F" w:rsidRPr="008261A3" w:rsidRDefault="00561D8F" w:rsidP="000E69C9">
      <w:pPr>
        <w:pStyle w:val="SchemeCaption"/>
      </w:pPr>
      <w:r w:rsidRPr="00E92DDB">
        <w:rPr>
          <w:b/>
        </w:rPr>
        <w:t>Scheme 13.</w:t>
      </w:r>
      <w:r w:rsidRPr="00E92DDB">
        <w:t xml:space="preserve"> </w:t>
      </w:r>
      <w:r w:rsidRPr="00E92DDB">
        <w:rPr>
          <w:bCs/>
        </w:rPr>
        <w:t xml:space="preserve">Some reductive amination reactions catalyzed by </w:t>
      </w:r>
      <w:r w:rsidRPr="00E92DDB">
        <w:rPr>
          <w:bCs/>
          <w:i/>
          <w:iCs/>
        </w:rPr>
        <w:t>Asp</w:t>
      </w:r>
      <w:r w:rsidRPr="00E92DDB">
        <w:rPr>
          <w:bCs/>
        </w:rPr>
        <w:t xml:space="preserve">RedAm from </w:t>
      </w:r>
      <w:r w:rsidRPr="00E92DDB">
        <w:rPr>
          <w:bCs/>
          <w:i/>
          <w:iCs/>
        </w:rPr>
        <w:t>Aspergillus oryzae</w:t>
      </w:r>
      <w:r w:rsidRPr="00E92DDB">
        <w:rPr>
          <w:bCs/>
        </w:rPr>
        <w:t xml:space="preserve"> using low amine: ketone ratios. RS = recycling system.</w:t>
      </w:r>
    </w:p>
    <w:p w14:paraId="13CF8B10" w14:textId="77777777" w:rsidR="00122D44" w:rsidRDefault="00561D8F" w:rsidP="000E69C9">
      <w:pPr>
        <w:pStyle w:val="P1withIndendation"/>
        <w:rPr>
          <w:szCs w:val="22"/>
        </w:rPr>
      </w:pPr>
      <w:r w:rsidRPr="00A13261">
        <w:rPr>
          <w:szCs w:val="22"/>
        </w:rPr>
        <w:t xml:space="preserve">In addition to this remarkable property, it was also shown that, in contrast to other IREDs, the activity of </w:t>
      </w:r>
      <w:r w:rsidRPr="00A13261">
        <w:rPr>
          <w:i/>
          <w:iCs/>
          <w:szCs w:val="22"/>
        </w:rPr>
        <w:t>Asp</w:t>
      </w:r>
      <w:r w:rsidRPr="00A13261">
        <w:rPr>
          <w:szCs w:val="22"/>
        </w:rPr>
        <w:t>RedAm was largely unaffected by pH between values of 7.0 and 9.0, indicating that catalysis was not dependent upon the ambient concentration of imine formed in solution by abiotic means</w:t>
      </w:r>
      <w:r w:rsidR="00122D44">
        <w:rPr>
          <w:szCs w:val="22"/>
        </w:rPr>
        <w:t xml:space="preserve">. </w:t>
      </w:r>
    </w:p>
    <w:p w14:paraId="3419FFE3" w14:textId="5C9A70B6" w:rsidR="00561D8F" w:rsidRDefault="00561D8F" w:rsidP="000E69C9">
      <w:pPr>
        <w:pStyle w:val="P1withIndendation"/>
        <w:rPr>
          <w:szCs w:val="22"/>
        </w:rPr>
      </w:pPr>
      <w:r w:rsidRPr="00A13261">
        <w:rPr>
          <w:szCs w:val="22"/>
        </w:rPr>
        <w:t>Kinetic studies using cyclohexanone</w:t>
      </w:r>
      <w:r>
        <w:rPr>
          <w:szCs w:val="22"/>
        </w:rPr>
        <w:t xml:space="preserve"> </w:t>
      </w:r>
      <w:r w:rsidRPr="00E81220">
        <w:rPr>
          <w:b/>
          <w:szCs w:val="22"/>
        </w:rPr>
        <w:t>3</w:t>
      </w:r>
      <w:r w:rsidRPr="00A13261">
        <w:rPr>
          <w:szCs w:val="22"/>
        </w:rPr>
        <w:t xml:space="preserve"> and methylamine </w:t>
      </w:r>
      <w:r w:rsidR="00BB1B81" w:rsidRPr="00060AD3">
        <w:rPr>
          <w:b/>
          <w:szCs w:val="22"/>
        </w:rPr>
        <w:t>b</w:t>
      </w:r>
      <w:r w:rsidR="00BB1B81">
        <w:rPr>
          <w:szCs w:val="22"/>
        </w:rPr>
        <w:t xml:space="preserve"> </w:t>
      </w:r>
      <w:r w:rsidRPr="00A13261">
        <w:rPr>
          <w:szCs w:val="22"/>
        </w:rPr>
        <w:t xml:space="preserve">suggested an ordered sequential Ter bi mechanism in which, following the binding of reduced cofactor, ketone and amine were bound sequentially, as had previously been demonstrated for the </w:t>
      </w:r>
      <w:r w:rsidRPr="00A13261">
        <w:rPr>
          <w:i/>
          <w:iCs/>
          <w:szCs w:val="22"/>
        </w:rPr>
        <w:t>N</w:t>
      </w:r>
      <w:r w:rsidRPr="00A13261">
        <w:rPr>
          <w:szCs w:val="22"/>
        </w:rPr>
        <w:t>-methyl-</w:t>
      </w:r>
      <w:r w:rsidRPr="00CD2BF2">
        <w:rPr>
          <w:sz w:val="18"/>
          <w:szCs w:val="18"/>
        </w:rPr>
        <w:t>L</w:t>
      </w:r>
      <w:r w:rsidRPr="00A13261">
        <w:rPr>
          <w:szCs w:val="22"/>
        </w:rPr>
        <w:t xml:space="preserve">-amino acid dehydrogenase from </w:t>
      </w:r>
      <w:r w:rsidRPr="00A13261">
        <w:rPr>
          <w:i/>
          <w:iCs/>
          <w:szCs w:val="22"/>
        </w:rPr>
        <w:t>Pseudomonas putida</w:t>
      </w:r>
      <w:proofErr w:type="gramStart"/>
      <w:r w:rsidRPr="00A13261">
        <w:rPr>
          <w:szCs w:val="22"/>
        </w:rPr>
        <w:t>.</w:t>
      </w:r>
      <w:r w:rsidR="00337796">
        <w:rPr>
          <w:szCs w:val="22"/>
          <w:vertAlign w:val="superscript"/>
        </w:rPr>
        <w:t>[</w:t>
      </w:r>
      <w:proofErr w:type="gramEnd"/>
      <w:r w:rsidR="00337796">
        <w:rPr>
          <w:szCs w:val="22"/>
          <w:vertAlign w:val="superscript"/>
        </w:rPr>
        <w:t>50</w:t>
      </w:r>
      <w:r w:rsidR="002224BB" w:rsidRPr="002224BB">
        <w:rPr>
          <w:szCs w:val="22"/>
          <w:vertAlign w:val="superscript"/>
        </w:rPr>
        <w:t>]</w:t>
      </w:r>
      <w:r w:rsidRPr="002224BB">
        <w:rPr>
          <w:szCs w:val="22"/>
          <w:vertAlign w:val="superscript"/>
        </w:rPr>
        <w:t xml:space="preserve"> </w:t>
      </w:r>
      <w:r w:rsidRPr="00A13261">
        <w:rPr>
          <w:szCs w:val="22"/>
        </w:rPr>
        <w:t xml:space="preserve">A structure of </w:t>
      </w:r>
      <w:r w:rsidRPr="00A13261">
        <w:rPr>
          <w:i/>
          <w:iCs/>
          <w:szCs w:val="22"/>
        </w:rPr>
        <w:t>Asp</w:t>
      </w:r>
      <w:r w:rsidRPr="00A13261">
        <w:rPr>
          <w:szCs w:val="22"/>
        </w:rPr>
        <w:t>RedAm in complex with the amine product (</w:t>
      </w:r>
      <w:r w:rsidRPr="00A13261">
        <w:rPr>
          <w:i/>
          <w:iCs/>
          <w:szCs w:val="22"/>
        </w:rPr>
        <w:t>R</w:t>
      </w:r>
      <w:r w:rsidRPr="00A13261">
        <w:rPr>
          <w:szCs w:val="22"/>
        </w:rPr>
        <w:t xml:space="preserve">)-rasagiline </w:t>
      </w:r>
      <w:r w:rsidRPr="00E81220">
        <w:rPr>
          <w:b/>
          <w:szCs w:val="22"/>
        </w:rPr>
        <w:t>58</w:t>
      </w:r>
      <w:r w:rsidR="001418F9">
        <w:rPr>
          <w:b/>
          <w:szCs w:val="22"/>
        </w:rPr>
        <w:t>g</w:t>
      </w:r>
      <w:r>
        <w:rPr>
          <w:szCs w:val="22"/>
        </w:rPr>
        <w:t xml:space="preserve"> </w:t>
      </w:r>
      <w:r w:rsidRPr="00A13261">
        <w:rPr>
          <w:szCs w:val="22"/>
        </w:rPr>
        <w:t>revealed that the enzymes displayed an overall dimer fold similar to that of known IREDs</w:t>
      </w:r>
      <w:r>
        <w:rPr>
          <w:szCs w:val="22"/>
        </w:rPr>
        <w:t xml:space="preserve"> (</w:t>
      </w:r>
      <w:r w:rsidR="00D36C88">
        <w:rPr>
          <w:b/>
          <w:szCs w:val="22"/>
        </w:rPr>
        <w:t>Figure 10</w:t>
      </w:r>
      <w:r w:rsidRPr="00E81220">
        <w:rPr>
          <w:b/>
          <w:szCs w:val="22"/>
        </w:rPr>
        <w:t>A</w:t>
      </w:r>
      <w:r>
        <w:rPr>
          <w:szCs w:val="22"/>
        </w:rPr>
        <w:t>).</w:t>
      </w:r>
    </w:p>
    <w:p w14:paraId="647A64C1" w14:textId="05BBEFE5" w:rsidR="00561D8F" w:rsidRDefault="00561D8F" w:rsidP="000E69C9">
      <w:pPr>
        <w:pStyle w:val="P1withoutIndendation"/>
        <w:ind w:firstLine="227"/>
        <w:rPr>
          <w:szCs w:val="22"/>
        </w:rPr>
      </w:pPr>
      <w:r w:rsidRPr="00A13261">
        <w:rPr>
          <w:szCs w:val="22"/>
        </w:rPr>
        <w:t xml:space="preserve">Each monomer in the dimer features an N-terminal Rossmann fold domain connected to a C-terminal helical bundle through a long inter-domain helix. A reciprocal domain sharing results in the active site being formed at the interface between the N-terminal domain of one monomer and the C-terminal domain of its </w:t>
      </w:r>
      <w:r w:rsidR="00BB1B81">
        <w:rPr>
          <w:szCs w:val="22"/>
        </w:rPr>
        <w:t>neighbor</w:t>
      </w:r>
      <w:r w:rsidRPr="00A13261">
        <w:rPr>
          <w:szCs w:val="22"/>
        </w:rPr>
        <w:t>. The structure in complex with (</w:t>
      </w:r>
      <w:r w:rsidRPr="00A13261">
        <w:rPr>
          <w:i/>
          <w:iCs/>
          <w:szCs w:val="22"/>
        </w:rPr>
        <w:t>R</w:t>
      </w:r>
      <w:r w:rsidRPr="00A13261">
        <w:rPr>
          <w:szCs w:val="22"/>
        </w:rPr>
        <w:t>)-rasagiline</w:t>
      </w:r>
      <w:r>
        <w:rPr>
          <w:szCs w:val="22"/>
        </w:rPr>
        <w:t xml:space="preserve"> </w:t>
      </w:r>
      <w:r w:rsidRPr="00E81220">
        <w:rPr>
          <w:b/>
          <w:szCs w:val="22"/>
        </w:rPr>
        <w:t>58</w:t>
      </w:r>
      <w:r w:rsidR="001418F9">
        <w:rPr>
          <w:b/>
          <w:szCs w:val="22"/>
        </w:rPr>
        <w:t>g</w:t>
      </w:r>
      <w:r w:rsidRPr="00A13261">
        <w:rPr>
          <w:szCs w:val="22"/>
        </w:rPr>
        <w:t>, revealed active site residues in close contact with the ligand (</w:t>
      </w:r>
      <w:r w:rsidR="00D36C88">
        <w:rPr>
          <w:b/>
          <w:bCs/>
          <w:szCs w:val="22"/>
        </w:rPr>
        <w:t>Figure 10</w:t>
      </w:r>
      <w:r w:rsidRPr="00E81220">
        <w:rPr>
          <w:b/>
          <w:bCs/>
          <w:szCs w:val="22"/>
        </w:rPr>
        <w:t>B</w:t>
      </w:r>
      <w:r w:rsidRPr="00A13261">
        <w:rPr>
          <w:szCs w:val="22"/>
        </w:rPr>
        <w:t xml:space="preserve">), and these observations suggested mutations that might alter the activity of the </w:t>
      </w:r>
      <w:r w:rsidRPr="00E92DDB">
        <w:rPr>
          <w:szCs w:val="22"/>
        </w:rPr>
        <w:t>enzyme. Site</w:t>
      </w:r>
      <w:r w:rsidR="00F42584" w:rsidRPr="00E92DDB">
        <w:rPr>
          <w:szCs w:val="22"/>
        </w:rPr>
        <w:t>-</w:t>
      </w:r>
      <w:r w:rsidRPr="00E92DDB">
        <w:rPr>
          <w:szCs w:val="22"/>
        </w:rPr>
        <w:t xml:space="preserve">directed mutagenesis highlighted the importance of Y177 and D169 in the reductive amination abilities of </w:t>
      </w:r>
      <w:r w:rsidRPr="00E92DDB">
        <w:rPr>
          <w:i/>
          <w:szCs w:val="22"/>
        </w:rPr>
        <w:t>Asp</w:t>
      </w:r>
      <w:r w:rsidRPr="00E92DDB">
        <w:rPr>
          <w:szCs w:val="22"/>
        </w:rPr>
        <w:t>RedAm. Y177A and D169A/D169N mutants displayed significantly</w:t>
      </w:r>
      <w:r w:rsidRPr="00A13261">
        <w:rPr>
          <w:szCs w:val="22"/>
        </w:rPr>
        <w:t xml:space="preserve"> reduced reductive aminase activity by ~30 and ~200 fold respectively. The mutation of another active site residue, W210, to alanine, resulted in a mutant W210A that displayed a switch in enantioselectivity for the reductive amination of 4-phenyl-</w:t>
      </w:r>
      <w:r w:rsidR="00034E8A">
        <w:rPr>
          <w:szCs w:val="22"/>
        </w:rPr>
        <w:t>2-</w:t>
      </w:r>
      <w:r w:rsidRPr="00A13261">
        <w:rPr>
          <w:szCs w:val="22"/>
        </w:rPr>
        <w:t>butanone</w:t>
      </w:r>
      <w:r>
        <w:rPr>
          <w:szCs w:val="22"/>
        </w:rPr>
        <w:t xml:space="preserve"> </w:t>
      </w:r>
      <w:r w:rsidRPr="00E81220">
        <w:rPr>
          <w:b/>
          <w:szCs w:val="22"/>
        </w:rPr>
        <w:t>18</w:t>
      </w:r>
      <w:r w:rsidRPr="00A13261">
        <w:rPr>
          <w:szCs w:val="22"/>
        </w:rPr>
        <w:t xml:space="preserve"> with allylamine </w:t>
      </w:r>
      <w:r w:rsidR="001418F9">
        <w:rPr>
          <w:b/>
          <w:szCs w:val="22"/>
        </w:rPr>
        <w:t>i</w:t>
      </w:r>
      <w:r>
        <w:rPr>
          <w:szCs w:val="22"/>
        </w:rPr>
        <w:t xml:space="preserve"> </w:t>
      </w:r>
      <w:r w:rsidRPr="00A13261">
        <w:rPr>
          <w:szCs w:val="22"/>
        </w:rPr>
        <w:t xml:space="preserve">from 30% </w:t>
      </w:r>
      <w:r w:rsidR="00453241" w:rsidRPr="00453241">
        <w:rPr>
          <w:i/>
          <w:szCs w:val="22"/>
        </w:rPr>
        <w:t>ee</w:t>
      </w:r>
      <w:r w:rsidR="00453241" w:rsidRPr="009C2D05">
        <w:rPr>
          <w:szCs w:val="22"/>
        </w:rPr>
        <w:t xml:space="preserve"> </w:t>
      </w:r>
      <w:r w:rsidRPr="00A13261">
        <w:rPr>
          <w:szCs w:val="22"/>
        </w:rPr>
        <w:t>(</w:t>
      </w:r>
      <w:r w:rsidRPr="00A13261">
        <w:rPr>
          <w:i/>
          <w:iCs/>
          <w:szCs w:val="22"/>
        </w:rPr>
        <w:t>R</w:t>
      </w:r>
      <w:r w:rsidRPr="00A13261">
        <w:rPr>
          <w:szCs w:val="22"/>
        </w:rPr>
        <w:t>)- for the wild-type to 90% (</w:t>
      </w:r>
      <w:r w:rsidRPr="00A13261">
        <w:rPr>
          <w:i/>
          <w:iCs/>
          <w:szCs w:val="22"/>
        </w:rPr>
        <w:t>S</w:t>
      </w:r>
      <w:r w:rsidRPr="00A13261">
        <w:rPr>
          <w:szCs w:val="22"/>
        </w:rPr>
        <w:t>)-.</w:t>
      </w:r>
      <w:r>
        <w:rPr>
          <w:szCs w:val="22"/>
        </w:rPr>
        <w:t xml:space="preserve"> </w:t>
      </w:r>
    </w:p>
    <w:p w14:paraId="46783048" w14:textId="137219DB" w:rsidR="00561D8F" w:rsidRDefault="00561D8F" w:rsidP="000E69C9">
      <w:pPr>
        <w:pStyle w:val="P1withoutIndendation"/>
        <w:ind w:firstLine="227"/>
        <w:rPr>
          <w:szCs w:val="22"/>
        </w:rPr>
      </w:pPr>
      <w:r w:rsidRPr="005E6EBC">
        <w:rPr>
          <w:szCs w:val="22"/>
        </w:rPr>
        <w:t xml:space="preserve">Further mechanistic insight into the reductive amination catalyzed by fungal RedAms was provided by structural and mutational studies on the closely related enzyme </w:t>
      </w:r>
      <w:r w:rsidRPr="005E6EBC">
        <w:rPr>
          <w:i/>
          <w:iCs/>
          <w:szCs w:val="22"/>
        </w:rPr>
        <w:t>At</w:t>
      </w:r>
      <w:r w:rsidRPr="005E6EBC">
        <w:rPr>
          <w:szCs w:val="22"/>
        </w:rPr>
        <w:t xml:space="preserve">RedAm from </w:t>
      </w:r>
      <w:r w:rsidRPr="005E6EBC">
        <w:rPr>
          <w:i/>
          <w:iCs/>
          <w:szCs w:val="22"/>
        </w:rPr>
        <w:t>Aspergillus terreus</w:t>
      </w:r>
      <w:r>
        <w:rPr>
          <w:i/>
          <w:iCs/>
          <w:szCs w:val="22"/>
        </w:rPr>
        <w:t xml:space="preserve"> </w:t>
      </w:r>
      <w:r w:rsidRPr="00D236CD">
        <w:rPr>
          <w:iCs/>
          <w:szCs w:val="22"/>
        </w:rPr>
        <w:t>(Uniprot ID</w:t>
      </w:r>
      <w:r>
        <w:rPr>
          <w:iCs/>
          <w:szCs w:val="22"/>
        </w:rPr>
        <w:t>:</w:t>
      </w:r>
      <w:r w:rsidRPr="00D236CD">
        <w:rPr>
          <w:iCs/>
          <w:szCs w:val="22"/>
        </w:rPr>
        <w:t xml:space="preserve"> Q0CCT3)</w:t>
      </w:r>
      <w:r w:rsidRPr="005E6EBC">
        <w:rPr>
          <w:szCs w:val="22"/>
        </w:rPr>
        <w:t>.</w:t>
      </w:r>
      <w:r w:rsidR="003E6B17">
        <w:rPr>
          <w:noProof/>
          <w:szCs w:val="22"/>
          <w:vertAlign w:val="superscript"/>
        </w:rPr>
        <w:t>[51</w:t>
      </w:r>
      <w:r w:rsidRPr="00EB6EE9">
        <w:rPr>
          <w:noProof/>
          <w:szCs w:val="22"/>
          <w:vertAlign w:val="superscript"/>
        </w:rPr>
        <w:t>]</w:t>
      </w:r>
      <w:r w:rsidRPr="005E6EBC">
        <w:rPr>
          <w:szCs w:val="22"/>
        </w:rPr>
        <w:t xml:space="preserve"> A crystal complex of </w:t>
      </w:r>
      <w:r w:rsidRPr="005E6EBC">
        <w:rPr>
          <w:i/>
          <w:iCs/>
          <w:szCs w:val="22"/>
        </w:rPr>
        <w:t>At</w:t>
      </w:r>
      <w:r w:rsidRPr="005E6EBC">
        <w:rPr>
          <w:szCs w:val="22"/>
        </w:rPr>
        <w:t>RedAm with cyclohexanone</w:t>
      </w:r>
      <w:r>
        <w:rPr>
          <w:szCs w:val="22"/>
        </w:rPr>
        <w:t xml:space="preserve"> </w:t>
      </w:r>
      <w:r w:rsidRPr="00E81220">
        <w:rPr>
          <w:b/>
          <w:szCs w:val="22"/>
        </w:rPr>
        <w:t>3</w:t>
      </w:r>
      <w:r w:rsidRPr="005E6EBC">
        <w:rPr>
          <w:szCs w:val="22"/>
        </w:rPr>
        <w:t xml:space="preserve"> and allylamine</w:t>
      </w:r>
      <w:r w:rsidR="00AE4158">
        <w:rPr>
          <w:szCs w:val="22"/>
        </w:rPr>
        <w:t xml:space="preserve"> </w:t>
      </w:r>
      <w:r w:rsidR="001418F9">
        <w:rPr>
          <w:b/>
          <w:szCs w:val="22"/>
        </w:rPr>
        <w:t>i</w:t>
      </w:r>
      <w:r w:rsidRPr="005E6EBC">
        <w:rPr>
          <w:szCs w:val="22"/>
        </w:rPr>
        <w:t>, achieved through co-</w:t>
      </w:r>
      <w:r w:rsidR="00AE4158">
        <w:rPr>
          <w:szCs w:val="22"/>
        </w:rPr>
        <w:t>crystallization</w:t>
      </w:r>
      <w:r w:rsidRPr="005E6EBC">
        <w:rPr>
          <w:szCs w:val="22"/>
        </w:rPr>
        <w:t xml:space="preserve"> with the redox inactive cofactor analog NADPH</w:t>
      </w:r>
      <w:r w:rsidRPr="005E6EBC">
        <w:rPr>
          <w:szCs w:val="22"/>
          <w:vertAlign w:val="subscript"/>
        </w:rPr>
        <w:t>4</w:t>
      </w:r>
      <w:r w:rsidRPr="005E6EBC">
        <w:rPr>
          <w:szCs w:val="22"/>
        </w:rPr>
        <w:t xml:space="preserve">, suggested recognition of the carbonyl group by </w:t>
      </w:r>
      <w:r>
        <w:rPr>
          <w:szCs w:val="22"/>
        </w:rPr>
        <w:t>Y</w:t>
      </w:r>
      <w:r w:rsidRPr="005E6EBC">
        <w:rPr>
          <w:szCs w:val="22"/>
        </w:rPr>
        <w:t xml:space="preserve">183 </w:t>
      </w:r>
      <w:r>
        <w:rPr>
          <w:szCs w:val="22"/>
        </w:rPr>
        <w:t xml:space="preserve">through a water molecule, </w:t>
      </w:r>
      <w:r w:rsidRPr="005E6EBC">
        <w:rPr>
          <w:szCs w:val="22"/>
        </w:rPr>
        <w:t>and the amine</w:t>
      </w:r>
      <w:r>
        <w:rPr>
          <w:szCs w:val="22"/>
        </w:rPr>
        <w:t xml:space="preserve"> nitrogen by an aspartate D175 (</w:t>
      </w:r>
      <w:r w:rsidR="00D36C88">
        <w:rPr>
          <w:b/>
          <w:szCs w:val="22"/>
        </w:rPr>
        <w:t>Figure 11</w:t>
      </w:r>
      <w:r>
        <w:rPr>
          <w:szCs w:val="22"/>
        </w:rPr>
        <w:t>).</w:t>
      </w:r>
    </w:p>
    <w:p w14:paraId="54300544" w14:textId="77777777" w:rsidR="00122D44" w:rsidRDefault="00122D44" w:rsidP="000E69C9">
      <w:pPr>
        <w:pStyle w:val="P1withoutIndendation"/>
        <w:ind w:firstLine="227"/>
        <w:sectPr w:rsidR="00122D44" w:rsidSect="00122D44">
          <w:type w:val="continuous"/>
          <w:pgSz w:w="11906" w:h="16838" w:code="9"/>
          <w:pgMar w:top="1134" w:right="680" w:bottom="1225" w:left="1361" w:header="709" w:footer="709" w:gutter="0"/>
          <w:cols w:num="2" w:space="340"/>
          <w:docGrid w:linePitch="360"/>
        </w:sectPr>
      </w:pPr>
    </w:p>
    <w:p w14:paraId="33640C35" w14:textId="77777777" w:rsidR="00122D44" w:rsidRPr="001F38DA" w:rsidRDefault="00122D44" w:rsidP="00122D44">
      <w:pPr>
        <w:spacing w:before="360"/>
        <w:rPr>
          <w:color w:val="FF0000"/>
          <w:sz w:val="18"/>
          <w:szCs w:val="20"/>
          <w:lang w:val="en-GB"/>
        </w:rPr>
      </w:pPr>
      <w:r>
        <w:rPr>
          <w:noProof/>
          <w:color w:val="FF0000"/>
          <w:sz w:val="18"/>
          <w:szCs w:val="20"/>
          <w:lang w:val="en-GB" w:eastAsia="en-GB"/>
        </w:rPr>
        <w:drawing>
          <wp:inline distT="0" distB="0" distL="0" distR="0" wp14:anchorId="3209F6D0" wp14:editId="434E69EC">
            <wp:extent cx="6264275" cy="1787525"/>
            <wp:effectExtent l="0" t="0" r="3175"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264275" cy="1787525"/>
                    </a:xfrm>
                    <a:prstGeom prst="rect">
                      <a:avLst/>
                    </a:prstGeom>
                  </pic:spPr>
                </pic:pic>
              </a:graphicData>
            </a:graphic>
          </wp:inline>
        </w:drawing>
      </w:r>
    </w:p>
    <w:p w14:paraId="20352645" w14:textId="574DCB99" w:rsidR="00122D44" w:rsidRDefault="00122D44" w:rsidP="00122D44">
      <w:pPr>
        <w:pStyle w:val="SchemeCaption"/>
      </w:pPr>
      <w:r>
        <w:rPr>
          <w:b/>
        </w:rPr>
        <w:t>Figure 10.</w:t>
      </w:r>
      <w:r>
        <w:t xml:space="preserve"> </w:t>
      </w:r>
      <w:r w:rsidRPr="00A13261">
        <w:rPr>
          <w:bCs/>
          <w:szCs w:val="20"/>
        </w:rPr>
        <w:t xml:space="preserve">Structure of </w:t>
      </w:r>
      <w:r w:rsidRPr="009B40B9">
        <w:rPr>
          <w:bCs/>
          <w:i/>
          <w:szCs w:val="20"/>
        </w:rPr>
        <w:t>Asp</w:t>
      </w:r>
      <w:r w:rsidRPr="00A13261">
        <w:rPr>
          <w:bCs/>
          <w:szCs w:val="20"/>
        </w:rPr>
        <w:t>RedAm.</w:t>
      </w:r>
      <w:r w:rsidRPr="00A13261">
        <w:rPr>
          <w:b/>
          <w:szCs w:val="20"/>
        </w:rPr>
        <w:t xml:space="preserve"> </w:t>
      </w:r>
      <w:r w:rsidRPr="00A87E7B">
        <w:rPr>
          <w:b/>
          <w:szCs w:val="20"/>
        </w:rPr>
        <w:t>A</w:t>
      </w:r>
      <w:r w:rsidRPr="009B40B9">
        <w:rPr>
          <w:b/>
          <w:bCs/>
          <w:szCs w:val="20"/>
        </w:rPr>
        <w:t>)</w:t>
      </w:r>
      <w:r w:rsidRPr="00A13261">
        <w:rPr>
          <w:bCs/>
          <w:szCs w:val="20"/>
        </w:rPr>
        <w:t xml:space="preserve"> Structure of </w:t>
      </w:r>
      <w:r w:rsidRPr="009E16E1">
        <w:rPr>
          <w:bCs/>
          <w:i/>
          <w:szCs w:val="20"/>
        </w:rPr>
        <w:t>Asp</w:t>
      </w:r>
      <w:r w:rsidRPr="00A13261">
        <w:rPr>
          <w:bCs/>
          <w:szCs w:val="20"/>
        </w:rPr>
        <w:t>RedAm with monomers A and B shown in ribbon format in brown and blue</w:t>
      </w:r>
      <w:r>
        <w:rPr>
          <w:bCs/>
          <w:szCs w:val="20"/>
        </w:rPr>
        <w:t xml:space="preserve"> respectively. (PDB: 56GS)</w:t>
      </w:r>
      <w:r w:rsidR="003E6B17">
        <w:rPr>
          <w:bCs/>
          <w:noProof/>
          <w:szCs w:val="20"/>
          <w:vertAlign w:val="superscript"/>
        </w:rPr>
        <w:t>[49</w:t>
      </w:r>
      <w:r w:rsidRPr="00EB6EE9">
        <w:rPr>
          <w:bCs/>
          <w:noProof/>
          <w:szCs w:val="20"/>
          <w:vertAlign w:val="superscript"/>
        </w:rPr>
        <w:t>]</w:t>
      </w:r>
      <w:r w:rsidRPr="00A13261">
        <w:rPr>
          <w:bCs/>
          <w:szCs w:val="20"/>
        </w:rPr>
        <w:t xml:space="preserve"> </w:t>
      </w:r>
      <w:r w:rsidRPr="00A13261">
        <w:rPr>
          <w:b/>
          <w:szCs w:val="20"/>
        </w:rPr>
        <w:t>B</w:t>
      </w:r>
      <w:r>
        <w:rPr>
          <w:b/>
          <w:szCs w:val="20"/>
        </w:rPr>
        <w:t>)</w:t>
      </w:r>
      <w:r w:rsidRPr="00A13261">
        <w:rPr>
          <w:b/>
          <w:szCs w:val="20"/>
        </w:rPr>
        <w:t xml:space="preserve"> </w:t>
      </w:r>
      <w:r w:rsidRPr="00A13261">
        <w:rPr>
          <w:bCs/>
          <w:szCs w:val="20"/>
        </w:rPr>
        <w:t xml:space="preserve">Active site of </w:t>
      </w:r>
      <w:r w:rsidRPr="009E16E1">
        <w:rPr>
          <w:bCs/>
          <w:i/>
          <w:szCs w:val="20"/>
        </w:rPr>
        <w:t>Asp</w:t>
      </w:r>
      <w:r w:rsidRPr="00A13261">
        <w:rPr>
          <w:bCs/>
          <w:szCs w:val="20"/>
        </w:rPr>
        <w:t xml:space="preserve">RedAm in </w:t>
      </w:r>
      <w:r w:rsidRPr="00A13261">
        <w:rPr>
          <w:szCs w:val="20"/>
        </w:rPr>
        <w:t>complex with (R)-rasagiline</w:t>
      </w:r>
      <w:r>
        <w:rPr>
          <w:szCs w:val="20"/>
        </w:rPr>
        <w:t xml:space="preserve"> </w:t>
      </w:r>
      <w:r w:rsidRPr="00447C5F">
        <w:rPr>
          <w:b/>
          <w:szCs w:val="20"/>
        </w:rPr>
        <w:t>58</w:t>
      </w:r>
      <w:r w:rsidR="001418F9">
        <w:rPr>
          <w:b/>
          <w:szCs w:val="20"/>
        </w:rPr>
        <w:t>g</w:t>
      </w:r>
      <w:r w:rsidRPr="00A13261">
        <w:rPr>
          <w:szCs w:val="20"/>
        </w:rPr>
        <w:t>. Side chains from monomers A and B are shown with carbon atoms in brown and blue respectively. NADPH and (</w:t>
      </w:r>
      <w:r w:rsidRPr="00AC6D3E">
        <w:rPr>
          <w:i/>
          <w:szCs w:val="20"/>
        </w:rPr>
        <w:t>R</w:t>
      </w:r>
      <w:r w:rsidRPr="00A13261">
        <w:rPr>
          <w:szCs w:val="20"/>
        </w:rPr>
        <w:t xml:space="preserve">)-rasagiline </w:t>
      </w:r>
      <w:r w:rsidRPr="009B40B9">
        <w:rPr>
          <w:b/>
          <w:szCs w:val="20"/>
        </w:rPr>
        <w:t>58</w:t>
      </w:r>
      <w:r w:rsidR="001418F9">
        <w:rPr>
          <w:b/>
          <w:szCs w:val="20"/>
        </w:rPr>
        <w:t>g</w:t>
      </w:r>
      <w:r>
        <w:rPr>
          <w:szCs w:val="20"/>
        </w:rPr>
        <w:t xml:space="preserve"> </w:t>
      </w:r>
      <w:r w:rsidRPr="00A13261">
        <w:rPr>
          <w:szCs w:val="20"/>
        </w:rPr>
        <w:t xml:space="preserve">are shown in cylinder format with carbon atoms </w:t>
      </w:r>
      <w:r>
        <w:rPr>
          <w:szCs w:val="20"/>
        </w:rPr>
        <w:t>in grey and yellow respectively</w:t>
      </w:r>
      <w:r>
        <w:t>.</w:t>
      </w:r>
    </w:p>
    <w:p w14:paraId="35EA34C5" w14:textId="59057E5E" w:rsidR="00122D44" w:rsidRPr="00122D44" w:rsidRDefault="00122D44" w:rsidP="000E69C9">
      <w:pPr>
        <w:pStyle w:val="P1withoutIndendation"/>
        <w:ind w:firstLine="227"/>
        <w:rPr>
          <w:lang w:val="en-GB"/>
        </w:rPr>
      </w:pPr>
    </w:p>
    <w:p w14:paraId="166AB1F0" w14:textId="77777777" w:rsidR="00122D44" w:rsidRDefault="00122D44" w:rsidP="000E69C9">
      <w:pPr>
        <w:pStyle w:val="P1withoutIndendation"/>
        <w:ind w:firstLine="227"/>
        <w:sectPr w:rsidR="00122D44" w:rsidSect="00122D44">
          <w:type w:val="continuous"/>
          <w:pgSz w:w="11906" w:h="16838" w:code="9"/>
          <w:pgMar w:top="1134" w:right="680" w:bottom="1225" w:left="1361" w:header="709" w:footer="709" w:gutter="0"/>
          <w:cols w:space="340"/>
          <w:docGrid w:linePitch="360"/>
        </w:sectPr>
      </w:pPr>
    </w:p>
    <w:p w14:paraId="42CDB2EA" w14:textId="127E680F" w:rsidR="00122D44" w:rsidRPr="002F5946" w:rsidRDefault="00122D44" w:rsidP="000E69C9">
      <w:pPr>
        <w:pStyle w:val="P1withoutIndendation"/>
        <w:ind w:firstLine="227"/>
      </w:pPr>
    </w:p>
    <w:p w14:paraId="0BE110C7" w14:textId="77777777" w:rsidR="00561D8F" w:rsidRPr="001F38DA" w:rsidRDefault="00561D8F" w:rsidP="000E69C9">
      <w:pPr>
        <w:spacing w:before="360"/>
        <w:rPr>
          <w:color w:val="FF0000"/>
          <w:sz w:val="18"/>
          <w:szCs w:val="20"/>
          <w:lang w:val="en-GB"/>
        </w:rPr>
      </w:pPr>
      <w:r>
        <w:rPr>
          <w:noProof/>
          <w:color w:val="FF0000"/>
          <w:sz w:val="18"/>
          <w:szCs w:val="20"/>
          <w:lang w:val="en-GB" w:eastAsia="en-GB"/>
        </w:rPr>
        <w:drawing>
          <wp:inline distT="0" distB="0" distL="0" distR="0" wp14:anchorId="77C630C7" wp14:editId="094A42A6">
            <wp:extent cx="3005588" cy="2188654"/>
            <wp:effectExtent l="0" t="0" r="444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2.png"/>
                    <pic:cNvPicPr/>
                  </pic:nvPicPr>
                  <pic:blipFill>
                    <a:blip r:embed="rId50">
                      <a:extLst>
                        <a:ext uri="{28A0092B-C50C-407E-A947-70E740481C1C}">
                          <a14:useLocalDpi xmlns:a14="http://schemas.microsoft.com/office/drawing/2010/main" val="0"/>
                        </a:ext>
                      </a:extLst>
                    </a:blip>
                    <a:stretch>
                      <a:fillRect/>
                    </a:stretch>
                  </pic:blipFill>
                  <pic:spPr>
                    <a:xfrm>
                      <a:off x="0" y="0"/>
                      <a:ext cx="3005588" cy="2188654"/>
                    </a:xfrm>
                    <a:prstGeom prst="rect">
                      <a:avLst/>
                    </a:prstGeom>
                  </pic:spPr>
                </pic:pic>
              </a:graphicData>
            </a:graphic>
          </wp:inline>
        </w:drawing>
      </w:r>
    </w:p>
    <w:p w14:paraId="544D54DE" w14:textId="1E4CC5B5" w:rsidR="00561D8F" w:rsidRPr="008261A3" w:rsidRDefault="007519D1" w:rsidP="000E69C9">
      <w:pPr>
        <w:pStyle w:val="SchemeCaption"/>
      </w:pPr>
      <w:r>
        <w:rPr>
          <w:b/>
        </w:rPr>
        <w:t>Figure 11</w:t>
      </w:r>
      <w:r w:rsidR="00561D8F">
        <w:rPr>
          <w:b/>
        </w:rPr>
        <w:t>.</w:t>
      </w:r>
      <w:r w:rsidR="00561D8F">
        <w:t xml:space="preserve"> </w:t>
      </w:r>
      <w:r w:rsidR="00561D8F" w:rsidRPr="005E6EBC">
        <w:rPr>
          <w:bCs/>
          <w:iCs/>
          <w:szCs w:val="20"/>
        </w:rPr>
        <w:t xml:space="preserve">Active Site of </w:t>
      </w:r>
      <w:r w:rsidR="00561D8F" w:rsidRPr="009E16E1">
        <w:rPr>
          <w:bCs/>
          <w:i/>
          <w:iCs/>
          <w:szCs w:val="20"/>
        </w:rPr>
        <w:t>At</w:t>
      </w:r>
      <w:r w:rsidR="00561D8F" w:rsidRPr="005E6EBC">
        <w:rPr>
          <w:bCs/>
          <w:iCs/>
          <w:szCs w:val="20"/>
        </w:rPr>
        <w:t>RedAm in complex with redox-inactive NADPH</w:t>
      </w:r>
      <w:r w:rsidR="00561D8F" w:rsidRPr="005E6EBC">
        <w:rPr>
          <w:bCs/>
          <w:iCs/>
          <w:szCs w:val="20"/>
          <w:vertAlign w:val="subscript"/>
        </w:rPr>
        <w:t>4</w:t>
      </w:r>
      <w:r w:rsidR="00561D8F" w:rsidRPr="005E6EBC">
        <w:rPr>
          <w:bCs/>
          <w:iCs/>
          <w:szCs w:val="20"/>
        </w:rPr>
        <w:t>, cyclohexanone CYH</w:t>
      </w:r>
      <w:r w:rsidR="00561D8F">
        <w:rPr>
          <w:bCs/>
          <w:iCs/>
          <w:szCs w:val="20"/>
        </w:rPr>
        <w:t xml:space="preserve"> </w:t>
      </w:r>
      <w:r w:rsidR="00561D8F" w:rsidRPr="00E81220">
        <w:rPr>
          <w:b/>
          <w:bCs/>
          <w:iCs/>
          <w:szCs w:val="20"/>
        </w:rPr>
        <w:t>3</w:t>
      </w:r>
      <w:r w:rsidR="00561D8F" w:rsidRPr="005E6EBC">
        <w:rPr>
          <w:bCs/>
          <w:iCs/>
          <w:szCs w:val="20"/>
        </w:rPr>
        <w:t xml:space="preserve"> and allylami</w:t>
      </w:r>
      <w:r w:rsidR="00561D8F">
        <w:rPr>
          <w:bCs/>
          <w:iCs/>
          <w:szCs w:val="20"/>
        </w:rPr>
        <w:t xml:space="preserve">ne </w:t>
      </w:r>
      <w:r w:rsidR="00CE7809">
        <w:rPr>
          <w:b/>
          <w:bCs/>
          <w:iCs/>
          <w:szCs w:val="20"/>
        </w:rPr>
        <w:t>i</w:t>
      </w:r>
      <w:r w:rsidR="00561D8F">
        <w:rPr>
          <w:bCs/>
          <w:iCs/>
          <w:szCs w:val="20"/>
        </w:rPr>
        <w:t xml:space="preserve"> (AA) (PDB</w:t>
      </w:r>
      <w:r w:rsidR="00AE4158">
        <w:rPr>
          <w:bCs/>
          <w:iCs/>
          <w:szCs w:val="20"/>
        </w:rPr>
        <w:t>:</w:t>
      </w:r>
      <w:r w:rsidR="00561D8F">
        <w:rPr>
          <w:bCs/>
          <w:iCs/>
          <w:szCs w:val="20"/>
        </w:rPr>
        <w:t xml:space="preserve"> 6H7P)</w:t>
      </w:r>
      <w:r w:rsidR="00561D8F" w:rsidRPr="005E6EBC">
        <w:rPr>
          <w:bCs/>
          <w:iCs/>
          <w:szCs w:val="20"/>
        </w:rPr>
        <w:t>.</w:t>
      </w:r>
      <w:r w:rsidR="003E6B17">
        <w:rPr>
          <w:bCs/>
          <w:iCs/>
          <w:noProof/>
          <w:szCs w:val="20"/>
          <w:vertAlign w:val="superscript"/>
        </w:rPr>
        <w:t>[51</w:t>
      </w:r>
      <w:r w:rsidR="00561D8F" w:rsidRPr="00EB6EE9">
        <w:rPr>
          <w:bCs/>
          <w:iCs/>
          <w:noProof/>
          <w:szCs w:val="20"/>
          <w:vertAlign w:val="superscript"/>
        </w:rPr>
        <w:t>]</w:t>
      </w:r>
      <w:r w:rsidR="000813E7">
        <w:rPr>
          <w:bCs/>
          <w:iCs/>
          <w:szCs w:val="20"/>
        </w:rPr>
        <w:t xml:space="preserve"> </w:t>
      </w:r>
      <w:r w:rsidR="00561D8F" w:rsidRPr="005E6EBC">
        <w:rPr>
          <w:bCs/>
          <w:iCs/>
          <w:szCs w:val="20"/>
        </w:rPr>
        <w:t>It was proposed that the CYH carbonyl is activated by the side chain of Y183 and that AA is then activated for attack at the electrophilic carbon atom of CYH</w:t>
      </w:r>
      <w:r w:rsidR="00561D8F">
        <w:rPr>
          <w:bCs/>
          <w:iCs/>
          <w:szCs w:val="20"/>
        </w:rPr>
        <w:t xml:space="preserve"> </w:t>
      </w:r>
      <w:r w:rsidR="00561D8F" w:rsidRPr="00E81220">
        <w:rPr>
          <w:b/>
          <w:bCs/>
          <w:iCs/>
          <w:szCs w:val="20"/>
        </w:rPr>
        <w:t>3</w:t>
      </w:r>
      <w:r w:rsidR="00561D8F" w:rsidRPr="005E6EBC">
        <w:rPr>
          <w:bCs/>
          <w:iCs/>
          <w:szCs w:val="20"/>
        </w:rPr>
        <w:t>.</w:t>
      </w:r>
    </w:p>
    <w:p w14:paraId="35BDB9CB" w14:textId="18B281BA" w:rsidR="00561D8F" w:rsidRDefault="00561D8F" w:rsidP="000E69C9">
      <w:pPr>
        <w:pStyle w:val="P1withIndendation"/>
        <w:rPr>
          <w:szCs w:val="22"/>
        </w:rPr>
      </w:pPr>
      <w:r w:rsidRPr="005E6EBC">
        <w:rPr>
          <w:szCs w:val="22"/>
        </w:rPr>
        <w:t xml:space="preserve">Mutation of these residues to alanine resulted in variants with significantly reduced activity and increased </w:t>
      </w:r>
      <w:r w:rsidRPr="005E6EBC">
        <w:rPr>
          <w:i/>
          <w:iCs/>
          <w:szCs w:val="22"/>
        </w:rPr>
        <w:t>K</w:t>
      </w:r>
      <w:r w:rsidRPr="005E6EBC">
        <w:rPr>
          <w:szCs w:val="22"/>
          <w:vertAlign w:val="subscript"/>
        </w:rPr>
        <w:t>m</w:t>
      </w:r>
      <w:r w:rsidRPr="005E6EBC">
        <w:rPr>
          <w:szCs w:val="22"/>
        </w:rPr>
        <w:t xml:space="preserve"> values over the wild-type. A mechanism was proposed in which, following sequential binding of the reduced cofactor and the ketone, the amine would be deprotonated by D175 and positioned for nucleophile attack to form hemiaminal species </w:t>
      </w:r>
      <w:r w:rsidRPr="005E6EBC">
        <w:rPr>
          <w:i/>
          <w:iCs/>
          <w:szCs w:val="22"/>
        </w:rPr>
        <w:t>en route</w:t>
      </w:r>
      <w:r w:rsidRPr="005E6EBC">
        <w:rPr>
          <w:szCs w:val="22"/>
        </w:rPr>
        <w:t xml:space="preserve"> to the imine intermediate, which would then be reduced f</w:t>
      </w:r>
      <w:r>
        <w:rPr>
          <w:szCs w:val="22"/>
        </w:rPr>
        <w:t>rom</w:t>
      </w:r>
      <w:r w:rsidRPr="005E6EBC">
        <w:rPr>
          <w:szCs w:val="22"/>
        </w:rPr>
        <w:t xml:space="preserve"> one prochiral face to deliver the amine product (</w:t>
      </w:r>
      <w:r w:rsidRPr="005E6EBC">
        <w:rPr>
          <w:b/>
          <w:bCs/>
          <w:szCs w:val="22"/>
        </w:rPr>
        <w:t xml:space="preserve">Scheme </w:t>
      </w:r>
      <w:r>
        <w:rPr>
          <w:b/>
          <w:bCs/>
          <w:szCs w:val="22"/>
        </w:rPr>
        <w:t>14</w:t>
      </w:r>
      <w:r w:rsidRPr="005E6EBC">
        <w:rPr>
          <w:szCs w:val="22"/>
        </w:rPr>
        <w:t xml:space="preserve">). </w:t>
      </w:r>
      <w:r>
        <w:rPr>
          <w:szCs w:val="22"/>
        </w:rPr>
        <w:t xml:space="preserve">The residue methionine (M244 in </w:t>
      </w:r>
      <w:r w:rsidRPr="009E16E1">
        <w:rPr>
          <w:i/>
          <w:szCs w:val="22"/>
        </w:rPr>
        <w:t>At</w:t>
      </w:r>
      <w:r>
        <w:rPr>
          <w:szCs w:val="22"/>
        </w:rPr>
        <w:t xml:space="preserve">RedAm) participates in the closure of the active site required for iminium stabilization and stereoselectivity through a more constrained cavity.  Preference for amines with </w:t>
      </w:r>
      <w:r w:rsidRPr="00453BEB">
        <w:rPr>
          <w:i/>
          <w:szCs w:val="22"/>
        </w:rPr>
        <w:t>π</w:t>
      </w:r>
      <w:r>
        <w:rPr>
          <w:szCs w:val="22"/>
        </w:rPr>
        <w:t>-character can be partially</w:t>
      </w:r>
      <w:r w:rsidRPr="00470B5F">
        <w:rPr>
          <w:szCs w:val="22"/>
        </w:rPr>
        <w:t xml:space="preserve"> </w:t>
      </w:r>
      <w:r>
        <w:rPr>
          <w:szCs w:val="22"/>
        </w:rPr>
        <w:t xml:space="preserve">explained by interaction of the </w:t>
      </w:r>
      <w:r w:rsidRPr="00A37B28">
        <w:rPr>
          <w:i/>
          <w:szCs w:val="22"/>
        </w:rPr>
        <w:t>π</w:t>
      </w:r>
      <w:r>
        <w:rPr>
          <w:szCs w:val="22"/>
        </w:rPr>
        <w:t>-system with the backbone of residues L96 and I123 (</w:t>
      </w:r>
      <w:r w:rsidRPr="009E16E1">
        <w:rPr>
          <w:i/>
          <w:szCs w:val="22"/>
        </w:rPr>
        <w:t>At</w:t>
      </w:r>
      <w:r>
        <w:rPr>
          <w:szCs w:val="22"/>
        </w:rPr>
        <w:t xml:space="preserve">RedAm numbering). The amine substrate spectrum of </w:t>
      </w:r>
      <w:r w:rsidRPr="00867C97">
        <w:rPr>
          <w:i/>
          <w:szCs w:val="22"/>
        </w:rPr>
        <w:t>At</w:t>
      </w:r>
      <w:r>
        <w:rPr>
          <w:szCs w:val="22"/>
        </w:rPr>
        <w:t xml:space="preserve">RedAm was also expanded though the mutation I123A which gave a variant displaying higher specific activities toward small amines such as methylamine </w:t>
      </w:r>
      <w:r w:rsidRPr="00060AD3">
        <w:rPr>
          <w:b/>
          <w:szCs w:val="22"/>
        </w:rPr>
        <w:t>b</w:t>
      </w:r>
      <w:r>
        <w:rPr>
          <w:szCs w:val="22"/>
        </w:rPr>
        <w:t xml:space="preserve"> or allylamine </w:t>
      </w:r>
      <w:r w:rsidR="001418F9">
        <w:rPr>
          <w:b/>
          <w:szCs w:val="22"/>
        </w:rPr>
        <w:t>i</w:t>
      </w:r>
      <w:r>
        <w:rPr>
          <w:szCs w:val="22"/>
        </w:rPr>
        <w:t xml:space="preserve"> but also toward larger amines such as hexylamine</w:t>
      </w:r>
      <w:r w:rsidR="00FE424B">
        <w:rPr>
          <w:szCs w:val="22"/>
        </w:rPr>
        <w:t xml:space="preserve"> </w:t>
      </w:r>
      <w:r w:rsidR="001418F9">
        <w:rPr>
          <w:b/>
          <w:szCs w:val="22"/>
        </w:rPr>
        <w:t>j</w:t>
      </w:r>
      <w:r>
        <w:rPr>
          <w:szCs w:val="22"/>
        </w:rPr>
        <w:t>, pyrrolidine</w:t>
      </w:r>
      <w:r w:rsidR="00FE424B">
        <w:rPr>
          <w:szCs w:val="22"/>
        </w:rPr>
        <w:t xml:space="preserve"> </w:t>
      </w:r>
      <w:r w:rsidR="001418F9">
        <w:rPr>
          <w:b/>
          <w:szCs w:val="22"/>
        </w:rPr>
        <w:t>f</w:t>
      </w:r>
      <w:r>
        <w:rPr>
          <w:szCs w:val="22"/>
        </w:rPr>
        <w:t xml:space="preserve"> and even aniline</w:t>
      </w:r>
      <w:r w:rsidR="00FE424B">
        <w:rPr>
          <w:szCs w:val="22"/>
        </w:rPr>
        <w:t xml:space="preserve"> </w:t>
      </w:r>
      <w:r w:rsidR="001418F9">
        <w:rPr>
          <w:b/>
          <w:szCs w:val="22"/>
        </w:rPr>
        <w:t>e</w:t>
      </w:r>
      <w:r>
        <w:rPr>
          <w:szCs w:val="22"/>
        </w:rPr>
        <w:t xml:space="preserve"> which was not transformed with the wild-type.</w:t>
      </w:r>
    </w:p>
    <w:p w14:paraId="5D0C071D" w14:textId="77777777" w:rsidR="00122D44" w:rsidRDefault="00122D44" w:rsidP="000E69C9">
      <w:pPr>
        <w:pStyle w:val="P1withIndendation"/>
        <w:rPr>
          <w:szCs w:val="22"/>
        </w:rPr>
      </w:pPr>
    </w:p>
    <w:p w14:paraId="6DA6D510" w14:textId="140D4E7D" w:rsidR="00122D44" w:rsidRPr="008261A3" w:rsidRDefault="00122D44" w:rsidP="00122D44">
      <w:pPr>
        <w:pStyle w:val="P1withIndendation"/>
        <w:ind w:firstLine="0"/>
      </w:pPr>
      <w:r w:rsidRPr="005E6EBC">
        <w:rPr>
          <w:szCs w:val="22"/>
        </w:rPr>
        <w:t xml:space="preserve">Further evidence for the direct catalysis of imine formation by </w:t>
      </w:r>
      <w:r w:rsidRPr="005E6EBC">
        <w:rPr>
          <w:i/>
          <w:iCs/>
          <w:szCs w:val="22"/>
        </w:rPr>
        <w:t>At</w:t>
      </w:r>
      <w:r w:rsidRPr="005E6EBC">
        <w:rPr>
          <w:szCs w:val="22"/>
        </w:rPr>
        <w:t>RedAm was provided by a comparison of the activity of the enzymes against both the (</w:t>
      </w:r>
      <w:r w:rsidRPr="005E6EBC">
        <w:rPr>
          <w:i/>
          <w:iCs/>
          <w:szCs w:val="22"/>
        </w:rPr>
        <w:t>S</w:t>
      </w:r>
      <w:r w:rsidRPr="005E6EBC">
        <w:rPr>
          <w:szCs w:val="22"/>
        </w:rPr>
        <w:t xml:space="preserve">)-IRED from </w:t>
      </w:r>
      <w:r w:rsidRPr="005E6EBC">
        <w:rPr>
          <w:i/>
          <w:iCs/>
          <w:szCs w:val="22"/>
        </w:rPr>
        <w:t xml:space="preserve">Streptomyces </w:t>
      </w:r>
      <w:r w:rsidRPr="005E6EBC">
        <w:rPr>
          <w:szCs w:val="22"/>
        </w:rPr>
        <w:t xml:space="preserve">sp. GF3546 and also the chemical reductant sodium borohydride for the reductive amination of cyclohexanone </w:t>
      </w:r>
      <w:r w:rsidRPr="00E81220">
        <w:rPr>
          <w:b/>
          <w:szCs w:val="22"/>
        </w:rPr>
        <w:t>3</w:t>
      </w:r>
      <w:r>
        <w:rPr>
          <w:szCs w:val="22"/>
        </w:rPr>
        <w:t xml:space="preserve"> </w:t>
      </w:r>
      <w:r w:rsidRPr="005E6EBC">
        <w:rPr>
          <w:szCs w:val="22"/>
        </w:rPr>
        <w:t>with allylamine</w:t>
      </w:r>
      <w:r>
        <w:rPr>
          <w:szCs w:val="22"/>
        </w:rPr>
        <w:t xml:space="preserve"> </w:t>
      </w:r>
      <w:r w:rsidR="001418F9">
        <w:rPr>
          <w:b/>
          <w:szCs w:val="22"/>
        </w:rPr>
        <w:t>i</w:t>
      </w:r>
      <w:r w:rsidRPr="005E6EBC">
        <w:rPr>
          <w:szCs w:val="22"/>
        </w:rPr>
        <w:t xml:space="preserve">.  In these reactions, </w:t>
      </w:r>
      <w:r w:rsidRPr="005E6EBC">
        <w:rPr>
          <w:i/>
          <w:iCs/>
          <w:szCs w:val="22"/>
        </w:rPr>
        <w:t>At</w:t>
      </w:r>
      <w:r w:rsidRPr="005E6EBC">
        <w:rPr>
          <w:szCs w:val="22"/>
        </w:rPr>
        <w:t>RedAm gave 73% conversion after 3h, whereas (</w:t>
      </w:r>
      <w:r w:rsidRPr="005E6EBC">
        <w:rPr>
          <w:i/>
          <w:iCs/>
          <w:szCs w:val="22"/>
        </w:rPr>
        <w:t>S</w:t>
      </w:r>
      <w:r w:rsidRPr="005E6EBC">
        <w:rPr>
          <w:szCs w:val="22"/>
        </w:rPr>
        <w:t>)-IRED and NaBH</w:t>
      </w:r>
      <w:r w:rsidRPr="005E6EBC">
        <w:rPr>
          <w:szCs w:val="22"/>
          <w:vertAlign w:val="subscript"/>
        </w:rPr>
        <w:t>3</w:t>
      </w:r>
      <w:r w:rsidRPr="005E6EBC">
        <w:rPr>
          <w:szCs w:val="22"/>
        </w:rPr>
        <w:t>CN gave only 4%, suggesting that (</w:t>
      </w:r>
      <w:r w:rsidRPr="005E6EBC">
        <w:rPr>
          <w:i/>
          <w:iCs/>
          <w:szCs w:val="22"/>
        </w:rPr>
        <w:t>S</w:t>
      </w:r>
      <w:r w:rsidRPr="005E6EBC">
        <w:rPr>
          <w:szCs w:val="22"/>
        </w:rPr>
        <w:t xml:space="preserve">)-IRED only recruits chemically formed imine from solution for reduction in the mode of the chemical reductant, whereas </w:t>
      </w:r>
      <w:r w:rsidRPr="005E6EBC">
        <w:rPr>
          <w:i/>
          <w:iCs/>
          <w:szCs w:val="22"/>
        </w:rPr>
        <w:t>At</w:t>
      </w:r>
      <w:r w:rsidRPr="005E6EBC">
        <w:rPr>
          <w:szCs w:val="22"/>
        </w:rPr>
        <w:t>RedAm accelerates the reaction though active catalysis of</w:t>
      </w:r>
      <w:r>
        <w:rPr>
          <w:szCs w:val="22"/>
        </w:rPr>
        <w:t xml:space="preserve"> </w:t>
      </w:r>
      <w:r w:rsidRPr="005E6EBC">
        <w:rPr>
          <w:szCs w:val="22"/>
        </w:rPr>
        <w:t xml:space="preserve">imine formation.  Fungal RedAms such as </w:t>
      </w:r>
      <w:r w:rsidRPr="005E6EBC">
        <w:rPr>
          <w:i/>
          <w:iCs/>
          <w:szCs w:val="22"/>
        </w:rPr>
        <w:t>Asp</w:t>
      </w:r>
      <w:r w:rsidRPr="005E6EBC">
        <w:rPr>
          <w:szCs w:val="22"/>
        </w:rPr>
        <w:t xml:space="preserve">RedAm and </w:t>
      </w:r>
      <w:r w:rsidRPr="005E6EBC">
        <w:rPr>
          <w:i/>
          <w:iCs/>
          <w:szCs w:val="22"/>
        </w:rPr>
        <w:t>At</w:t>
      </w:r>
      <w:r w:rsidRPr="005E6EBC">
        <w:rPr>
          <w:szCs w:val="22"/>
        </w:rPr>
        <w:t xml:space="preserve">RedAm have more recently been applied to the transformation of fluorokarylketones </w:t>
      </w:r>
      <w:r>
        <w:rPr>
          <w:szCs w:val="22"/>
        </w:rPr>
        <w:t xml:space="preserve">such as </w:t>
      </w:r>
      <w:r w:rsidRPr="000B16B3">
        <w:rPr>
          <w:b/>
          <w:szCs w:val="22"/>
        </w:rPr>
        <w:t>59</w:t>
      </w:r>
      <w:r>
        <w:rPr>
          <w:szCs w:val="22"/>
        </w:rPr>
        <w:t xml:space="preserve"> and </w:t>
      </w:r>
      <w:r w:rsidRPr="000B16B3">
        <w:rPr>
          <w:b/>
          <w:szCs w:val="22"/>
        </w:rPr>
        <w:t>60</w:t>
      </w:r>
      <w:r>
        <w:rPr>
          <w:szCs w:val="22"/>
        </w:rPr>
        <w:t xml:space="preserve"> </w:t>
      </w:r>
      <w:r w:rsidRPr="005E6EBC">
        <w:rPr>
          <w:szCs w:val="22"/>
        </w:rPr>
        <w:t xml:space="preserve">with ammonia </w:t>
      </w:r>
      <w:r w:rsidRPr="00447C5F">
        <w:rPr>
          <w:b/>
          <w:szCs w:val="22"/>
        </w:rPr>
        <w:t>a</w:t>
      </w:r>
      <w:r>
        <w:rPr>
          <w:szCs w:val="22"/>
        </w:rPr>
        <w:t xml:space="preserve"> </w:t>
      </w:r>
      <w:r w:rsidRPr="005E6EBC">
        <w:rPr>
          <w:szCs w:val="22"/>
        </w:rPr>
        <w:t xml:space="preserve">and small aliphatic amines to give optically </w:t>
      </w:r>
      <w:r>
        <w:rPr>
          <w:szCs w:val="22"/>
        </w:rPr>
        <w:t>active fluoroamine products</w:t>
      </w:r>
      <w:proofErr w:type="gramStart"/>
      <w:r w:rsidRPr="005E6EBC">
        <w:rPr>
          <w:szCs w:val="22"/>
        </w:rPr>
        <w:t>.</w:t>
      </w:r>
      <w:r w:rsidR="003E6B17">
        <w:rPr>
          <w:noProof/>
          <w:szCs w:val="22"/>
          <w:vertAlign w:val="superscript"/>
        </w:rPr>
        <w:t>[</w:t>
      </w:r>
      <w:proofErr w:type="gramEnd"/>
      <w:r w:rsidR="003E6B17">
        <w:rPr>
          <w:noProof/>
          <w:szCs w:val="22"/>
          <w:vertAlign w:val="superscript"/>
        </w:rPr>
        <w:t>52</w:t>
      </w:r>
      <w:r w:rsidRPr="00EB6EE9">
        <w:rPr>
          <w:noProof/>
          <w:szCs w:val="22"/>
          <w:vertAlign w:val="superscript"/>
        </w:rPr>
        <w:t>]</w:t>
      </w:r>
      <w:r w:rsidRPr="005E6EBC">
        <w:rPr>
          <w:szCs w:val="22"/>
        </w:rPr>
        <w:t xml:space="preserve"> Hence </w:t>
      </w:r>
      <w:r w:rsidRPr="005E6EBC">
        <w:rPr>
          <w:i/>
          <w:iCs/>
          <w:szCs w:val="22"/>
        </w:rPr>
        <w:t>Ad</w:t>
      </w:r>
      <w:r w:rsidRPr="005E6EBC">
        <w:rPr>
          <w:szCs w:val="22"/>
        </w:rPr>
        <w:t xml:space="preserve">RedAm from </w:t>
      </w:r>
      <w:r w:rsidRPr="005E6EBC">
        <w:rPr>
          <w:i/>
          <w:iCs/>
          <w:szCs w:val="22"/>
        </w:rPr>
        <w:t>Ajellomyces dermatitidis</w:t>
      </w:r>
      <w:r w:rsidRPr="005E6EBC">
        <w:rPr>
          <w:szCs w:val="22"/>
        </w:rPr>
        <w:t xml:space="preserve"> </w:t>
      </w:r>
      <w:r>
        <w:rPr>
          <w:szCs w:val="22"/>
        </w:rPr>
        <w:t xml:space="preserve">(Uniprot ID: </w:t>
      </w:r>
      <w:r w:rsidRPr="00AE0925">
        <w:rPr>
          <w:szCs w:val="22"/>
        </w:rPr>
        <w:t>C5GTJ9</w:t>
      </w:r>
      <w:r>
        <w:rPr>
          <w:szCs w:val="22"/>
        </w:rPr>
        <w:t xml:space="preserve">) </w:t>
      </w:r>
      <w:r w:rsidRPr="005E6EBC">
        <w:rPr>
          <w:szCs w:val="22"/>
        </w:rPr>
        <w:t xml:space="preserve">was used for the reductive amination of </w:t>
      </w:r>
      <w:r>
        <w:rPr>
          <w:szCs w:val="22"/>
        </w:rPr>
        <w:t>α</w:t>
      </w:r>
      <w:r w:rsidRPr="005E6EBC">
        <w:rPr>
          <w:szCs w:val="22"/>
        </w:rPr>
        <w:t>-fluoroacetophenone</w:t>
      </w:r>
      <w:r>
        <w:rPr>
          <w:szCs w:val="22"/>
        </w:rPr>
        <w:t xml:space="preserve"> </w:t>
      </w:r>
      <w:r w:rsidRPr="000B16B3">
        <w:rPr>
          <w:b/>
          <w:szCs w:val="22"/>
        </w:rPr>
        <w:t>5</w:t>
      </w:r>
      <w:r>
        <w:rPr>
          <w:b/>
          <w:szCs w:val="22"/>
        </w:rPr>
        <w:t>9</w:t>
      </w:r>
      <w:r w:rsidRPr="005E6EBC">
        <w:rPr>
          <w:szCs w:val="22"/>
        </w:rPr>
        <w:t xml:space="preserve"> with methylamine</w:t>
      </w:r>
      <w:r>
        <w:rPr>
          <w:szCs w:val="22"/>
        </w:rPr>
        <w:t xml:space="preserve"> </w:t>
      </w:r>
      <w:r w:rsidRPr="00447C5F">
        <w:rPr>
          <w:b/>
          <w:szCs w:val="22"/>
        </w:rPr>
        <w:t>b</w:t>
      </w:r>
      <w:r w:rsidRPr="005E6EBC">
        <w:rPr>
          <w:szCs w:val="22"/>
        </w:rPr>
        <w:t xml:space="preserve"> to give the (</w:t>
      </w:r>
      <w:r w:rsidRPr="005E6EBC">
        <w:rPr>
          <w:i/>
          <w:iCs/>
          <w:szCs w:val="22"/>
        </w:rPr>
        <w:t>S</w:t>
      </w:r>
      <w:r w:rsidRPr="005E6EBC">
        <w:rPr>
          <w:szCs w:val="22"/>
        </w:rPr>
        <w:t xml:space="preserve">)-amine product </w:t>
      </w:r>
      <w:r w:rsidRPr="000B16B3">
        <w:rPr>
          <w:b/>
          <w:szCs w:val="22"/>
        </w:rPr>
        <w:t>5</w:t>
      </w:r>
      <w:r>
        <w:rPr>
          <w:b/>
          <w:szCs w:val="22"/>
        </w:rPr>
        <w:t>9b</w:t>
      </w:r>
      <w:r>
        <w:rPr>
          <w:szCs w:val="22"/>
        </w:rPr>
        <w:t xml:space="preserve"> </w:t>
      </w:r>
      <w:r w:rsidRPr="005E6EBC">
        <w:rPr>
          <w:szCs w:val="22"/>
        </w:rPr>
        <w:t xml:space="preserve">in 44% isolated yield and with 96% </w:t>
      </w:r>
      <w:r w:rsidRPr="00453241">
        <w:rPr>
          <w:i/>
          <w:szCs w:val="22"/>
        </w:rPr>
        <w:t>ee</w:t>
      </w:r>
      <w:r>
        <w:rPr>
          <w:szCs w:val="22"/>
        </w:rPr>
        <w:t xml:space="preserve">. </w:t>
      </w:r>
      <w:r w:rsidRPr="005E6EBC">
        <w:rPr>
          <w:szCs w:val="22"/>
        </w:rPr>
        <w:t xml:space="preserve">Another fungal RedAm homolog, </w:t>
      </w:r>
      <w:r w:rsidRPr="005E6EBC">
        <w:rPr>
          <w:i/>
          <w:iCs/>
          <w:szCs w:val="22"/>
        </w:rPr>
        <w:t>Nf</w:t>
      </w:r>
      <w:r w:rsidRPr="005E6EBC">
        <w:rPr>
          <w:szCs w:val="22"/>
        </w:rPr>
        <w:t xml:space="preserve">RedAm from </w:t>
      </w:r>
      <w:r w:rsidRPr="005E6EBC">
        <w:rPr>
          <w:i/>
          <w:iCs/>
          <w:szCs w:val="22"/>
        </w:rPr>
        <w:t>Neosartorya fumigatus</w:t>
      </w:r>
      <w:r>
        <w:rPr>
          <w:i/>
          <w:iCs/>
          <w:szCs w:val="22"/>
        </w:rPr>
        <w:t xml:space="preserve"> </w:t>
      </w:r>
      <w:r w:rsidRPr="00060AD3">
        <w:rPr>
          <w:iCs/>
          <w:szCs w:val="22"/>
        </w:rPr>
        <w:t xml:space="preserve">(Uniprot ID: Q4WDZ8), </w:t>
      </w:r>
      <w:r w:rsidRPr="005E6EBC">
        <w:rPr>
          <w:szCs w:val="22"/>
        </w:rPr>
        <w:t>also displayed exceptional activity in the reductive amination of ketones with amm</w:t>
      </w:r>
      <w:r>
        <w:rPr>
          <w:szCs w:val="22"/>
        </w:rPr>
        <w:t xml:space="preserve">onia </w:t>
      </w:r>
      <w:r w:rsidRPr="00447C5F">
        <w:rPr>
          <w:b/>
          <w:szCs w:val="22"/>
        </w:rPr>
        <w:t>a</w:t>
      </w:r>
      <w:r>
        <w:rPr>
          <w:szCs w:val="22"/>
        </w:rPr>
        <w:t xml:space="preserve"> to give primary amines</w:t>
      </w:r>
      <w:proofErr w:type="gramStart"/>
      <w:r w:rsidRPr="005E6EBC">
        <w:rPr>
          <w:szCs w:val="22"/>
        </w:rPr>
        <w:t>.</w:t>
      </w:r>
      <w:r w:rsidR="003E6B17">
        <w:rPr>
          <w:noProof/>
          <w:szCs w:val="22"/>
          <w:vertAlign w:val="superscript"/>
        </w:rPr>
        <w:t>[</w:t>
      </w:r>
      <w:proofErr w:type="gramEnd"/>
      <w:r w:rsidR="003E6B17">
        <w:rPr>
          <w:noProof/>
          <w:szCs w:val="22"/>
          <w:vertAlign w:val="superscript"/>
        </w:rPr>
        <w:t>53</w:t>
      </w:r>
      <w:r w:rsidRPr="00EB6EE9">
        <w:rPr>
          <w:noProof/>
          <w:szCs w:val="22"/>
          <w:vertAlign w:val="superscript"/>
        </w:rPr>
        <w:t>]</w:t>
      </w:r>
      <w:r w:rsidR="000813E7">
        <w:rPr>
          <w:szCs w:val="22"/>
        </w:rPr>
        <w:t xml:space="preserve"> </w:t>
      </w:r>
      <w:r w:rsidRPr="00E92DDB">
        <w:rPr>
          <w:i/>
          <w:iCs/>
          <w:szCs w:val="22"/>
        </w:rPr>
        <w:t>Nf</w:t>
      </w:r>
      <w:r w:rsidRPr="00E92DDB">
        <w:rPr>
          <w:szCs w:val="22"/>
        </w:rPr>
        <w:t>RedAm</w:t>
      </w:r>
      <w:r w:rsidRPr="00E92DDB" w:rsidDel="002931F0">
        <w:rPr>
          <w:szCs w:val="22"/>
        </w:rPr>
        <w:t xml:space="preserve"> </w:t>
      </w:r>
      <w:r w:rsidRPr="00E92DDB">
        <w:rPr>
          <w:szCs w:val="22"/>
        </w:rPr>
        <w:t xml:space="preserve">catalyzed the amination of </w:t>
      </w:r>
      <w:r w:rsidR="005A3212" w:rsidRPr="00E92DDB">
        <w:rPr>
          <w:szCs w:val="22"/>
        </w:rPr>
        <w:t>2-hexanone</w:t>
      </w:r>
      <w:r w:rsidRPr="00E92DDB">
        <w:rPr>
          <w:szCs w:val="22"/>
        </w:rPr>
        <w:t xml:space="preserve"> </w:t>
      </w:r>
      <w:r w:rsidRPr="00E92DDB">
        <w:rPr>
          <w:b/>
          <w:szCs w:val="22"/>
        </w:rPr>
        <w:t>13</w:t>
      </w:r>
      <w:r w:rsidRPr="00E92DDB">
        <w:rPr>
          <w:szCs w:val="22"/>
        </w:rPr>
        <w:t xml:space="preserve"> with ammonia</w:t>
      </w:r>
      <w:r w:rsidR="00034E8A" w:rsidRPr="00E92DDB">
        <w:rPr>
          <w:szCs w:val="22"/>
        </w:rPr>
        <w:t xml:space="preserve"> </w:t>
      </w:r>
      <w:r w:rsidR="00034E8A" w:rsidRPr="00E92DDB">
        <w:rPr>
          <w:b/>
          <w:szCs w:val="22"/>
        </w:rPr>
        <w:t>a</w:t>
      </w:r>
      <w:r w:rsidRPr="00E92DDB">
        <w:rPr>
          <w:szCs w:val="22"/>
        </w:rPr>
        <w:t xml:space="preserve"> to give (</w:t>
      </w:r>
      <w:r w:rsidRPr="00E92DDB">
        <w:rPr>
          <w:i/>
          <w:iCs/>
          <w:szCs w:val="22"/>
        </w:rPr>
        <w:t>R</w:t>
      </w:r>
      <w:r w:rsidRPr="00E92DDB">
        <w:rPr>
          <w:szCs w:val="22"/>
        </w:rPr>
        <w:t xml:space="preserve">)-2-aminohexane </w:t>
      </w:r>
      <w:r w:rsidRPr="00E92DDB">
        <w:rPr>
          <w:b/>
          <w:szCs w:val="22"/>
        </w:rPr>
        <w:t>13a</w:t>
      </w:r>
      <w:r w:rsidRPr="00E92DDB">
        <w:rPr>
          <w:szCs w:val="22"/>
        </w:rPr>
        <w:t xml:space="preserve"> in a STY of 8.1 g L</w:t>
      </w:r>
      <w:r w:rsidRPr="00E92DDB">
        <w:rPr>
          <w:szCs w:val="22"/>
          <w:vertAlign w:val="superscript"/>
        </w:rPr>
        <w:t>-1</w:t>
      </w:r>
      <w:r w:rsidRPr="00E92DDB">
        <w:rPr>
          <w:szCs w:val="22"/>
        </w:rPr>
        <w:t xml:space="preserve"> h</w:t>
      </w:r>
      <w:r w:rsidRPr="00E92DDB">
        <w:rPr>
          <w:szCs w:val="22"/>
          <w:vertAlign w:val="superscript"/>
        </w:rPr>
        <w:t>-1</w:t>
      </w:r>
      <w:r w:rsidRPr="00E92DDB">
        <w:rPr>
          <w:szCs w:val="22"/>
        </w:rPr>
        <w:t>.</w:t>
      </w:r>
    </w:p>
    <w:p w14:paraId="4A8D5EDD" w14:textId="1B94D223" w:rsidR="00561D8F" w:rsidRPr="001F38DA" w:rsidRDefault="009D590B" w:rsidP="000E69C9">
      <w:pPr>
        <w:spacing w:before="360"/>
        <w:rPr>
          <w:color w:val="FF0000"/>
          <w:sz w:val="18"/>
          <w:szCs w:val="20"/>
          <w:lang w:val="en-GB"/>
        </w:rPr>
      </w:pPr>
      <w:r>
        <w:rPr>
          <w:noProof/>
        </w:rPr>
        <w:object w:dxaOrig="10989" w:dyaOrig="8952" w14:anchorId="28DA838E">
          <v:shape id="_x0000_i1038" type="#_x0000_t75" alt="" style="width:253.5pt;height:206.25pt;mso-width-percent:0;mso-height-percent:0;mso-width-percent:0;mso-height-percent:0" o:ole="">
            <v:imagedata r:id="rId51" o:title=""/>
          </v:shape>
          <o:OLEObject Type="Embed" ProgID="ChemDraw.Document.6.0" ShapeID="_x0000_i1038" DrawAspect="Content" ObjectID="_1661677398" r:id="rId52"/>
        </w:object>
      </w:r>
    </w:p>
    <w:p w14:paraId="548F7F1A" w14:textId="64310332" w:rsidR="00561D8F" w:rsidRPr="008261A3" w:rsidRDefault="00561D8F" w:rsidP="00122D44">
      <w:pPr>
        <w:pStyle w:val="SchemeCaption"/>
      </w:pPr>
      <w:r>
        <w:rPr>
          <w:b/>
        </w:rPr>
        <w:t>Scheme</w:t>
      </w:r>
      <w:r w:rsidRPr="005702B8">
        <w:rPr>
          <w:b/>
        </w:rPr>
        <w:t xml:space="preserve"> 1</w:t>
      </w:r>
      <w:r>
        <w:rPr>
          <w:b/>
        </w:rPr>
        <w:t>4.</w:t>
      </w:r>
      <w:r>
        <w:t xml:space="preserve"> </w:t>
      </w:r>
      <w:r w:rsidRPr="00764B04">
        <w:rPr>
          <w:bCs/>
          <w:iCs/>
          <w:szCs w:val="20"/>
        </w:rPr>
        <w:t xml:space="preserve">Mechanism proposed for the fungal RedAm-catalyzed reductive amination of a ketone by small amines. Residue numbers correspond to those of </w:t>
      </w:r>
      <w:r w:rsidRPr="00764B04">
        <w:rPr>
          <w:bCs/>
          <w:i/>
          <w:szCs w:val="20"/>
        </w:rPr>
        <w:t>At</w:t>
      </w:r>
      <w:r>
        <w:rPr>
          <w:bCs/>
          <w:iCs/>
          <w:szCs w:val="20"/>
        </w:rPr>
        <w:t>RedAm</w:t>
      </w:r>
      <w:proofErr w:type="gramStart"/>
      <w:r>
        <w:rPr>
          <w:bCs/>
          <w:iCs/>
          <w:szCs w:val="20"/>
        </w:rPr>
        <w:t>.</w:t>
      </w:r>
      <w:r w:rsidR="003E6B17">
        <w:rPr>
          <w:bCs/>
          <w:iCs/>
          <w:noProof/>
          <w:szCs w:val="20"/>
          <w:vertAlign w:val="superscript"/>
        </w:rPr>
        <w:t>[</w:t>
      </w:r>
      <w:proofErr w:type="gramEnd"/>
      <w:r w:rsidR="003E6B17">
        <w:rPr>
          <w:bCs/>
          <w:iCs/>
          <w:noProof/>
          <w:szCs w:val="20"/>
          <w:vertAlign w:val="superscript"/>
        </w:rPr>
        <w:t>51</w:t>
      </w:r>
      <w:r w:rsidRPr="00EB6EE9">
        <w:rPr>
          <w:bCs/>
          <w:iCs/>
          <w:noProof/>
          <w:szCs w:val="20"/>
          <w:vertAlign w:val="superscript"/>
        </w:rPr>
        <w:t>]</w:t>
      </w:r>
      <w:r w:rsidRPr="00764B04">
        <w:rPr>
          <w:bCs/>
          <w:iCs/>
          <w:szCs w:val="20"/>
        </w:rPr>
        <w:t xml:space="preserve"> The substrate-free enzyme active site is shown in Step </w:t>
      </w:r>
      <w:r>
        <w:rPr>
          <w:b/>
          <w:iCs/>
          <w:szCs w:val="20"/>
        </w:rPr>
        <w:t>I</w:t>
      </w:r>
      <w:r w:rsidRPr="00764B04">
        <w:rPr>
          <w:bCs/>
          <w:iCs/>
          <w:szCs w:val="20"/>
        </w:rPr>
        <w:t xml:space="preserve">.  Following binding of the reduced cofactor NADPH, the ketone binds with the carbonyl group secured by Tyr183. The amine binds to Asp175 and is activated for attack at the electrophilic carbon of the ketone (Step </w:t>
      </w:r>
      <w:r>
        <w:rPr>
          <w:b/>
          <w:iCs/>
          <w:szCs w:val="20"/>
        </w:rPr>
        <w:t>II</w:t>
      </w:r>
      <w:r w:rsidRPr="00764B04">
        <w:rPr>
          <w:bCs/>
          <w:iCs/>
          <w:szCs w:val="20"/>
        </w:rPr>
        <w:t xml:space="preserve">). A hemiaminal intermediate results (Step </w:t>
      </w:r>
      <w:r>
        <w:rPr>
          <w:b/>
          <w:iCs/>
          <w:szCs w:val="20"/>
        </w:rPr>
        <w:t>III</w:t>
      </w:r>
      <w:r w:rsidRPr="00764B04">
        <w:rPr>
          <w:bCs/>
          <w:iCs/>
          <w:szCs w:val="20"/>
        </w:rPr>
        <w:t xml:space="preserve">), from which water is eliminated to yield the prochiral iminium ion (Step </w:t>
      </w:r>
      <w:r>
        <w:rPr>
          <w:b/>
          <w:iCs/>
          <w:szCs w:val="20"/>
        </w:rPr>
        <w:t>IV</w:t>
      </w:r>
      <w:r w:rsidRPr="00764B04">
        <w:rPr>
          <w:bCs/>
          <w:iCs/>
          <w:szCs w:val="20"/>
        </w:rPr>
        <w:t xml:space="preserve">). The imine is reduced by hydride delivery from NADPH (Step </w:t>
      </w:r>
      <w:r>
        <w:rPr>
          <w:b/>
          <w:iCs/>
          <w:szCs w:val="20"/>
        </w:rPr>
        <w:t>V</w:t>
      </w:r>
      <w:r w:rsidRPr="00764B04">
        <w:rPr>
          <w:bCs/>
          <w:iCs/>
          <w:szCs w:val="20"/>
        </w:rPr>
        <w:t>) and amine product and oxidized cofactor are released from the active site.</w:t>
      </w:r>
    </w:p>
    <w:p w14:paraId="037076A2" w14:textId="7FA8C6E7" w:rsidR="00561D8F" w:rsidRPr="005E6EBC" w:rsidRDefault="00561D8F" w:rsidP="000E69C9">
      <w:pPr>
        <w:pStyle w:val="P1withoutIndendation"/>
        <w:rPr>
          <w:szCs w:val="22"/>
        </w:rPr>
      </w:pPr>
      <w:r>
        <w:t>H</w:t>
      </w:r>
      <w:r>
        <w:rPr>
          <w:szCs w:val="22"/>
        </w:rPr>
        <w:t xml:space="preserve">aving identified key roles for some residues, mutation work has been carried out on these RedAms to expand the ketone and amine scope. In the case of </w:t>
      </w:r>
      <w:r w:rsidRPr="0006341C">
        <w:rPr>
          <w:i/>
          <w:szCs w:val="22"/>
        </w:rPr>
        <w:t>At</w:t>
      </w:r>
      <w:r>
        <w:rPr>
          <w:szCs w:val="22"/>
        </w:rPr>
        <w:t xml:space="preserve">RedAm, </w:t>
      </w:r>
      <w:r w:rsidRPr="005E6EBC">
        <w:rPr>
          <w:szCs w:val="22"/>
        </w:rPr>
        <w:t>space w</w:t>
      </w:r>
      <w:r>
        <w:rPr>
          <w:szCs w:val="22"/>
        </w:rPr>
        <w:t>as</w:t>
      </w:r>
      <w:r w:rsidRPr="005E6EBC">
        <w:rPr>
          <w:szCs w:val="22"/>
        </w:rPr>
        <w:t xml:space="preserve"> created at the rear of the active site through the mutation of Y222 to alanine </w:t>
      </w:r>
      <w:r>
        <w:rPr>
          <w:szCs w:val="22"/>
        </w:rPr>
        <w:t xml:space="preserve">leading to the acceptance of </w:t>
      </w:r>
      <w:r w:rsidRPr="005E6EBC">
        <w:rPr>
          <w:szCs w:val="22"/>
        </w:rPr>
        <w:t>l</w:t>
      </w:r>
      <w:r>
        <w:rPr>
          <w:szCs w:val="22"/>
        </w:rPr>
        <w:t>onger chain aliphatic ketones</w:t>
      </w:r>
      <w:r w:rsidRPr="005E6EBC">
        <w:rPr>
          <w:szCs w:val="22"/>
        </w:rPr>
        <w:t>. In this way the conversion in the amination of 2-octanone</w:t>
      </w:r>
      <w:r>
        <w:rPr>
          <w:szCs w:val="22"/>
        </w:rPr>
        <w:t xml:space="preserve"> </w:t>
      </w:r>
      <w:r w:rsidRPr="000B16B3">
        <w:rPr>
          <w:b/>
          <w:szCs w:val="22"/>
        </w:rPr>
        <w:t>30</w:t>
      </w:r>
      <w:r w:rsidRPr="005E6EBC">
        <w:rPr>
          <w:szCs w:val="22"/>
        </w:rPr>
        <w:t xml:space="preserve"> with allylamine </w:t>
      </w:r>
      <w:r w:rsidR="001418F9">
        <w:rPr>
          <w:b/>
          <w:szCs w:val="22"/>
        </w:rPr>
        <w:t>i</w:t>
      </w:r>
      <w:r>
        <w:rPr>
          <w:szCs w:val="22"/>
        </w:rPr>
        <w:t xml:space="preserve"> </w:t>
      </w:r>
      <w:r w:rsidRPr="005E6EBC">
        <w:rPr>
          <w:szCs w:val="22"/>
        </w:rPr>
        <w:t>was increased from 4% to 53%.</w:t>
      </w:r>
      <w:r w:rsidR="003E6B17">
        <w:rPr>
          <w:noProof/>
          <w:szCs w:val="22"/>
          <w:vertAlign w:val="superscript"/>
        </w:rPr>
        <w:t>[51</w:t>
      </w:r>
      <w:r w:rsidRPr="00EB6EE9">
        <w:rPr>
          <w:noProof/>
          <w:szCs w:val="22"/>
          <w:vertAlign w:val="superscript"/>
        </w:rPr>
        <w:t>]</w:t>
      </w:r>
      <w:r>
        <w:rPr>
          <w:szCs w:val="22"/>
        </w:rPr>
        <w:t xml:space="preserve"> The equivalent mutation H215A in </w:t>
      </w:r>
      <w:r w:rsidRPr="00A34EEA">
        <w:rPr>
          <w:i/>
          <w:szCs w:val="22"/>
        </w:rPr>
        <w:t>Ad</w:t>
      </w:r>
      <w:r>
        <w:rPr>
          <w:szCs w:val="22"/>
        </w:rPr>
        <w:t xml:space="preserve">RedAm even enabled the higher conversion of 2-decanone </w:t>
      </w:r>
      <w:r w:rsidRPr="000B16B3">
        <w:rPr>
          <w:b/>
          <w:szCs w:val="22"/>
        </w:rPr>
        <w:t>32</w:t>
      </w:r>
      <w:r>
        <w:rPr>
          <w:szCs w:val="22"/>
        </w:rPr>
        <w:t xml:space="preserve"> and a decrease of its respective </w:t>
      </w:r>
      <w:r w:rsidRPr="00A34EEA">
        <w:rPr>
          <w:i/>
          <w:szCs w:val="22"/>
        </w:rPr>
        <w:t>K</w:t>
      </w:r>
      <w:r w:rsidRPr="00A34EEA">
        <w:rPr>
          <w:szCs w:val="22"/>
          <w:vertAlign w:val="subscript"/>
        </w:rPr>
        <w:t>m</w:t>
      </w:r>
      <w:r>
        <w:rPr>
          <w:szCs w:val="22"/>
        </w:rPr>
        <w:t xml:space="preserve">, supporting the unproductive binding at this position with substrate. Activity toward the ester derivative </w:t>
      </w:r>
      <w:r w:rsidRPr="000B16B3">
        <w:rPr>
          <w:b/>
          <w:szCs w:val="22"/>
        </w:rPr>
        <w:t>61</w:t>
      </w:r>
      <w:r>
        <w:rPr>
          <w:b/>
          <w:szCs w:val="22"/>
        </w:rPr>
        <w:t xml:space="preserve"> </w:t>
      </w:r>
      <w:r w:rsidRPr="000B16B3">
        <w:rPr>
          <w:szCs w:val="22"/>
        </w:rPr>
        <w:t>was also detected with this mutant.</w:t>
      </w:r>
      <w:r>
        <w:rPr>
          <w:szCs w:val="22"/>
        </w:rPr>
        <w:t xml:space="preserve"> The identified position I123 in </w:t>
      </w:r>
      <w:r w:rsidRPr="006C2F27">
        <w:rPr>
          <w:i/>
          <w:szCs w:val="22"/>
        </w:rPr>
        <w:t>A</w:t>
      </w:r>
      <w:r>
        <w:rPr>
          <w:i/>
          <w:szCs w:val="22"/>
        </w:rPr>
        <w:t>t</w:t>
      </w:r>
      <w:r>
        <w:rPr>
          <w:szCs w:val="22"/>
        </w:rPr>
        <w:t>RedAm proved to be a key position to extend amine range, as evidenced by the increased specific activities of the mutant I123A for both small (ammonia</w:t>
      </w:r>
      <w:r w:rsidR="00F81551">
        <w:rPr>
          <w:szCs w:val="22"/>
        </w:rPr>
        <w:t xml:space="preserve"> </w:t>
      </w:r>
      <w:r w:rsidR="00F81551" w:rsidRPr="00060AD3">
        <w:rPr>
          <w:b/>
          <w:szCs w:val="22"/>
        </w:rPr>
        <w:t>a</w:t>
      </w:r>
      <w:r>
        <w:rPr>
          <w:szCs w:val="22"/>
        </w:rPr>
        <w:t>, methylamine</w:t>
      </w:r>
      <w:r w:rsidR="00F81551">
        <w:rPr>
          <w:szCs w:val="22"/>
        </w:rPr>
        <w:t xml:space="preserve"> </w:t>
      </w:r>
      <w:r w:rsidR="00F81551" w:rsidRPr="00060AD3">
        <w:rPr>
          <w:b/>
          <w:szCs w:val="22"/>
        </w:rPr>
        <w:t>b</w:t>
      </w:r>
      <w:r>
        <w:rPr>
          <w:szCs w:val="22"/>
        </w:rPr>
        <w:t>) and bulkier amines (hexylamine</w:t>
      </w:r>
      <w:r w:rsidR="00F81551">
        <w:rPr>
          <w:szCs w:val="22"/>
        </w:rPr>
        <w:t xml:space="preserve"> </w:t>
      </w:r>
      <w:r w:rsidR="001418F9">
        <w:rPr>
          <w:b/>
          <w:szCs w:val="22"/>
        </w:rPr>
        <w:t>j</w:t>
      </w:r>
      <w:r>
        <w:rPr>
          <w:szCs w:val="22"/>
        </w:rPr>
        <w:t>, pyrrolidine</w:t>
      </w:r>
      <w:r w:rsidR="00F81551">
        <w:rPr>
          <w:szCs w:val="22"/>
        </w:rPr>
        <w:t xml:space="preserve"> </w:t>
      </w:r>
      <w:r w:rsidR="001418F9">
        <w:rPr>
          <w:b/>
          <w:szCs w:val="22"/>
        </w:rPr>
        <w:t>f</w:t>
      </w:r>
      <w:r>
        <w:rPr>
          <w:szCs w:val="22"/>
        </w:rPr>
        <w:t>, aniline</w:t>
      </w:r>
      <w:r w:rsidR="00F81551">
        <w:rPr>
          <w:szCs w:val="22"/>
        </w:rPr>
        <w:t xml:space="preserve"> </w:t>
      </w:r>
      <w:r w:rsidR="001418F9">
        <w:rPr>
          <w:b/>
          <w:szCs w:val="22"/>
        </w:rPr>
        <w:t>e</w:t>
      </w:r>
      <w:r>
        <w:rPr>
          <w:szCs w:val="22"/>
        </w:rPr>
        <w:t>).</w:t>
      </w:r>
      <w:r w:rsidR="003E6B17">
        <w:rPr>
          <w:noProof/>
          <w:szCs w:val="22"/>
          <w:vertAlign w:val="superscript"/>
        </w:rPr>
        <w:t>[51</w:t>
      </w:r>
      <w:r w:rsidRPr="00EB6EE9">
        <w:rPr>
          <w:noProof/>
          <w:szCs w:val="22"/>
          <w:vertAlign w:val="superscript"/>
        </w:rPr>
        <w:t>]</w:t>
      </w:r>
    </w:p>
    <w:p w14:paraId="0C83E67E" w14:textId="77777777" w:rsidR="00561D8F" w:rsidRDefault="00561D8F" w:rsidP="000E69C9">
      <w:pPr>
        <w:pStyle w:val="P1withoutIndendation"/>
        <w:rPr>
          <w:szCs w:val="22"/>
        </w:rPr>
      </w:pPr>
    </w:p>
    <w:p w14:paraId="3B2E27BF" w14:textId="673ABA0D" w:rsidR="00561D8F" w:rsidRDefault="00561D8F" w:rsidP="000E69C9">
      <w:pPr>
        <w:pStyle w:val="P1withoutIndendation"/>
        <w:rPr>
          <w:szCs w:val="22"/>
        </w:rPr>
      </w:pPr>
      <w:r w:rsidRPr="005E6EBC">
        <w:rPr>
          <w:szCs w:val="22"/>
        </w:rPr>
        <w:t xml:space="preserve">The description of reductive aminase activity in fungal enzymes such as </w:t>
      </w:r>
      <w:r w:rsidRPr="005E6EBC">
        <w:rPr>
          <w:i/>
          <w:iCs/>
          <w:szCs w:val="22"/>
        </w:rPr>
        <w:t>Asp</w:t>
      </w:r>
      <w:r w:rsidRPr="005E6EBC">
        <w:rPr>
          <w:szCs w:val="22"/>
        </w:rPr>
        <w:t xml:space="preserve">RedAm and </w:t>
      </w:r>
      <w:r w:rsidRPr="005E6EBC">
        <w:rPr>
          <w:i/>
          <w:iCs/>
          <w:szCs w:val="22"/>
        </w:rPr>
        <w:t>At</w:t>
      </w:r>
      <w:r w:rsidRPr="005E6EBC">
        <w:rPr>
          <w:szCs w:val="22"/>
        </w:rPr>
        <w:t xml:space="preserve">RedAm has prompted further screening of enzyme libraries for similar activity, in some cases by industrial groups.  Roiban and co-workers at GSK screened 85 IRED homologs </w:t>
      </w:r>
      <w:r>
        <w:rPr>
          <w:szCs w:val="22"/>
        </w:rPr>
        <w:t xml:space="preserve">(named here GSK_IRXX) </w:t>
      </w:r>
      <w:r w:rsidRPr="005E6EBC">
        <w:rPr>
          <w:szCs w:val="22"/>
        </w:rPr>
        <w:t>for reductive amination activity at pH 7.0 using amine:ketone ratios of 1:1 and including especial</w:t>
      </w:r>
      <w:r>
        <w:rPr>
          <w:szCs w:val="22"/>
        </w:rPr>
        <w:t>ly arylamines as substrates</w:t>
      </w:r>
      <w:r w:rsidRPr="005E6EBC">
        <w:rPr>
          <w:szCs w:val="22"/>
        </w:rPr>
        <w:t>.</w:t>
      </w:r>
      <w:r w:rsidR="003E6B17">
        <w:rPr>
          <w:noProof/>
          <w:szCs w:val="22"/>
          <w:vertAlign w:val="superscript"/>
        </w:rPr>
        <w:t>[54</w:t>
      </w:r>
      <w:r w:rsidRPr="00EB6EE9">
        <w:rPr>
          <w:noProof/>
          <w:szCs w:val="22"/>
          <w:vertAlign w:val="superscript"/>
        </w:rPr>
        <w:t>]</w:t>
      </w:r>
      <w:r w:rsidR="000813E7">
        <w:rPr>
          <w:szCs w:val="22"/>
        </w:rPr>
        <w:t xml:space="preserve"> </w:t>
      </w:r>
      <w:r w:rsidRPr="005E6EBC">
        <w:rPr>
          <w:szCs w:val="22"/>
        </w:rPr>
        <w:t xml:space="preserve">Several candidate enzymes </w:t>
      </w:r>
      <w:r>
        <w:rPr>
          <w:szCs w:val="22"/>
        </w:rPr>
        <w:t xml:space="preserve">(particularly GSK_IR01 and GSK_IR49) </w:t>
      </w:r>
      <w:r w:rsidRPr="005E6EBC">
        <w:rPr>
          <w:szCs w:val="22"/>
        </w:rPr>
        <w:t xml:space="preserve">catalyzed the coupling of cyclohexanone </w:t>
      </w:r>
      <w:r w:rsidRPr="00A7244C">
        <w:rPr>
          <w:b/>
          <w:szCs w:val="22"/>
        </w:rPr>
        <w:t>3</w:t>
      </w:r>
      <w:r>
        <w:rPr>
          <w:szCs w:val="22"/>
        </w:rPr>
        <w:t xml:space="preserve"> </w:t>
      </w:r>
      <w:r w:rsidRPr="005E6EBC">
        <w:rPr>
          <w:szCs w:val="22"/>
        </w:rPr>
        <w:t>with both aniline</w:t>
      </w:r>
      <w:r w:rsidR="00F81551">
        <w:rPr>
          <w:szCs w:val="22"/>
        </w:rPr>
        <w:t xml:space="preserve"> </w:t>
      </w:r>
      <w:r w:rsidR="001418F9">
        <w:rPr>
          <w:b/>
          <w:szCs w:val="22"/>
        </w:rPr>
        <w:t>e</w:t>
      </w:r>
      <w:r w:rsidRPr="0058136B">
        <w:rPr>
          <w:b/>
          <w:szCs w:val="22"/>
        </w:rPr>
        <w:t xml:space="preserve"> </w:t>
      </w:r>
      <w:r w:rsidRPr="005E6EBC">
        <w:rPr>
          <w:szCs w:val="22"/>
        </w:rPr>
        <w:t xml:space="preserve">and </w:t>
      </w:r>
      <w:r>
        <w:rPr>
          <w:szCs w:val="22"/>
        </w:rPr>
        <w:t>benzylamine</w:t>
      </w:r>
      <w:r w:rsidR="00F81551">
        <w:rPr>
          <w:szCs w:val="22"/>
        </w:rPr>
        <w:t xml:space="preserve"> </w:t>
      </w:r>
      <w:r w:rsidR="001418F9">
        <w:rPr>
          <w:b/>
          <w:szCs w:val="22"/>
        </w:rPr>
        <w:t>k</w:t>
      </w:r>
      <w:r w:rsidRPr="005E6EBC">
        <w:rPr>
          <w:szCs w:val="22"/>
        </w:rPr>
        <w:t xml:space="preserve"> with conversions up to 99% and 74% respectively, extending the known substrate range of enzymatic reductive amination reactions.  The amination of cyclohexanone </w:t>
      </w:r>
      <w:r w:rsidRPr="00A7244C">
        <w:rPr>
          <w:b/>
          <w:szCs w:val="22"/>
        </w:rPr>
        <w:t>3</w:t>
      </w:r>
      <w:r>
        <w:rPr>
          <w:szCs w:val="22"/>
        </w:rPr>
        <w:t xml:space="preserve"> </w:t>
      </w:r>
      <w:r w:rsidRPr="005E6EBC">
        <w:rPr>
          <w:szCs w:val="22"/>
        </w:rPr>
        <w:t>with a range of substituted anilines showed that those with electron donating substituents were preferred, suggesting that amine nucleophilicity was a factor</w:t>
      </w:r>
      <w:r>
        <w:rPr>
          <w:szCs w:val="22"/>
        </w:rPr>
        <w:t xml:space="preserve"> in efficient amine formation. </w:t>
      </w:r>
    </w:p>
    <w:p w14:paraId="6BF57E1F" w14:textId="25951C32" w:rsidR="00122D44" w:rsidRDefault="00561D8F" w:rsidP="00122D44">
      <w:pPr>
        <w:pStyle w:val="P1withoutIndendation"/>
        <w:ind w:firstLine="227"/>
        <w:rPr>
          <w:szCs w:val="22"/>
        </w:rPr>
      </w:pPr>
      <w:r w:rsidRPr="005E6EBC">
        <w:rPr>
          <w:szCs w:val="22"/>
        </w:rPr>
        <w:t xml:space="preserve">A further screen of a library of 48 IRED-related sequences </w:t>
      </w:r>
      <w:r>
        <w:rPr>
          <w:szCs w:val="22"/>
        </w:rPr>
        <w:t>(corresponding enzymes named here Pfizer</w:t>
      </w:r>
      <w:r w:rsidR="00777BB9">
        <w:rPr>
          <w:szCs w:val="22"/>
        </w:rPr>
        <w:t>_</w:t>
      </w:r>
      <w:r>
        <w:rPr>
          <w:szCs w:val="22"/>
        </w:rPr>
        <w:t xml:space="preserve">IRXX) </w:t>
      </w:r>
      <w:r w:rsidRPr="005E6EBC">
        <w:rPr>
          <w:szCs w:val="22"/>
        </w:rPr>
        <w:t>from bacteria was performed by France and colleagues at Pfizer, for enzymes that enable the reductive amination reaction</w:t>
      </w:r>
      <w:r>
        <w:rPr>
          <w:szCs w:val="22"/>
        </w:rPr>
        <w:t xml:space="preserve"> at low amine:ketone ratios</w:t>
      </w:r>
      <w:r w:rsidRPr="005E6EBC">
        <w:rPr>
          <w:szCs w:val="22"/>
        </w:rPr>
        <w:t>.</w:t>
      </w:r>
      <w:r w:rsidR="003E6B17">
        <w:rPr>
          <w:noProof/>
          <w:szCs w:val="22"/>
          <w:vertAlign w:val="superscript"/>
        </w:rPr>
        <w:t>[55</w:t>
      </w:r>
      <w:r w:rsidRPr="00EB6EE9">
        <w:rPr>
          <w:noProof/>
          <w:szCs w:val="22"/>
          <w:vertAlign w:val="superscript"/>
        </w:rPr>
        <w:t>]</w:t>
      </w:r>
      <w:r w:rsidRPr="005E6EBC">
        <w:rPr>
          <w:szCs w:val="22"/>
        </w:rPr>
        <w:t xml:space="preserve"> Interestingly, several homologs were described that catalyzed the coupling of cyclohexanone </w:t>
      </w:r>
      <w:r w:rsidRPr="00A7244C">
        <w:rPr>
          <w:b/>
          <w:szCs w:val="22"/>
        </w:rPr>
        <w:t>3</w:t>
      </w:r>
      <w:r>
        <w:rPr>
          <w:szCs w:val="22"/>
        </w:rPr>
        <w:t xml:space="preserve"> </w:t>
      </w:r>
      <w:r w:rsidRPr="005E6EBC">
        <w:rPr>
          <w:szCs w:val="22"/>
        </w:rPr>
        <w:t>with pyrrolidine</w:t>
      </w:r>
      <w:r w:rsidR="00F81551" w:rsidRPr="0058136B">
        <w:rPr>
          <w:b/>
          <w:szCs w:val="22"/>
        </w:rPr>
        <w:t xml:space="preserve"> </w:t>
      </w:r>
      <w:r w:rsidR="001418F9">
        <w:rPr>
          <w:b/>
          <w:szCs w:val="22"/>
        </w:rPr>
        <w:t>f</w:t>
      </w:r>
      <w:r w:rsidRPr="005E6EBC">
        <w:rPr>
          <w:szCs w:val="22"/>
        </w:rPr>
        <w:t xml:space="preserve"> to form </w:t>
      </w:r>
      <w:r w:rsidR="00F81551">
        <w:rPr>
          <w:szCs w:val="22"/>
        </w:rPr>
        <w:t>the</w:t>
      </w:r>
      <w:r w:rsidRPr="005E6EBC">
        <w:rPr>
          <w:szCs w:val="22"/>
        </w:rPr>
        <w:t xml:space="preserve"> tertiary amine product</w:t>
      </w:r>
      <w:r w:rsidR="00F81551">
        <w:rPr>
          <w:szCs w:val="22"/>
        </w:rPr>
        <w:t xml:space="preserve"> </w:t>
      </w:r>
      <w:r w:rsidR="00F81551" w:rsidRPr="0058136B">
        <w:rPr>
          <w:b/>
          <w:szCs w:val="22"/>
        </w:rPr>
        <w:t>3</w:t>
      </w:r>
      <w:r w:rsidR="001418F9">
        <w:rPr>
          <w:b/>
          <w:szCs w:val="22"/>
        </w:rPr>
        <w:t>f</w:t>
      </w:r>
      <w:r w:rsidRPr="005E6EBC">
        <w:rPr>
          <w:szCs w:val="22"/>
        </w:rPr>
        <w:t xml:space="preserve"> in up to 99% conversion.  The enzymes proved amenable to the catalysis of scaled-up reactions, with </w:t>
      </w:r>
      <w:r>
        <w:rPr>
          <w:szCs w:val="22"/>
        </w:rPr>
        <w:t>Pfizer</w:t>
      </w:r>
      <w:r w:rsidR="00777BB9">
        <w:rPr>
          <w:szCs w:val="22"/>
        </w:rPr>
        <w:t>_</w:t>
      </w:r>
      <w:r w:rsidRPr="005E6EBC">
        <w:rPr>
          <w:szCs w:val="22"/>
        </w:rPr>
        <w:t>IR44</w:t>
      </w:r>
      <w:r w:rsidR="00A2002B">
        <w:rPr>
          <w:szCs w:val="22"/>
        </w:rPr>
        <w:t xml:space="preserve"> (Uniprot ID: X6HB51)</w:t>
      </w:r>
      <w:r w:rsidRPr="005E6EBC">
        <w:rPr>
          <w:szCs w:val="22"/>
        </w:rPr>
        <w:t xml:space="preserve"> catalyzing the coupling of cyclohexanone </w:t>
      </w:r>
      <w:r w:rsidRPr="00A7244C">
        <w:rPr>
          <w:b/>
          <w:szCs w:val="22"/>
        </w:rPr>
        <w:t>3</w:t>
      </w:r>
      <w:r>
        <w:rPr>
          <w:szCs w:val="22"/>
        </w:rPr>
        <w:t xml:space="preserve"> </w:t>
      </w:r>
      <w:r w:rsidRPr="005E6EBC">
        <w:rPr>
          <w:szCs w:val="22"/>
        </w:rPr>
        <w:t xml:space="preserve">with pyrrolidine </w:t>
      </w:r>
      <w:r w:rsidR="00F81551" w:rsidRPr="0058136B">
        <w:rPr>
          <w:b/>
          <w:szCs w:val="22"/>
        </w:rPr>
        <w:t>i</w:t>
      </w:r>
      <w:r w:rsidR="00F81551">
        <w:rPr>
          <w:szCs w:val="22"/>
        </w:rPr>
        <w:t xml:space="preserve"> </w:t>
      </w:r>
      <w:r w:rsidRPr="005E6EBC">
        <w:rPr>
          <w:szCs w:val="22"/>
        </w:rPr>
        <w:t>on a 625 mg scale to give the product</w:t>
      </w:r>
      <w:r w:rsidR="00F81551">
        <w:rPr>
          <w:szCs w:val="22"/>
        </w:rPr>
        <w:t xml:space="preserve"> </w:t>
      </w:r>
      <w:r w:rsidR="00F81551" w:rsidRPr="0058136B">
        <w:rPr>
          <w:b/>
          <w:szCs w:val="22"/>
        </w:rPr>
        <w:t>3</w:t>
      </w:r>
      <w:r w:rsidR="001418F9">
        <w:rPr>
          <w:b/>
          <w:szCs w:val="22"/>
        </w:rPr>
        <w:t>f</w:t>
      </w:r>
      <w:r w:rsidRPr="005E6EBC">
        <w:rPr>
          <w:szCs w:val="22"/>
        </w:rPr>
        <w:t xml:space="preserve"> in 71% isolated yield.</w:t>
      </w:r>
      <w:r w:rsidRPr="00F02A99">
        <w:t xml:space="preserve"> </w:t>
      </w:r>
      <w:r w:rsidRPr="00F02A99">
        <w:rPr>
          <w:szCs w:val="22"/>
        </w:rPr>
        <w:t xml:space="preserve">Notably, none of these IREDs gave </w:t>
      </w:r>
      <w:r>
        <w:rPr>
          <w:szCs w:val="22"/>
        </w:rPr>
        <w:t>significant</w:t>
      </w:r>
      <w:r w:rsidRPr="00F02A99">
        <w:rPr>
          <w:szCs w:val="22"/>
        </w:rPr>
        <w:t xml:space="preserve"> conversions with ammonia</w:t>
      </w:r>
      <w:r w:rsidR="00F81551">
        <w:rPr>
          <w:szCs w:val="22"/>
        </w:rPr>
        <w:t xml:space="preserve"> </w:t>
      </w:r>
      <w:r w:rsidR="00F81551" w:rsidRPr="0058136B">
        <w:rPr>
          <w:b/>
          <w:szCs w:val="22"/>
        </w:rPr>
        <w:t>a</w:t>
      </w:r>
      <w:r w:rsidRPr="00F02A99">
        <w:rPr>
          <w:szCs w:val="22"/>
        </w:rPr>
        <w:t xml:space="preserve">, although </w:t>
      </w:r>
      <w:r>
        <w:rPr>
          <w:szCs w:val="22"/>
        </w:rPr>
        <w:t>Pfizer</w:t>
      </w:r>
      <w:r w:rsidR="00777BB9">
        <w:rPr>
          <w:szCs w:val="22"/>
        </w:rPr>
        <w:t>_</w:t>
      </w:r>
      <w:r w:rsidRPr="00F02A99">
        <w:rPr>
          <w:szCs w:val="22"/>
        </w:rPr>
        <w:t>IR66 afforded 20% conversion to product</w:t>
      </w:r>
      <w:r>
        <w:rPr>
          <w:szCs w:val="22"/>
        </w:rPr>
        <w:t xml:space="preserve">. </w:t>
      </w:r>
    </w:p>
    <w:p w14:paraId="74B79829" w14:textId="3A51B765" w:rsidR="00561D8F" w:rsidRDefault="00122D44" w:rsidP="00122D44">
      <w:pPr>
        <w:pStyle w:val="P1withoutIndendation"/>
        <w:ind w:firstLine="227"/>
        <w:rPr>
          <w:szCs w:val="22"/>
        </w:rPr>
      </w:pPr>
      <w:r>
        <w:rPr>
          <w:szCs w:val="22"/>
        </w:rPr>
        <w:t xml:space="preserve">Structural analysis, based on homology models and sequence alignments with </w:t>
      </w:r>
      <w:r w:rsidRPr="00127F30">
        <w:rPr>
          <w:i/>
          <w:szCs w:val="22"/>
        </w:rPr>
        <w:t>Asp</w:t>
      </w:r>
      <w:r>
        <w:rPr>
          <w:szCs w:val="22"/>
        </w:rPr>
        <w:t>RedAm as reference, highlight some conserved residues among top performing enzymes (Pfizer_IR44, IR47, IR48, IR50, IR56, IR58, IR61, IR66, IR77, IR91) such as aspartate D169.</w:t>
      </w:r>
    </w:p>
    <w:p w14:paraId="42554B90" w14:textId="77777777" w:rsidR="00561D8F" w:rsidRDefault="00561D8F" w:rsidP="000E69C9">
      <w:pPr>
        <w:pStyle w:val="P1withoutIndendation"/>
        <w:ind w:firstLine="227"/>
        <w:rPr>
          <w:szCs w:val="22"/>
        </w:rPr>
        <w:sectPr w:rsidR="00561D8F" w:rsidSect="000E69C9">
          <w:type w:val="continuous"/>
          <w:pgSz w:w="11906" w:h="16838" w:code="9"/>
          <w:pgMar w:top="1134" w:right="680" w:bottom="1225" w:left="1361" w:header="709" w:footer="709" w:gutter="0"/>
          <w:cols w:num="2" w:space="340"/>
          <w:docGrid w:linePitch="360"/>
        </w:sectPr>
      </w:pPr>
    </w:p>
    <w:p w14:paraId="5D40B817" w14:textId="66448F35" w:rsidR="00561D8F" w:rsidRPr="001F38DA" w:rsidRDefault="00226FA8" w:rsidP="000E69C9">
      <w:pPr>
        <w:spacing w:before="360"/>
        <w:rPr>
          <w:color w:val="FF0000"/>
          <w:sz w:val="18"/>
          <w:szCs w:val="20"/>
          <w:lang w:val="en-GB"/>
        </w:rPr>
      </w:pPr>
      <w:r>
        <w:rPr>
          <w:noProof/>
          <w:color w:val="FF0000"/>
          <w:sz w:val="18"/>
          <w:szCs w:val="20"/>
          <w:lang w:val="en-GB" w:eastAsia="en-GB"/>
        </w:rPr>
        <w:drawing>
          <wp:inline distT="0" distB="0" distL="0" distR="0" wp14:anchorId="6F36DA1D" wp14:editId="384FCB85">
            <wp:extent cx="6264275" cy="3250565"/>
            <wp:effectExtent l="0" t="0" r="0" b="698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IREDs.png"/>
                    <pic:cNvPicPr/>
                  </pic:nvPicPr>
                  <pic:blipFill>
                    <a:blip r:embed="rId53">
                      <a:extLst>
                        <a:ext uri="{28A0092B-C50C-407E-A947-70E740481C1C}">
                          <a14:useLocalDpi xmlns:a14="http://schemas.microsoft.com/office/drawing/2010/main" val="0"/>
                        </a:ext>
                      </a:extLst>
                    </a:blip>
                    <a:stretch>
                      <a:fillRect/>
                    </a:stretch>
                  </pic:blipFill>
                  <pic:spPr>
                    <a:xfrm>
                      <a:off x="0" y="0"/>
                      <a:ext cx="6264275" cy="3250565"/>
                    </a:xfrm>
                    <a:prstGeom prst="rect">
                      <a:avLst/>
                    </a:prstGeom>
                  </pic:spPr>
                </pic:pic>
              </a:graphicData>
            </a:graphic>
          </wp:inline>
        </w:drawing>
      </w:r>
    </w:p>
    <w:p w14:paraId="24B3AF89" w14:textId="62CCD435" w:rsidR="00561D8F" w:rsidRDefault="00561D8F" w:rsidP="00122D44">
      <w:pPr>
        <w:pStyle w:val="SchemeCaption"/>
        <w:sectPr w:rsidR="00561D8F" w:rsidSect="000E69C9">
          <w:type w:val="continuous"/>
          <w:pgSz w:w="11906" w:h="16838" w:code="9"/>
          <w:pgMar w:top="1134" w:right="680" w:bottom="1225" w:left="1361" w:header="709" w:footer="709" w:gutter="0"/>
          <w:cols w:space="340"/>
          <w:docGrid w:linePitch="360"/>
        </w:sectPr>
      </w:pPr>
      <w:r>
        <w:rPr>
          <w:b/>
        </w:rPr>
        <w:t>Figure</w:t>
      </w:r>
      <w:r w:rsidRPr="005702B8">
        <w:rPr>
          <w:b/>
        </w:rPr>
        <w:t xml:space="preserve"> 1</w:t>
      </w:r>
      <w:r w:rsidR="007519D1">
        <w:rPr>
          <w:b/>
        </w:rPr>
        <w:t>2</w:t>
      </w:r>
      <w:r>
        <w:rPr>
          <w:b/>
        </w:rPr>
        <w:t>.</w:t>
      </w:r>
      <w:r>
        <w:t xml:space="preserve"> Summary of key residu</w:t>
      </w:r>
      <w:r w:rsidR="00A87E7B">
        <w:t>e</w:t>
      </w:r>
      <w:r>
        <w:t xml:space="preserve">s and mutation work done on </w:t>
      </w:r>
      <w:r>
        <w:rPr>
          <w:szCs w:val="20"/>
        </w:rPr>
        <w:t>selected</w:t>
      </w:r>
      <w:r w:rsidRPr="00503C37">
        <w:rPr>
          <w:szCs w:val="20"/>
        </w:rPr>
        <w:t xml:space="preserve"> IREDs with reductive aminase activity </w:t>
      </w:r>
      <w:r w:rsidRPr="00503C37">
        <w:rPr>
          <w:i/>
          <w:iCs/>
          <w:szCs w:val="20"/>
        </w:rPr>
        <w:t>i.e.</w:t>
      </w:r>
      <w:r w:rsidRPr="00503C37">
        <w:rPr>
          <w:szCs w:val="20"/>
        </w:rPr>
        <w:t xml:space="preserve"> the ability to cataly</w:t>
      </w:r>
      <w:r>
        <w:rPr>
          <w:szCs w:val="20"/>
        </w:rPr>
        <w:t>z</w:t>
      </w:r>
      <w:r w:rsidRPr="00503C37">
        <w:rPr>
          <w:szCs w:val="20"/>
        </w:rPr>
        <w:t xml:space="preserve">e secondary amine formation from equimolar </w:t>
      </w:r>
      <w:r>
        <w:rPr>
          <w:szCs w:val="20"/>
        </w:rPr>
        <w:t xml:space="preserve">or low equivalents </w:t>
      </w:r>
      <w:r w:rsidRPr="00503C37">
        <w:rPr>
          <w:szCs w:val="20"/>
        </w:rPr>
        <w:t>of ketone and amine</w:t>
      </w:r>
      <w:r>
        <w:t xml:space="preserve"> </w:t>
      </w:r>
      <w:r w:rsidRPr="00503C37">
        <w:rPr>
          <w:szCs w:val="20"/>
        </w:rPr>
        <w:t>(</w:t>
      </w:r>
      <w:r w:rsidRPr="00503C37">
        <w:rPr>
          <w:i/>
          <w:iCs/>
          <w:szCs w:val="20"/>
        </w:rPr>
        <w:t>Asp</w:t>
      </w:r>
      <w:r w:rsidRPr="00503C37">
        <w:rPr>
          <w:szCs w:val="20"/>
        </w:rPr>
        <w:t xml:space="preserve">RedAm, </w:t>
      </w:r>
      <w:r w:rsidRPr="00503C37">
        <w:rPr>
          <w:i/>
          <w:szCs w:val="20"/>
        </w:rPr>
        <w:t>At</w:t>
      </w:r>
      <w:r w:rsidRPr="00503C37">
        <w:rPr>
          <w:szCs w:val="20"/>
        </w:rPr>
        <w:t xml:space="preserve">RedAm, </w:t>
      </w:r>
      <w:r w:rsidRPr="00503C37">
        <w:rPr>
          <w:i/>
          <w:szCs w:val="20"/>
        </w:rPr>
        <w:t>Ad</w:t>
      </w:r>
      <w:r w:rsidRPr="00503C37">
        <w:rPr>
          <w:szCs w:val="20"/>
        </w:rPr>
        <w:t xml:space="preserve">RedAm, </w:t>
      </w:r>
      <w:r w:rsidRPr="00503C37">
        <w:rPr>
          <w:i/>
          <w:iCs/>
          <w:szCs w:val="20"/>
        </w:rPr>
        <w:t>Nf</w:t>
      </w:r>
      <w:r w:rsidRPr="00503C37">
        <w:rPr>
          <w:szCs w:val="20"/>
        </w:rPr>
        <w:t xml:space="preserve">RedAm, </w:t>
      </w:r>
      <w:r w:rsidRPr="00503C37">
        <w:rPr>
          <w:i/>
          <w:szCs w:val="20"/>
        </w:rPr>
        <w:t>Nfis</w:t>
      </w:r>
      <w:r w:rsidRPr="00503C37">
        <w:rPr>
          <w:szCs w:val="20"/>
        </w:rPr>
        <w:t>RedAm, JM_IR</w:t>
      </w:r>
      <w:r>
        <w:rPr>
          <w:szCs w:val="20"/>
        </w:rPr>
        <w:t>23</w:t>
      </w:r>
      <w:r w:rsidR="00A05B7A">
        <w:rPr>
          <w:szCs w:val="20"/>
        </w:rPr>
        <w:t>/48</w:t>
      </w:r>
      <w:r>
        <w:rPr>
          <w:szCs w:val="20"/>
        </w:rPr>
        <w:t xml:space="preserve">, </w:t>
      </w:r>
      <w:r w:rsidRPr="00503C37">
        <w:rPr>
          <w:szCs w:val="20"/>
        </w:rPr>
        <w:t>GSK_IR01</w:t>
      </w:r>
      <w:r w:rsidRPr="00AC6D3E">
        <w:rPr>
          <w:szCs w:val="20"/>
        </w:rPr>
        <w:t>/46/49</w:t>
      </w:r>
      <w:r w:rsidRPr="00503C37">
        <w:rPr>
          <w:szCs w:val="20"/>
        </w:rPr>
        <w:t>, Pfizer_IR44</w:t>
      </w:r>
      <w:r>
        <w:rPr>
          <w:szCs w:val="20"/>
        </w:rPr>
        <w:t>)</w:t>
      </w:r>
      <w:r w:rsidRPr="00503C37">
        <w:rPr>
          <w:szCs w:val="20"/>
        </w:rPr>
        <w:t>.</w:t>
      </w:r>
      <w:r>
        <w:rPr>
          <w:szCs w:val="20"/>
        </w:rPr>
        <w:t xml:space="preserve"> </w:t>
      </w:r>
      <w:r w:rsidRPr="0058136B">
        <w:rPr>
          <w:b/>
        </w:rPr>
        <w:t>A)</w:t>
      </w:r>
      <w:r w:rsidRPr="00503C37">
        <w:rPr>
          <w:szCs w:val="20"/>
        </w:rPr>
        <w:t xml:space="preserve"> Logo representation of the conservation patterns of main residues of </w:t>
      </w:r>
      <w:r>
        <w:rPr>
          <w:szCs w:val="20"/>
        </w:rPr>
        <w:t>these enzymes</w:t>
      </w:r>
      <w:r w:rsidRPr="00503C37">
        <w:rPr>
          <w:szCs w:val="20"/>
        </w:rPr>
        <w:t xml:space="preserve"> defining the catalytic pocket </w:t>
      </w:r>
      <w:r>
        <w:rPr>
          <w:szCs w:val="20"/>
        </w:rPr>
        <w:t xml:space="preserve">and targeted for mutations inside or outside the active site. </w:t>
      </w:r>
      <w:r w:rsidRPr="000477B9">
        <w:rPr>
          <w:szCs w:val="20"/>
        </w:rPr>
        <w:t>The</w:t>
      </w:r>
      <w:r w:rsidRPr="00503C37">
        <w:rPr>
          <w:szCs w:val="20"/>
        </w:rPr>
        <w:t xml:space="preserve"> two neighboring residues before and after these residues are included as part of the logos to illustrate their environment. The logo of the variants produced for extending substrate scope are </w:t>
      </w:r>
      <w:r>
        <w:rPr>
          <w:szCs w:val="20"/>
        </w:rPr>
        <w:t>placed above</w:t>
      </w:r>
      <w:r w:rsidR="004C7A3D">
        <w:rPr>
          <w:szCs w:val="20"/>
        </w:rPr>
        <w:t xml:space="preserve"> </w:t>
      </w:r>
      <w:r w:rsidR="004C7A3D" w:rsidRPr="00E92DDB">
        <w:rPr>
          <w:szCs w:val="20"/>
        </w:rPr>
        <w:t>or under</w:t>
      </w:r>
      <w:r w:rsidRPr="00E92DDB">
        <w:rPr>
          <w:szCs w:val="20"/>
        </w:rPr>
        <w:t xml:space="preserve"> the corresponding wild-type residue and are highlighted in orange.  Mutated residues of the variants M1-M3 of GSK</w:t>
      </w:r>
      <w:r w:rsidR="00A05B7A" w:rsidRPr="00E92DDB">
        <w:rPr>
          <w:szCs w:val="20"/>
        </w:rPr>
        <w:t>_</w:t>
      </w:r>
      <w:r w:rsidRPr="00E92DDB">
        <w:rPr>
          <w:szCs w:val="20"/>
        </w:rPr>
        <w:t>IR46 used</w:t>
      </w:r>
      <w:r w:rsidRPr="000477B9">
        <w:rPr>
          <w:szCs w:val="20"/>
        </w:rPr>
        <w:t xml:space="preserve"> by Schober </w:t>
      </w:r>
      <w:r w:rsidRPr="000477B9">
        <w:rPr>
          <w:i/>
          <w:szCs w:val="20"/>
        </w:rPr>
        <w:t>et al.</w:t>
      </w:r>
      <w:r w:rsidRPr="000477B9">
        <w:rPr>
          <w:szCs w:val="20"/>
        </w:rPr>
        <w:t xml:space="preserve"> have not been included </w:t>
      </w:r>
      <w:r>
        <w:rPr>
          <w:szCs w:val="20"/>
        </w:rPr>
        <w:t>for clarity</w:t>
      </w:r>
      <w:r w:rsidRPr="000477B9">
        <w:rPr>
          <w:szCs w:val="20"/>
        </w:rPr>
        <w:t>.</w:t>
      </w:r>
      <w:r>
        <w:rPr>
          <w:szCs w:val="20"/>
        </w:rPr>
        <w:t xml:space="preserve"> </w:t>
      </w:r>
      <w:r w:rsidRPr="00503C37">
        <w:rPr>
          <w:szCs w:val="20"/>
        </w:rPr>
        <w:t xml:space="preserve">The sequence numbering used is that of </w:t>
      </w:r>
      <w:r w:rsidRPr="00503C37">
        <w:rPr>
          <w:i/>
          <w:szCs w:val="20"/>
        </w:rPr>
        <w:t>Asp</w:t>
      </w:r>
      <w:r w:rsidRPr="00503C37">
        <w:rPr>
          <w:iCs/>
          <w:szCs w:val="20"/>
        </w:rPr>
        <w:t>RedAm</w:t>
      </w:r>
      <w:r w:rsidRPr="00503C37">
        <w:rPr>
          <w:szCs w:val="20"/>
        </w:rPr>
        <w:t>. The color code is based on hydrophobicity (low hydrophobicity: blue, m</w:t>
      </w:r>
      <w:r w:rsidR="004C7A3D">
        <w:rPr>
          <w:szCs w:val="20"/>
        </w:rPr>
        <w:t>edium</w:t>
      </w:r>
      <w:r w:rsidRPr="00503C37">
        <w:rPr>
          <w:szCs w:val="20"/>
        </w:rPr>
        <w:t xml:space="preserve"> hydrophobicity: green, high hydrophobicity: black). Logo were generated using the webservice WebLogo3.</w:t>
      </w:r>
      <w:r>
        <w:rPr>
          <w:szCs w:val="20"/>
        </w:rPr>
        <w:t xml:space="preserve"> </w:t>
      </w:r>
      <w:r w:rsidRPr="0058136B">
        <w:rPr>
          <w:b/>
          <w:szCs w:val="20"/>
        </w:rPr>
        <w:t>B)</w:t>
      </w:r>
      <w:r>
        <w:rPr>
          <w:szCs w:val="20"/>
        </w:rPr>
        <w:t xml:space="preserve"> List of main residues defining the catalytic pocket and targeted for mutations inside or outside the active site in wild-type selected IREDs/RedAms (black) and the corresponding mutated residues in </w:t>
      </w:r>
      <w:r w:rsidR="00122D44">
        <w:rPr>
          <w:szCs w:val="20"/>
        </w:rPr>
        <w:t>the engineered enzymes (orange).</w:t>
      </w:r>
    </w:p>
    <w:p w14:paraId="57CE328E" w14:textId="01FF8C8A" w:rsidR="00D82080" w:rsidRPr="008261A3" w:rsidRDefault="00561D8F" w:rsidP="00D82080">
      <w:pPr>
        <w:pStyle w:val="P1withoutIndendation"/>
        <w:rPr>
          <w:lang w:val="en-GB"/>
        </w:rPr>
      </w:pPr>
      <w:r>
        <w:rPr>
          <w:szCs w:val="22"/>
        </w:rPr>
        <w:t>Significant differences in other active-site residues (177, 179, 180, 210, 240) prompted the hypothesis that some of these IREDs such as Pfizer</w:t>
      </w:r>
      <w:r w:rsidR="00A2002B">
        <w:rPr>
          <w:szCs w:val="22"/>
        </w:rPr>
        <w:t>_</w:t>
      </w:r>
      <w:r>
        <w:rPr>
          <w:szCs w:val="22"/>
        </w:rPr>
        <w:t xml:space="preserve">IR91 may </w:t>
      </w:r>
      <w:r w:rsidRPr="00E92DDB">
        <w:rPr>
          <w:szCs w:val="22"/>
        </w:rPr>
        <w:t>catalyze the</w:t>
      </w:r>
      <w:r>
        <w:rPr>
          <w:szCs w:val="22"/>
        </w:rPr>
        <w:t xml:space="preserve"> reductive amination reaction in a different way. </w:t>
      </w:r>
      <w:r w:rsidRPr="005E6EBC">
        <w:rPr>
          <w:szCs w:val="22"/>
        </w:rPr>
        <w:t xml:space="preserve">Further work from researchers at Johnson-Matthey reported a study of 95 IRED sequences </w:t>
      </w:r>
      <w:r>
        <w:rPr>
          <w:szCs w:val="22"/>
        </w:rPr>
        <w:t>(corresponding enzymes named here JM</w:t>
      </w:r>
      <w:r w:rsidR="00777BB9">
        <w:rPr>
          <w:szCs w:val="22"/>
        </w:rPr>
        <w:t>_</w:t>
      </w:r>
      <w:r>
        <w:rPr>
          <w:szCs w:val="22"/>
        </w:rPr>
        <w:t xml:space="preserve">IRXX) </w:t>
      </w:r>
      <w:r w:rsidRPr="005E6EBC">
        <w:rPr>
          <w:szCs w:val="22"/>
        </w:rPr>
        <w:t>including homologs from</w:t>
      </w:r>
      <w:r>
        <w:rPr>
          <w:szCs w:val="22"/>
        </w:rPr>
        <w:t xml:space="preserve"> bacteria, fungi and plants</w:t>
      </w:r>
      <w:r w:rsidRPr="005E6EBC">
        <w:rPr>
          <w:szCs w:val="22"/>
        </w:rPr>
        <w:t>.</w:t>
      </w:r>
      <w:r w:rsidR="003E6B17">
        <w:rPr>
          <w:noProof/>
          <w:szCs w:val="22"/>
          <w:vertAlign w:val="superscript"/>
        </w:rPr>
        <w:t>[56</w:t>
      </w:r>
      <w:r w:rsidRPr="00EB6EE9">
        <w:rPr>
          <w:noProof/>
          <w:szCs w:val="22"/>
          <w:vertAlign w:val="superscript"/>
        </w:rPr>
        <w:t>]</w:t>
      </w:r>
      <w:r w:rsidR="000813E7">
        <w:rPr>
          <w:szCs w:val="22"/>
        </w:rPr>
        <w:t xml:space="preserve"> </w:t>
      </w:r>
      <w:r w:rsidRPr="005E6EBC">
        <w:rPr>
          <w:szCs w:val="22"/>
        </w:rPr>
        <w:t xml:space="preserve">The study unearthed further enzymes, such as </w:t>
      </w:r>
      <w:r>
        <w:rPr>
          <w:szCs w:val="22"/>
        </w:rPr>
        <w:t>JM_</w:t>
      </w:r>
      <w:r w:rsidRPr="005E6EBC">
        <w:rPr>
          <w:szCs w:val="22"/>
        </w:rPr>
        <w:t xml:space="preserve">IR23, with improved activity for the reductive amination of cyclohexanone </w:t>
      </w:r>
      <w:r w:rsidRPr="00A7244C">
        <w:rPr>
          <w:b/>
          <w:szCs w:val="22"/>
        </w:rPr>
        <w:t>3</w:t>
      </w:r>
      <w:r>
        <w:rPr>
          <w:szCs w:val="22"/>
        </w:rPr>
        <w:t xml:space="preserve"> </w:t>
      </w:r>
      <w:r w:rsidRPr="005E6EBC">
        <w:rPr>
          <w:szCs w:val="22"/>
        </w:rPr>
        <w:t>with only two equivalents of aniline</w:t>
      </w:r>
      <w:r w:rsidR="00AD1117">
        <w:rPr>
          <w:szCs w:val="22"/>
        </w:rPr>
        <w:t xml:space="preserve"> </w:t>
      </w:r>
      <w:r w:rsidR="001418F9">
        <w:rPr>
          <w:b/>
          <w:szCs w:val="22"/>
        </w:rPr>
        <w:t>e</w:t>
      </w:r>
      <w:r w:rsidRPr="005E6EBC">
        <w:rPr>
          <w:szCs w:val="22"/>
        </w:rPr>
        <w:t>.</w:t>
      </w:r>
      <w:r>
        <w:rPr>
          <w:szCs w:val="22"/>
        </w:rPr>
        <w:t xml:space="preserve"> Homology modelling led to the identification of residues potentially interacting with substrate/product.</w:t>
      </w:r>
      <w:r w:rsidRPr="000F5128">
        <w:rPr>
          <w:szCs w:val="22"/>
        </w:rPr>
        <w:t xml:space="preserve"> </w:t>
      </w:r>
      <w:r>
        <w:rPr>
          <w:szCs w:val="22"/>
        </w:rPr>
        <w:t xml:space="preserve">However, mutation work or </w:t>
      </w:r>
      <w:r w:rsidRPr="002E0719">
        <w:rPr>
          <w:i/>
          <w:szCs w:val="22"/>
        </w:rPr>
        <w:t>in silico</w:t>
      </w:r>
      <w:r>
        <w:rPr>
          <w:szCs w:val="22"/>
        </w:rPr>
        <w:t xml:space="preserve"> analysis (residues 170, 176, 180, 210 and 244, </w:t>
      </w:r>
      <w:r w:rsidRPr="00D91F2B">
        <w:rPr>
          <w:i/>
          <w:szCs w:val="22"/>
        </w:rPr>
        <w:t>Asp</w:t>
      </w:r>
      <w:r>
        <w:rPr>
          <w:szCs w:val="22"/>
        </w:rPr>
        <w:t>RedAm numbering) did not reveal critical determinants for activity toward specific substrates, except for a possible role of residue 244 in catalysis and selectivity following the slight increased conversion obtained with aniline</w:t>
      </w:r>
      <w:r w:rsidR="00AD1117">
        <w:rPr>
          <w:szCs w:val="22"/>
        </w:rPr>
        <w:t xml:space="preserve"> </w:t>
      </w:r>
      <w:r w:rsidR="001418F9">
        <w:rPr>
          <w:b/>
          <w:szCs w:val="22"/>
        </w:rPr>
        <w:t>e</w:t>
      </w:r>
      <w:r>
        <w:rPr>
          <w:szCs w:val="22"/>
        </w:rPr>
        <w:t xml:space="preserve"> with the mutant F246L in JM_IR48. </w:t>
      </w:r>
      <w:r w:rsidRPr="005E6EBC">
        <w:rPr>
          <w:szCs w:val="22"/>
        </w:rPr>
        <w:t xml:space="preserve">Each of these studies illustrated the value of wide-range screening of homologous sequences for identifying broader substrate scope, but also identified enzymes with active sites different to those of </w:t>
      </w:r>
      <w:r w:rsidRPr="005E6EBC">
        <w:rPr>
          <w:i/>
          <w:iCs/>
          <w:szCs w:val="22"/>
        </w:rPr>
        <w:t>Asp</w:t>
      </w:r>
      <w:r w:rsidRPr="005E6EBC">
        <w:rPr>
          <w:szCs w:val="22"/>
        </w:rPr>
        <w:t xml:space="preserve">RedAm and </w:t>
      </w:r>
      <w:r w:rsidRPr="005E6EBC">
        <w:rPr>
          <w:i/>
          <w:iCs/>
          <w:szCs w:val="22"/>
        </w:rPr>
        <w:t>At</w:t>
      </w:r>
      <w:r w:rsidRPr="005E6EBC">
        <w:rPr>
          <w:szCs w:val="22"/>
        </w:rPr>
        <w:t>RedAm, that were capable of cataly</w:t>
      </w:r>
      <w:r w:rsidR="00AD1117">
        <w:rPr>
          <w:szCs w:val="22"/>
        </w:rPr>
        <w:t>z</w:t>
      </w:r>
      <w:r w:rsidRPr="005E6EBC">
        <w:rPr>
          <w:szCs w:val="22"/>
        </w:rPr>
        <w:t xml:space="preserve">ing efficient reductive amination reactions. </w:t>
      </w:r>
      <w:r w:rsidR="00D82080">
        <w:rPr>
          <w:b/>
          <w:szCs w:val="22"/>
        </w:rPr>
        <w:t>Figure 12</w:t>
      </w:r>
      <w:r w:rsidR="00D82080">
        <w:rPr>
          <w:szCs w:val="22"/>
        </w:rPr>
        <w:t xml:space="preserve"> summarizes the documented active-site residues of the studied RedAm members and their conservation among this recently identified family, while </w:t>
      </w:r>
      <w:r w:rsidR="00D82080" w:rsidRPr="00D36C88">
        <w:rPr>
          <w:b/>
          <w:szCs w:val="22"/>
        </w:rPr>
        <w:t>Figure 13</w:t>
      </w:r>
      <w:r w:rsidR="00D82080">
        <w:rPr>
          <w:szCs w:val="22"/>
        </w:rPr>
        <w:t xml:space="preserve"> illustrates the main carbonyl and amine substrates described in IRED/RedAms publications. As also depicted in these Figures, mutation work to increase their biocatalytic potential is also underway.</w:t>
      </w:r>
    </w:p>
    <w:p w14:paraId="1C76658A" w14:textId="77777777" w:rsidR="00D82080" w:rsidRDefault="00D82080" w:rsidP="00D82080">
      <w:pPr>
        <w:pStyle w:val="P1withoutIndendation"/>
      </w:pPr>
    </w:p>
    <w:p w14:paraId="0522292A" w14:textId="51175EE3" w:rsidR="00D82080" w:rsidRPr="002224BB" w:rsidRDefault="00D82080" w:rsidP="00D82080">
      <w:pPr>
        <w:pStyle w:val="P1withoutIndendation"/>
        <w:rPr>
          <w:noProof/>
          <w:szCs w:val="22"/>
          <w:vertAlign w:val="superscript"/>
        </w:rPr>
      </w:pPr>
      <w:r w:rsidRPr="005E6EBC">
        <w:rPr>
          <w:szCs w:val="22"/>
        </w:rPr>
        <w:t xml:space="preserve">The industrial screens have led to more substantial studies of the scalable applications of IRED homologs for reductive amination reactions. Dominguez and co-workers at Johnson Matthey used a Design-of-Experiments (DoE) approach to improve the reductive amination of cyclohexanone </w:t>
      </w:r>
      <w:r w:rsidRPr="00A7244C">
        <w:rPr>
          <w:b/>
          <w:szCs w:val="22"/>
        </w:rPr>
        <w:t>3</w:t>
      </w:r>
      <w:r>
        <w:rPr>
          <w:szCs w:val="22"/>
        </w:rPr>
        <w:t xml:space="preserve"> </w:t>
      </w:r>
      <w:r w:rsidRPr="005E6EBC">
        <w:rPr>
          <w:szCs w:val="22"/>
        </w:rPr>
        <w:t>with cyclopropylamine</w:t>
      </w:r>
      <w:r>
        <w:rPr>
          <w:szCs w:val="22"/>
        </w:rPr>
        <w:t xml:space="preserve"> </w:t>
      </w:r>
      <w:r w:rsidRPr="0058136B">
        <w:rPr>
          <w:b/>
          <w:szCs w:val="22"/>
        </w:rPr>
        <w:t>f</w:t>
      </w:r>
      <w:r w:rsidRPr="005E6EBC">
        <w:rPr>
          <w:szCs w:val="22"/>
        </w:rPr>
        <w:t xml:space="preserve"> to give a process that gave a 90% isolated yield of product at substrate concentration of 750 mM and volumetric productivity of 12.9 g L</w:t>
      </w:r>
      <w:r w:rsidRPr="005E6EBC">
        <w:rPr>
          <w:szCs w:val="22"/>
          <w:vertAlign w:val="superscript"/>
        </w:rPr>
        <w:t>-1</w:t>
      </w:r>
      <w:r w:rsidRPr="005E6EBC">
        <w:rPr>
          <w:szCs w:val="22"/>
        </w:rPr>
        <w:t xml:space="preserve"> h</w:t>
      </w:r>
      <w:r w:rsidRPr="0058136B">
        <w:rPr>
          <w:szCs w:val="22"/>
          <w:vertAlign w:val="superscript"/>
        </w:rPr>
        <w:t>-</w:t>
      </w:r>
      <w:r w:rsidRPr="005E6EBC">
        <w:rPr>
          <w:szCs w:val="22"/>
          <w:vertAlign w:val="superscript"/>
        </w:rPr>
        <w:t>1</w:t>
      </w:r>
      <w:r w:rsidRPr="005E6EBC">
        <w:rPr>
          <w:szCs w:val="22"/>
        </w:rPr>
        <w:t>.</w:t>
      </w:r>
      <w:r w:rsidR="003E6B17">
        <w:rPr>
          <w:noProof/>
          <w:szCs w:val="22"/>
          <w:vertAlign w:val="superscript"/>
        </w:rPr>
        <w:t>[57</w:t>
      </w:r>
      <w:r w:rsidRPr="00EB6EE9">
        <w:rPr>
          <w:noProof/>
          <w:szCs w:val="22"/>
          <w:vertAlign w:val="superscript"/>
        </w:rPr>
        <w:t>]</w:t>
      </w:r>
      <w:r w:rsidRPr="005E6EBC">
        <w:rPr>
          <w:szCs w:val="22"/>
        </w:rPr>
        <w:t xml:space="preserve"> Workers at GSK reported the application of </w:t>
      </w:r>
      <w:r>
        <w:rPr>
          <w:szCs w:val="22"/>
        </w:rPr>
        <w:t>GSK_IR</w:t>
      </w:r>
      <w:r w:rsidRPr="005E6EBC">
        <w:rPr>
          <w:szCs w:val="22"/>
        </w:rPr>
        <w:t xml:space="preserve">46 from </w:t>
      </w:r>
      <w:r w:rsidRPr="005E6EBC">
        <w:rPr>
          <w:i/>
          <w:iCs/>
          <w:szCs w:val="22"/>
        </w:rPr>
        <w:t>Saccharothrix espanaensis</w:t>
      </w:r>
      <w:r w:rsidRPr="005E6EBC">
        <w:rPr>
          <w:szCs w:val="22"/>
        </w:rPr>
        <w:t xml:space="preserve"> </w:t>
      </w:r>
      <w:r>
        <w:rPr>
          <w:szCs w:val="22"/>
        </w:rPr>
        <w:t xml:space="preserve">(Uniprot ID: </w:t>
      </w:r>
      <w:r w:rsidRPr="00220061">
        <w:rPr>
          <w:szCs w:val="22"/>
        </w:rPr>
        <w:t>K0K1B1</w:t>
      </w:r>
      <w:r>
        <w:rPr>
          <w:szCs w:val="22"/>
        </w:rPr>
        <w:t xml:space="preserve">) </w:t>
      </w:r>
      <w:r w:rsidRPr="005E6EBC">
        <w:rPr>
          <w:szCs w:val="22"/>
        </w:rPr>
        <w:t xml:space="preserve">to the synthesis of the lysine-specific demethylase-1 (LSD1) inhibitor GSK2879552 precursor </w:t>
      </w:r>
      <w:r>
        <w:rPr>
          <w:b/>
          <w:bCs/>
          <w:szCs w:val="22"/>
        </w:rPr>
        <w:t>6</w:t>
      </w:r>
      <w:r w:rsidRPr="005E6EBC">
        <w:rPr>
          <w:b/>
          <w:bCs/>
          <w:szCs w:val="22"/>
        </w:rPr>
        <w:t>2</w:t>
      </w:r>
      <w:r w:rsidR="001418F9">
        <w:rPr>
          <w:b/>
          <w:bCs/>
          <w:szCs w:val="22"/>
        </w:rPr>
        <w:t>l</w:t>
      </w:r>
      <w:r w:rsidRPr="005E6EBC">
        <w:rPr>
          <w:szCs w:val="22"/>
        </w:rPr>
        <w:t xml:space="preserve"> from aldehyde </w:t>
      </w:r>
      <w:r>
        <w:rPr>
          <w:b/>
          <w:bCs/>
          <w:szCs w:val="22"/>
        </w:rPr>
        <w:t>62</w:t>
      </w:r>
      <w:r w:rsidRPr="005E6EBC">
        <w:rPr>
          <w:szCs w:val="22"/>
        </w:rPr>
        <w:t xml:space="preserve"> and racemic </w:t>
      </w:r>
      <w:r w:rsidRPr="005E6EBC">
        <w:rPr>
          <w:i/>
          <w:iCs/>
          <w:szCs w:val="22"/>
        </w:rPr>
        <w:t>trans-</w:t>
      </w:r>
      <w:r w:rsidRPr="005E6EBC">
        <w:rPr>
          <w:szCs w:val="22"/>
        </w:rPr>
        <w:t>2-</w:t>
      </w:r>
      <w:r w:rsidR="005711DF" w:rsidRPr="005E6EBC">
        <w:rPr>
          <w:szCs w:val="22"/>
        </w:rPr>
        <w:t>phenylcycloprop</w:t>
      </w:r>
      <w:r w:rsidR="005711DF">
        <w:rPr>
          <w:szCs w:val="22"/>
        </w:rPr>
        <w:t>yl</w:t>
      </w:r>
      <w:r w:rsidR="005711DF" w:rsidRPr="005E6EBC">
        <w:rPr>
          <w:szCs w:val="22"/>
        </w:rPr>
        <w:t>amine</w:t>
      </w:r>
      <w:r w:rsidR="005711DF">
        <w:rPr>
          <w:szCs w:val="22"/>
        </w:rPr>
        <w:t xml:space="preserve"> </w:t>
      </w:r>
      <w:r w:rsidR="002C46DC" w:rsidRPr="00E92DDB">
        <w:rPr>
          <w:szCs w:val="22"/>
        </w:rPr>
        <w:t>sulfate</w:t>
      </w:r>
      <w:r w:rsidRPr="00E92DDB">
        <w:rPr>
          <w:szCs w:val="22"/>
        </w:rPr>
        <w:t xml:space="preserve"> salt </w:t>
      </w:r>
      <w:r w:rsidR="001418F9" w:rsidRPr="00E92DDB">
        <w:rPr>
          <w:b/>
          <w:bCs/>
          <w:szCs w:val="22"/>
        </w:rPr>
        <w:t>l</w:t>
      </w:r>
      <w:r w:rsidRPr="00E92DDB">
        <w:rPr>
          <w:b/>
          <w:bCs/>
          <w:szCs w:val="22"/>
        </w:rPr>
        <w:t xml:space="preserve"> </w:t>
      </w:r>
      <w:r w:rsidRPr="00E92DDB">
        <w:rPr>
          <w:szCs w:val="22"/>
        </w:rPr>
        <w:t>(</w:t>
      </w:r>
      <w:r w:rsidRPr="00E92DDB">
        <w:rPr>
          <w:b/>
          <w:bCs/>
          <w:szCs w:val="22"/>
        </w:rPr>
        <w:t>Scheme 15</w:t>
      </w:r>
      <w:r w:rsidRPr="00E92DDB">
        <w:rPr>
          <w:szCs w:val="22"/>
        </w:rPr>
        <w:t>).</w:t>
      </w:r>
      <w:r w:rsidR="003E6B17" w:rsidRPr="00E92DDB">
        <w:rPr>
          <w:noProof/>
          <w:szCs w:val="22"/>
          <w:vertAlign w:val="superscript"/>
        </w:rPr>
        <w:t>[58</w:t>
      </w:r>
      <w:r w:rsidRPr="00E92DDB">
        <w:rPr>
          <w:noProof/>
          <w:szCs w:val="22"/>
          <w:vertAlign w:val="superscript"/>
        </w:rPr>
        <w:t>]</w:t>
      </w:r>
      <w:r>
        <w:rPr>
          <w:szCs w:val="22"/>
        </w:rPr>
        <w:t xml:space="preserve"> </w:t>
      </w:r>
    </w:p>
    <w:p w14:paraId="0A91F56C" w14:textId="654CA43D" w:rsidR="00D82080" w:rsidRPr="001F38DA" w:rsidRDefault="004E3061" w:rsidP="00D82080">
      <w:pPr>
        <w:spacing w:before="360"/>
        <w:rPr>
          <w:color w:val="FF0000"/>
          <w:sz w:val="18"/>
          <w:szCs w:val="20"/>
          <w:lang w:val="en-GB"/>
        </w:rPr>
      </w:pPr>
      <w:r>
        <w:rPr>
          <w:noProof/>
        </w:rPr>
        <w:object w:dxaOrig="9590" w:dyaOrig="3321" w14:anchorId="1E44FDED">
          <v:shape id="_x0000_i1039" type="#_x0000_t75" alt="" style="width:240pt;height:84pt;mso-width-percent:0;mso-height-percent:0;mso-width-percent:0;mso-height-percent:0" o:ole="">
            <v:imagedata r:id="rId54" o:title=""/>
          </v:shape>
          <o:OLEObject Type="Embed" ProgID="ChemDraw.Document.6.0" ShapeID="_x0000_i1039" DrawAspect="Content" ObjectID="_1661677399" r:id="rId55"/>
        </w:object>
      </w:r>
    </w:p>
    <w:p w14:paraId="1C80D673" w14:textId="7FE02005" w:rsidR="00D82080" w:rsidRDefault="00D82080" w:rsidP="00D82080">
      <w:pPr>
        <w:pStyle w:val="SchemeCaption"/>
      </w:pPr>
      <w:r>
        <w:rPr>
          <w:b/>
        </w:rPr>
        <w:t>Scheme</w:t>
      </w:r>
      <w:r w:rsidRPr="005702B8">
        <w:rPr>
          <w:b/>
        </w:rPr>
        <w:t xml:space="preserve"> 1</w:t>
      </w:r>
      <w:r>
        <w:rPr>
          <w:b/>
        </w:rPr>
        <w:t>5.</w:t>
      </w:r>
      <w:r>
        <w:t xml:space="preserve"> </w:t>
      </w:r>
      <w:r w:rsidRPr="00076FD1">
        <w:rPr>
          <w:bCs/>
          <w:iCs/>
          <w:szCs w:val="20"/>
        </w:rPr>
        <w:t xml:space="preserve">Synthesis of LSD-1inhibitor GSK2879552 precursor </w:t>
      </w:r>
      <w:r>
        <w:rPr>
          <w:b/>
          <w:iCs/>
          <w:szCs w:val="20"/>
        </w:rPr>
        <w:t>62</w:t>
      </w:r>
      <w:r w:rsidR="001418F9">
        <w:rPr>
          <w:b/>
          <w:iCs/>
          <w:szCs w:val="20"/>
        </w:rPr>
        <w:t>l</w:t>
      </w:r>
      <w:r w:rsidRPr="00076FD1">
        <w:rPr>
          <w:bCs/>
          <w:iCs/>
          <w:szCs w:val="20"/>
        </w:rPr>
        <w:t xml:space="preserve"> by reductive amination using mutant ‘M3’ of IRED </w:t>
      </w:r>
      <w:r>
        <w:rPr>
          <w:bCs/>
          <w:iCs/>
          <w:szCs w:val="20"/>
        </w:rPr>
        <w:t>GSK_IR</w:t>
      </w:r>
      <w:r w:rsidRPr="00076FD1">
        <w:rPr>
          <w:bCs/>
          <w:iCs/>
          <w:szCs w:val="20"/>
        </w:rPr>
        <w:t xml:space="preserve">46 acquired by directed evolution.  The amine substrate </w:t>
      </w:r>
      <w:r w:rsidR="001418F9">
        <w:rPr>
          <w:b/>
          <w:iCs/>
          <w:szCs w:val="20"/>
        </w:rPr>
        <w:t>l</w:t>
      </w:r>
      <w:r w:rsidRPr="00076FD1">
        <w:rPr>
          <w:bCs/>
          <w:iCs/>
          <w:szCs w:val="20"/>
        </w:rPr>
        <w:t xml:space="preserve"> is resolved during the enzymatic process.</w:t>
      </w:r>
    </w:p>
    <w:p w14:paraId="1C61D2F8" w14:textId="5D5F764C" w:rsidR="00561D8F" w:rsidRDefault="00D82080" w:rsidP="00D82080">
      <w:pPr>
        <w:pStyle w:val="P1withoutIndendation"/>
        <w:rPr>
          <w:szCs w:val="22"/>
        </w:rPr>
      </w:pPr>
      <w:r w:rsidRPr="005E6EBC">
        <w:rPr>
          <w:szCs w:val="22"/>
        </w:rPr>
        <w:t xml:space="preserve">Using the wild-type enzyme a 43% isolated yield of the product with 99.9% </w:t>
      </w:r>
      <w:r w:rsidRPr="00453241">
        <w:rPr>
          <w:i/>
          <w:szCs w:val="22"/>
        </w:rPr>
        <w:t>ee</w:t>
      </w:r>
      <w:r w:rsidRPr="009C2D05">
        <w:rPr>
          <w:szCs w:val="22"/>
        </w:rPr>
        <w:t xml:space="preserve"> </w:t>
      </w:r>
      <w:r w:rsidRPr="005E6EBC">
        <w:rPr>
          <w:szCs w:val="22"/>
        </w:rPr>
        <w:t xml:space="preserve">was obtained in a 5 g reaction.  Significantly, this process was then </w:t>
      </w:r>
      <w:r w:rsidRPr="00E92DDB">
        <w:rPr>
          <w:szCs w:val="22"/>
        </w:rPr>
        <w:t>optimi</w:t>
      </w:r>
      <w:r w:rsidR="005711DF" w:rsidRPr="00E92DDB">
        <w:rPr>
          <w:szCs w:val="22"/>
        </w:rPr>
        <w:t>z</w:t>
      </w:r>
      <w:r w:rsidRPr="00E92DDB">
        <w:rPr>
          <w:szCs w:val="22"/>
        </w:rPr>
        <w:t xml:space="preserve">ed through </w:t>
      </w:r>
      <w:r w:rsidRPr="00E92DDB">
        <w:rPr>
          <w:i/>
          <w:iCs/>
          <w:szCs w:val="22"/>
        </w:rPr>
        <w:t>in vitro</w:t>
      </w:r>
      <w:r w:rsidRPr="00E92DDB">
        <w:rPr>
          <w:szCs w:val="22"/>
        </w:rPr>
        <w:t xml:space="preserve"> evolution of the GSK_IR46 enzyme for process suitability and efficiency. A first round of mutations identified hotspots at positions 142 and 201 within the active site, among others, that were mutated in a variant M1 that displayed improved activity at lower substrate loadings.  Further combinatorial libraries based around these mutations yielded variant M2, with mutations Y142S, L37Q, A187V, L201F, V215I, Q231F and S285N, thought to confer increased dimer stability, or improved cofactor and substrate binding. M2 displayed further improvements in catalytic activity, stability and tolerance to substrate loading.  In a third round of evolution, six additional mutations were introduced to give a variant M3 with a specific activity 13-fold improved over the wild-type GSK_IR46 and with a melting temperature (</w:t>
      </w:r>
      <w:r w:rsidRPr="00E92DDB">
        <w:rPr>
          <w:i/>
          <w:iCs/>
          <w:szCs w:val="22"/>
        </w:rPr>
        <w:t>T</w:t>
      </w:r>
      <w:r w:rsidRPr="00E92DDB">
        <w:rPr>
          <w:szCs w:val="22"/>
        </w:rPr>
        <w:t>m) of 70ºC versus 41ºC for the</w:t>
      </w:r>
      <w:r w:rsidRPr="005E6EBC">
        <w:rPr>
          <w:szCs w:val="22"/>
        </w:rPr>
        <w:t xml:space="preserve"> wild-type. This variant was applied to a 20 L scale biotransformation yielding 1.4 kg of the product in 84.4% isolated yield and with 99.7% </w:t>
      </w:r>
      <w:r w:rsidRPr="00453241">
        <w:rPr>
          <w:i/>
          <w:szCs w:val="22"/>
        </w:rPr>
        <w:t>ee</w:t>
      </w:r>
      <w:r w:rsidRPr="009C2D05">
        <w:rPr>
          <w:szCs w:val="22"/>
        </w:rPr>
        <w:t xml:space="preserve"> </w:t>
      </w:r>
      <w:r>
        <w:rPr>
          <w:szCs w:val="22"/>
        </w:rPr>
        <w:t>(</w:t>
      </w:r>
      <w:r w:rsidRPr="0033429C">
        <w:rPr>
          <w:b/>
          <w:szCs w:val="22"/>
        </w:rPr>
        <w:t>Scheme 15</w:t>
      </w:r>
      <w:r>
        <w:rPr>
          <w:szCs w:val="22"/>
        </w:rPr>
        <w:t>)</w:t>
      </w:r>
      <w:r w:rsidRPr="005E6EBC">
        <w:rPr>
          <w:szCs w:val="22"/>
        </w:rPr>
        <w:t>.</w:t>
      </w:r>
    </w:p>
    <w:p w14:paraId="6FE73069" w14:textId="77777777" w:rsidR="00561D8F" w:rsidRPr="008261A3" w:rsidRDefault="00561D8F" w:rsidP="000E69C9">
      <w:pPr>
        <w:pStyle w:val="P1withoutIndendation"/>
        <w:rPr>
          <w:lang w:val="en-GB"/>
        </w:rPr>
      </w:pPr>
    </w:p>
    <w:p w14:paraId="13390E74" w14:textId="77777777" w:rsidR="00561D8F" w:rsidRDefault="00561D8F" w:rsidP="000E69C9">
      <w:pPr>
        <w:spacing w:before="360"/>
        <w:rPr>
          <w:color w:val="FF0000"/>
          <w:sz w:val="18"/>
          <w:szCs w:val="20"/>
          <w:lang w:val="en-GB"/>
        </w:rPr>
        <w:sectPr w:rsidR="00561D8F" w:rsidSect="000E69C9">
          <w:type w:val="continuous"/>
          <w:pgSz w:w="11906" w:h="16838" w:code="9"/>
          <w:pgMar w:top="1134" w:right="680" w:bottom="1225" w:left="1361" w:header="709" w:footer="709" w:gutter="0"/>
          <w:cols w:num="2" w:space="340"/>
          <w:docGrid w:linePitch="360"/>
        </w:sectPr>
      </w:pPr>
    </w:p>
    <w:p w14:paraId="0EEC379C" w14:textId="6C65C5F1" w:rsidR="00561D8F" w:rsidRPr="001F38DA" w:rsidRDefault="00226FA8" w:rsidP="000E69C9">
      <w:pPr>
        <w:spacing w:before="360"/>
        <w:rPr>
          <w:color w:val="FF0000"/>
          <w:sz w:val="18"/>
          <w:szCs w:val="20"/>
          <w:lang w:val="en-GB"/>
        </w:rPr>
      </w:pPr>
      <w:r>
        <w:rPr>
          <w:noProof/>
          <w:color w:val="FF0000"/>
          <w:sz w:val="18"/>
          <w:szCs w:val="20"/>
          <w:lang w:val="en-GB" w:eastAsia="en-GB"/>
        </w:rPr>
        <w:drawing>
          <wp:inline distT="0" distB="0" distL="0" distR="0" wp14:anchorId="17679E46" wp14:editId="5F576D55">
            <wp:extent cx="6264275" cy="7539990"/>
            <wp:effectExtent l="0" t="0" r="3175"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ubstratsIREDs.png"/>
                    <pic:cNvPicPr/>
                  </pic:nvPicPr>
                  <pic:blipFill>
                    <a:blip r:embed="rId56">
                      <a:extLst>
                        <a:ext uri="{28A0092B-C50C-407E-A947-70E740481C1C}">
                          <a14:useLocalDpi xmlns:a14="http://schemas.microsoft.com/office/drawing/2010/main" val="0"/>
                        </a:ext>
                      </a:extLst>
                    </a:blip>
                    <a:stretch>
                      <a:fillRect/>
                    </a:stretch>
                  </pic:blipFill>
                  <pic:spPr>
                    <a:xfrm>
                      <a:off x="0" y="0"/>
                      <a:ext cx="6264275" cy="7539990"/>
                    </a:xfrm>
                    <a:prstGeom prst="rect">
                      <a:avLst/>
                    </a:prstGeom>
                  </pic:spPr>
                </pic:pic>
              </a:graphicData>
            </a:graphic>
          </wp:inline>
        </w:drawing>
      </w:r>
    </w:p>
    <w:p w14:paraId="765AA06E" w14:textId="5409EF50" w:rsidR="00561D8F" w:rsidRDefault="007519D1" w:rsidP="00D36C88">
      <w:pPr>
        <w:pStyle w:val="SchemeCaption"/>
        <w:sectPr w:rsidR="00561D8F" w:rsidSect="000E69C9">
          <w:type w:val="continuous"/>
          <w:pgSz w:w="11906" w:h="16838" w:code="9"/>
          <w:pgMar w:top="1134" w:right="680" w:bottom="1225" w:left="1361" w:header="709" w:footer="709" w:gutter="0"/>
          <w:cols w:space="340"/>
          <w:docGrid w:linePitch="360"/>
        </w:sectPr>
      </w:pPr>
      <w:r>
        <w:rPr>
          <w:b/>
        </w:rPr>
        <w:t>Figure 13</w:t>
      </w:r>
      <w:r w:rsidR="00561D8F">
        <w:rPr>
          <w:b/>
        </w:rPr>
        <w:t>.</w:t>
      </w:r>
      <w:r w:rsidR="00561D8F">
        <w:t xml:space="preserve"> </w:t>
      </w:r>
      <w:r w:rsidR="00561D8F" w:rsidRPr="003A13A6">
        <w:rPr>
          <w:szCs w:val="20"/>
        </w:rPr>
        <w:t xml:space="preserve">Substrate specificity of all the engineered </w:t>
      </w:r>
      <w:r w:rsidR="00561D8F">
        <w:rPr>
          <w:szCs w:val="20"/>
        </w:rPr>
        <w:t>IREDs</w:t>
      </w:r>
      <w:r w:rsidR="00561D8F" w:rsidRPr="003A13A6">
        <w:rPr>
          <w:szCs w:val="20"/>
        </w:rPr>
        <w:t xml:space="preserve"> described in this review. The substrates asso</w:t>
      </w:r>
      <w:r w:rsidR="00561D8F">
        <w:rPr>
          <w:szCs w:val="20"/>
        </w:rPr>
        <w:t>ciated to each enzyme or group of enzymes</w:t>
      </w:r>
      <w:r w:rsidR="00561D8F" w:rsidRPr="003A13A6">
        <w:rPr>
          <w:szCs w:val="20"/>
        </w:rPr>
        <w:t xml:space="preserve"> were selected as the ones d</w:t>
      </w:r>
      <w:r w:rsidR="00561D8F">
        <w:rPr>
          <w:szCs w:val="20"/>
        </w:rPr>
        <w:t>isplaying the highest activities or conversion rates</w:t>
      </w:r>
      <w:r w:rsidR="00561D8F" w:rsidRPr="003A13A6">
        <w:rPr>
          <w:szCs w:val="20"/>
        </w:rPr>
        <w:t xml:space="preserve"> or considered as “new” substrates compared to the substrate scope of the whole family. </w:t>
      </w:r>
      <w:r w:rsidR="00561D8F">
        <w:rPr>
          <w:szCs w:val="20"/>
        </w:rPr>
        <w:t xml:space="preserve"> The </w:t>
      </w:r>
      <w:r w:rsidR="000732F9">
        <w:rPr>
          <w:szCs w:val="20"/>
        </w:rPr>
        <w:t>green</w:t>
      </w:r>
      <w:r w:rsidR="00561D8F">
        <w:rPr>
          <w:szCs w:val="20"/>
        </w:rPr>
        <w:t xml:space="preserve"> lines correspond to an exploration of the biodiversity. The </w:t>
      </w:r>
      <w:r w:rsidR="000732F9">
        <w:rPr>
          <w:szCs w:val="20"/>
        </w:rPr>
        <w:t xml:space="preserve">orange </w:t>
      </w:r>
      <w:r w:rsidR="00561D8F">
        <w:rPr>
          <w:szCs w:val="20"/>
        </w:rPr>
        <w:t>lines correspond to an engineering work inside or outside the catalytic pocket.</w:t>
      </w:r>
      <w:r w:rsidR="00A05B7A">
        <w:rPr>
          <w:szCs w:val="20"/>
        </w:rPr>
        <w:t xml:space="preserve"> Conversion rates were given only for some examples targeting molecules of industrial interest.</w:t>
      </w:r>
    </w:p>
    <w:p w14:paraId="1B5D2273" w14:textId="2BB24031" w:rsidR="00561D8F" w:rsidRPr="008261A3" w:rsidRDefault="00561D8F" w:rsidP="000E69C9">
      <w:pPr>
        <w:pStyle w:val="P1withIndendation"/>
      </w:pPr>
    </w:p>
    <w:p w14:paraId="5EFF53E4" w14:textId="77777777" w:rsidR="00561D8F" w:rsidRPr="00726F3A" w:rsidRDefault="00561D8F" w:rsidP="000E69C9">
      <w:pPr>
        <w:pStyle w:val="H1"/>
      </w:pPr>
      <w:r>
        <w:t>6 Conclusion</w:t>
      </w:r>
    </w:p>
    <w:p w14:paraId="044241ED" w14:textId="0CDFE65D" w:rsidR="00561D8F" w:rsidRPr="00E92DDB" w:rsidRDefault="00561D8F" w:rsidP="000E69C9">
      <w:pPr>
        <w:pStyle w:val="SchemeCaption"/>
        <w:contextualSpacing/>
        <w:rPr>
          <w:sz w:val="22"/>
          <w:szCs w:val="22"/>
        </w:rPr>
      </w:pPr>
      <w:r>
        <w:rPr>
          <w:sz w:val="22"/>
          <w:szCs w:val="22"/>
        </w:rPr>
        <w:t xml:space="preserve">The prevalence of amine functions in APIs, but also in bulk chemicals, have stimulated the study of enzymatic alternatives for amine synthesis. </w:t>
      </w:r>
      <w:r w:rsidRPr="00FA4385">
        <w:rPr>
          <w:sz w:val="22"/>
          <w:szCs w:val="22"/>
        </w:rPr>
        <w:t xml:space="preserve"> </w:t>
      </w:r>
      <w:r>
        <w:rPr>
          <w:sz w:val="22"/>
          <w:szCs w:val="22"/>
        </w:rPr>
        <w:t xml:space="preserve">The discovery of enzymes competent for the asymmetric reductive amination of carbonyl compounds has therefore been a major advance in biocatalytic technology.  The rapid progress of research has meant that activities that were only discovered within the last ten years are already seeing application at considerable scale in an industrial context. While a number of enzymes have been shown to reduce preformed imines from solution that have arisen from </w:t>
      </w:r>
      <w:r w:rsidR="00832FC4">
        <w:rPr>
          <w:sz w:val="22"/>
          <w:szCs w:val="22"/>
        </w:rPr>
        <w:t>favorable</w:t>
      </w:r>
      <w:r>
        <w:rPr>
          <w:sz w:val="22"/>
          <w:szCs w:val="22"/>
        </w:rPr>
        <w:t xml:space="preserve"> equilibr</w:t>
      </w:r>
      <w:r w:rsidR="004B04C5">
        <w:rPr>
          <w:sz w:val="22"/>
          <w:szCs w:val="22"/>
        </w:rPr>
        <w:t>i</w:t>
      </w:r>
      <w:r>
        <w:rPr>
          <w:sz w:val="22"/>
          <w:szCs w:val="22"/>
        </w:rPr>
        <w:t>a at high amine</w:t>
      </w:r>
      <w:proofErr w:type="gramStart"/>
      <w:r>
        <w:rPr>
          <w:sz w:val="22"/>
          <w:szCs w:val="22"/>
        </w:rPr>
        <w:t>:ketone</w:t>
      </w:r>
      <w:proofErr w:type="gramEnd"/>
      <w:r>
        <w:rPr>
          <w:sz w:val="22"/>
          <w:szCs w:val="22"/>
        </w:rPr>
        <w:t xml:space="preserve"> ratios, enzymes that enable or catalyze reductive aminations at low amine:ketone ratios offer important benefits with respect to the atom economy and sustainability of </w:t>
      </w:r>
      <w:r w:rsidRPr="00E92DDB">
        <w:rPr>
          <w:sz w:val="22"/>
          <w:szCs w:val="22"/>
        </w:rPr>
        <w:t xml:space="preserve">these processes. In </w:t>
      </w:r>
      <w:r w:rsidR="004B04C5" w:rsidRPr="00E92DDB">
        <w:rPr>
          <w:sz w:val="22"/>
          <w:szCs w:val="22"/>
        </w:rPr>
        <w:t xml:space="preserve">the </w:t>
      </w:r>
      <w:r w:rsidRPr="00E92DDB">
        <w:rPr>
          <w:sz w:val="22"/>
          <w:szCs w:val="22"/>
        </w:rPr>
        <w:t xml:space="preserve">case of ammonia as amine </w:t>
      </w:r>
      <w:r w:rsidR="004B04C5" w:rsidRPr="00E92DDB">
        <w:rPr>
          <w:sz w:val="22"/>
          <w:szCs w:val="22"/>
        </w:rPr>
        <w:t>donor</w:t>
      </w:r>
      <w:r w:rsidRPr="00E92DDB">
        <w:rPr>
          <w:sz w:val="22"/>
          <w:szCs w:val="22"/>
        </w:rPr>
        <w:t>, the</w:t>
      </w:r>
      <w:r w:rsidR="004B04C5" w:rsidRPr="00E92DDB">
        <w:rPr>
          <w:sz w:val="22"/>
          <w:szCs w:val="22"/>
        </w:rPr>
        <w:t xml:space="preserve"> poor</w:t>
      </w:r>
      <w:r w:rsidRPr="00E92DDB">
        <w:rPr>
          <w:sz w:val="22"/>
          <w:szCs w:val="22"/>
        </w:rPr>
        <w:t xml:space="preserve"> affinity of the enzymes for this small molecule d</w:t>
      </w:r>
      <w:r w:rsidR="004B04C5" w:rsidRPr="00E92DDB">
        <w:rPr>
          <w:sz w:val="22"/>
          <w:szCs w:val="22"/>
        </w:rPr>
        <w:t>ictate</w:t>
      </w:r>
      <w:r w:rsidR="007A3CEF" w:rsidRPr="00E92DDB">
        <w:rPr>
          <w:sz w:val="22"/>
          <w:szCs w:val="22"/>
        </w:rPr>
        <w:t>s</w:t>
      </w:r>
      <w:r w:rsidR="004B04C5" w:rsidRPr="00E92DDB">
        <w:rPr>
          <w:sz w:val="22"/>
          <w:szCs w:val="22"/>
        </w:rPr>
        <w:t xml:space="preserve"> its use </w:t>
      </w:r>
      <w:r w:rsidRPr="00E92DDB">
        <w:rPr>
          <w:sz w:val="22"/>
          <w:szCs w:val="22"/>
        </w:rPr>
        <w:t>at high concentration</w:t>
      </w:r>
      <w:r w:rsidR="004B04C5" w:rsidRPr="00E92DDB">
        <w:rPr>
          <w:sz w:val="22"/>
          <w:szCs w:val="22"/>
        </w:rPr>
        <w:t>, however</w:t>
      </w:r>
      <w:r w:rsidRPr="00E92DDB">
        <w:rPr>
          <w:sz w:val="22"/>
          <w:szCs w:val="22"/>
        </w:rPr>
        <w:t xml:space="preserve"> </w:t>
      </w:r>
      <w:r w:rsidR="004B04C5" w:rsidRPr="00E92DDB">
        <w:rPr>
          <w:sz w:val="22"/>
          <w:szCs w:val="22"/>
        </w:rPr>
        <w:t>this has been addressed by the use of simple</w:t>
      </w:r>
      <w:r w:rsidRPr="00E92DDB">
        <w:rPr>
          <w:sz w:val="22"/>
          <w:szCs w:val="22"/>
        </w:rPr>
        <w:t xml:space="preserve"> ammonia-based buffers</w:t>
      </w:r>
      <w:r w:rsidR="004B04C5" w:rsidRPr="00E92DDB">
        <w:rPr>
          <w:sz w:val="22"/>
          <w:szCs w:val="22"/>
        </w:rPr>
        <w:t>, an approach that</w:t>
      </w:r>
      <w:r w:rsidRPr="00E92DDB">
        <w:rPr>
          <w:sz w:val="22"/>
          <w:szCs w:val="22"/>
        </w:rPr>
        <w:t xml:space="preserve"> ha</w:t>
      </w:r>
      <w:r w:rsidR="004B04C5" w:rsidRPr="00E92DDB">
        <w:rPr>
          <w:sz w:val="22"/>
          <w:szCs w:val="22"/>
        </w:rPr>
        <w:t>s</w:t>
      </w:r>
      <w:r w:rsidRPr="00E92DDB">
        <w:rPr>
          <w:sz w:val="22"/>
          <w:szCs w:val="22"/>
        </w:rPr>
        <w:t xml:space="preserve"> already been validated in synthesis</w:t>
      </w:r>
      <w:r w:rsidR="004B04C5" w:rsidRPr="00E92DDB">
        <w:rPr>
          <w:sz w:val="22"/>
          <w:szCs w:val="22"/>
        </w:rPr>
        <w:t>.</w:t>
      </w:r>
    </w:p>
    <w:p w14:paraId="634BEEA9" w14:textId="541A764F" w:rsidR="00561D8F" w:rsidRPr="00E92DDB" w:rsidRDefault="00561D8F" w:rsidP="00DF7457">
      <w:pPr>
        <w:pStyle w:val="SchemeCaption"/>
        <w:ind w:firstLine="425"/>
        <w:contextualSpacing/>
        <w:rPr>
          <w:sz w:val="22"/>
          <w:szCs w:val="22"/>
        </w:rPr>
      </w:pPr>
      <w:r w:rsidRPr="00E92DDB">
        <w:rPr>
          <w:sz w:val="22"/>
          <w:szCs w:val="22"/>
        </w:rPr>
        <w:t xml:space="preserve">In some cases experimental evidence for these enzymes </w:t>
      </w:r>
      <w:r w:rsidR="00A61E06" w:rsidRPr="00E92DDB">
        <w:rPr>
          <w:sz w:val="22"/>
          <w:szCs w:val="22"/>
        </w:rPr>
        <w:t>cataly</w:t>
      </w:r>
      <w:r w:rsidR="00324A03" w:rsidRPr="00E92DDB">
        <w:rPr>
          <w:sz w:val="22"/>
          <w:szCs w:val="22"/>
        </w:rPr>
        <w:t>z</w:t>
      </w:r>
      <w:r w:rsidR="00A61E06" w:rsidRPr="00E92DDB">
        <w:rPr>
          <w:sz w:val="22"/>
          <w:szCs w:val="22"/>
        </w:rPr>
        <w:t>ing</w:t>
      </w:r>
      <w:r w:rsidRPr="00E92DDB">
        <w:rPr>
          <w:sz w:val="22"/>
          <w:szCs w:val="22"/>
        </w:rPr>
        <w:t xml:space="preserve"> both the formation of imines and their reduction within the active site has been presented.  These include the acceleration of catalysis at low amine</w:t>
      </w:r>
      <w:proofErr w:type="gramStart"/>
      <w:r w:rsidRPr="00E92DDB">
        <w:rPr>
          <w:sz w:val="22"/>
          <w:szCs w:val="22"/>
        </w:rPr>
        <w:t>:ketone</w:t>
      </w:r>
      <w:proofErr w:type="gramEnd"/>
      <w:r w:rsidRPr="00E92DDB">
        <w:rPr>
          <w:sz w:val="22"/>
          <w:szCs w:val="22"/>
        </w:rPr>
        <w:t xml:space="preserve"> ratios in comparison to both other enzymes and abiotic reagents when the amine is not ammonia, but also structural and kinetic data alongside mutational studies. In the case of AADHs engineered to be AmDHs, there is a range of evidence to show that both carbonyl group and amine donor (ammonia being the only well studied one) are bound and activated within the active site by residues lysine and aspartate respectively; in native AmDHs these mechanistic aspects are conserved, with amine activated by carboxylate side chain of glutamate for attack at a carbonyl held by tyrosine or tryptophan. There is also evidence to suggest that in fungal RedAms, a carboxylate side chain (Asp) and a proton donor residue (Tyr) have roles in amine and carbonyl activation respectively. It is interesting that these determinants of intermolecular imine formation are also reflected in the active site of the imine forming enzyme norcoclaurine synthase described by Keep and co-workers</w:t>
      </w:r>
      <w:proofErr w:type="gramStart"/>
      <w:r w:rsidRPr="00E92DDB">
        <w:rPr>
          <w:sz w:val="22"/>
          <w:szCs w:val="22"/>
        </w:rPr>
        <w:t>.</w:t>
      </w:r>
      <w:r w:rsidR="003E6B17" w:rsidRPr="00E92DDB">
        <w:rPr>
          <w:noProof/>
          <w:sz w:val="22"/>
          <w:szCs w:val="22"/>
          <w:vertAlign w:val="superscript"/>
        </w:rPr>
        <w:t>[</w:t>
      </w:r>
      <w:proofErr w:type="gramEnd"/>
      <w:r w:rsidR="003E6B17" w:rsidRPr="00E92DDB">
        <w:rPr>
          <w:noProof/>
          <w:sz w:val="22"/>
          <w:szCs w:val="22"/>
          <w:vertAlign w:val="superscript"/>
        </w:rPr>
        <w:t>59</w:t>
      </w:r>
      <w:r w:rsidRPr="00E92DDB">
        <w:rPr>
          <w:noProof/>
          <w:sz w:val="22"/>
          <w:szCs w:val="22"/>
          <w:vertAlign w:val="superscript"/>
        </w:rPr>
        <w:t>]</w:t>
      </w:r>
      <w:r w:rsidR="000813E7" w:rsidRPr="00E92DDB">
        <w:rPr>
          <w:sz w:val="22"/>
          <w:szCs w:val="22"/>
        </w:rPr>
        <w:t xml:space="preserve"> </w:t>
      </w:r>
      <w:r w:rsidRPr="00E92DDB">
        <w:rPr>
          <w:sz w:val="22"/>
          <w:szCs w:val="22"/>
        </w:rPr>
        <w:t>However, it is important to note that wider screens of enzyme families for reductive amination catalysis have and will continue to reveal alternate active site determinants of the essential mechanistic requirements of the reductive amination reaction.  For many of these enzymes, detailed examination of these mechanisms through mutation, kinetic and structural a</w:t>
      </w:r>
      <w:r w:rsidR="00DF7457" w:rsidRPr="00E92DDB">
        <w:rPr>
          <w:sz w:val="22"/>
          <w:szCs w:val="22"/>
        </w:rPr>
        <w:t>nalysis remains to be explored.</w:t>
      </w:r>
    </w:p>
    <w:p w14:paraId="68B6551A" w14:textId="3F9C3786" w:rsidR="00EB0B08" w:rsidRPr="00E92DDB" w:rsidRDefault="00561D8F" w:rsidP="000E69C9">
      <w:pPr>
        <w:pStyle w:val="P1withoutIndendation"/>
        <w:rPr>
          <w:szCs w:val="22"/>
        </w:rPr>
      </w:pPr>
      <w:r w:rsidRPr="00E92DDB">
        <w:rPr>
          <w:szCs w:val="22"/>
        </w:rPr>
        <w:t>The diversity in sequence and structure of reductive amination enzymes means that organic chemists now have access to several types of biocatalysts identified either directly from natural biodiversity or from applying protein engineering, with a range of properties and substrate scopes.</w:t>
      </w:r>
      <w:r w:rsidR="00444D27" w:rsidRPr="00E92DDB">
        <w:rPr>
          <w:szCs w:val="22"/>
        </w:rPr>
        <w:t xml:space="preserve"> </w:t>
      </w:r>
      <w:r w:rsidRPr="00E92DDB">
        <w:rPr>
          <w:szCs w:val="22"/>
        </w:rPr>
        <w:t>The enzymatic possibilities now presented by engineered AADHs, native AmDHs, engineered and native IREDs and RedAms, in addition to engineered OpDH and LysEDH should be considered as complementary, leading to synthetic strategies that can be adapted according to the relative merits of these enzymes. All the enzyme types that are able to perform reductive aminations are at a different stage of investigation, however the studies on improving one family can be used to inform the engineering of the others. The work d</w:t>
      </w:r>
      <w:r w:rsidR="002D0211" w:rsidRPr="00E92DDB">
        <w:rPr>
          <w:szCs w:val="22"/>
        </w:rPr>
        <w:t>one</w:t>
      </w:r>
      <w:r w:rsidRPr="00E92DDB">
        <w:rPr>
          <w:szCs w:val="22"/>
        </w:rPr>
        <w:t xml:space="preserve"> to obtain enzymes active toward substrates devoid of carboxylic and/or other amine functions, either by engineering for LeuDHs/PheD</w:t>
      </w:r>
      <w:r w:rsidR="00324A03" w:rsidRPr="00E92DDB">
        <w:rPr>
          <w:szCs w:val="22"/>
        </w:rPr>
        <w:t>H</w:t>
      </w:r>
      <w:r w:rsidRPr="00E92DDB">
        <w:rPr>
          <w:szCs w:val="22"/>
        </w:rPr>
        <w:t xml:space="preserve">s and LysEDH or by genome mining for nat-AmDHs from DAPDH, is a very good example of this. </w:t>
      </w:r>
    </w:p>
    <w:p w14:paraId="679056D8" w14:textId="20C7A0B4" w:rsidR="00EB0B08" w:rsidRPr="00E92DDB" w:rsidRDefault="00EB0B08" w:rsidP="000E69C9">
      <w:pPr>
        <w:pStyle w:val="P1withoutIndendation"/>
        <w:rPr>
          <w:szCs w:val="22"/>
        </w:rPr>
      </w:pPr>
    </w:p>
    <w:p w14:paraId="082F59DE" w14:textId="17A65142" w:rsidR="005F1481" w:rsidRPr="00E92DDB" w:rsidRDefault="00EB0B08" w:rsidP="005F1481">
      <w:pPr>
        <w:pStyle w:val="P1withoutIndendation"/>
        <w:rPr>
          <w:lang w:val="en-GB"/>
        </w:rPr>
      </w:pPr>
      <w:r w:rsidRPr="00E92DDB">
        <w:rPr>
          <w:lang w:val="en-GB"/>
        </w:rPr>
        <w:t xml:space="preserve">Based on the preliminary recently published studies, one of the next challenges to overcome is to master the amine </w:t>
      </w:r>
      <w:r w:rsidR="00002F37" w:rsidRPr="00E92DDB">
        <w:rPr>
          <w:lang w:val="en-GB"/>
        </w:rPr>
        <w:t xml:space="preserve">substrate </w:t>
      </w:r>
      <w:r w:rsidRPr="00E92DDB">
        <w:rPr>
          <w:lang w:val="en-GB"/>
        </w:rPr>
        <w:t xml:space="preserve">spectra </w:t>
      </w:r>
      <w:r w:rsidR="00002F37" w:rsidRPr="00E92DDB">
        <w:rPr>
          <w:lang w:val="en-GB"/>
        </w:rPr>
        <w:t>attainable</w:t>
      </w:r>
      <w:r w:rsidRPr="00E92DDB">
        <w:rPr>
          <w:lang w:val="en-GB"/>
        </w:rPr>
        <w:t xml:space="preserve"> with all these classes of enzymes, to </w:t>
      </w:r>
      <w:r w:rsidR="005F1481" w:rsidRPr="00E92DDB">
        <w:rPr>
          <w:lang w:val="en-GB"/>
        </w:rPr>
        <w:t xml:space="preserve">fully </w:t>
      </w:r>
      <w:r w:rsidRPr="00E92DDB">
        <w:rPr>
          <w:lang w:val="en-GB"/>
        </w:rPr>
        <w:t>extend amination to the synthesis of secondary and tertiary amines</w:t>
      </w:r>
      <w:r w:rsidR="00002F37" w:rsidRPr="00E92DDB">
        <w:rPr>
          <w:lang w:val="en-GB"/>
        </w:rPr>
        <w:t>,</w:t>
      </w:r>
      <w:r w:rsidR="005F1481" w:rsidRPr="00E92DDB">
        <w:rPr>
          <w:lang w:val="en-GB"/>
        </w:rPr>
        <w:t xml:space="preserve"> mainly with engineered AADHs and nat-AmDHs</w:t>
      </w:r>
      <w:r w:rsidR="00002F37" w:rsidRPr="00E92DDB">
        <w:rPr>
          <w:lang w:val="en-GB"/>
        </w:rPr>
        <w:t>,</w:t>
      </w:r>
      <w:r w:rsidR="005F1481" w:rsidRPr="00E92DDB">
        <w:rPr>
          <w:lang w:val="en-GB"/>
        </w:rPr>
        <w:t xml:space="preserve"> and to primary amines with </w:t>
      </w:r>
      <w:r w:rsidR="00002F37" w:rsidRPr="00E92DDB">
        <w:rPr>
          <w:lang w:val="en-GB"/>
        </w:rPr>
        <w:t>RedAms</w:t>
      </w:r>
      <w:r w:rsidRPr="00E92DDB">
        <w:rPr>
          <w:lang w:val="en-GB"/>
        </w:rPr>
        <w:t xml:space="preserve">. </w:t>
      </w:r>
      <w:r w:rsidR="00AE3FA1" w:rsidRPr="00E92DDB">
        <w:rPr>
          <w:lang w:val="en-GB"/>
        </w:rPr>
        <w:t xml:space="preserve">Another </w:t>
      </w:r>
      <w:r w:rsidR="00002F37" w:rsidRPr="00E92DDB">
        <w:rPr>
          <w:lang w:val="en-GB"/>
        </w:rPr>
        <w:t>significant</w:t>
      </w:r>
      <w:r w:rsidR="00AE3FA1" w:rsidRPr="00E92DDB">
        <w:rPr>
          <w:lang w:val="en-GB"/>
        </w:rPr>
        <w:t xml:space="preserve"> challenge </w:t>
      </w:r>
      <w:r w:rsidR="00002F37" w:rsidRPr="00E92DDB">
        <w:rPr>
          <w:lang w:val="en-GB"/>
        </w:rPr>
        <w:t xml:space="preserve">that </w:t>
      </w:r>
      <w:r w:rsidR="00AE3FA1" w:rsidRPr="00E92DDB">
        <w:rPr>
          <w:lang w:val="en-GB"/>
        </w:rPr>
        <w:t xml:space="preserve">remains </w:t>
      </w:r>
      <w:r w:rsidR="00002F37" w:rsidRPr="00E92DDB">
        <w:rPr>
          <w:lang w:val="en-GB"/>
        </w:rPr>
        <w:t xml:space="preserve">is to advance the understanding </w:t>
      </w:r>
      <w:r w:rsidR="00AE3FA1" w:rsidRPr="00E92DDB">
        <w:rPr>
          <w:lang w:val="en-GB"/>
        </w:rPr>
        <w:t xml:space="preserve">of </w:t>
      </w:r>
      <w:r w:rsidR="00002F37" w:rsidRPr="00E92DDB">
        <w:rPr>
          <w:lang w:val="en-GB"/>
        </w:rPr>
        <w:t xml:space="preserve">the selectivity of these enzymes for imines over alcohols, and whether </w:t>
      </w:r>
      <w:r w:rsidR="00AE3FA1" w:rsidRPr="00E92DDB">
        <w:rPr>
          <w:lang w:val="en-GB"/>
        </w:rPr>
        <w:t>promiscu</w:t>
      </w:r>
      <w:r w:rsidR="00002F37" w:rsidRPr="00E92DDB">
        <w:rPr>
          <w:lang w:val="en-GB"/>
        </w:rPr>
        <w:t>ous</w:t>
      </w:r>
      <w:r w:rsidR="00AE3FA1" w:rsidRPr="00E92DDB">
        <w:rPr>
          <w:lang w:val="en-GB"/>
        </w:rPr>
        <w:t xml:space="preserve"> alcohol</w:t>
      </w:r>
      <w:r w:rsidR="00002F37" w:rsidRPr="00E92DDB">
        <w:rPr>
          <w:lang w:val="en-GB"/>
        </w:rPr>
        <w:t xml:space="preserve"> dehydrogenase</w:t>
      </w:r>
      <w:r w:rsidR="00AE3FA1" w:rsidRPr="00E92DDB">
        <w:rPr>
          <w:lang w:val="en-GB"/>
        </w:rPr>
        <w:t xml:space="preserve"> </w:t>
      </w:r>
      <w:r w:rsidR="00002F37" w:rsidRPr="00E92DDB">
        <w:rPr>
          <w:lang w:val="en-GB"/>
        </w:rPr>
        <w:t xml:space="preserve">may be obtained in these enzymes or their mutants. </w:t>
      </w:r>
      <w:r w:rsidR="00AE3FA1" w:rsidRPr="00E92DDB">
        <w:rPr>
          <w:lang w:val="en-GB"/>
        </w:rPr>
        <w:t xml:space="preserve">Moreover, research efforts must focus on increasing the stability of these enzymes in </w:t>
      </w:r>
      <w:r w:rsidR="00002F37" w:rsidRPr="00E92DDB">
        <w:rPr>
          <w:lang w:val="en-GB"/>
        </w:rPr>
        <w:t>their</w:t>
      </w:r>
      <w:r w:rsidR="00AE3FA1" w:rsidRPr="00E92DDB">
        <w:rPr>
          <w:lang w:val="en-GB"/>
        </w:rPr>
        <w:t xml:space="preserve"> </w:t>
      </w:r>
      <w:r w:rsidR="00002F37" w:rsidRPr="00E92DDB">
        <w:rPr>
          <w:lang w:val="en-GB"/>
        </w:rPr>
        <w:t xml:space="preserve">reaction </w:t>
      </w:r>
      <w:r w:rsidR="00AE3FA1" w:rsidRPr="00E92DDB">
        <w:rPr>
          <w:lang w:val="en-GB"/>
        </w:rPr>
        <w:t>medium</w:t>
      </w:r>
      <w:r w:rsidR="00002F37" w:rsidRPr="00E92DDB">
        <w:rPr>
          <w:lang w:val="en-GB"/>
        </w:rPr>
        <w:t>,</w:t>
      </w:r>
      <w:r w:rsidR="00AE3FA1" w:rsidRPr="00E92DDB">
        <w:rPr>
          <w:lang w:val="en-GB"/>
        </w:rPr>
        <w:t xml:space="preserve"> which is often basic and </w:t>
      </w:r>
      <w:r w:rsidR="004E4463" w:rsidRPr="00E92DDB">
        <w:rPr>
          <w:lang w:val="en-GB"/>
        </w:rPr>
        <w:t>highly-</w:t>
      </w:r>
      <w:r w:rsidR="00AE3FA1" w:rsidRPr="00E92DDB">
        <w:rPr>
          <w:lang w:val="en-GB"/>
        </w:rPr>
        <w:t>loaded with amines</w:t>
      </w:r>
      <w:r w:rsidR="004E4463" w:rsidRPr="00E92DDB">
        <w:rPr>
          <w:lang w:val="en-GB"/>
        </w:rPr>
        <w:t>,</w:t>
      </w:r>
      <w:r w:rsidR="00AE3FA1" w:rsidRPr="00E92DDB">
        <w:rPr>
          <w:lang w:val="en-GB"/>
        </w:rPr>
        <w:t xml:space="preserve"> and on </w:t>
      </w:r>
      <w:r w:rsidR="00002F37" w:rsidRPr="00E92DDB">
        <w:rPr>
          <w:lang w:val="en-GB"/>
        </w:rPr>
        <w:t>factors that would enable</w:t>
      </w:r>
      <w:r w:rsidR="00AE3FA1" w:rsidRPr="00E92DDB">
        <w:rPr>
          <w:lang w:val="en-GB"/>
        </w:rPr>
        <w:t xml:space="preserve"> synthes</w:t>
      </w:r>
      <w:r w:rsidR="0099316B" w:rsidRPr="00E92DDB">
        <w:rPr>
          <w:lang w:val="en-GB"/>
        </w:rPr>
        <w:t>i</w:t>
      </w:r>
      <w:r w:rsidR="00AE3FA1" w:rsidRPr="00E92DDB">
        <w:rPr>
          <w:lang w:val="en-GB"/>
        </w:rPr>
        <w:t xml:space="preserve">s </w:t>
      </w:r>
      <w:r w:rsidR="004E4463" w:rsidRPr="00E92DDB">
        <w:rPr>
          <w:lang w:val="en-GB"/>
        </w:rPr>
        <w:t>at high</w:t>
      </w:r>
      <w:r w:rsidR="0099316B" w:rsidRPr="00E92DDB">
        <w:rPr>
          <w:lang w:val="en-GB"/>
        </w:rPr>
        <w:t>er</w:t>
      </w:r>
      <w:r w:rsidR="00AE3FA1" w:rsidRPr="00E92DDB">
        <w:rPr>
          <w:lang w:val="en-GB"/>
        </w:rPr>
        <w:t xml:space="preserve"> </w:t>
      </w:r>
      <w:r w:rsidR="004E4463" w:rsidRPr="00E92DDB">
        <w:rPr>
          <w:lang w:val="en-GB"/>
        </w:rPr>
        <w:t xml:space="preserve">substrate </w:t>
      </w:r>
      <w:r w:rsidR="00002F37" w:rsidRPr="00E92DDB">
        <w:rPr>
          <w:lang w:val="en-GB"/>
        </w:rPr>
        <w:t>concentrations</w:t>
      </w:r>
      <w:r w:rsidR="00AE3FA1" w:rsidRPr="00E92DDB">
        <w:rPr>
          <w:lang w:val="en-GB"/>
        </w:rPr>
        <w:t xml:space="preserve">, in particular </w:t>
      </w:r>
      <w:r w:rsidR="004E4463" w:rsidRPr="00E92DDB">
        <w:rPr>
          <w:lang w:val="en-GB"/>
        </w:rPr>
        <w:t xml:space="preserve">for primary amine synthesis. </w:t>
      </w:r>
    </w:p>
    <w:p w14:paraId="53C2EA20" w14:textId="779CA630" w:rsidR="00002F37" w:rsidRPr="00E92DDB" w:rsidRDefault="00002F37" w:rsidP="005F1481">
      <w:pPr>
        <w:pStyle w:val="P1withoutIndendation"/>
        <w:rPr>
          <w:lang w:val="en-GB"/>
        </w:rPr>
      </w:pPr>
    </w:p>
    <w:p w14:paraId="4FA0741A" w14:textId="2A3C83A4" w:rsidR="00002F37" w:rsidRPr="005F1481" w:rsidRDefault="00002F37" w:rsidP="005F1481">
      <w:pPr>
        <w:pStyle w:val="P1withoutIndendation"/>
        <w:rPr>
          <w:color w:val="5B9BD5" w:themeColor="accent1"/>
          <w:lang w:val="en-GB"/>
        </w:rPr>
      </w:pPr>
      <w:r w:rsidRPr="00E92DDB">
        <w:rPr>
          <w:szCs w:val="22"/>
        </w:rPr>
        <w:t xml:space="preserve">The combination of biodiversity screening and structure guided and random mutagenesis, and also </w:t>
      </w:r>
      <w:r w:rsidRPr="00E92DDB">
        <w:rPr>
          <w:i/>
          <w:iCs/>
          <w:szCs w:val="22"/>
        </w:rPr>
        <w:t>in silico</w:t>
      </w:r>
      <w:r w:rsidRPr="00E92DDB">
        <w:rPr>
          <w:szCs w:val="22"/>
        </w:rPr>
        <w:t xml:space="preserve"> modelling will all make important contributions to the further understanding of these enzymes, and to their application of these important activities in the future.</w:t>
      </w:r>
    </w:p>
    <w:p w14:paraId="3D6B5EA3" w14:textId="77777777" w:rsidR="00561D8F" w:rsidRPr="00C2552A" w:rsidRDefault="00561D8F" w:rsidP="000E69C9">
      <w:pPr>
        <w:pStyle w:val="TableFoot"/>
      </w:pPr>
    </w:p>
    <w:p w14:paraId="5B1A6975" w14:textId="77777777" w:rsidR="00561D8F" w:rsidRPr="003237A1" w:rsidRDefault="00561D8F" w:rsidP="000E69C9">
      <w:pPr>
        <w:pStyle w:val="H1"/>
      </w:pPr>
      <w:r w:rsidRPr="003237A1">
        <w:t>Acknowledgements</w:t>
      </w:r>
    </w:p>
    <w:p w14:paraId="1F4C89F8" w14:textId="77777777" w:rsidR="00561D8F" w:rsidRDefault="00561D8F" w:rsidP="000E69C9">
      <w:pPr>
        <w:pStyle w:val="Acknowledgements"/>
      </w:pPr>
      <w:r>
        <w:t>The author would like to thanks Pr. Anne Zaparucha</w:t>
      </w:r>
      <w:r w:rsidRPr="00CE33D0">
        <w:t xml:space="preserve"> </w:t>
      </w:r>
      <w:r>
        <w:t>for her contribution to this Viewpoint.</w:t>
      </w:r>
    </w:p>
    <w:p w14:paraId="5655A81D" w14:textId="77777777" w:rsidR="00561D8F" w:rsidRPr="002458B1" w:rsidRDefault="00561D8F" w:rsidP="000E69C9">
      <w:pPr>
        <w:pStyle w:val="H1"/>
        <w:rPr>
          <w:color w:val="FFFFFF"/>
        </w:rPr>
      </w:pPr>
      <w:r>
        <w:t>References</w:t>
      </w:r>
    </w:p>
    <w:p w14:paraId="3B662002" w14:textId="0612D1FA" w:rsidR="00845227" w:rsidRPr="006D2703" w:rsidRDefault="00845227" w:rsidP="00845227">
      <w:pPr>
        <w:pStyle w:val="EndNoteBibliography"/>
        <w:ind w:left="720" w:hanging="720"/>
      </w:pPr>
      <w:r w:rsidRPr="0037218C">
        <w:t>[1]</w:t>
      </w:r>
      <w:r w:rsidRPr="0037218C">
        <w:tab/>
        <w:t>a</w:t>
      </w:r>
      <w:r>
        <w:t xml:space="preserve">) </w:t>
      </w:r>
      <w:r w:rsidRPr="0037218C">
        <w:t xml:space="preserve">B. Hauer, </w:t>
      </w:r>
      <w:r w:rsidRPr="0037218C">
        <w:rPr>
          <w:i/>
        </w:rPr>
        <w:t>ACS Catal</w:t>
      </w:r>
      <w:r>
        <w:rPr>
          <w:i/>
        </w:rPr>
        <w:t>.</w:t>
      </w:r>
      <w:r w:rsidRPr="0037218C">
        <w:rPr>
          <w:i/>
        </w:rPr>
        <w:t xml:space="preserve"> </w:t>
      </w:r>
      <w:r w:rsidRPr="0037218C">
        <w:rPr>
          <w:b/>
        </w:rPr>
        <w:t>2020</w:t>
      </w:r>
      <w:r w:rsidRPr="0037218C">
        <w:t>, 8418-8427; b</w:t>
      </w:r>
      <w:r>
        <w:t xml:space="preserve">) </w:t>
      </w:r>
      <w:r w:rsidRPr="0037218C">
        <w:t xml:space="preserve">J. M. Woodley, N. J. Turner, in </w:t>
      </w:r>
      <w:r w:rsidRPr="0037218C">
        <w:rPr>
          <w:i/>
        </w:rPr>
        <w:t>Handbook of Green Chemistry, Green Chemical Engineering, Vol. 12</w:t>
      </w:r>
      <w:r>
        <w:t xml:space="preserve"> (Eds.: </w:t>
      </w:r>
      <w:r w:rsidRPr="00E5614B">
        <w:t>P</w:t>
      </w:r>
      <w:r>
        <w:t>.</w:t>
      </w:r>
      <w:r w:rsidRPr="00E5614B">
        <w:t>T. Anastas</w:t>
      </w:r>
      <w:r>
        <w:t xml:space="preserve">, A. A. Lapkin), </w:t>
      </w:r>
      <w:r w:rsidRPr="0037218C">
        <w:rPr>
          <w:b/>
        </w:rPr>
        <w:t>2019</w:t>
      </w:r>
      <w:r w:rsidRPr="0037218C">
        <w:t>; c</w:t>
      </w:r>
      <w:r>
        <w:t xml:space="preserve">) </w:t>
      </w:r>
      <w:r w:rsidRPr="0037218C">
        <w:t xml:space="preserve">N. J. Turner, R. Kumar, </w:t>
      </w:r>
      <w:r w:rsidRPr="0037218C">
        <w:rPr>
          <w:i/>
        </w:rPr>
        <w:t>Curr</w:t>
      </w:r>
      <w:r>
        <w:rPr>
          <w:i/>
        </w:rPr>
        <w:t>. O</w:t>
      </w:r>
      <w:r w:rsidRPr="0037218C">
        <w:rPr>
          <w:i/>
        </w:rPr>
        <w:t>pin</w:t>
      </w:r>
      <w:r>
        <w:rPr>
          <w:i/>
        </w:rPr>
        <w:t>.</w:t>
      </w:r>
      <w:r w:rsidRPr="0037218C">
        <w:rPr>
          <w:i/>
        </w:rPr>
        <w:t xml:space="preserve"> </w:t>
      </w:r>
      <w:r>
        <w:rPr>
          <w:i/>
        </w:rPr>
        <w:t>Chem.</w:t>
      </w:r>
      <w:r w:rsidRPr="0037218C">
        <w:rPr>
          <w:i/>
        </w:rPr>
        <w:t xml:space="preserve"> </w:t>
      </w:r>
      <w:r>
        <w:rPr>
          <w:i/>
        </w:rPr>
        <w:t xml:space="preserve">Biol. </w:t>
      </w:r>
      <w:r w:rsidRPr="0037218C">
        <w:rPr>
          <w:b/>
        </w:rPr>
        <w:t>2018</w:t>
      </w:r>
      <w:r w:rsidRPr="0037218C">
        <w:t xml:space="preserve">, </w:t>
      </w:r>
      <w:r w:rsidRPr="0037218C">
        <w:rPr>
          <w:i/>
        </w:rPr>
        <w:t>43</w:t>
      </w:r>
      <w:r w:rsidRPr="0037218C">
        <w:t>, A1-A3; d</w:t>
      </w:r>
      <w:r>
        <w:t xml:space="preserve">) </w:t>
      </w:r>
      <w:r w:rsidRPr="0037218C">
        <w:t xml:space="preserve">R. A. Sheldon, D. Brady, </w:t>
      </w:r>
      <w:r w:rsidRPr="0037218C">
        <w:rPr>
          <w:i/>
        </w:rPr>
        <w:t>Che</w:t>
      </w:r>
      <w:r>
        <w:rPr>
          <w:i/>
        </w:rPr>
        <w:t xml:space="preserve">m. </w:t>
      </w:r>
      <w:r w:rsidRPr="0037218C">
        <w:rPr>
          <w:i/>
        </w:rPr>
        <w:t>Commun</w:t>
      </w:r>
      <w:r>
        <w:rPr>
          <w:i/>
        </w:rPr>
        <w:t>.</w:t>
      </w:r>
      <w:r w:rsidRPr="0037218C">
        <w:rPr>
          <w:i/>
        </w:rPr>
        <w:t xml:space="preserve"> </w:t>
      </w:r>
      <w:r w:rsidRPr="0037218C">
        <w:rPr>
          <w:b/>
        </w:rPr>
        <w:t>2018</w:t>
      </w:r>
      <w:r w:rsidRPr="0037218C">
        <w:t xml:space="preserve">, </w:t>
      </w:r>
      <w:r w:rsidRPr="0037218C">
        <w:rPr>
          <w:i/>
        </w:rPr>
        <w:t xml:space="preserve">54 </w:t>
      </w:r>
      <w:r w:rsidRPr="0037218C">
        <w:t>6088-6104; e</w:t>
      </w:r>
      <w:r>
        <w:t xml:space="preserve">) U. T. Bornscheuer, </w:t>
      </w:r>
      <w:r w:rsidRPr="00E5614B">
        <w:rPr>
          <w:i/>
        </w:rPr>
        <w:t>Phil. Trans. R. Soc</w:t>
      </w:r>
      <w:r>
        <w:rPr>
          <w:i/>
        </w:rPr>
        <w:t xml:space="preserve">. A, </w:t>
      </w:r>
      <w:r w:rsidRPr="00E5614B">
        <w:rPr>
          <w:b/>
        </w:rPr>
        <w:t>2017</w:t>
      </w:r>
      <w:r>
        <w:t xml:space="preserve"> 376: 20170063.</w:t>
      </w:r>
      <w:r w:rsidRPr="0037218C">
        <w:t>; f</w:t>
      </w:r>
      <w:r>
        <w:t xml:space="preserve">) </w:t>
      </w:r>
      <w:r w:rsidRPr="0037218C">
        <w:t xml:space="preserve">R. A. Sheldon, J. M. Woodley, </w:t>
      </w:r>
      <w:r w:rsidRPr="0037218C">
        <w:rPr>
          <w:i/>
        </w:rPr>
        <w:t>Chem</w:t>
      </w:r>
      <w:r>
        <w:rPr>
          <w:i/>
        </w:rPr>
        <w:t>.</w:t>
      </w:r>
      <w:r w:rsidRPr="0037218C">
        <w:rPr>
          <w:i/>
        </w:rPr>
        <w:t xml:space="preserve"> Rev </w:t>
      </w:r>
      <w:r>
        <w:rPr>
          <w:b/>
        </w:rPr>
        <w:t>2018</w:t>
      </w:r>
      <w:r w:rsidRPr="006D2703">
        <w:t xml:space="preserve">, </w:t>
      </w:r>
      <w:r w:rsidRPr="006D2703">
        <w:rPr>
          <w:i/>
        </w:rPr>
        <w:t>118</w:t>
      </w:r>
      <w:r w:rsidRPr="006D2703">
        <w:t>, 801–838.</w:t>
      </w:r>
    </w:p>
    <w:p w14:paraId="57E6C01F" w14:textId="430A3637" w:rsidR="00845227" w:rsidRDefault="00845227" w:rsidP="00845227">
      <w:pPr>
        <w:pStyle w:val="EndNoteBibliography"/>
        <w:ind w:left="720" w:hanging="720"/>
      </w:pPr>
      <w:r w:rsidRPr="0037218C">
        <w:t>[2]</w:t>
      </w:r>
      <w:r w:rsidRPr="0037218C">
        <w:tab/>
        <w:t>a</w:t>
      </w:r>
      <w:r>
        <w:t xml:space="preserve">) </w:t>
      </w:r>
      <w:r w:rsidRPr="0037218C">
        <w:t xml:space="preserve">B. Wiltschi, T. Cernava, A. Dennig, M. Galindo, M. Geier, S. Gruber, M. Haberbauer, P. Heidinger, E. H. Acero, R. Kratzer, C. Luley-Goedl, C. A. Müller, J. Pitzer, D. Ribitsch, M. Sauer, K. Schmölzer, W. Schnitzhofer, C. W. Sensen, J. Soh, K. Steiner, C. K. Winkler, M. Winkler, T. Wriessnegger, </w:t>
      </w:r>
      <w:r w:rsidRPr="0037218C">
        <w:rPr>
          <w:i/>
        </w:rPr>
        <w:t>Biotechnol</w:t>
      </w:r>
      <w:r>
        <w:rPr>
          <w:i/>
        </w:rPr>
        <w:t xml:space="preserve">. Adv. </w:t>
      </w:r>
      <w:r w:rsidRPr="0037218C">
        <w:rPr>
          <w:b/>
        </w:rPr>
        <w:t>2020</w:t>
      </w:r>
      <w:r w:rsidRPr="0037218C">
        <w:t>, 107520; b</w:t>
      </w:r>
      <w:r>
        <w:t xml:space="preserve">) </w:t>
      </w:r>
      <w:r w:rsidRPr="0037218C">
        <w:t xml:space="preserve">J. P. Adams, M. J. B. Brown, A. Diaz-Rodriguez, R. C. Lloyd, G.-D. Roiban, </w:t>
      </w:r>
      <w:r w:rsidRPr="0037218C">
        <w:rPr>
          <w:i/>
        </w:rPr>
        <w:t>Adv</w:t>
      </w:r>
      <w:r>
        <w:rPr>
          <w:i/>
        </w:rPr>
        <w:t>.</w:t>
      </w:r>
      <w:r w:rsidRPr="0037218C">
        <w:rPr>
          <w:i/>
        </w:rPr>
        <w:t xml:space="preserve"> Synth</w:t>
      </w:r>
      <w:r>
        <w:rPr>
          <w:i/>
        </w:rPr>
        <w:t xml:space="preserve">. </w:t>
      </w:r>
      <w:r w:rsidRPr="0037218C">
        <w:rPr>
          <w:i/>
        </w:rPr>
        <w:t>Catal</w:t>
      </w:r>
      <w:r>
        <w:rPr>
          <w:i/>
        </w:rPr>
        <w:t>.</w:t>
      </w:r>
      <w:r w:rsidRPr="0037218C">
        <w:rPr>
          <w:i/>
        </w:rPr>
        <w:t xml:space="preserve"> </w:t>
      </w:r>
      <w:r w:rsidRPr="0037218C">
        <w:rPr>
          <w:b/>
        </w:rPr>
        <w:t>2019</w:t>
      </w:r>
      <w:r w:rsidRPr="0037218C">
        <w:t xml:space="preserve">, </w:t>
      </w:r>
      <w:r w:rsidRPr="0037218C">
        <w:rPr>
          <w:i/>
        </w:rPr>
        <w:t>361</w:t>
      </w:r>
      <w:r w:rsidRPr="0037218C">
        <w:t>, 2421-2432; c</w:t>
      </w:r>
      <w:r>
        <w:t xml:space="preserve">) </w:t>
      </w:r>
      <w:r w:rsidRPr="0037218C">
        <w:t xml:space="preserve">K. Rosenthal, S. Lütz, </w:t>
      </w:r>
      <w:r w:rsidRPr="0037218C">
        <w:rPr>
          <w:i/>
        </w:rPr>
        <w:t>Curr</w:t>
      </w:r>
      <w:r>
        <w:rPr>
          <w:i/>
        </w:rPr>
        <w:t>.</w:t>
      </w:r>
      <w:r w:rsidRPr="0037218C">
        <w:rPr>
          <w:i/>
        </w:rPr>
        <w:t xml:space="preserve"> Opin</w:t>
      </w:r>
      <w:r>
        <w:rPr>
          <w:i/>
        </w:rPr>
        <w:t>.</w:t>
      </w:r>
      <w:r w:rsidRPr="0037218C">
        <w:rPr>
          <w:i/>
        </w:rPr>
        <w:t xml:space="preserve"> Green Sustainable Chem</w:t>
      </w:r>
      <w:r>
        <w:rPr>
          <w:i/>
        </w:rPr>
        <w:t>.</w:t>
      </w:r>
      <w:r w:rsidRPr="0037218C">
        <w:rPr>
          <w:i/>
        </w:rPr>
        <w:t xml:space="preserve"> </w:t>
      </w:r>
      <w:r w:rsidRPr="0037218C">
        <w:rPr>
          <w:b/>
        </w:rPr>
        <w:t>2018</w:t>
      </w:r>
      <w:r w:rsidRPr="0037218C">
        <w:t xml:space="preserve">, </w:t>
      </w:r>
      <w:r w:rsidRPr="0037218C">
        <w:rPr>
          <w:i/>
        </w:rPr>
        <w:t>11</w:t>
      </w:r>
      <w:r w:rsidRPr="0037218C">
        <w:t>, 58-64; d</w:t>
      </w:r>
      <w:r>
        <w:t xml:space="preserve">) </w:t>
      </w:r>
      <w:r w:rsidRPr="0037218C">
        <w:t xml:space="preserve">M. C. Bryan, P. J. Dunn, D. Entwistle, F. Gallou, S. G. Koenig, J. D. Hayler, M. R. Hickey, S. Hughes, M. E. Kopach, G. Moine, P. Richardson, F. Roschangar, A. Steven, F. J. Weiberth, </w:t>
      </w:r>
      <w:r w:rsidRPr="0037218C">
        <w:rPr>
          <w:i/>
        </w:rPr>
        <w:t>Green Chem</w:t>
      </w:r>
      <w:r>
        <w:rPr>
          <w:i/>
        </w:rPr>
        <w:t xml:space="preserve">. </w:t>
      </w:r>
      <w:r w:rsidRPr="0037218C">
        <w:rPr>
          <w:b/>
        </w:rPr>
        <w:t>2018</w:t>
      </w:r>
      <w:r w:rsidRPr="0037218C">
        <w:t xml:space="preserve">, </w:t>
      </w:r>
      <w:r w:rsidRPr="0037218C">
        <w:rPr>
          <w:i/>
        </w:rPr>
        <w:t>20</w:t>
      </w:r>
      <w:r w:rsidRPr="0037218C">
        <w:t>, 5082-5103; e</w:t>
      </w:r>
      <w:r>
        <w:t xml:space="preserve">) </w:t>
      </w:r>
      <w:r w:rsidRPr="0037218C">
        <w:t xml:space="preserve">J. L. Porter, R. A. Rusli, D. L. Ollis, </w:t>
      </w:r>
      <w:r>
        <w:rPr>
          <w:i/>
        </w:rPr>
        <w:t>ChemBioC</w:t>
      </w:r>
      <w:r w:rsidRPr="0037218C">
        <w:rPr>
          <w:i/>
        </w:rPr>
        <w:t xml:space="preserve">hem </w:t>
      </w:r>
      <w:r w:rsidRPr="0037218C">
        <w:rPr>
          <w:b/>
        </w:rPr>
        <w:t>2016</w:t>
      </w:r>
      <w:r w:rsidRPr="0037218C">
        <w:t xml:space="preserve">, </w:t>
      </w:r>
      <w:r w:rsidRPr="0037218C">
        <w:rPr>
          <w:i/>
        </w:rPr>
        <w:t>17</w:t>
      </w:r>
      <w:r w:rsidRPr="0037218C">
        <w:t>, 197-203.</w:t>
      </w:r>
    </w:p>
    <w:p w14:paraId="4A654578" w14:textId="7F12AE40" w:rsidR="00845227" w:rsidRPr="001A72AC" w:rsidRDefault="00845227" w:rsidP="00845227">
      <w:pPr>
        <w:pStyle w:val="EndNoteBibliography"/>
        <w:ind w:left="720" w:hanging="720"/>
      </w:pPr>
      <w:r w:rsidRPr="005D7F17">
        <w:t>[</w:t>
      </w:r>
      <w:r>
        <w:t>3</w:t>
      </w:r>
      <w:r w:rsidRPr="001A72AC">
        <w:t>]</w:t>
      </w:r>
      <w:r w:rsidRPr="001A72AC">
        <w:tab/>
        <w:t xml:space="preserve">H. Groger, </w:t>
      </w:r>
      <w:r w:rsidRPr="001A72AC">
        <w:rPr>
          <w:i/>
        </w:rPr>
        <w:t>Appl</w:t>
      </w:r>
      <w:r>
        <w:rPr>
          <w:i/>
        </w:rPr>
        <w:t>.</w:t>
      </w:r>
      <w:r w:rsidRPr="001A72AC">
        <w:rPr>
          <w:i/>
        </w:rPr>
        <w:t xml:space="preserve"> Microbiol</w:t>
      </w:r>
      <w:r>
        <w:rPr>
          <w:i/>
        </w:rPr>
        <w:t>.</w:t>
      </w:r>
      <w:r w:rsidRPr="001A72AC">
        <w:rPr>
          <w:i/>
        </w:rPr>
        <w:t xml:space="preserve"> Biotechnol</w:t>
      </w:r>
      <w:r>
        <w:rPr>
          <w:i/>
        </w:rPr>
        <w:t>.</w:t>
      </w:r>
      <w:r w:rsidRPr="001A72AC">
        <w:rPr>
          <w:i/>
        </w:rPr>
        <w:t xml:space="preserve"> </w:t>
      </w:r>
      <w:r w:rsidRPr="001A72AC">
        <w:rPr>
          <w:b/>
        </w:rPr>
        <w:t>2019</w:t>
      </w:r>
      <w:r w:rsidRPr="001A72AC">
        <w:t xml:space="preserve">, </w:t>
      </w:r>
      <w:r w:rsidRPr="001A72AC">
        <w:rPr>
          <w:i/>
        </w:rPr>
        <w:t>103</w:t>
      </w:r>
      <w:r w:rsidRPr="001A72AC">
        <w:t>, 83-95.</w:t>
      </w:r>
    </w:p>
    <w:p w14:paraId="095248A0" w14:textId="1A967B4F" w:rsidR="00CA3CB8" w:rsidRDefault="00CA3CB8" w:rsidP="00CA3CB8">
      <w:pPr>
        <w:pStyle w:val="EndNoteBibliography"/>
        <w:ind w:left="720" w:hanging="720"/>
      </w:pPr>
      <w:r>
        <w:t>[4</w:t>
      </w:r>
      <w:r w:rsidRPr="0037218C">
        <w:t>]</w:t>
      </w:r>
      <w:r w:rsidRPr="0037218C">
        <w:tab/>
        <w:t>a</w:t>
      </w:r>
      <w:r>
        <w:t xml:space="preserve">) B. G. de la Torre, F. Albericio, </w:t>
      </w:r>
      <w:r w:rsidRPr="009D185C">
        <w:rPr>
          <w:i/>
        </w:rPr>
        <w:t>Molecules</w:t>
      </w:r>
      <w:r>
        <w:t xml:space="preserve"> </w:t>
      </w:r>
      <w:r w:rsidRPr="009D185C">
        <w:rPr>
          <w:b/>
        </w:rPr>
        <w:t>2019</w:t>
      </w:r>
      <w:r>
        <w:t xml:space="preserve">, </w:t>
      </w:r>
      <w:r w:rsidRPr="009D185C">
        <w:rPr>
          <w:i/>
        </w:rPr>
        <w:t>24</w:t>
      </w:r>
      <w:r>
        <w:t xml:space="preserve">, 809;  </w:t>
      </w:r>
      <w:r w:rsidRPr="0037218C">
        <w:t>b</w:t>
      </w:r>
      <w:r>
        <w:t xml:space="preserve">) </w:t>
      </w:r>
      <w:r w:rsidRPr="009D185C">
        <w:t>P</w:t>
      </w:r>
      <w:r>
        <w:t>.</w:t>
      </w:r>
      <w:r w:rsidRPr="009D185C">
        <w:t xml:space="preserve"> Das, M</w:t>
      </w:r>
      <w:r>
        <w:t>.</w:t>
      </w:r>
      <w:r w:rsidRPr="009D185C">
        <w:t xml:space="preserve"> D. Delost, M</w:t>
      </w:r>
      <w:r>
        <w:t>.</w:t>
      </w:r>
      <w:r w:rsidRPr="009D185C">
        <w:t xml:space="preserve"> H. Qureshi, D</w:t>
      </w:r>
      <w:r>
        <w:t>.</w:t>
      </w:r>
      <w:r w:rsidRPr="009D185C">
        <w:t xml:space="preserve"> T. Smith, </w:t>
      </w:r>
      <w:r>
        <w:t xml:space="preserve">J. T. Njardarson, </w:t>
      </w:r>
      <w:r w:rsidRPr="009D185C">
        <w:rPr>
          <w:i/>
        </w:rPr>
        <w:t>J. Med. Chem</w:t>
      </w:r>
      <w:r w:rsidRPr="009D185C">
        <w:t xml:space="preserve">. </w:t>
      </w:r>
      <w:r w:rsidRPr="009D185C">
        <w:rPr>
          <w:b/>
        </w:rPr>
        <w:t>2019</w:t>
      </w:r>
      <w:r w:rsidRPr="009D185C">
        <w:t xml:space="preserve">, </w:t>
      </w:r>
      <w:r w:rsidRPr="009D185C">
        <w:rPr>
          <w:i/>
        </w:rPr>
        <w:t>62</w:t>
      </w:r>
      <w:r w:rsidRPr="009D185C">
        <w:t xml:space="preserve">, </w:t>
      </w:r>
      <w:r w:rsidRPr="00CA3CB8">
        <w:t>9</w:t>
      </w:r>
      <w:r w:rsidRPr="009D185C">
        <w:t>, 4265–4311</w:t>
      </w:r>
      <w:r>
        <w:t xml:space="preserve">; c) </w:t>
      </w:r>
      <w:r w:rsidRPr="009D185C">
        <w:t>S</w:t>
      </w:r>
      <w:r>
        <w:t xml:space="preserve">. D. Roughley, </w:t>
      </w:r>
      <w:r w:rsidRPr="009D185C">
        <w:t>A</w:t>
      </w:r>
      <w:r>
        <w:t>.</w:t>
      </w:r>
      <w:r w:rsidRPr="009D185C">
        <w:t xml:space="preserve"> M. Jordan</w:t>
      </w:r>
      <w:r>
        <w:t xml:space="preserve">, </w:t>
      </w:r>
      <w:r w:rsidRPr="00CA3CB8">
        <w:rPr>
          <w:i/>
        </w:rPr>
        <w:t>J. Med. Chem</w:t>
      </w:r>
      <w:r w:rsidRPr="00CA3CB8">
        <w:t xml:space="preserve">. </w:t>
      </w:r>
      <w:r w:rsidRPr="00CA3CB8">
        <w:rPr>
          <w:b/>
        </w:rPr>
        <w:t>2011</w:t>
      </w:r>
      <w:r w:rsidRPr="00CA3CB8">
        <w:t xml:space="preserve">, </w:t>
      </w:r>
      <w:r w:rsidRPr="00CA3CB8">
        <w:rPr>
          <w:i/>
        </w:rPr>
        <w:t>54</w:t>
      </w:r>
      <w:r w:rsidRPr="00CA3CB8">
        <w:t>, 10, 3451–3479</w:t>
      </w:r>
      <w:r>
        <w:t>.</w:t>
      </w:r>
    </w:p>
    <w:p w14:paraId="2A26EF20" w14:textId="027AB6AA" w:rsidR="00845227" w:rsidRPr="001A72AC" w:rsidRDefault="00CA3CB8" w:rsidP="00845227">
      <w:pPr>
        <w:pStyle w:val="EndNoteBibliography"/>
        <w:ind w:left="720" w:hanging="720"/>
      </w:pPr>
      <w:r>
        <w:rPr>
          <w:rFonts w:hint="eastAsia"/>
        </w:rPr>
        <w:t>[5</w:t>
      </w:r>
      <w:r w:rsidR="00845227" w:rsidRPr="001A72AC">
        <w:rPr>
          <w:rFonts w:hint="eastAsia"/>
        </w:rPr>
        <w:t>]</w:t>
      </w:r>
      <w:r w:rsidR="00845227" w:rsidRPr="001A72AC">
        <w:rPr>
          <w:rFonts w:hint="eastAsia"/>
        </w:rPr>
        <w:tab/>
        <w:t>a</w:t>
      </w:r>
      <w:r w:rsidR="00845227">
        <w:t xml:space="preserve">) </w:t>
      </w:r>
      <w:r w:rsidR="00845227" w:rsidRPr="001A72AC">
        <w:rPr>
          <w:rFonts w:hint="eastAsia"/>
        </w:rPr>
        <w:t>T. C. Nugent, M. El</w:t>
      </w:r>
      <w:r w:rsidR="00845227" w:rsidRPr="001A72AC">
        <w:rPr>
          <w:rFonts w:hint="eastAsia"/>
        </w:rPr>
        <w:t>‐</w:t>
      </w:r>
      <w:r w:rsidR="00845227" w:rsidRPr="001A72AC">
        <w:rPr>
          <w:rFonts w:hint="eastAsia"/>
        </w:rPr>
        <w:t xml:space="preserve">Shazly, </w:t>
      </w:r>
      <w:r w:rsidR="00845227" w:rsidRPr="001A72AC">
        <w:rPr>
          <w:rFonts w:hint="eastAsia"/>
          <w:i/>
        </w:rPr>
        <w:t>Adv</w:t>
      </w:r>
      <w:r w:rsidR="00845227">
        <w:rPr>
          <w:i/>
        </w:rPr>
        <w:t>.</w:t>
      </w:r>
      <w:r w:rsidR="00845227" w:rsidRPr="001A72AC">
        <w:rPr>
          <w:rFonts w:hint="eastAsia"/>
          <w:i/>
        </w:rPr>
        <w:t xml:space="preserve"> Synth</w:t>
      </w:r>
      <w:r w:rsidR="00845227">
        <w:rPr>
          <w:i/>
        </w:rPr>
        <w:t>.</w:t>
      </w:r>
      <w:r w:rsidR="00845227">
        <w:rPr>
          <w:rFonts w:hint="eastAsia"/>
          <w:i/>
        </w:rPr>
        <w:t xml:space="preserve"> </w:t>
      </w:r>
      <w:r w:rsidR="00845227" w:rsidRPr="001A72AC">
        <w:rPr>
          <w:rFonts w:hint="eastAsia"/>
          <w:i/>
        </w:rPr>
        <w:t>Catal</w:t>
      </w:r>
      <w:r w:rsidR="00845227">
        <w:rPr>
          <w:i/>
        </w:rPr>
        <w:t>.</w:t>
      </w:r>
      <w:r w:rsidR="00845227" w:rsidRPr="001A72AC">
        <w:rPr>
          <w:rFonts w:hint="eastAsia"/>
          <w:i/>
        </w:rPr>
        <w:t xml:space="preserve"> </w:t>
      </w:r>
      <w:r w:rsidR="00845227" w:rsidRPr="001A72AC">
        <w:rPr>
          <w:rFonts w:hint="eastAsia"/>
          <w:b/>
        </w:rPr>
        <w:t>2010</w:t>
      </w:r>
      <w:r w:rsidR="00845227" w:rsidRPr="001A72AC">
        <w:rPr>
          <w:rFonts w:hint="eastAsia"/>
        </w:rPr>
        <w:t xml:space="preserve">, </w:t>
      </w:r>
      <w:r w:rsidR="00845227" w:rsidRPr="001A72AC">
        <w:rPr>
          <w:rFonts w:hint="eastAsia"/>
          <w:i/>
        </w:rPr>
        <w:t>352</w:t>
      </w:r>
      <w:r w:rsidR="00845227" w:rsidRPr="001A72AC">
        <w:rPr>
          <w:rFonts w:hint="eastAsia"/>
        </w:rPr>
        <w:t>, 753-819; b</w:t>
      </w:r>
      <w:r w:rsidR="00845227">
        <w:t xml:space="preserve">) </w:t>
      </w:r>
      <w:r w:rsidR="00845227" w:rsidRPr="001A72AC">
        <w:rPr>
          <w:rFonts w:hint="eastAsia"/>
        </w:rPr>
        <w:t xml:space="preserve">C. Wang, J. Xiao, </w:t>
      </w:r>
      <w:r w:rsidR="00845227">
        <w:t xml:space="preserve">in </w:t>
      </w:r>
      <w:r w:rsidR="00845227" w:rsidRPr="00DA716D">
        <w:rPr>
          <w:i/>
        </w:rPr>
        <w:t>Stereoselective Formation of Amines, Vol. 343</w:t>
      </w:r>
      <w:r w:rsidR="00845227">
        <w:t xml:space="preserve"> (Eds.: W. Li, X. Zhang), Springer, Berlin, Heidelberg, </w:t>
      </w:r>
      <w:r w:rsidR="00845227" w:rsidRPr="00AB7590">
        <w:rPr>
          <w:b/>
        </w:rPr>
        <w:t>2014</w:t>
      </w:r>
      <w:r w:rsidR="00845227">
        <w:t xml:space="preserve">, pp. 261-282. </w:t>
      </w:r>
    </w:p>
    <w:p w14:paraId="32B072FF" w14:textId="7F2512E7" w:rsidR="00845227" w:rsidRPr="001A72AC" w:rsidRDefault="00CA3CB8" w:rsidP="00845227">
      <w:pPr>
        <w:pStyle w:val="EndNoteBibliography"/>
        <w:ind w:left="720" w:hanging="720"/>
      </w:pPr>
      <w:r>
        <w:t>[6</w:t>
      </w:r>
      <w:r w:rsidR="00845227" w:rsidRPr="001A72AC">
        <w:t>]</w:t>
      </w:r>
      <w:r w:rsidR="00845227" w:rsidRPr="001A72AC">
        <w:tab/>
        <w:t xml:space="preserve">O. I. Afanasyev, E. Kuchuk, D. L. Usanov, D. Chusov, </w:t>
      </w:r>
      <w:r w:rsidR="00845227" w:rsidRPr="001A72AC">
        <w:rPr>
          <w:i/>
        </w:rPr>
        <w:t>Chem</w:t>
      </w:r>
      <w:r w:rsidR="00845227">
        <w:rPr>
          <w:i/>
        </w:rPr>
        <w:t>.</w:t>
      </w:r>
      <w:r w:rsidR="00845227" w:rsidRPr="001A72AC">
        <w:rPr>
          <w:i/>
        </w:rPr>
        <w:t xml:space="preserve"> Rev</w:t>
      </w:r>
      <w:r w:rsidR="00845227">
        <w:rPr>
          <w:i/>
        </w:rPr>
        <w:t>.</w:t>
      </w:r>
      <w:r w:rsidR="00845227" w:rsidRPr="001A72AC">
        <w:rPr>
          <w:i/>
        </w:rPr>
        <w:t xml:space="preserve"> </w:t>
      </w:r>
      <w:r w:rsidR="00845227" w:rsidRPr="001A72AC">
        <w:rPr>
          <w:b/>
        </w:rPr>
        <w:t>2019</w:t>
      </w:r>
      <w:r w:rsidR="00845227" w:rsidRPr="00AB7590">
        <w:t xml:space="preserve">, </w:t>
      </w:r>
      <w:r w:rsidR="00845227" w:rsidRPr="00AB7590">
        <w:rPr>
          <w:i/>
        </w:rPr>
        <w:t>119</w:t>
      </w:r>
      <w:r w:rsidR="00845227">
        <w:t xml:space="preserve">, </w:t>
      </w:r>
      <w:r w:rsidR="00845227" w:rsidRPr="00AB7590">
        <w:t>11857–11911</w:t>
      </w:r>
      <w:r w:rsidR="00845227">
        <w:t>.</w:t>
      </w:r>
    </w:p>
    <w:p w14:paraId="36386858" w14:textId="329DE8FB" w:rsidR="00845227" w:rsidRPr="001A72AC" w:rsidRDefault="00CA3CB8" w:rsidP="00845227">
      <w:pPr>
        <w:pStyle w:val="EndNoteBibliography"/>
        <w:ind w:left="720" w:hanging="720"/>
      </w:pPr>
      <w:r>
        <w:t>[7</w:t>
      </w:r>
      <w:r w:rsidR="00845227" w:rsidRPr="001A72AC">
        <w:t>]</w:t>
      </w:r>
      <w:r w:rsidR="00845227" w:rsidRPr="001A72AC">
        <w:tab/>
        <w:t xml:space="preserve">D. J. Constable, P. J. Dunn, J. D. Hayler, G. R. Humphrey, J. L. Leazer Jr, R. J. Linderman, K. Lorenz, J. Manley, B. A. Pearlman, A. Wells, </w:t>
      </w:r>
      <w:r w:rsidR="00845227">
        <w:rPr>
          <w:i/>
        </w:rPr>
        <w:t>Green Chem.</w:t>
      </w:r>
      <w:r w:rsidR="00845227" w:rsidRPr="001A72AC">
        <w:rPr>
          <w:i/>
        </w:rPr>
        <w:t xml:space="preserve"> </w:t>
      </w:r>
      <w:r w:rsidR="00845227" w:rsidRPr="001A72AC">
        <w:rPr>
          <w:b/>
        </w:rPr>
        <w:t>2007</w:t>
      </w:r>
      <w:r w:rsidR="00845227" w:rsidRPr="001A72AC">
        <w:t xml:space="preserve">, </w:t>
      </w:r>
      <w:r w:rsidR="00845227" w:rsidRPr="001A72AC">
        <w:rPr>
          <w:i/>
        </w:rPr>
        <w:t>9</w:t>
      </w:r>
      <w:r w:rsidR="00845227" w:rsidRPr="001A72AC">
        <w:t>, 411-420.</w:t>
      </w:r>
    </w:p>
    <w:p w14:paraId="2D07CB4A" w14:textId="4F7B6F67" w:rsidR="00845227" w:rsidRPr="001A72AC" w:rsidRDefault="00CA3CB8" w:rsidP="00845227">
      <w:pPr>
        <w:pStyle w:val="EndNoteBibliography"/>
        <w:ind w:left="720" w:hanging="720"/>
      </w:pPr>
      <w:r>
        <w:t>[8</w:t>
      </w:r>
      <w:r w:rsidR="00845227" w:rsidRPr="001A72AC">
        <w:t>]</w:t>
      </w:r>
      <w:r w:rsidR="00845227" w:rsidRPr="001A72AC">
        <w:tab/>
        <w:t xml:space="preserve">M. D. Patil, G. Grogan, A. Bommarius, H. Yun, </w:t>
      </w:r>
      <w:r w:rsidR="00845227" w:rsidRPr="001A72AC">
        <w:rPr>
          <w:i/>
        </w:rPr>
        <w:t xml:space="preserve">Catalysts </w:t>
      </w:r>
      <w:r w:rsidR="00845227" w:rsidRPr="001A72AC">
        <w:rPr>
          <w:b/>
        </w:rPr>
        <w:t>2018</w:t>
      </w:r>
      <w:r w:rsidR="00845227" w:rsidRPr="001A72AC">
        <w:t xml:space="preserve">, </w:t>
      </w:r>
      <w:r w:rsidR="00845227" w:rsidRPr="001A72AC">
        <w:rPr>
          <w:i/>
        </w:rPr>
        <w:t>8</w:t>
      </w:r>
      <w:r w:rsidR="00845227" w:rsidRPr="001A72AC">
        <w:t>, 254.</w:t>
      </w:r>
    </w:p>
    <w:p w14:paraId="1F0EAF20" w14:textId="0F7613F1" w:rsidR="00845227" w:rsidRPr="001A72AC" w:rsidRDefault="00CA3CB8" w:rsidP="00845227">
      <w:pPr>
        <w:pStyle w:val="EndNoteBibliography"/>
        <w:ind w:left="720" w:hanging="720"/>
      </w:pPr>
      <w:r>
        <w:t>[9</w:t>
      </w:r>
      <w:r w:rsidR="00845227" w:rsidRPr="001A72AC">
        <w:t>]</w:t>
      </w:r>
      <w:r w:rsidR="00845227" w:rsidRPr="001A72AC">
        <w:tab/>
        <w:t xml:space="preserve">L. S. Vidal, C. L. Kelly, P. M. Mordaka, J. T. Heap, </w:t>
      </w:r>
      <w:r w:rsidR="00845227">
        <w:rPr>
          <w:i/>
        </w:rPr>
        <w:t>Biochim. Biophys.</w:t>
      </w:r>
      <w:r w:rsidR="00845227" w:rsidRPr="001A72AC">
        <w:rPr>
          <w:i/>
        </w:rPr>
        <w:t xml:space="preserve"> Acta </w:t>
      </w:r>
      <w:r w:rsidR="00845227">
        <w:rPr>
          <w:i/>
        </w:rPr>
        <w:t>–</w:t>
      </w:r>
      <w:r w:rsidR="00845227" w:rsidRPr="001A72AC">
        <w:rPr>
          <w:i/>
        </w:rPr>
        <w:t xml:space="preserve"> Protein</w:t>
      </w:r>
      <w:r w:rsidR="00845227">
        <w:rPr>
          <w:i/>
        </w:rPr>
        <w:t xml:space="preserve">s </w:t>
      </w:r>
      <w:r w:rsidR="00845227" w:rsidRPr="001A72AC">
        <w:rPr>
          <w:i/>
        </w:rPr>
        <w:t xml:space="preserve">Proteomics </w:t>
      </w:r>
      <w:r w:rsidR="00845227" w:rsidRPr="001A72AC">
        <w:rPr>
          <w:b/>
        </w:rPr>
        <w:t>2018</w:t>
      </w:r>
      <w:r w:rsidR="00845227" w:rsidRPr="001A72AC">
        <w:t xml:space="preserve">, </w:t>
      </w:r>
      <w:r w:rsidR="00845227" w:rsidRPr="001A72AC">
        <w:rPr>
          <w:i/>
        </w:rPr>
        <w:t>1866</w:t>
      </w:r>
      <w:r w:rsidR="00845227" w:rsidRPr="001A72AC">
        <w:t>, 327-347.</w:t>
      </w:r>
    </w:p>
    <w:p w14:paraId="11611EEB" w14:textId="23495B76" w:rsidR="00845227" w:rsidRPr="001A72AC" w:rsidRDefault="00CA3CB8" w:rsidP="00845227">
      <w:pPr>
        <w:pStyle w:val="EndNoteBibliography"/>
        <w:ind w:left="720" w:hanging="720"/>
      </w:pPr>
      <w:r>
        <w:t>[10</w:t>
      </w:r>
      <w:r w:rsidR="00845227" w:rsidRPr="001A72AC">
        <w:t>]</w:t>
      </w:r>
      <w:r w:rsidR="00845227" w:rsidRPr="001A72AC">
        <w:tab/>
        <w:t>a</w:t>
      </w:r>
      <w:r w:rsidR="00845227">
        <w:t xml:space="preserve">) </w:t>
      </w:r>
      <w:r w:rsidR="00845227" w:rsidRPr="001A72AC">
        <w:t xml:space="preserve">M. Sharma, J. Mangas-Sanchez, G. Grogan, </w:t>
      </w:r>
      <w:r w:rsidR="00845227">
        <w:rPr>
          <w:i/>
        </w:rPr>
        <w:t>Adv. Synth. Catal.</w:t>
      </w:r>
      <w:r w:rsidR="00845227" w:rsidRPr="001A72AC">
        <w:rPr>
          <w:i/>
        </w:rPr>
        <w:t xml:space="preserve"> </w:t>
      </w:r>
      <w:r w:rsidR="00845227" w:rsidRPr="001A72AC">
        <w:rPr>
          <w:b/>
        </w:rPr>
        <w:t>2017</w:t>
      </w:r>
      <w:r w:rsidR="00845227" w:rsidRPr="001A72AC">
        <w:t xml:space="preserve">, </w:t>
      </w:r>
      <w:r w:rsidR="00845227" w:rsidRPr="001A72AC">
        <w:rPr>
          <w:i/>
        </w:rPr>
        <w:t>359</w:t>
      </w:r>
      <w:r w:rsidR="00845227" w:rsidRPr="001A72AC">
        <w:t>, 2011-2025; b</w:t>
      </w:r>
      <w:r w:rsidR="00845227">
        <w:t xml:space="preserve">) </w:t>
      </w:r>
      <w:r w:rsidR="00845227" w:rsidRPr="001A72AC">
        <w:t xml:space="preserve">G. Grogan, </w:t>
      </w:r>
      <w:r w:rsidR="00845227">
        <w:rPr>
          <w:i/>
        </w:rPr>
        <w:t>Curr. Opin.</w:t>
      </w:r>
      <w:r w:rsidR="00845227" w:rsidRPr="001A72AC">
        <w:rPr>
          <w:i/>
        </w:rPr>
        <w:t xml:space="preserve"> </w:t>
      </w:r>
      <w:r w:rsidR="00845227">
        <w:rPr>
          <w:i/>
        </w:rPr>
        <w:t>Chem. Biol.</w:t>
      </w:r>
      <w:r w:rsidR="00845227" w:rsidRPr="001A72AC">
        <w:rPr>
          <w:i/>
        </w:rPr>
        <w:t xml:space="preserve"> </w:t>
      </w:r>
      <w:r w:rsidR="00845227" w:rsidRPr="001A72AC">
        <w:rPr>
          <w:b/>
        </w:rPr>
        <w:t>2018</w:t>
      </w:r>
      <w:r w:rsidR="00845227" w:rsidRPr="001A72AC">
        <w:t xml:space="preserve">, </w:t>
      </w:r>
      <w:r w:rsidR="00845227" w:rsidRPr="001A72AC">
        <w:rPr>
          <w:i/>
        </w:rPr>
        <w:t>43</w:t>
      </w:r>
      <w:r w:rsidR="00845227" w:rsidRPr="001A72AC">
        <w:t>, 15-22.</w:t>
      </w:r>
    </w:p>
    <w:p w14:paraId="55EBCB00" w14:textId="4E7D6FFF" w:rsidR="00845227" w:rsidRPr="001A72AC" w:rsidRDefault="00CA3CB8" w:rsidP="00845227">
      <w:pPr>
        <w:pStyle w:val="EndNoteBibliography"/>
        <w:ind w:left="720" w:hanging="720"/>
      </w:pPr>
      <w:r>
        <w:t>[11</w:t>
      </w:r>
      <w:r w:rsidR="00845227" w:rsidRPr="001A72AC">
        <w:t>]</w:t>
      </w:r>
      <w:r w:rsidR="00845227" w:rsidRPr="001A72AC">
        <w:tab/>
        <w:t>a</w:t>
      </w:r>
      <w:r w:rsidR="00845227">
        <w:t xml:space="preserve">) </w:t>
      </w:r>
      <w:r w:rsidR="00845227" w:rsidRPr="001A72AC">
        <w:t xml:space="preserve">M. Yuan, M. Kummer, R. D. Milton, T. Quah, S. D. Minteer, </w:t>
      </w:r>
      <w:r w:rsidR="00845227">
        <w:rPr>
          <w:i/>
        </w:rPr>
        <w:t>ACS Catal.</w:t>
      </w:r>
      <w:r w:rsidR="00845227" w:rsidRPr="001A72AC">
        <w:rPr>
          <w:i/>
        </w:rPr>
        <w:t xml:space="preserve"> </w:t>
      </w:r>
      <w:r w:rsidR="00845227" w:rsidRPr="001A72AC">
        <w:rPr>
          <w:b/>
        </w:rPr>
        <w:t>2019</w:t>
      </w:r>
      <w:r w:rsidR="00845227" w:rsidRPr="00DA716D">
        <w:t>,</w:t>
      </w:r>
      <w:r w:rsidR="00845227">
        <w:rPr>
          <w:b/>
        </w:rPr>
        <w:t xml:space="preserve"> </w:t>
      </w:r>
      <w:r w:rsidR="00845227" w:rsidRPr="00DA716D">
        <w:rPr>
          <w:i/>
        </w:rPr>
        <w:t>9</w:t>
      </w:r>
      <w:r w:rsidR="00845227" w:rsidRPr="00DA716D">
        <w:t>, 5486–5495</w:t>
      </w:r>
      <w:r w:rsidR="00845227" w:rsidRPr="001A72AC">
        <w:t>; b</w:t>
      </w:r>
      <w:r w:rsidR="00845227">
        <w:t xml:space="preserve">) </w:t>
      </w:r>
      <w:r w:rsidR="00845227" w:rsidRPr="001A72AC">
        <w:t xml:space="preserve">C. E. Paul, F. Hollmann, </w:t>
      </w:r>
      <w:r w:rsidR="00845227" w:rsidRPr="001A72AC">
        <w:rPr>
          <w:i/>
        </w:rPr>
        <w:t>App</w:t>
      </w:r>
      <w:r w:rsidR="00845227">
        <w:rPr>
          <w:i/>
        </w:rPr>
        <w:t>.</w:t>
      </w:r>
      <w:r w:rsidR="00845227" w:rsidRPr="001A72AC">
        <w:rPr>
          <w:i/>
        </w:rPr>
        <w:t>l Microbiol</w:t>
      </w:r>
      <w:r w:rsidR="00845227">
        <w:rPr>
          <w:i/>
        </w:rPr>
        <w:t>.</w:t>
      </w:r>
      <w:r w:rsidR="00845227" w:rsidRPr="001A72AC">
        <w:rPr>
          <w:i/>
        </w:rPr>
        <w:t xml:space="preserve"> Biotechnol</w:t>
      </w:r>
      <w:r w:rsidR="00845227">
        <w:rPr>
          <w:i/>
        </w:rPr>
        <w:t>.</w:t>
      </w:r>
      <w:r w:rsidR="00845227" w:rsidRPr="001A72AC">
        <w:rPr>
          <w:i/>
        </w:rPr>
        <w:t xml:space="preserve"> </w:t>
      </w:r>
      <w:r w:rsidR="00845227" w:rsidRPr="001A72AC">
        <w:rPr>
          <w:b/>
        </w:rPr>
        <w:t>2016</w:t>
      </w:r>
      <w:r w:rsidR="00845227" w:rsidRPr="001A72AC">
        <w:t xml:space="preserve">, </w:t>
      </w:r>
      <w:r w:rsidR="00845227" w:rsidRPr="001A72AC">
        <w:rPr>
          <w:i/>
        </w:rPr>
        <w:t>100</w:t>
      </w:r>
      <w:r w:rsidR="00845227" w:rsidRPr="001A72AC">
        <w:t>, 4773-4778; c</w:t>
      </w:r>
      <w:r w:rsidR="00845227">
        <w:t xml:space="preserve">) </w:t>
      </w:r>
      <w:r w:rsidR="00845227" w:rsidRPr="001A72AC">
        <w:t xml:space="preserve">R. Wichmann, D. Vasic-Racki, in </w:t>
      </w:r>
      <w:r w:rsidR="00845227" w:rsidRPr="00DA716D">
        <w:rPr>
          <w:i/>
        </w:rPr>
        <w:t>Advances in Biochemical Engineering, Vol. 92: Technology Transfer in Biotechnology</w:t>
      </w:r>
      <w:r w:rsidR="00845227">
        <w:t xml:space="preserve"> (Ed.: U. Kragl), Springer, Berlin, Heidelberg, </w:t>
      </w:r>
      <w:r w:rsidR="00845227" w:rsidRPr="00DA716D">
        <w:rPr>
          <w:b/>
        </w:rPr>
        <w:t>2005</w:t>
      </w:r>
      <w:r w:rsidR="00845227">
        <w:t>, pp. 225-260</w:t>
      </w:r>
      <w:r w:rsidR="00845227" w:rsidRPr="001A72AC">
        <w:t>; d</w:t>
      </w:r>
      <w:r w:rsidR="00845227">
        <w:t xml:space="preserve">) </w:t>
      </w:r>
      <w:r w:rsidR="00845227" w:rsidRPr="001A72AC">
        <w:t xml:space="preserve">H. Zhao, W. A. van der Donk, </w:t>
      </w:r>
      <w:r w:rsidR="00845227">
        <w:rPr>
          <w:i/>
        </w:rPr>
        <w:t>Curr. Opin.</w:t>
      </w:r>
      <w:r w:rsidR="00845227" w:rsidRPr="001A72AC">
        <w:rPr>
          <w:i/>
        </w:rPr>
        <w:t xml:space="preserve"> </w:t>
      </w:r>
      <w:r w:rsidR="00845227">
        <w:rPr>
          <w:i/>
        </w:rPr>
        <w:t>Biotechnol.</w:t>
      </w:r>
      <w:r w:rsidR="00845227" w:rsidRPr="001A72AC">
        <w:rPr>
          <w:i/>
        </w:rPr>
        <w:t xml:space="preserve"> </w:t>
      </w:r>
      <w:r w:rsidR="00845227" w:rsidRPr="001A72AC">
        <w:rPr>
          <w:b/>
        </w:rPr>
        <w:t>2003</w:t>
      </w:r>
      <w:r w:rsidR="00845227" w:rsidRPr="001A72AC">
        <w:t xml:space="preserve">, </w:t>
      </w:r>
      <w:r w:rsidR="00845227" w:rsidRPr="001A72AC">
        <w:rPr>
          <w:i/>
        </w:rPr>
        <w:t>14</w:t>
      </w:r>
      <w:r w:rsidR="00845227" w:rsidRPr="001A72AC">
        <w:t>, 583-589.</w:t>
      </w:r>
    </w:p>
    <w:p w14:paraId="51D7B097" w14:textId="62CF9F67" w:rsidR="00845227" w:rsidRPr="001A72AC" w:rsidRDefault="00CA3CB8" w:rsidP="00845227">
      <w:pPr>
        <w:pStyle w:val="EndNoteBibliography"/>
        <w:ind w:left="720" w:hanging="720"/>
      </w:pPr>
      <w:r>
        <w:t>[12</w:t>
      </w:r>
      <w:r w:rsidR="00845227" w:rsidRPr="001A72AC">
        <w:t>]</w:t>
      </w:r>
      <w:r w:rsidR="00845227" w:rsidRPr="001A72AC">
        <w:tab/>
        <w:t xml:space="preserve">E. Tassano, M. Hall, </w:t>
      </w:r>
      <w:r w:rsidR="00845227" w:rsidRPr="001A72AC">
        <w:rPr>
          <w:i/>
        </w:rPr>
        <w:t>Chem</w:t>
      </w:r>
      <w:r w:rsidR="00845227">
        <w:rPr>
          <w:i/>
        </w:rPr>
        <w:t>.</w:t>
      </w:r>
      <w:r w:rsidR="00845227" w:rsidRPr="001A72AC">
        <w:rPr>
          <w:i/>
        </w:rPr>
        <w:t xml:space="preserve"> Soc</w:t>
      </w:r>
      <w:r w:rsidR="00845227">
        <w:rPr>
          <w:i/>
        </w:rPr>
        <w:t>.</w:t>
      </w:r>
      <w:r w:rsidR="00845227" w:rsidRPr="001A72AC">
        <w:rPr>
          <w:i/>
        </w:rPr>
        <w:t xml:space="preserve"> Rev</w:t>
      </w:r>
      <w:r w:rsidR="00845227">
        <w:rPr>
          <w:i/>
        </w:rPr>
        <w:t>.</w:t>
      </w:r>
      <w:r w:rsidR="00845227" w:rsidRPr="001A72AC">
        <w:rPr>
          <w:i/>
        </w:rPr>
        <w:t xml:space="preserve"> </w:t>
      </w:r>
      <w:r w:rsidR="00845227" w:rsidRPr="001A72AC">
        <w:rPr>
          <w:b/>
        </w:rPr>
        <w:t>2019</w:t>
      </w:r>
      <w:r w:rsidR="00845227">
        <w:t xml:space="preserve">, </w:t>
      </w:r>
      <w:r w:rsidR="00845227" w:rsidRPr="007049AF">
        <w:rPr>
          <w:i/>
        </w:rPr>
        <w:t>48</w:t>
      </w:r>
      <w:r w:rsidR="00845227">
        <w:t xml:space="preserve">, </w:t>
      </w:r>
      <w:r w:rsidR="00845227" w:rsidRPr="007049AF">
        <w:t>5596-5615</w:t>
      </w:r>
      <w:r w:rsidR="00845227">
        <w:t>.</w:t>
      </w:r>
    </w:p>
    <w:p w14:paraId="5A9E78C8" w14:textId="34272470" w:rsidR="00845227" w:rsidRPr="001A72AC" w:rsidRDefault="00CA3CB8" w:rsidP="00845227">
      <w:pPr>
        <w:pStyle w:val="EndNoteBibliography"/>
        <w:ind w:left="720" w:hanging="720"/>
      </w:pPr>
      <w:r>
        <w:t>[13</w:t>
      </w:r>
      <w:r w:rsidR="00845227" w:rsidRPr="001A72AC">
        <w:t>]</w:t>
      </w:r>
      <w:r w:rsidR="00845227" w:rsidRPr="001A72AC">
        <w:tab/>
        <w:t>a</w:t>
      </w:r>
      <w:r w:rsidR="00845227">
        <w:t xml:space="preserve">) </w:t>
      </w:r>
      <w:r w:rsidR="00845227" w:rsidRPr="001A72AC">
        <w:t xml:space="preserve">M. Lenz, J. Meisner, L. Quertinmont, S. Lutz, J. Kästner, B. M. Nestl, </w:t>
      </w:r>
      <w:r w:rsidR="00845227">
        <w:rPr>
          <w:i/>
        </w:rPr>
        <w:t>ChemBioC</w:t>
      </w:r>
      <w:r w:rsidR="00845227" w:rsidRPr="001A72AC">
        <w:rPr>
          <w:i/>
        </w:rPr>
        <w:t xml:space="preserve">hem </w:t>
      </w:r>
      <w:r w:rsidR="00845227" w:rsidRPr="001A72AC">
        <w:rPr>
          <w:b/>
        </w:rPr>
        <w:t>2017</w:t>
      </w:r>
      <w:r w:rsidR="00845227" w:rsidRPr="001A72AC">
        <w:t xml:space="preserve">, </w:t>
      </w:r>
      <w:r w:rsidR="00845227" w:rsidRPr="001A72AC">
        <w:rPr>
          <w:i/>
        </w:rPr>
        <w:t>18</w:t>
      </w:r>
      <w:r w:rsidR="00845227" w:rsidRPr="001A72AC">
        <w:t>, 253-256; b</w:t>
      </w:r>
      <w:r w:rsidR="00845227">
        <w:t xml:space="preserve">) </w:t>
      </w:r>
      <w:r w:rsidR="00845227" w:rsidRPr="001A72AC">
        <w:t xml:space="preserve">J. Mangas-Sanchez, S. P. France, S. L. Montgomery, G. A. Aleku, H. Man, M. Sharma, J. I. Ramsden, G. Grogan, N. J. Turner, </w:t>
      </w:r>
      <w:r w:rsidR="00845227">
        <w:rPr>
          <w:i/>
        </w:rPr>
        <w:t>Curr.</w:t>
      </w:r>
      <w:r w:rsidR="00845227" w:rsidRPr="001A72AC">
        <w:rPr>
          <w:i/>
        </w:rPr>
        <w:t xml:space="preserve"> </w:t>
      </w:r>
      <w:r w:rsidR="00845227">
        <w:rPr>
          <w:i/>
        </w:rPr>
        <w:t>Opin.</w:t>
      </w:r>
      <w:r w:rsidR="00845227" w:rsidRPr="001A72AC">
        <w:rPr>
          <w:i/>
        </w:rPr>
        <w:t xml:space="preserve"> </w:t>
      </w:r>
      <w:r w:rsidR="00845227">
        <w:rPr>
          <w:i/>
        </w:rPr>
        <w:t>Chem. Biol.</w:t>
      </w:r>
      <w:r w:rsidR="00845227" w:rsidRPr="001A72AC">
        <w:rPr>
          <w:i/>
        </w:rPr>
        <w:t xml:space="preserve"> </w:t>
      </w:r>
      <w:r w:rsidR="00845227" w:rsidRPr="001A72AC">
        <w:rPr>
          <w:b/>
        </w:rPr>
        <w:t>2017</w:t>
      </w:r>
      <w:r w:rsidR="00845227" w:rsidRPr="001A72AC">
        <w:t xml:space="preserve">, </w:t>
      </w:r>
      <w:r w:rsidR="00845227" w:rsidRPr="001A72AC">
        <w:rPr>
          <w:i/>
        </w:rPr>
        <w:t>37</w:t>
      </w:r>
      <w:r w:rsidR="00845227" w:rsidRPr="001A72AC">
        <w:t>, 19-25; c</w:t>
      </w:r>
      <w:r w:rsidR="00845227">
        <w:t xml:space="preserve">) </w:t>
      </w:r>
      <w:r w:rsidR="00845227" w:rsidRPr="001A72AC">
        <w:t xml:space="preserve">K. Mitsukura, T. Yoshida, in </w:t>
      </w:r>
      <w:r w:rsidR="00845227" w:rsidRPr="001A72AC">
        <w:rPr>
          <w:i/>
        </w:rPr>
        <w:t>Future Directions in Biocatalysis</w:t>
      </w:r>
      <w:r w:rsidR="00845227">
        <w:rPr>
          <w:i/>
        </w:rPr>
        <w:t>,</w:t>
      </w:r>
      <w:r w:rsidR="00845227" w:rsidRPr="001A72AC">
        <w:rPr>
          <w:i/>
        </w:rPr>
        <w:t xml:space="preserve"> </w:t>
      </w:r>
      <w:r w:rsidR="00845227">
        <w:rPr>
          <w:i/>
        </w:rPr>
        <w:t>2nd ed.</w:t>
      </w:r>
      <w:r w:rsidR="00845227" w:rsidRPr="001A72AC">
        <w:t xml:space="preserve"> (Ed.: T. Matsuda), Elsevier, Amsterdam, </w:t>
      </w:r>
      <w:r w:rsidR="00845227" w:rsidRPr="001A72AC">
        <w:rPr>
          <w:b/>
        </w:rPr>
        <w:t>2017</w:t>
      </w:r>
      <w:r w:rsidR="00845227" w:rsidRPr="001A72AC">
        <w:t>, pp. 97-117; d</w:t>
      </w:r>
      <w:r w:rsidR="00845227">
        <w:t xml:space="preserve">) </w:t>
      </w:r>
      <w:r w:rsidR="00845227" w:rsidRPr="001A72AC">
        <w:t xml:space="preserve">J. H. Schrittwieser, S. Velikogne, W. Kroutil, </w:t>
      </w:r>
      <w:r w:rsidR="00845227">
        <w:rPr>
          <w:i/>
        </w:rPr>
        <w:t>Adv. Synth. Catal.</w:t>
      </w:r>
      <w:r w:rsidR="00845227" w:rsidRPr="001A72AC">
        <w:rPr>
          <w:i/>
        </w:rPr>
        <w:t xml:space="preserve"> </w:t>
      </w:r>
      <w:r w:rsidR="00845227" w:rsidRPr="001A72AC">
        <w:rPr>
          <w:b/>
        </w:rPr>
        <w:t>2015</w:t>
      </w:r>
      <w:r w:rsidR="00845227" w:rsidRPr="001A72AC">
        <w:t xml:space="preserve">, </w:t>
      </w:r>
      <w:r w:rsidR="00845227" w:rsidRPr="001A72AC">
        <w:rPr>
          <w:i/>
        </w:rPr>
        <w:t>357</w:t>
      </w:r>
      <w:r w:rsidR="00845227" w:rsidRPr="001A72AC">
        <w:t>, 1655-1685.</w:t>
      </w:r>
    </w:p>
    <w:p w14:paraId="0C8C6807" w14:textId="53CE7383" w:rsidR="00845227" w:rsidRPr="005A22E4" w:rsidRDefault="00CA3CB8" w:rsidP="00845227">
      <w:pPr>
        <w:pStyle w:val="EndNoteBibliography"/>
        <w:ind w:left="720" w:hanging="720"/>
      </w:pPr>
      <w:r>
        <w:t>[14</w:t>
      </w:r>
      <w:r w:rsidR="00845227">
        <w:t>]</w:t>
      </w:r>
      <w:r w:rsidR="00845227">
        <w:tab/>
      </w:r>
      <w:r w:rsidR="00845227" w:rsidRPr="001A72AC">
        <w:t xml:space="preserve">M. D. Patil, G. Grogan, A. S. Bommarius, H. Yun, </w:t>
      </w:r>
      <w:r w:rsidR="00845227" w:rsidRPr="001A72AC">
        <w:rPr>
          <w:i/>
        </w:rPr>
        <w:t>ACS Catal</w:t>
      </w:r>
      <w:r w:rsidR="00845227">
        <w:rPr>
          <w:i/>
        </w:rPr>
        <w:t>.</w:t>
      </w:r>
      <w:r w:rsidR="00845227" w:rsidRPr="001A72AC">
        <w:rPr>
          <w:i/>
        </w:rPr>
        <w:t xml:space="preserve"> </w:t>
      </w:r>
      <w:r w:rsidR="00845227" w:rsidRPr="001A72AC">
        <w:rPr>
          <w:b/>
        </w:rPr>
        <w:t>2018</w:t>
      </w:r>
      <w:r w:rsidR="00845227" w:rsidRPr="005A22E4">
        <w:t xml:space="preserve">, </w:t>
      </w:r>
      <w:r w:rsidR="00845227" w:rsidRPr="005A22E4">
        <w:rPr>
          <w:i/>
        </w:rPr>
        <w:t>8</w:t>
      </w:r>
      <w:r w:rsidR="00845227" w:rsidRPr="005A22E4">
        <w:t>, 10985–11015.</w:t>
      </w:r>
    </w:p>
    <w:p w14:paraId="5711D48D" w14:textId="42F4B092" w:rsidR="00CA3CB8" w:rsidRDefault="00CA3CB8" w:rsidP="00845227">
      <w:pPr>
        <w:pStyle w:val="EndNoteBibliography"/>
        <w:ind w:left="720" w:hanging="720"/>
      </w:pPr>
      <w:r>
        <w:t>[15</w:t>
      </w:r>
      <w:r w:rsidRPr="001A72AC">
        <w:t>]</w:t>
      </w:r>
      <w:r w:rsidRPr="001A72AC">
        <w:tab/>
        <w:t xml:space="preserve">M. J. Abrahamson, E. Vazquez-Figueroa, N. B. Woodall, J. C. Moore, A. S. Bommarius, </w:t>
      </w:r>
      <w:r w:rsidRPr="001A72AC">
        <w:rPr>
          <w:i/>
        </w:rPr>
        <w:t>Angew</w:t>
      </w:r>
      <w:r>
        <w:rPr>
          <w:i/>
        </w:rPr>
        <w:t>.</w:t>
      </w:r>
      <w:r w:rsidRPr="001A72AC">
        <w:rPr>
          <w:i/>
        </w:rPr>
        <w:t xml:space="preserve"> Chem</w:t>
      </w:r>
      <w:r>
        <w:rPr>
          <w:i/>
        </w:rPr>
        <w:t>.,</w:t>
      </w:r>
      <w:r w:rsidRPr="001A72AC">
        <w:rPr>
          <w:i/>
        </w:rPr>
        <w:t xml:space="preserve"> Int</w:t>
      </w:r>
      <w:r>
        <w:rPr>
          <w:i/>
        </w:rPr>
        <w:t>.</w:t>
      </w:r>
      <w:r w:rsidRPr="001A72AC">
        <w:rPr>
          <w:i/>
        </w:rPr>
        <w:t xml:space="preserve"> Ed</w:t>
      </w:r>
      <w:r>
        <w:rPr>
          <w:i/>
        </w:rPr>
        <w:t>.</w:t>
      </w:r>
      <w:r w:rsidRPr="001A72AC">
        <w:rPr>
          <w:i/>
        </w:rPr>
        <w:t xml:space="preserve"> </w:t>
      </w:r>
      <w:r w:rsidRPr="001A72AC">
        <w:rPr>
          <w:b/>
        </w:rPr>
        <w:t>2012</w:t>
      </w:r>
      <w:r w:rsidRPr="001A72AC">
        <w:t xml:space="preserve">, </w:t>
      </w:r>
      <w:r w:rsidRPr="001A72AC">
        <w:rPr>
          <w:i/>
        </w:rPr>
        <w:t>51</w:t>
      </w:r>
      <w:r w:rsidRPr="001A72AC">
        <w:t>, 3969-3972.</w:t>
      </w:r>
    </w:p>
    <w:p w14:paraId="017F8015" w14:textId="25957145" w:rsidR="00845227" w:rsidRPr="001A72AC" w:rsidRDefault="00E97073" w:rsidP="00845227">
      <w:pPr>
        <w:pStyle w:val="EndNoteBibliography"/>
        <w:ind w:left="720" w:hanging="720"/>
      </w:pPr>
      <w:r>
        <w:t>[16</w:t>
      </w:r>
      <w:r w:rsidR="00845227" w:rsidRPr="001A72AC">
        <w:t>]</w:t>
      </w:r>
      <w:r w:rsidR="00845227" w:rsidRPr="001A72AC">
        <w:tab/>
        <w:t xml:space="preserve">J. L. Vanhooke, J. B. Thoden, N. M. W. Brunhuber, J. S. Blanchard, H. M. Holden, </w:t>
      </w:r>
      <w:r w:rsidR="00845227" w:rsidRPr="001A72AC">
        <w:rPr>
          <w:i/>
        </w:rPr>
        <w:t xml:space="preserve">Biochemistry </w:t>
      </w:r>
      <w:r w:rsidR="00845227" w:rsidRPr="001A72AC">
        <w:rPr>
          <w:b/>
        </w:rPr>
        <w:t>1999</w:t>
      </w:r>
      <w:r w:rsidR="00845227" w:rsidRPr="001A72AC">
        <w:t xml:space="preserve">, </w:t>
      </w:r>
      <w:r w:rsidR="00845227" w:rsidRPr="001A72AC">
        <w:rPr>
          <w:i/>
        </w:rPr>
        <w:t>38</w:t>
      </w:r>
      <w:r w:rsidR="00845227" w:rsidRPr="001A72AC">
        <w:t>, 2326-2339.</w:t>
      </w:r>
    </w:p>
    <w:p w14:paraId="15F53165" w14:textId="45A65668" w:rsidR="00845227" w:rsidRPr="001A72AC" w:rsidRDefault="00341B64" w:rsidP="00CA3CB8">
      <w:pPr>
        <w:pStyle w:val="EndNoteBibliography"/>
        <w:ind w:left="720" w:hanging="720"/>
      </w:pPr>
      <w:r>
        <w:t>[17</w:t>
      </w:r>
      <w:r w:rsidR="00845227" w:rsidRPr="001A72AC">
        <w:t>]</w:t>
      </w:r>
      <w:r w:rsidR="00845227" w:rsidRPr="001A72AC">
        <w:tab/>
        <w:t xml:space="preserve">P. J. Baker, A. P. Turnbull, S. E. Sedelnikova, T. J. Stillman, D. W. Rice, </w:t>
      </w:r>
      <w:r w:rsidR="00845227" w:rsidRPr="001A72AC">
        <w:rPr>
          <w:i/>
        </w:rPr>
        <w:t xml:space="preserve">Structure </w:t>
      </w:r>
      <w:r w:rsidR="00845227" w:rsidRPr="001A72AC">
        <w:rPr>
          <w:b/>
        </w:rPr>
        <w:t>1995</w:t>
      </w:r>
      <w:r w:rsidR="00845227" w:rsidRPr="001A72AC">
        <w:t xml:space="preserve">, </w:t>
      </w:r>
      <w:r w:rsidR="00845227" w:rsidRPr="001A72AC">
        <w:rPr>
          <w:i/>
        </w:rPr>
        <w:t>3</w:t>
      </w:r>
      <w:r w:rsidR="00845227" w:rsidRPr="001A72AC">
        <w:t>, 693-705.</w:t>
      </w:r>
    </w:p>
    <w:p w14:paraId="7A74A1B4" w14:textId="20FA574E" w:rsidR="00845227" w:rsidRPr="001A72AC" w:rsidRDefault="00341B64" w:rsidP="00845227">
      <w:pPr>
        <w:pStyle w:val="EndNoteBibliography"/>
        <w:ind w:left="720" w:hanging="720"/>
      </w:pPr>
      <w:r>
        <w:t>[18</w:t>
      </w:r>
      <w:r w:rsidR="00845227" w:rsidRPr="001A72AC">
        <w:t>]</w:t>
      </w:r>
      <w:r w:rsidR="00845227" w:rsidRPr="001A72AC">
        <w:tab/>
      </w:r>
      <w:r w:rsidR="00845227" w:rsidRPr="00EB6EE9">
        <w:t>a</w:t>
      </w:r>
      <w:r w:rsidR="00845227">
        <w:t xml:space="preserve">) </w:t>
      </w:r>
      <w:r w:rsidR="00845227" w:rsidRPr="00EB6EE9">
        <w:t xml:space="preserve">T. Knaus, W. Bohmer, F. G. Mutti, </w:t>
      </w:r>
      <w:r w:rsidR="00845227" w:rsidRPr="00EB6EE9">
        <w:rPr>
          <w:i/>
        </w:rPr>
        <w:t>Green Chem</w:t>
      </w:r>
      <w:r w:rsidR="00845227">
        <w:rPr>
          <w:i/>
        </w:rPr>
        <w:t>.</w:t>
      </w:r>
      <w:r w:rsidR="00845227" w:rsidRPr="00EB6EE9">
        <w:rPr>
          <w:i/>
        </w:rPr>
        <w:t xml:space="preserve"> </w:t>
      </w:r>
      <w:r w:rsidR="00845227" w:rsidRPr="00EB6EE9">
        <w:rPr>
          <w:b/>
        </w:rPr>
        <w:t>2017</w:t>
      </w:r>
      <w:r w:rsidR="00845227" w:rsidRPr="00EB6EE9">
        <w:t xml:space="preserve">, </w:t>
      </w:r>
      <w:r w:rsidR="00845227" w:rsidRPr="00EB6EE9">
        <w:rPr>
          <w:i/>
        </w:rPr>
        <w:t>19</w:t>
      </w:r>
      <w:r w:rsidR="00845227" w:rsidRPr="00EB6EE9">
        <w:t>, 453-463</w:t>
      </w:r>
      <w:r w:rsidR="00845227">
        <w:t xml:space="preserve">; b) </w:t>
      </w:r>
      <w:r w:rsidR="00845227" w:rsidRPr="001A72AC">
        <w:t xml:space="preserve">M. J. Abrahamson, J. W. Wong, A. S. Bommarius, </w:t>
      </w:r>
      <w:r w:rsidR="00845227">
        <w:rPr>
          <w:i/>
        </w:rPr>
        <w:t>Adv. Synth. Catal.</w:t>
      </w:r>
      <w:r w:rsidR="00845227" w:rsidRPr="001A72AC">
        <w:rPr>
          <w:i/>
        </w:rPr>
        <w:t xml:space="preserve"> </w:t>
      </w:r>
      <w:r w:rsidR="00845227" w:rsidRPr="001A72AC">
        <w:rPr>
          <w:b/>
        </w:rPr>
        <w:t>2013</w:t>
      </w:r>
      <w:r w:rsidR="00845227" w:rsidRPr="001A72AC">
        <w:t xml:space="preserve">, </w:t>
      </w:r>
      <w:r w:rsidR="00845227" w:rsidRPr="001A72AC">
        <w:rPr>
          <w:i/>
        </w:rPr>
        <w:t>355</w:t>
      </w:r>
      <w:r w:rsidR="00845227">
        <w:t xml:space="preserve">, 1780-1786; c) </w:t>
      </w:r>
      <w:r w:rsidR="00845227" w:rsidRPr="001A72AC">
        <w:t>S. Bommarius Andreas, J. Ab</w:t>
      </w:r>
      <w:r w:rsidR="00845227">
        <w:t>rahamson Michael, B. Bommarius</w:t>
      </w:r>
      <w:r w:rsidR="00845227" w:rsidRPr="00F43ED0">
        <w:t xml:space="preserve">, </w:t>
      </w:r>
      <w:r w:rsidR="00845227" w:rsidRPr="00487E53">
        <w:rPr>
          <w:b/>
        </w:rPr>
        <w:t>2014</w:t>
      </w:r>
      <w:r w:rsidR="00845227">
        <w:t xml:space="preserve">, </w:t>
      </w:r>
      <w:r w:rsidR="00845227" w:rsidRPr="00487E53">
        <w:t>Engineered amine dehydrogenases and methods of use thereof</w:t>
      </w:r>
      <w:r w:rsidR="00845227">
        <w:t>. US patent 2013309734.</w:t>
      </w:r>
    </w:p>
    <w:p w14:paraId="676C6CD0" w14:textId="50A0E837" w:rsidR="00845227" w:rsidRPr="001A72AC" w:rsidRDefault="00341B64" w:rsidP="00845227">
      <w:pPr>
        <w:pStyle w:val="EndNoteBibliography"/>
        <w:ind w:left="720" w:hanging="720"/>
      </w:pPr>
      <w:r>
        <w:t>[19</w:t>
      </w:r>
      <w:r w:rsidR="00845227" w:rsidRPr="001A72AC">
        <w:t>]</w:t>
      </w:r>
      <w:r w:rsidR="00845227" w:rsidRPr="001A72AC">
        <w:tab/>
        <w:t xml:space="preserve">B. R. Bommarius, M. Schurmann, A. S. Bommarius, </w:t>
      </w:r>
      <w:r w:rsidR="00845227">
        <w:rPr>
          <w:i/>
        </w:rPr>
        <w:t xml:space="preserve">Chem. </w:t>
      </w:r>
      <w:r w:rsidR="00845227" w:rsidRPr="001A72AC">
        <w:rPr>
          <w:i/>
        </w:rPr>
        <w:t>Comm</w:t>
      </w:r>
      <w:r w:rsidR="00845227">
        <w:rPr>
          <w:i/>
        </w:rPr>
        <w:t>.</w:t>
      </w:r>
      <w:r w:rsidR="00845227" w:rsidRPr="001A72AC">
        <w:rPr>
          <w:b/>
        </w:rPr>
        <w:t>2014</w:t>
      </w:r>
      <w:r w:rsidR="00845227" w:rsidRPr="001A72AC">
        <w:t xml:space="preserve">, </w:t>
      </w:r>
      <w:r w:rsidR="00845227" w:rsidRPr="001A72AC">
        <w:rPr>
          <w:i/>
        </w:rPr>
        <w:t>50</w:t>
      </w:r>
      <w:r w:rsidR="00845227" w:rsidRPr="001A72AC">
        <w:t>, 14953-14955.</w:t>
      </w:r>
    </w:p>
    <w:p w14:paraId="459757E1" w14:textId="55D23B9D" w:rsidR="00845227" w:rsidRPr="001A72AC" w:rsidRDefault="00341B64" w:rsidP="00845227">
      <w:pPr>
        <w:pStyle w:val="EndNoteBibliography"/>
        <w:ind w:left="720" w:hanging="720"/>
      </w:pPr>
      <w:r>
        <w:t>[20</w:t>
      </w:r>
      <w:r w:rsidR="00845227" w:rsidRPr="001A72AC">
        <w:t>]</w:t>
      </w:r>
      <w:r w:rsidR="00845227" w:rsidRPr="001A72AC">
        <w:tab/>
        <w:t xml:space="preserve">F.-F. Chen, Y.-Y. Liu, G.-W. Zheng, J.-H. Xu, </w:t>
      </w:r>
      <w:r w:rsidR="00845227" w:rsidRPr="001A72AC">
        <w:rPr>
          <w:i/>
        </w:rPr>
        <w:t xml:space="preserve">ChemCatChem </w:t>
      </w:r>
      <w:r w:rsidR="00845227" w:rsidRPr="001A72AC">
        <w:rPr>
          <w:b/>
        </w:rPr>
        <w:t>2015</w:t>
      </w:r>
      <w:r w:rsidR="00845227" w:rsidRPr="001A72AC">
        <w:t xml:space="preserve">, </w:t>
      </w:r>
      <w:r w:rsidR="00845227" w:rsidRPr="001A72AC">
        <w:rPr>
          <w:i/>
        </w:rPr>
        <w:t>7</w:t>
      </w:r>
      <w:r w:rsidR="00845227" w:rsidRPr="001A72AC">
        <w:t>, 3838-3841.</w:t>
      </w:r>
    </w:p>
    <w:p w14:paraId="5A13374A" w14:textId="306200D7" w:rsidR="00845227" w:rsidRPr="001A72AC" w:rsidRDefault="00341B64" w:rsidP="00845227">
      <w:pPr>
        <w:pStyle w:val="EndNoteBibliography"/>
        <w:ind w:left="720" w:hanging="720"/>
      </w:pPr>
      <w:r>
        <w:t>[21</w:t>
      </w:r>
      <w:r w:rsidR="00845227" w:rsidRPr="001A72AC">
        <w:t>]</w:t>
      </w:r>
      <w:r w:rsidR="00845227" w:rsidRPr="001A72AC">
        <w:tab/>
        <w:t xml:space="preserve">F. Chen, G.-W. Zheng, L. Liu, H. Li, Q. Chen, f. li, C.-X. Li, J.-H. Xu, </w:t>
      </w:r>
      <w:r w:rsidR="00845227">
        <w:rPr>
          <w:i/>
        </w:rPr>
        <w:t>ACS Catal.</w:t>
      </w:r>
      <w:r w:rsidR="00845227" w:rsidRPr="001A72AC">
        <w:rPr>
          <w:i/>
        </w:rPr>
        <w:t xml:space="preserve"> </w:t>
      </w:r>
      <w:r w:rsidR="00845227" w:rsidRPr="001A72AC">
        <w:rPr>
          <w:b/>
        </w:rPr>
        <w:t>2018</w:t>
      </w:r>
      <w:r w:rsidR="00845227" w:rsidRPr="001A72AC">
        <w:t xml:space="preserve">, </w:t>
      </w:r>
      <w:r w:rsidR="00845227" w:rsidRPr="001A72AC">
        <w:rPr>
          <w:i/>
        </w:rPr>
        <w:t>8</w:t>
      </w:r>
      <w:r w:rsidR="00845227" w:rsidRPr="001A72AC">
        <w:t>, 2622-2628.</w:t>
      </w:r>
    </w:p>
    <w:p w14:paraId="2E3D08F2" w14:textId="4793455C" w:rsidR="00845227" w:rsidRPr="001A72AC" w:rsidRDefault="00341B64" w:rsidP="00845227">
      <w:pPr>
        <w:pStyle w:val="EndNoteBibliography"/>
        <w:ind w:left="720" w:hanging="720"/>
      </w:pPr>
      <w:r>
        <w:t>[22</w:t>
      </w:r>
      <w:r w:rsidR="00845227" w:rsidRPr="001A72AC">
        <w:t>]</w:t>
      </w:r>
      <w:r w:rsidR="00845227" w:rsidRPr="001A72AC">
        <w:tab/>
        <w:t xml:space="preserve">L. Liu, D.-H. Wang, F.-F. Chen, Z.-J. Zhang, Q. Chen, J.-H. Xu, Z.-L. Wang, G.-W. Zheng, </w:t>
      </w:r>
      <w:r w:rsidR="00845227" w:rsidRPr="001A72AC">
        <w:rPr>
          <w:i/>
        </w:rPr>
        <w:t>Catal</w:t>
      </w:r>
      <w:r w:rsidR="00845227">
        <w:rPr>
          <w:i/>
        </w:rPr>
        <w:t>.</w:t>
      </w:r>
      <w:r w:rsidR="00845227" w:rsidRPr="001A72AC">
        <w:rPr>
          <w:i/>
        </w:rPr>
        <w:t xml:space="preserve"> Sci</w:t>
      </w:r>
      <w:r w:rsidR="00845227">
        <w:rPr>
          <w:i/>
        </w:rPr>
        <w:t>.</w:t>
      </w:r>
      <w:r w:rsidR="00845227" w:rsidRPr="001A72AC">
        <w:rPr>
          <w:i/>
        </w:rPr>
        <w:t xml:space="preserve"> </w:t>
      </w:r>
      <w:r w:rsidR="00845227">
        <w:rPr>
          <w:i/>
        </w:rPr>
        <w:t>Technol.</w:t>
      </w:r>
      <w:r w:rsidR="00845227" w:rsidRPr="001A72AC">
        <w:rPr>
          <w:i/>
        </w:rPr>
        <w:t xml:space="preserve"> </w:t>
      </w:r>
      <w:r w:rsidR="00845227" w:rsidRPr="001A72AC">
        <w:rPr>
          <w:b/>
        </w:rPr>
        <w:t>2020</w:t>
      </w:r>
      <w:r w:rsidR="00845227">
        <w:t xml:space="preserve">, </w:t>
      </w:r>
      <w:r w:rsidR="00845227" w:rsidRPr="00906A80">
        <w:rPr>
          <w:i/>
        </w:rPr>
        <w:t>10</w:t>
      </w:r>
      <w:r w:rsidR="00845227">
        <w:t xml:space="preserve">, </w:t>
      </w:r>
      <w:r w:rsidR="00845227" w:rsidRPr="00906A80">
        <w:t>2353-2358</w:t>
      </w:r>
    </w:p>
    <w:p w14:paraId="768CF770" w14:textId="063B65FC" w:rsidR="00845227" w:rsidRDefault="00341B64" w:rsidP="00845227">
      <w:pPr>
        <w:pStyle w:val="EndNoteBibliography"/>
        <w:ind w:left="720" w:hanging="720"/>
      </w:pPr>
      <w:r>
        <w:t>[23</w:t>
      </w:r>
      <w:r w:rsidR="00845227" w:rsidRPr="001A72AC">
        <w:t>]</w:t>
      </w:r>
      <w:r w:rsidR="00845227" w:rsidRPr="001A72AC">
        <w:tab/>
        <w:t xml:space="preserve">L. J. Ye, H. H. Toh, Y. Yang, J. P. Adams, R. Snajdrova, Z. Li, </w:t>
      </w:r>
      <w:r w:rsidR="00845227" w:rsidRPr="001A72AC">
        <w:rPr>
          <w:i/>
        </w:rPr>
        <w:t>ACS Catal</w:t>
      </w:r>
      <w:r w:rsidR="00845227">
        <w:rPr>
          <w:i/>
        </w:rPr>
        <w:t>.</w:t>
      </w:r>
      <w:r w:rsidR="00845227" w:rsidRPr="001A72AC">
        <w:rPr>
          <w:i/>
        </w:rPr>
        <w:t xml:space="preserve"> </w:t>
      </w:r>
      <w:r w:rsidR="00845227" w:rsidRPr="001A72AC">
        <w:rPr>
          <w:b/>
        </w:rPr>
        <w:t>2015</w:t>
      </w:r>
      <w:r w:rsidR="00845227" w:rsidRPr="001A72AC">
        <w:t xml:space="preserve">, </w:t>
      </w:r>
      <w:r w:rsidR="00845227" w:rsidRPr="001A72AC">
        <w:rPr>
          <w:i/>
        </w:rPr>
        <w:t>5</w:t>
      </w:r>
      <w:r w:rsidR="00845227" w:rsidRPr="001A72AC">
        <w:t>, 1119-1122.</w:t>
      </w:r>
    </w:p>
    <w:p w14:paraId="18FD877D" w14:textId="5748EECF" w:rsidR="00845227" w:rsidRPr="001A72AC" w:rsidRDefault="00341B64" w:rsidP="00845227">
      <w:pPr>
        <w:pStyle w:val="EndNoteBibliography"/>
        <w:ind w:left="720" w:hanging="720"/>
      </w:pPr>
      <w:r>
        <w:t>[24</w:t>
      </w:r>
      <w:r w:rsidR="00845227" w:rsidRPr="00317074">
        <w:t>]</w:t>
      </w:r>
      <w:r w:rsidR="00845227" w:rsidRPr="00317074">
        <w:tab/>
        <w:t xml:space="preserve">A. Pushpanath, E. Siirola, A. Bornadel, D. Woodlock, U. Schell, </w:t>
      </w:r>
      <w:r w:rsidR="00845227">
        <w:rPr>
          <w:i/>
        </w:rPr>
        <w:t>ACS Catal.</w:t>
      </w:r>
      <w:r w:rsidR="00845227" w:rsidRPr="00317074">
        <w:rPr>
          <w:i/>
        </w:rPr>
        <w:t xml:space="preserve"> </w:t>
      </w:r>
      <w:r w:rsidR="00845227" w:rsidRPr="00317074">
        <w:rPr>
          <w:b/>
        </w:rPr>
        <w:t>2017</w:t>
      </w:r>
      <w:r w:rsidR="00845227" w:rsidRPr="00317074">
        <w:t>, 3204-3209.</w:t>
      </w:r>
    </w:p>
    <w:p w14:paraId="51438D5E" w14:textId="7D0BAB52" w:rsidR="00845227" w:rsidRPr="001A72AC" w:rsidRDefault="00341B64" w:rsidP="00845227">
      <w:pPr>
        <w:pStyle w:val="EndNoteBibliography"/>
        <w:ind w:left="720" w:hanging="720"/>
      </w:pPr>
      <w:r>
        <w:t>[25</w:t>
      </w:r>
      <w:r w:rsidR="00845227" w:rsidRPr="001A72AC">
        <w:t>]</w:t>
      </w:r>
      <w:r w:rsidR="00845227" w:rsidRPr="001A72AC">
        <w:tab/>
        <w:t xml:space="preserve">F. Chen, S. C. Cosgrove, W. R. Birmingham, J. Mangas-Sanchez, J. Citoler, M. Thompson, G.-W. Zheng, J.-H. Xu, N. J. Turner, </w:t>
      </w:r>
      <w:r w:rsidR="00845227" w:rsidRPr="001A72AC">
        <w:rPr>
          <w:i/>
        </w:rPr>
        <w:t>ACS Catal</w:t>
      </w:r>
      <w:r w:rsidR="00845227">
        <w:rPr>
          <w:i/>
        </w:rPr>
        <w:t>.</w:t>
      </w:r>
      <w:r w:rsidR="00845227" w:rsidRPr="001A72AC">
        <w:rPr>
          <w:i/>
        </w:rPr>
        <w:t xml:space="preserve"> </w:t>
      </w:r>
      <w:r w:rsidR="00845227" w:rsidRPr="001A72AC">
        <w:rPr>
          <w:b/>
        </w:rPr>
        <w:t>2019</w:t>
      </w:r>
      <w:r w:rsidR="00845227" w:rsidRPr="001A72AC">
        <w:t>.</w:t>
      </w:r>
    </w:p>
    <w:p w14:paraId="27932984" w14:textId="095D6BB5" w:rsidR="00845227" w:rsidRPr="001A72AC" w:rsidRDefault="00341B64" w:rsidP="00845227">
      <w:pPr>
        <w:pStyle w:val="EndNoteBibliography"/>
        <w:ind w:left="720" w:hanging="720"/>
      </w:pPr>
      <w:r>
        <w:t>[26</w:t>
      </w:r>
      <w:r w:rsidR="00845227" w:rsidRPr="001A72AC">
        <w:t>]</w:t>
      </w:r>
      <w:r w:rsidR="00845227" w:rsidRPr="001A72AC">
        <w:tab/>
        <w:t xml:space="preserve">K. Kataoka, K. Tanizawa, </w:t>
      </w:r>
      <w:r w:rsidR="00845227" w:rsidRPr="001A72AC">
        <w:rPr>
          <w:i/>
        </w:rPr>
        <w:t>J</w:t>
      </w:r>
      <w:r w:rsidR="00845227">
        <w:rPr>
          <w:i/>
        </w:rPr>
        <w:t>.</w:t>
      </w:r>
      <w:r w:rsidR="00845227" w:rsidRPr="001A72AC">
        <w:rPr>
          <w:i/>
        </w:rPr>
        <w:t>Mol</w:t>
      </w:r>
      <w:r w:rsidR="00845227">
        <w:rPr>
          <w:i/>
        </w:rPr>
        <w:t>.</w:t>
      </w:r>
      <w:r w:rsidR="00845227" w:rsidRPr="001A72AC">
        <w:rPr>
          <w:i/>
        </w:rPr>
        <w:t xml:space="preserve"> Catal</w:t>
      </w:r>
      <w:r w:rsidR="00845227">
        <w:rPr>
          <w:i/>
        </w:rPr>
        <w:t xml:space="preserve">. </w:t>
      </w:r>
      <w:r w:rsidR="00845227" w:rsidRPr="001A72AC">
        <w:rPr>
          <w:i/>
        </w:rPr>
        <w:t>B: Enzym</w:t>
      </w:r>
      <w:r w:rsidR="00845227">
        <w:rPr>
          <w:i/>
        </w:rPr>
        <w:t>.</w:t>
      </w:r>
      <w:r w:rsidR="00845227" w:rsidRPr="001A72AC">
        <w:rPr>
          <w:i/>
        </w:rPr>
        <w:t xml:space="preserve"> </w:t>
      </w:r>
      <w:r w:rsidR="00845227" w:rsidRPr="001A72AC">
        <w:rPr>
          <w:b/>
        </w:rPr>
        <w:t>2003</w:t>
      </w:r>
      <w:r w:rsidR="00845227" w:rsidRPr="001A72AC">
        <w:t xml:space="preserve">, </w:t>
      </w:r>
      <w:r w:rsidR="00845227" w:rsidRPr="001A72AC">
        <w:rPr>
          <w:i/>
        </w:rPr>
        <w:t>23</w:t>
      </w:r>
      <w:r w:rsidR="00845227" w:rsidRPr="001A72AC">
        <w:t>, 299-309.</w:t>
      </w:r>
    </w:p>
    <w:p w14:paraId="53AC62AD" w14:textId="2A121C0F" w:rsidR="00845227" w:rsidRPr="001A72AC" w:rsidRDefault="00341B64" w:rsidP="00845227">
      <w:pPr>
        <w:pStyle w:val="EndNoteBibliography"/>
        <w:ind w:left="720" w:hanging="720"/>
      </w:pPr>
      <w:r>
        <w:t>[27</w:t>
      </w:r>
      <w:r w:rsidR="00845227" w:rsidRPr="001A72AC">
        <w:t>]</w:t>
      </w:r>
      <w:r w:rsidR="00845227" w:rsidRPr="001A72AC">
        <w:tab/>
        <w:t xml:space="preserve">R. D. Franklin, C. J. Mount, B. R. Bommarius, A. S. Bommarius, </w:t>
      </w:r>
      <w:r w:rsidR="00845227" w:rsidRPr="001A72AC">
        <w:rPr>
          <w:i/>
        </w:rPr>
        <w:t xml:space="preserve">ChemCatChem </w:t>
      </w:r>
      <w:r w:rsidR="00845227" w:rsidRPr="001A72AC">
        <w:rPr>
          <w:b/>
        </w:rPr>
        <w:t>2020</w:t>
      </w:r>
      <w:r w:rsidR="00845227">
        <w:t xml:space="preserve">, </w:t>
      </w:r>
      <w:r w:rsidR="00845227" w:rsidRPr="00CC15C1">
        <w:rPr>
          <w:i/>
        </w:rPr>
        <w:t>12</w:t>
      </w:r>
      <w:r w:rsidR="00845227">
        <w:t xml:space="preserve">, </w:t>
      </w:r>
      <w:r w:rsidR="00845227" w:rsidRPr="00CC15C1">
        <w:t>2436-2439</w:t>
      </w:r>
      <w:r w:rsidR="00845227">
        <w:t>.</w:t>
      </w:r>
    </w:p>
    <w:p w14:paraId="175269C1" w14:textId="472B9425" w:rsidR="00845227" w:rsidRPr="001A72AC" w:rsidRDefault="00341B64" w:rsidP="00845227">
      <w:pPr>
        <w:pStyle w:val="EndNoteBibliography"/>
        <w:ind w:left="720" w:hanging="720"/>
      </w:pPr>
      <w:r>
        <w:t>[28</w:t>
      </w:r>
      <w:r w:rsidR="00845227" w:rsidRPr="001A72AC">
        <w:t>]</w:t>
      </w:r>
      <w:r w:rsidR="00845227" w:rsidRPr="001A72AC">
        <w:tab/>
        <w:t>R. J. David, H. Ling, M. Martin, N. Scott,</w:t>
      </w:r>
      <w:r w:rsidR="00845227" w:rsidRPr="00CC15C1">
        <w:t xml:space="preserve"> </w:t>
      </w:r>
      <w:r w:rsidR="00845227" w:rsidRPr="00F81156">
        <w:rPr>
          <w:b/>
        </w:rPr>
        <w:t>2004</w:t>
      </w:r>
      <w:r w:rsidR="00845227">
        <w:t xml:space="preserve">, </w:t>
      </w:r>
      <w:r w:rsidR="00845227" w:rsidRPr="00F81156">
        <w:t>Mutants of en</w:t>
      </w:r>
      <w:r w:rsidR="00845227">
        <w:t>zymes and methods for their use. US Patent 20040115691.</w:t>
      </w:r>
    </w:p>
    <w:p w14:paraId="4FAFE1F6" w14:textId="7C2333E6" w:rsidR="00845227" w:rsidRDefault="00341B64" w:rsidP="00845227">
      <w:pPr>
        <w:pStyle w:val="EndNoteBibliography"/>
        <w:ind w:left="720" w:hanging="720"/>
      </w:pPr>
      <w:r>
        <w:t>[29</w:t>
      </w:r>
      <w:r w:rsidR="00845227" w:rsidRPr="001A72AC">
        <w:t>]</w:t>
      </w:r>
      <w:r w:rsidR="00845227" w:rsidRPr="001A72AC">
        <w:tab/>
        <w:t xml:space="preserve">W. Jiang, Y. Wang, </w:t>
      </w:r>
      <w:r w:rsidR="00845227" w:rsidRPr="001A72AC">
        <w:rPr>
          <w:i/>
        </w:rPr>
        <w:t>J</w:t>
      </w:r>
      <w:r w:rsidR="00845227">
        <w:rPr>
          <w:i/>
        </w:rPr>
        <w:t>. Microbiol.</w:t>
      </w:r>
      <w:r w:rsidR="00845227" w:rsidRPr="001A72AC">
        <w:rPr>
          <w:i/>
        </w:rPr>
        <w:t xml:space="preserve"> </w:t>
      </w:r>
      <w:r w:rsidR="00845227">
        <w:rPr>
          <w:i/>
        </w:rPr>
        <w:t>Biotechnol.</w:t>
      </w:r>
      <w:r w:rsidR="00845227" w:rsidRPr="001A72AC">
        <w:rPr>
          <w:i/>
        </w:rPr>
        <w:t xml:space="preserve"> </w:t>
      </w:r>
      <w:r w:rsidR="00845227" w:rsidRPr="001A72AC">
        <w:rPr>
          <w:b/>
        </w:rPr>
        <w:t>2020</w:t>
      </w:r>
      <w:r w:rsidR="00845227" w:rsidRPr="001A72AC">
        <w:t xml:space="preserve">, </w:t>
      </w:r>
      <w:r w:rsidR="00845227" w:rsidRPr="001A72AC">
        <w:rPr>
          <w:i/>
        </w:rPr>
        <w:t>30</w:t>
      </w:r>
      <w:r w:rsidR="00845227" w:rsidRPr="001A72AC">
        <w:t>, 146-154.</w:t>
      </w:r>
    </w:p>
    <w:p w14:paraId="297C73D5" w14:textId="7277C5D9" w:rsidR="00845227" w:rsidRPr="001A72AC" w:rsidRDefault="00341B64" w:rsidP="00845227">
      <w:pPr>
        <w:pStyle w:val="EndNoteBibliography"/>
        <w:ind w:left="720" w:hanging="720"/>
      </w:pPr>
      <w:r>
        <w:t>[30</w:t>
      </w:r>
      <w:r w:rsidR="00845227" w:rsidRPr="001A72AC">
        <w:t>]</w:t>
      </w:r>
      <w:r w:rsidR="00845227" w:rsidRPr="001A72AC">
        <w:tab/>
      </w:r>
      <w:r w:rsidR="00F34EE9">
        <w:t>V. Tseliou, M. F. Masman, W. Bö</w:t>
      </w:r>
      <w:r w:rsidR="00845227" w:rsidRPr="0075529B">
        <w:t xml:space="preserve">hmer, T. Knaus, F. G. Mutti, </w:t>
      </w:r>
      <w:r w:rsidR="00845227" w:rsidRPr="0075529B">
        <w:rPr>
          <w:i/>
        </w:rPr>
        <w:t>ChemBioChem</w:t>
      </w:r>
      <w:r w:rsidR="00845227" w:rsidRPr="0075529B">
        <w:t xml:space="preserve"> </w:t>
      </w:r>
      <w:r w:rsidR="00845227" w:rsidRPr="0075529B">
        <w:rPr>
          <w:b/>
        </w:rPr>
        <w:t>2019</w:t>
      </w:r>
      <w:r w:rsidR="00845227" w:rsidRPr="0075529B">
        <w:t xml:space="preserve">, </w:t>
      </w:r>
      <w:r w:rsidR="00845227" w:rsidRPr="0075529B">
        <w:rPr>
          <w:i/>
        </w:rPr>
        <w:t>20</w:t>
      </w:r>
      <w:r w:rsidR="00845227" w:rsidRPr="0075529B">
        <w:t>, 800-812.</w:t>
      </w:r>
    </w:p>
    <w:p w14:paraId="26748793" w14:textId="04EC5EA8" w:rsidR="00845227" w:rsidRPr="005A5109" w:rsidRDefault="00341B64" w:rsidP="00845227">
      <w:pPr>
        <w:pStyle w:val="EndNoteBibliography"/>
        <w:ind w:left="720" w:hanging="720"/>
      </w:pPr>
      <w:r>
        <w:t>[31</w:t>
      </w:r>
      <w:r w:rsidR="00845227" w:rsidRPr="005A5109">
        <w:t>]</w:t>
      </w:r>
      <w:r w:rsidR="00845227" w:rsidRPr="005A5109">
        <w:tab/>
        <w:t xml:space="preserve">V. Tseliou, T. Knaus, M. F. Masman, M. L. Corrado, F. G. Mutti, </w:t>
      </w:r>
      <w:r w:rsidR="00845227" w:rsidRPr="005A5109">
        <w:rPr>
          <w:i/>
        </w:rPr>
        <w:t>Nat</w:t>
      </w:r>
      <w:r w:rsidR="00845227">
        <w:rPr>
          <w:i/>
        </w:rPr>
        <w:t>.</w:t>
      </w:r>
      <w:r w:rsidR="00845227" w:rsidRPr="005A5109">
        <w:rPr>
          <w:i/>
        </w:rPr>
        <w:t xml:space="preserve"> Commun</w:t>
      </w:r>
      <w:r w:rsidR="00845227">
        <w:rPr>
          <w:i/>
        </w:rPr>
        <w:t>.</w:t>
      </w:r>
      <w:r w:rsidR="00845227" w:rsidRPr="005A5109">
        <w:rPr>
          <w:i/>
        </w:rPr>
        <w:t xml:space="preserve"> </w:t>
      </w:r>
      <w:r w:rsidR="00845227" w:rsidRPr="005A5109">
        <w:rPr>
          <w:b/>
        </w:rPr>
        <w:t>2019</w:t>
      </w:r>
      <w:r w:rsidR="00845227" w:rsidRPr="005A5109">
        <w:t xml:space="preserve">, </w:t>
      </w:r>
      <w:r w:rsidR="00845227" w:rsidRPr="005A5109">
        <w:rPr>
          <w:i/>
        </w:rPr>
        <w:t>10</w:t>
      </w:r>
      <w:r w:rsidR="00845227" w:rsidRPr="005A5109">
        <w:t>, 3717.</w:t>
      </w:r>
    </w:p>
    <w:p w14:paraId="5F81DA08" w14:textId="1AE08647" w:rsidR="00845227" w:rsidRPr="005A5109" w:rsidRDefault="00341B64" w:rsidP="00845227">
      <w:pPr>
        <w:pStyle w:val="EndNoteBibliography"/>
        <w:ind w:left="720" w:hanging="720"/>
      </w:pPr>
      <w:r>
        <w:t>[32</w:t>
      </w:r>
      <w:r w:rsidR="00845227" w:rsidRPr="005A5109">
        <w:t>]</w:t>
      </w:r>
      <w:r w:rsidR="00845227" w:rsidRPr="005A5109">
        <w:tab/>
      </w:r>
      <w:r w:rsidR="00845227">
        <w:t xml:space="preserve">Springer Handbook of Enzymes, in </w:t>
      </w:r>
      <w:r w:rsidR="00845227" w:rsidRPr="004772AF">
        <w:rPr>
          <w:i/>
        </w:rPr>
        <w:t>d-Octopine dehydrogenase</w:t>
      </w:r>
      <w:r w:rsidR="00845227">
        <w:t>, Vol. 23 (Eds.: Schomburg D., Schomburg I.),</w:t>
      </w:r>
      <w:r w:rsidR="00845227" w:rsidRPr="004772AF">
        <w:t xml:space="preserve"> Springer, Berlin, Heidelberg</w:t>
      </w:r>
      <w:r w:rsidR="00845227">
        <w:t xml:space="preserve">, </w:t>
      </w:r>
      <w:r w:rsidR="00845227" w:rsidRPr="00140E67">
        <w:rPr>
          <w:b/>
        </w:rPr>
        <w:t>2005</w:t>
      </w:r>
      <w:r w:rsidR="00845227" w:rsidRPr="00140E67">
        <w:t>, pp. 108-121</w:t>
      </w:r>
      <w:r w:rsidR="00845227">
        <w:t>.</w:t>
      </w:r>
    </w:p>
    <w:p w14:paraId="139657A0" w14:textId="03B4EA3A" w:rsidR="00845227" w:rsidRPr="005A5109" w:rsidRDefault="00341B64" w:rsidP="00845227">
      <w:pPr>
        <w:pStyle w:val="EndNoteBibliography"/>
        <w:ind w:left="720" w:hanging="720"/>
      </w:pPr>
      <w:r>
        <w:t>[33</w:t>
      </w:r>
      <w:r w:rsidR="00845227" w:rsidRPr="005A5109">
        <w:t>]</w:t>
      </w:r>
      <w:r w:rsidR="00845227" w:rsidRPr="005A5109">
        <w:tab/>
        <w:t xml:space="preserve">S. Watanabe, R. Sueda, F. Fukumori, Y. Watanabe, </w:t>
      </w:r>
      <w:r w:rsidR="00845227" w:rsidRPr="005A5109">
        <w:rPr>
          <w:i/>
        </w:rPr>
        <w:t xml:space="preserve">PloS </w:t>
      </w:r>
      <w:r w:rsidR="00845227">
        <w:rPr>
          <w:i/>
        </w:rPr>
        <w:t>ONE</w:t>
      </w:r>
      <w:r w:rsidR="00845227" w:rsidRPr="005A5109">
        <w:rPr>
          <w:i/>
        </w:rPr>
        <w:t xml:space="preserve"> </w:t>
      </w:r>
      <w:r w:rsidR="00845227" w:rsidRPr="005A5109">
        <w:rPr>
          <w:b/>
        </w:rPr>
        <w:t>2015</w:t>
      </w:r>
      <w:r w:rsidR="00845227" w:rsidRPr="005A5109">
        <w:t xml:space="preserve">, </w:t>
      </w:r>
      <w:r w:rsidR="00845227" w:rsidRPr="005A5109">
        <w:rPr>
          <w:i/>
        </w:rPr>
        <w:t>10</w:t>
      </w:r>
      <w:r w:rsidR="00845227" w:rsidRPr="005A5109">
        <w:t>, e0138434.</w:t>
      </w:r>
    </w:p>
    <w:p w14:paraId="09AC4C20" w14:textId="08F15779" w:rsidR="00845227" w:rsidRPr="005A5109" w:rsidRDefault="00341B64" w:rsidP="00845227">
      <w:pPr>
        <w:pStyle w:val="EndNoteBibliography"/>
        <w:ind w:left="720" w:hanging="720"/>
      </w:pPr>
      <w:r>
        <w:t>[34</w:t>
      </w:r>
      <w:r w:rsidR="00845227" w:rsidRPr="005A5109">
        <w:t>]</w:t>
      </w:r>
      <w:r w:rsidR="00845227" w:rsidRPr="005A5109">
        <w:tab/>
        <w:t xml:space="preserve">Y. Asano, K. Yamaguchi, K. Kondo, </w:t>
      </w:r>
      <w:r w:rsidR="00845227" w:rsidRPr="005A5109">
        <w:rPr>
          <w:i/>
        </w:rPr>
        <w:t>J</w:t>
      </w:r>
      <w:r w:rsidR="00845227">
        <w:rPr>
          <w:i/>
        </w:rPr>
        <w:t>. B</w:t>
      </w:r>
      <w:r w:rsidR="00845227" w:rsidRPr="005A5109">
        <w:rPr>
          <w:i/>
        </w:rPr>
        <w:t>acteriol</w:t>
      </w:r>
      <w:r w:rsidR="00845227">
        <w:rPr>
          <w:i/>
        </w:rPr>
        <w:t xml:space="preserve">. </w:t>
      </w:r>
      <w:r w:rsidR="00845227" w:rsidRPr="005A5109">
        <w:rPr>
          <w:b/>
        </w:rPr>
        <w:t>1989</w:t>
      </w:r>
      <w:r w:rsidR="00845227" w:rsidRPr="005A5109">
        <w:t xml:space="preserve">, </w:t>
      </w:r>
      <w:r w:rsidR="00845227" w:rsidRPr="005A5109">
        <w:rPr>
          <w:i/>
        </w:rPr>
        <w:t>171</w:t>
      </w:r>
      <w:r w:rsidR="00845227" w:rsidRPr="005A5109">
        <w:t>, 4466-4471.</w:t>
      </w:r>
    </w:p>
    <w:p w14:paraId="31F1278A" w14:textId="75D990B2" w:rsidR="00845227" w:rsidRPr="005A5109" w:rsidRDefault="00341B64" w:rsidP="00845227">
      <w:pPr>
        <w:pStyle w:val="EndNoteBibliography"/>
        <w:ind w:left="720" w:hanging="720"/>
      </w:pPr>
      <w:r>
        <w:t>[35</w:t>
      </w:r>
      <w:r w:rsidR="00845227" w:rsidRPr="005A5109">
        <w:t>]</w:t>
      </w:r>
      <w:r w:rsidR="00845227" w:rsidRPr="005A5109">
        <w:tab/>
      </w:r>
      <w:r w:rsidR="00845227">
        <w:t xml:space="preserve">S.H.J. Smits, A. Mueller, L. Schmitt, M. K. Grieshaber, </w:t>
      </w:r>
      <w:r w:rsidR="00845227" w:rsidRPr="00487E53">
        <w:rPr>
          <w:i/>
        </w:rPr>
        <w:t>J. Mol. Biol.</w:t>
      </w:r>
      <w:r w:rsidR="00845227">
        <w:t xml:space="preserve"> </w:t>
      </w:r>
      <w:r w:rsidR="00845227" w:rsidRPr="00487E53">
        <w:rPr>
          <w:b/>
        </w:rPr>
        <w:t>2008</w:t>
      </w:r>
      <w:r w:rsidR="00845227">
        <w:t xml:space="preserve">, </w:t>
      </w:r>
      <w:r w:rsidR="00845227" w:rsidRPr="00487E53">
        <w:rPr>
          <w:i/>
        </w:rPr>
        <w:t>381</w:t>
      </w:r>
      <w:r w:rsidR="00845227">
        <w:t>, 200-211.</w:t>
      </w:r>
    </w:p>
    <w:p w14:paraId="0B86B0A7" w14:textId="3751946A" w:rsidR="00845227" w:rsidRPr="005A5109" w:rsidRDefault="00341B64" w:rsidP="00845227">
      <w:pPr>
        <w:pStyle w:val="EndNoteBibliography"/>
        <w:ind w:left="720" w:hanging="720"/>
      </w:pPr>
      <w:r>
        <w:t>[36</w:t>
      </w:r>
      <w:r w:rsidR="00845227" w:rsidRPr="005A5109">
        <w:t>]</w:t>
      </w:r>
      <w:r w:rsidR="00845227" w:rsidRPr="005A5109">
        <w:tab/>
        <w:t xml:space="preserve">S. H. J. Smits, T. Meyer, A. Müller, N. van Os, M. Stoldt, D. Willbold, L. Schmitt, M. K. Grieshaber, </w:t>
      </w:r>
      <w:r w:rsidR="00845227" w:rsidRPr="005A5109">
        <w:rPr>
          <w:i/>
        </w:rPr>
        <w:t xml:space="preserve">PloS </w:t>
      </w:r>
      <w:r w:rsidR="00845227">
        <w:rPr>
          <w:i/>
        </w:rPr>
        <w:t>ONE</w:t>
      </w:r>
      <w:r w:rsidR="00845227" w:rsidRPr="005A5109">
        <w:rPr>
          <w:i/>
        </w:rPr>
        <w:t xml:space="preserve"> </w:t>
      </w:r>
      <w:r w:rsidR="00845227" w:rsidRPr="005A5109">
        <w:rPr>
          <w:b/>
        </w:rPr>
        <w:t>2010</w:t>
      </w:r>
      <w:r w:rsidR="00845227" w:rsidRPr="005A5109">
        <w:t xml:space="preserve">, </w:t>
      </w:r>
      <w:r w:rsidR="00845227" w:rsidRPr="005A5109">
        <w:rPr>
          <w:i/>
        </w:rPr>
        <w:t>5</w:t>
      </w:r>
      <w:r w:rsidR="00845227">
        <w:t>, e12312.</w:t>
      </w:r>
    </w:p>
    <w:p w14:paraId="4933B023" w14:textId="62D2AABE" w:rsidR="00845227" w:rsidRPr="005A5109" w:rsidRDefault="00341B64" w:rsidP="00845227">
      <w:pPr>
        <w:pStyle w:val="EndNoteBibliography"/>
        <w:ind w:left="720" w:hanging="720"/>
      </w:pPr>
      <w:r>
        <w:t>[37</w:t>
      </w:r>
      <w:r w:rsidR="00845227" w:rsidRPr="005A5109">
        <w:t>]</w:t>
      </w:r>
      <w:r w:rsidR="00845227" w:rsidRPr="005A5109">
        <w:tab/>
      </w:r>
      <w:r w:rsidR="00845227">
        <w:t xml:space="preserve">H. Chen, J. Moore, S.J. Collier, D.Smith, J. Nazor, G. Hughes, J. Janey, G. Huisman, S. Novick, N.Agard, O. Alvizo, G. Cope, W-L. Yeo, J. Sukumaran, S. Ng, </w:t>
      </w:r>
      <w:r w:rsidR="00845227" w:rsidRPr="00487E53">
        <w:rPr>
          <w:b/>
        </w:rPr>
        <w:t>2013</w:t>
      </w:r>
      <w:r w:rsidR="00845227">
        <w:t>, Engineered imine reductases and methods for the reductive amination of ketone and amine compounds. US Patent Application 20130302859.</w:t>
      </w:r>
    </w:p>
    <w:p w14:paraId="5EF914C4" w14:textId="050D415F" w:rsidR="00845227" w:rsidRPr="005A5109" w:rsidRDefault="00341B64" w:rsidP="00845227">
      <w:pPr>
        <w:pStyle w:val="EndNoteBibliography"/>
        <w:ind w:left="720" w:hanging="720"/>
      </w:pPr>
      <w:r>
        <w:t>[38</w:t>
      </w:r>
      <w:r w:rsidR="00845227" w:rsidRPr="005A5109">
        <w:t>]</w:t>
      </w:r>
      <w:r w:rsidR="00845227" w:rsidRPr="005A5109">
        <w:tab/>
        <w:t xml:space="preserve">N. Itoh, C. Yachi, T. Kudome, </w:t>
      </w:r>
      <w:r w:rsidR="00845227" w:rsidRPr="005A5109">
        <w:rPr>
          <w:i/>
        </w:rPr>
        <w:t>J</w:t>
      </w:r>
      <w:r w:rsidR="00845227">
        <w:rPr>
          <w:i/>
        </w:rPr>
        <w:t xml:space="preserve">. </w:t>
      </w:r>
      <w:r w:rsidR="00845227" w:rsidRPr="005A5109">
        <w:rPr>
          <w:i/>
        </w:rPr>
        <w:t>Mol</w:t>
      </w:r>
      <w:r w:rsidR="00845227">
        <w:rPr>
          <w:i/>
        </w:rPr>
        <w:t>.</w:t>
      </w:r>
      <w:r w:rsidR="00845227" w:rsidRPr="005A5109">
        <w:rPr>
          <w:i/>
        </w:rPr>
        <w:t xml:space="preserve"> Catal</w:t>
      </w:r>
      <w:r w:rsidR="00845227">
        <w:rPr>
          <w:i/>
        </w:rPr>
        <w:t>.</w:t>
      </w:r>
      <w:r w:rsidR="00845227" w:rsidRPr="005A5109">
        <w:rPr>
          <w:i/>
        </w:rPr>
        <w:t xml:space="preserve"> B: Enzym</w:t>
      </w:r>
      <w:r w:rsidR="00845227">
        <w:rPr>
          <w:i/>
        </w:rPr>
        <w:t>.</w:t>
      </w:r>
      <w:r w:rsidR="00845227" w:rsidRPr="005A5109">
        <w:rPr>
          <w:i/>
        </w:rPr>
        <w:t xml:space="preserve"> </w:t>
      </w:r>
      <w:r w:rsidR="00845227" w:rsidRPr="005A5109">
        <w:rPr>
          <w:b/>
        </w:rPr>
        <w:t>2000</w:t>
      </w:r>
      <w:r w:rsidR="00845227" w:rsidRPr="005A5109">
        <w:t xml:space="preserve">, </w:t>
      </w:r>
      <w:r w:rsidR="00845227" w:rsidRPr="005A5109">
        <w:rPr>
          <w:i/>
        </w:rPr>
        <w:t>10</w:t>
      </w:r>
      <w:r w:rsidR="00845227" w:rsidRPr="005A5109">
        <w:t>, 281-290.</w:t>
      </w:r>
    </w:p>
    <w:p w14:paraId="149E8C2E" w14:textId="4061A6B2" w:rsidR="00845227" w:rsidRPr="005A5109" w:rsidRDefault="00341B64" w:rsidP="00845227">
      <w:pPr>
        <w:pStyle w:val="EndNoteBibliography"/>
        <w:ind w:left="720" w:hanging="720"/>
      </w:pPr>
      <w:r>
        <w:t>[39</w:t>
      </w:r>
      <w:r w:rsidR="00845227" w:rsidRPr="005A5109">
        <w:t>]</w:t>
      </w:r>
      <w:r w:rsidR="00845227" w:rsidRPr="005A5109">
        <w:tab/>
        <w:t>a</w:t>
      </w:r>
      <w:r w:rsidR="00845227">
        <w:t xml:space="preserve">) </w:t>
      </w:r>
      <w:r w:rsidR="00845227" w:rsidRPr="005A5109">
        <w:t>S. Wang, B. Fang</w:t>
      </w:r>
      <w:r w:rsidR="00845227">
        <w:t xml:space="preserve">, </w:t>
      </w:r>
      <w:r w:rsidR="00845227" w:rsidRPr="00982F0C">
        <w:t>Method for preparing chiral amine through asymmetric reduction under catalysis of marine strain OTI</w:t>
      </w:r>
      <w:r w:rsidR="00845227">
        <w:t xml:space="preserve">, </w:t>
      </w:r>
      <w:r w:rsidR="00845227" w:rsidRPr="00982F0C">
        <w:rPr>
          <w:b/>
        </w:rPr>
        <w:t>2013</w:t>
      </w:r>
      <w:r w:rsidR="00845227">
        <w:t>, Chinese Patent 103224963;</w:t>
      </w:r>
      <w:r w:rsidR="00845227" w:rsidRPr="005A5109">
        <w:t xml:space="preserve"> b</w:t>
      </w:r>
      <w:r w:rsidR="00845227">
        <w:t xml:space="preserve">) </w:t>
      </w:r>
      <w:r w:rsidR="00845227" w:rsidRPr="005A5109">
        <w:t xml:space="preserve">S. Wang, </w:t>
      </w:r>
      <w:r w:rsidR="00845227" w:rsidRPr="00982F0C">
        <w:t>Marine strain and its preparation method of chiral amines amine dehydrogenase</w:t>
      </w:r>
      <w:r w:rsidR="00845227">
        <w:t xml:space="preserve">. </w:t>
      </w:r>
      <w:r w:rsidR="00845227" w:rsidRPr="00982F0C">
        <w:rPr>
          <w:b/>
        </w:rPr>
        <w:t>2016</w:t>
      </w:r>
      <w:r w:rsidR="00845227">
        <w:t xml:space="preserve">, Chinese Patent </w:t>
      </w:r>
      <w:r w:rsidR="00845227" w:rsidRPr="00982F0C">
        <w:t>105567756.</w:t>
      </w:r>
    </w:p>
    <w:p w14:paraId="2174868C" w14:textId="7EDF0456" w:rsidR="00845227" w:rsidRPr="005A5109" w:rsidRDefault="00341B64" w:rsidP="00845227">
      <w:pPr>
        <w:pStyle w:val="EndNoteBibliography"/>
        <w:ind w:left="720" w:hanging="720"/>
      </w:pPr>
      <w:r>
        <w:t>[40</w:t>
      </w:r>
      <w:r w:rsidR="00845227" w:rsidRPr="005A5109">
        <w:t>]</w:t>
      </w:r>
      <w:r w:rsidR="00845227" w:rsidRPr="005A5109">
        <w:tab/>
        <w:t xml:space="preserve">O. Mayol, S. David, E. Darii, A. Debard, A. Mariage, V. Pellouin, J.-L. Petit, M. Salanoubat, V. de Berardinis, A. Zaparucha, C. Vergne-Vaxelaire, </w:t>
      </w:r>
      <w:r w:rsidR="00845227" w:rsidRPr="005A5109">
        <w:rPr>
          <w:i/>
        </w:rPr>
        <w:t>Catal</w:t>
      </w:r>
      <w:r w:rsidR="00845227">
        <w:rPr>
          <w:i/>
        </w:rPr>
        <w:t>.</w:t>
      </w:r>
      <w:r w:rsidR="00845227" w:rsidRPr="005A5109">
        <w:rPr>
          <w:i/>
        </w:rPr>
        <w:t xml:space="preserve"> Sci</w:t>
      </w:r>
      <w:r w:rsidR="00845227">
        <w:rPr>
          <w:i/>
        </w:rPr>
        <w:t xml:space="preserve"> </w:t>
      </w:r>
      <w:r w:rsidR="00845227" w:rsidRPr="005A5109">
        <w:rPr>
          <w:i/>
        </w:rPr>
        <w:t>Technol</w:t>
      </w:r>
      <w:r w:rsidR="00845227">
        <w:rPr>
          <w:i/>
        </w:rPr>
        <w:t xml:space="preserve">. </w:t>
      </w:r>
      <w:r w:rsidR="00845227" w:rsidRPr="005A5109">
        <w:rPr>
          <w:b/>
        </w:rPr>
        <w:t>2016</w:t>
      </w:r>
      <w:r w:rsidR="00845227" w:rsidRPr="005A5109">
        <w:t xml:space="preserve">, </w:t>
      </w:r>
      <w:r w:rsidR="00845227" w:rsidRPr="005A5109">
        <w:rPr>
          <w:i/>
        </w:rPr>
        <w:t>6</w:t>
      </w:r>
      <w:r w:rsidR="00845227" w:rsidRPr="005A5109">
        <w:t>, 7421-7428.</w:t>
      </w:r>
    </w:p>
    <w:p w14:paraId="0E5A676E" w14:textId="59E85A34" w:rsidR="00845227" w:rsidRPr="005A5109" w:rsidRDefault="00341B64" w:rsidP="00845227">
      <w:pPr>
        <w:pStyle w:val="EndNoteBibliography"/>
        <w:ind w:left="720" w:hanging="720"/>
      </w:pPr>
      <w:r>
        <w:t>[41</w:t>
      </w:r>
      <w:r w:rsidR="00845227" w:rsidRPr="005A5109">
        <w:t>]</w:t>
      </w:r>
      <w:r w:rsidR="00845227" w:rsidRPr="005A5109">
        <w:tab/>
        <w:t xml:space="preserve">O. Mayol, K. Bastard, L. Beloti, A. Frese, J. P. Turkenburg, J.-L. Petit, A. Mariage, A. Debard, V. Pellouin, A. Perret, V. de Berardinis, A. Zaparucha, G. Grogan, C. Vergne-Vaxelaire, </w:t>
      </w:r>
      <w:r w:rsidR="00845227">
        <w:rPr>
          <w:i/>
        </w:rPr>
        <w:t>Nat.</w:t>
      </w:r>
      <w:r w:rsidR="00845227" w:rsidRPr="005A5109">
        <w:rPr>
          <w:i/>
        </w:rPr>
        <w:t xml:space="preserve"> Catal</w:t>
      </w:r>
      <w:r w:rsidR="00845227">
        <w:rPr>
          <w:i/>
        </w:rPr>
        <w:t xml:space="preserve">. </w:t>
      </w:r>
      <w:r w:rsidR="00845227" w:rsidRPr="005A5109">
        <w:rPr>
          <w:b/>
        </w:rPr>
        <w:t>2019</w:t>
      </w:r>
      <w:r w:rsidR="00845227">
        <w:t xml:space="preserve">, </w:t>
      </w:r>
      <w:r w:rsidR="00845227" w:rsidRPr="00E0747B">
        <w:rPr>
          <w:i/>
        </w:rPr>
        <w:t>2</w:t>
      </w:r>
      <w:r w:rsidR="00845227">
        <w:t>, 324-333.</w:t>
      </w:r>
    </w:p>
    <w:p w14:paraId="3D3E8DC6" w14:textId="20837034" w:rsidR="00845227" w:rsidRPr="005A5109" w:rsidRDefault="00341B64" w:rsidP="00845227">
      <w:pPr>
        <w:pStyle w:val="EndNoteBibliography"/>
        <w:ind w:left="720" w:hanging="720"/>
      </w:pPr>
      <w:r>
        <w:t>[42</w:t>
      </w:r>
      <w:r w:rsidR="00845227" w:rsidRPr="005A5109">
        <w:t>]</w:t>
      </w:r>
      <w:r w:rsidR="00845227" w:rsidRPr="005A5109">
        <w:tab/>
        <w:t xml:space="preserve">A. A. Caparco, E. Pelletier, J. L. Petit, A. Jouenne, B. R. Bommarius, V. de Berardinis, A. Zaparucha, J. A. Champion, A. S. Bommarius, C. Vergne-Vaxelaire, </w:t>
      </w:r>
      <w:r w:rsidR="00845227" w:rsidRPr="005A5109">
        <w:rPr>
          <w:i/>
        </w:rPr>
        <w:t>Adv</w:t>
      </w:r>
      <w:r w:rsidR="00845227">
        <w:rPr>
          <w:i/>
        </w:rPr>
        <w:t xml:space="preserve">. </w:t>
      </w:r>
      <w:r w:rsidR="00845227" w:rsidRPr="005A5109">
        <w:rPr>
          <w:i/>
        </w:rPr>
        <w:t>Synth</w:t>
      </w:r>
      <w:r w:rsidR="00845227">
        <w:rPr>
          <w:i/>
        </w:rPr>
        <w:t>.</w:t>
      </w:r>
      <w:r w:rsidR="00845227" w:rsidRPr="005A5109">
        <w:rPr>
          <w:i/>
        </w:rPr>
        <w:t xml:space="preserve"> </w:t>
      </w:r>
      <w:r w:rsidR="00845227">
        <w:rPr>
          <w:i/>
        </w:rPr>
        <w:t xml:space="preserve">Catal. </w:t>
      </w:r>
      <w:r w:rsidR="00845227" w:rsidRPr="004304A8">
        <w:rPr>
          <w:b/>
        </w:rPr>
        <w:t>2020</w:t>
      </w:r>
      <w:r w:rsidR="00845227">
        <w:t xml:space="preserve">, </w:t>
      </w:r>
      <w:r w:rsidR="00845227" w:rsidRPr="004304A8">
        <w:rPr>
          <w:i/>
        </w:rPr>
        <w:t>362</w:t>
      </w:r>
      <w:r w:rsidR="00845227">
        <w:t xml:space="preserve">, </w:t>
      </w:r>
      <w:r w:rsidR="00845227" w:rsidRPr="004304A8">
        <w:t>2427-2436</w:t>
      </w:r>
    </w:p>
    <w:p w14:paraId="23D1C238" w14:textId="1B1344D5" w:rsidR="00845227" w:rsidRPr="005A5109" w:rsidRDefault="00341B64" w:rsidP="00845227">
      <w:pPr>
        <w:pStyle w:val="EndNoteBibliography"/>
        <w:ind w:left="720" w:hanging="720"/>
      </w:pPr>
      <w:r>
        <w:t>[43</w:t>
      </w:r>
      <w:r w:rsidR="00845227" w:rsidRPr="005A5109">
        <w:t>]</w:t>
      </w:r>
      <w:r w:rsidR="00845227" w:rsidRPr="005A5109">
        <w:tab/>
        <w:t xml:space="preserve">G. Grogan, N. J. Turner, </w:t>
      </w:r>
      <w:r w:rsidR="00845227">
        <w:rPr>
          <w:i/>
        </w:rPr>
        <w:t xml:space="preserve">Chem. Eur. J. </w:t>
      </w:r>
      <w:r w:rsidR="00845227" w:rsidRPr="005A5109">
        <w:rPr>
          <w:b/>
        </w:rPr>
        <w:t>2016</w:t>
      </w:r>
      <w:r w:rsidR="00845227" w:rsidRPr="005A5109">
        <w:t xml:space="preserve">, </w:t>
      </w:r>
      <w:r w:rsidR="00845227" w:rsidRPr="005A5109">
        <w:rPr>
          <w:i/>
        </w:rPr>
        <w:t>22</w:t>
      </w:r>
      <w:r w:rsidR="00845227" w:rsidRPr="005A5109">
        <w:t>, 1900-1907.</w:t>
      </w:r>
    </w:p>
    <w:p w14:paraId="4114974A" w14:textId="43757DB4" w:rsidR="00845227" w:rsidRPr="005A5109" w:rsidRDefault="00341B64" w:rsidP="00845227">
      <w:pPr>
        <w:pStyle w:val="EndNoteBibliography"/>
        <w:ind w:left="720" w:hanging="720"/>
      </w:pPr>
      <w:r>
        <w:t>[44</w:t>
      </w:r>
      <w:r w:rsidR="00845227" w:rsidRPr="005A5109">
        <w:t>]</w:t>
      </w:r>
      <w:r w:rsidR="00845227" w:rsidRPr="005A5109">
        <w:tab/>
        <w:t>a</w:t>
      </w:r>
      <w:r w:rsidR="00845227">
        <w:t xml:space="preserve">) </w:t>
      </w:r>
      <w:r w:rsidR="00845227" w:rsidRPr="005A5109">
        <w:t xml:space="preserve">K. Mitsukura, T. Kuramoto, T. Yoshida, N. Kimoto, H. Yamamoto, T. Nagasawa, </w:t>
      </w:r>
      <w:r w:rsidR="00845227" w:rsidRPr="005A5109">
        <w:rPr>
          <w:i/>
        </w:rPr>
        <w:t>Appl</w:t>
      </w:r>
      <w:r w:rsidR="00845227">
        <w:rPr>
          <w:i/>
        </w:rPr>
        <w:t>.</w:t>
      </w:r>
      <w:r w:rsidR="00845227" w:rsidRPr="005A5109">
        <w:rPr>
          <w:i/>
        </w:rPr>
        <w:t xml:space="preserve"> Microbiol</w:t>
      </w:r>
      <w:r w:rsidR="00845227">
        <w:rPr>
          <w:i/>
        </w:rPr>
        <w:t>.</w:t>
      </w:r>
      <w:r w:rsidR="00845227" w:rsidRPr="005A5109">
        <w:rPr>
          <w:i/>
        </w:rPr>
        <w:t xml:space="preserve"> Biotechnol</w:t>
      </w:r>
      <w:r w:rsidR="00845227">
        <w:rPr>
          <w:i/>
        </w:rPr>
        <w:t>.</w:t>
      </w:r>
      <w:r w:rsidR="00845227" w:rsidRPr="005A5109">
        <w:rPr>
          <w:i/>
        </w:rPr>
        <w:t xml:space="preserve"> </w:t>
      </w:r>
      <w:r w:rsidR="00845227" w:rsidRPr="005A5109">
        <w:rPr>
          <w:b/>
        </w:rPr>
        <w:t>2013</w:t>
      </w:r>
      <w:r w:rsidR="00845227" w:rsidRPr="005A5109">
        <w:t xml:space="preserve">, </w:t>
      </w:r>
      <w:r w:rsidR="00845227" w:rsidRPr="005A5109">
        <w:rPr>
          <w:i/>
        </w:rPr>
        <w:t>97</w:t>
      </w:r>
      <w:r w:rsidR="00845227" w:rsidRPr="005A5109">
        <w:t>, 8079-8086; b</w:t>
      </w:r>
      <w:r w:rsidR="00845227">
        <w:t xml:space="preserve">) </w:t>
      </w:r>
      <w:r w:rsidR="00845227" w:rsidRPr="005A5109">
        <w:t xml:space="preserve">K. Mitsukura, M. Suzuki, S. Shinoda, T. Kuramoto, T. Yoshida, T. Nagasawa, </w:t>
      </w:r>
      <w:r w:rsidR="00845227">
        <w:rPr>
          <w:i/>
        </w:rPr>
        <w:t>Biosci.</w:t>
      </w:r>
      <w:r w:rsidR="00845227" w:rsidRPr="005A5109">
        <w:rPr>
          <w:i/>
        </w:rPr>
        <w:t>, Biotechnol</w:t>
      </w:r>
      <w:r w:rsidR="00845227">
        <w:rPr>
          <w:i/>
        </w:rPr>
        <w:t xml:space="preserve">. Biochem. </w:t>
      </w:r>
      <w:r w:rsidR="00845227" w:rsidRPr="005A5109">
        <w:rPr>
          <w:b/>
        </w:rPr>
        <w:t>2011</w:t>
      </w:r>
      <w:r w:rsidR="00845227" w:rsidRPr="005A5109">
        <w:t xml:space="preserve">, </w:t>
      </w:r>
      <w:r w:rsidR="00845227" w:rsidRPr="005A5109">
        <w:rPr>
          <w:i/>
        </w:rPr>
        <w:t>75</w:t>
      </w:r>
      <w:r w:rsidR="00845227" w:rsidRPr="005A5109">
        <w:t>, 1778-1782.</w:t>
      </w:r>
    </w:p>
    <w:p w14:paraId="4DFCCD85" w14:textId="3C57B8B3" w:rsidR="00845227" w:rsidRPr="005A5109" w:rsidRDefault="00341B64" w:rsidP="00845227">
      <w:pPr>
        <w:pStyle w:val="EndNoteBibliography"/>
        <w:ind w:left="720" w:hanging="720"/>
      </w:pPr>
      <w:r>
        <w:t>[45</w:t>
      </w:r>
      <w:r w:rsidR="00845227" w:rsidRPr="005A5109">
        <w:t>]</w:t>
      </w:r>
      <w:r w:rsidR="00845227" w:rsidRPr="005A5109">
        <w:tab/>
        <w:t xml:space="preserve">T. Huber, L. Schneider, A. Präg, S. Gerhardt, O. Einsle, M. Müller, </w:t>
      </w:r>
      <w:r w:rsidR="00845227" w:rsidRPr="005A5109">
        <w:rPr>
          <w:i/>
        </w:rPr>
        <w:t xml:space="preserve">ChemCatChem </w:t>
      </w:r>
      <w:r w:rsidR="00845227" w:rsidRPr="005A5109">
        <w:rPr>
          <w:b/>
        </w:rPr>
        <w:t>2014</w:t>
      </w:r>
      <w:r w:rsidR="00845227" w:rsidRPr="005A5109">
        <w:t xml:space="preserve">, </w:t>
      </w:r>
      <w:r w:rsidR="00845227" w:rsidRPr="005A5109">
        <w:rPr>
          <w:i/>
        </w:rPr>
        <w:t>6</w:t>
      </w:r>
      <w:r w:rsidR="00845227" w:rsidRPr="005A5109">
        <w:t>, 2248-2252.</w:t>
      </w:r>
    </w:p>
    <w:p w14:paraId="766546C6" w14:textId="11218BB8" w:rsidR="00845227" w:rsidRPr="005A5109" w:rsidRDefault="00341B64" w:rsidP="00845227">
      <w:pPr>
        <w:pStyle w:val="EndNoteBibliography"/>
        <w:ind w:left="720" w:hanging="720"/>
      </w:pPr>
      <w:r>
        <w:t>[46</w:t>
      </w:r>
      <w:r w:rsidR="00845227" w:rsidRPr="005A5109">
        <w:t>]</w:t>
      </w:r>
      <w:r w:rsidR="00845227" w:rsidRPr="005A5109">
        <w:tab/>
        <w:t xml:space="preserve">P. N. Scheller, M. Lenz, S. C. Hammer, B. Hauer, B. M. Nestl, </w:t>
      </w:r>
      <w:r w:rsidR="00845227" w:rsidRPr="005A5109">
        <w:rPr>
          <w:i/>
        </w:rPr>
        <w:t xml:space="preserve">ChemCatChem </w:t>
      </w:r>
      <w:r w:rsidR="00845227" w:rsidRPr="005A5109">
        <w:rPr>
          <w:b/>
        </w:rPr>
        <w:t>2015</w:t>
      </w:r>
      <w:r w:rsidR="00845227" w:rsidRPr="005A5109">
        <w:t xml:space="preserve">, </w:t>
      </w:r>
      <w:r w:rsidR="00845227" w:rsidRPr="005A5109">
        <w:rPr>
          <w:i/>
        </w:rPr>
        <w:t>7</w:t>
      </w:r>
      <w:r w:rsidR="00845227" w:rsidRPr="005A5109">
        <w:t>, 3239-3242.</w:t>
      </w:r>
    </w:p>
    <w:p w14:paraId="26590381" w14:textId="7C58DA30" w:rsidR="00845227" w:rsidRPr="005A5109" w:rsidRDefault="00341B64" w:rsidP="00845227">
      <w:pPr>
        <w:pStyle w:val="EndNoteBibliography"/>
        <w:ind w:left="720" w:hanging="720"/>
      </w:pPr>
      <w:r>
        <w:t>[47</w:t>
      </w:r>
      <w:r w:rsidR="00845227" w:rsidRPr="005A5109">
        <w:t>]</w:t>
      </w:r>
      <w:r w:rsidR="00845227" w:rsidRPr="005A5109">
        <w:tab/>
        <w:t xml:space="preserve">D. Wetzl, M. Gand, A. Ross, H. Müller, P. Matzel, S. P. Hanlon, M. Müller, B. Wirz, M. Höhne, H. Iding, </w:t>
      </w:r>
      <w:r w:rsidR="00845227" w:rsidRPr="005A5109">
        <w:rPr>
          <w:i/>
        </w:rPr>
        <w:t xml:space="preserve">ChemCatChem </w:t>
      </w:r>
      <w:r w:rsidR="00845227" w:rsidRPr="005A5109">
        <w:rPr>
          <w:b/>
        </w:rPr>
        <w:t>2016</w:t>
      </w:r>
      <w:r w:rsidR="00845227" w:rsidRPr="005A5109">
        <w:t xml:space="preserve">, </w:t>
      </w:r>
      <w:r w:rsidR="00845227" w:rsidRPr="005A5109">
        <w:rPr>
          <w:i/>
        </w:rPr>
        <w:t>8</w:t>
      </w:r>
      <w:r w:rsidR="00845227" w:rsidRPr="005A5109">
        <w:t>, 2023-2026.</w:t>
      </w:r>
    </w:p>
    <w:p w14:paraId="3FE84328" w14:textId="4CF2E38A" w:rsidR="00845227" w:rsidRPr="005A5109" w:rsidRDefault="00341B64" w:rsidP="00845227">
      <w:pPr>
        <w:pStyle w:val="EndNoteBibliography"/>
        <w:ind w:left="720" w:hanging="720"/>
      </w:pPr>
      <w:r>
        <w:t>[48</w:t>
      </w:r>
      <w:r w:rsidR="00845227" w:rsidRPr="005A5109">
        <w:t>]</w:t>
      </w:r>
      <w:r w:rsidR="00845227" w:rsidRPr="005A5109">
        <w:tab/>
        <w:t xml:space="preserve">P. Matzel, M. Gand, M. Höhne, </w:t>
      </w:r>
      <w:r w:rsidR="00845227">
        <w:rPr>
          <w:i/>
        </w:rPr>
        <w:t>Green Chem.</w:t>
      </w:r>
      <w:r w:rsidR="00845227" w:rsidRPr="005A5109">
        <w:rPr>
          <w:i/>
        </w:rPr>
        <w:t xml:space="preserve"> </w:t>
      </w:r>
      <w:r w:rsidR="00845227" w:rsidRPr="005A5109">
        <w:rPr>
          <w:b/>
        </w:rPr>
        <w:t>2017</w:t>
      </w:r>
      <w:r w:rsidR="00845227" w:rsidRPr="005A5109">
        <w:t xml:space="preserve">, </w:t>
      </w:r>
      <w:r w:rsidR="00845227" w:rsidRPr="005A5109">
        <w:rPr>
          <w:i/>
        </w:rPr>
        <w:t>19</w:t>
      </w:r>
      <w:r w:rsidR="00845227" w:rsidRPr="005A5109">
        <w:t>, 385-389.</w:t>
      </w:r>
    </w:p>
    <w:p w14:paraId="4C652076" w14:textId="45B48D75" w:rsidR="00845227" w:rsidRDefault="00341B64" w:rsidP="00845227">
      <w:pPr>
        <w:pStyle w:val="EndNoteBibliography"/>
        <w:ind w:left="720" w:hanging="720"/>
      </w:pPr>
      <w:r>
        <w:t>[49</w:t>
      </w:r>
      <w:r w:rsidR="00845227" w:rsidRPr="005A5109">
        <w:t>]</w:t>
      </w:r>
      <w:r w:rsidR="00845227" w:rsidRPr="005A5109">
        <w:tab/>
        <w:t xml:space="preserve">G. A. Aleku, S. P. France, H. Man, J. Mangas-Sanchez, S. L. Montgomery, M. Sharma, F. Leipold, S. Hussain, G. Grogan, N. J. Turner, </w:t>
      </w:r>
      <w:r w:rsidR="00845227" w:rsidRPr="005A5109">
        <w:rPr>
          <w:i/>
        </w:rPr>
        <w:t>Nat</w:t>
      </w:r>
      <w:r w:rsidR="00845227">
        <w:rPr>
          <w:i/>
        </w:rPr>
        <w:t>.</w:t>
      </w:r>
      <w:r w:rsidR="00845227" w:rsidRPr="005A5109">
        <w:rPr>
          <w:i/>
        </w:rPr>
        <w:t xml:space="preserve"> Chem</w:t>
      </w:r>
      <w:r w:rsidR="00845227">
        <w:rPr>
          <w:i/>
        </w:rPr>
        <w:t>.</w:t>
      </w:r>
      <w:r w:rsidR="00845227" w:rsidRPr="005A5109">
        <w:rPr>
          <w:i/>
        </w:rPr>
        <w:t xml:space="preserve"> </w:t>
      </w:r>
      <w:r w:rsidR="00845227" w:rsidRPr="005A5109">
        <w:rPr>
          <w:b/>
        </w:rPr>
        <w:t>2017</w:t>
      </w:r>
      <w:r w:rsidR="00845227" w:rsidRPr="005A5109">
        <w:t xml:space="preserve">, </w:t>
      </w:r>
      <w:r w:rsidR="00845227" w:rsidRPr="005A5109">
        <w:rPr>
          <w:i/>
        </w:rPr>
        <w:t>9</w:t>
      </w:r>
      <w:r w:rsidR="00845227" w:rsidRPr="005A5109">
        <w:t>, 961-969.</w:t>
      </w:r>
    </w:p>
    <w:p w14:paraId="2521E1E0" w14:textId="1F92A60C" w:rsidR="00E33BA4" w:rsidRPr="005A5109" w:rsidRDefault="00341B64" w:rsidP="00845227">
      <w:pPr>
        <w:pStyle w:val="EndNoteBibliography"/>
        <w:ind w:left="720" w:hanging="720"/>
      </w:pPr>
      <w:r>
        <w:t>[50</w:t>
      </w:r>
      <w:r w:rsidR="00E33BA4" w:rsidRPr="00BA5052">
        <w:t>]</w:t>
      </w:r>
      <w:r w:rsidR="00E33BA4" w:rsidRPr="00BA5052">
        <w:tab/>
        <w:t xml:space="preserve">H. Mihara, H. Muramatsu, R. Kakutani, M. Yasuda, M. Ueda, T. Kurihara, N. Esaki, </w:t>
      </w:r>
      <w:r w:rsidR="00E33BA4" w:rsidRPr="00BA5052">
        <w:rPr>
          <w:i/>
        </w:rPr>
        <w:t xml:space="preserve">FEBS </w:t>
      </w:r>
      <w:r w:rsidR="00FF6EBA">
        <w:rPr>
          <w:i/>
        </w:rPr>
        <w:t>J.</w:t>
      </w:r>
      <w:r w:rsidR="00E33BA4" w:rsidRPr="00BA5052">
        <w:rPr>
          <w:i/>
        </w:rPr>
        <w:t xml:space="preserve"> </w:t>
      </w:r>
      <w:r w:rsidR="00E33BA4" w:rsidRPr="00BA5052">
        <w:rPr>
          <w:b/>
        </w:rPr>
        <w:t>2005</w:t>
      </w:r>
      <w:r w:rsidR="00E33BA4" w:rsidRPr="00BA5052">
        <w:t xml:space="preserve">, </w:t>
      </w:r>
      <w:r w:rsidR="00E33BA4" w:rsidRPr="00BA5052">
        <w:rPr>
          <w:i/>
        </w:rPr>
        <w:t>272</w:t>
      </w:r>
      <w:r w:rsidR="00E33BA4" w:rsidRPr="00BA5052">
        <w:t>, 1117-1123</w:t>
      </w:r>
      <w:r w:rsidR="00FF6EBA">
        <w:t>.</w:t>
      </w:r>
    </w:p>
    <w:p w14:paraId="5E9B1AEB" w14:textId="28DF043B" w:rsidR="00845227" w:rsidRPr="005A5109" w:rsidRDefault="00341B64" w:rsidP="00845227">
      <w:pPr>
        <w:pStyle w:val="EndNoteBibliography"/>
        <w:ind w:left="720" w:hanging="720"/>
      </w:pPr>
      <w:r>
        <w:t>[51</w:t>
      </w:r>
      <w:r w:rsidR="00845227" w:rsidRPr="005A5109">
        <w:t>]</w:t>
      </w:r>
      <w:r w:rsidR="00845227" w:rsidRPr="005A5109">
        <w:tab/>
        <w:t xml:space="preserve">M. Sharma, J. Mangas-Sanchez, S. P. France, G. A. Aleku, S. L. Montgomery, J. I. Ramsden, N. J. Turner, G. Grogan, </w:t>
      </w:r>
      <w:r w:rsidR="00845227" w:rsidRPr="005A5109">
        <w:rPr>
          <w:i/>
        </w:rPr>
        <w:t>ACS Catal</w:t>
      </w:r>
      <w:r w:rsidR="00845227">
        <w:rPr>
          <w:i/>
        </w:rPr>
        <w:t>.</w:t>
      </w:r>
      <w:r w:rsidR="00845227" w:rsidRPr="005A5109">
        <w:rPr>
          <w:i/>
        </w:rPr>
        <w:t xml:space="preserve"> </w:t>
      </w:r>
      <w:r w:rsidR="00845227" w:rsidRPr="005A5109">
        <w:rPr>
          <w:b/>
        </w:rPr>
        <w:t>2018</w:t>
      </w:r>
      <w:r w:rsidR="00845227" w:rsidRPr="005A5109">
        <w:t xml:space="preserve">, </w:t>
      </w:r>
      <w:r w:rsidR="00845227" w:rsidRPr="005A5109">
        <w:rPr>
          <w:i/>
        </w:rPr>
        <w:t>8</w:t>
      </w:r>
      <w:r w:rsidR="00845227" w:rsidRPr="005A5109">
        <w:t>, 11534-11541.</w:t>
      </w:r>
    </w:p>
    <w:p w14:paraId="42FB238D" w14:textId="4CC4A13B" w:rsidR="007B74B8" w:rsidRDefault="00341B64" w:rsidP="00845227">
      <w:pPr>
        <w:pStyle w:val="EndNoteBibliography"/>
        <w:ind w:left="720" w:hanging="720"/>
      </w:pPr>
      <w:r>
        <w:t>[52</w:t>
      </w:r>
      <w:r w:rsidR="00845227" w:rsidRPr="005A5109">
        <w:t>]</w:t>
      </w:r>
      <w:r w:rsidR="00845227" w:rsidRPr="005A5109">
        <w:tab/>
      </w:r>
      <w:r w:rsidR="007B74B8">
        <w:t>D. Gonz</w:t>
      </w:r>
      <w:r w:rsidR="007B74B8" w:rsidRPr="005A5109">
        <w:rPr>
          <w:rFonts w:hint="eastAsia"/>
        </w:rPr>
        <w:t>á</w:t>
      </w:r>
      <w:r w:rsidR="007B74B8">
        <w:t>lez-Mart</w:t>
      </w:r>
      <w:r w:rsidR="007B74B8">
        <w:rPr>
          <w:rFonts w:hint="eastAsia"/>
        </w:rPr>
        <w:t>í</w:t>
      </w:r>
      <w:r w:rsidR="007B74B8">
        <w:t>nez, A. Cuetos, M. Sharma, M. Garc</w:t>
      </w:r>
      <w:r w:rsidR="007B74B8" w:rsidRPr="005A5109">
        <w:rPr>
          <w:rFonts w:hint="eastAsia"/>
        </w:rPr>
        <w:t>í</w:t>
      </w:r>
      <w:r w:rsidR="007B74B8">
        <w:t xml:space="preserve">a-Ramos, I. Lavandera, V. Gotor-Fernandez, G. Grogan, </w:t>
      </w:r>
      <w:r w:rsidR="007B74B8" w:rsidRPr="007B74B8">
        <w:rPr>
          <w:i/>
        </w:rPr>
        <w:t>ChemCatChem</w:t>
      </w:r>
      <w:r w:rsidR="007B74B8">
        <w:t xml:space="preserve"> </w:t>
      </w:r>
      <w:r w:rsidR="007B74B8" w:rsidRPr="007B74B8">
        <w:rPr>
          <w:b/>
        </w:rPr>
        <w:t>2020</w:t>
      </w:r>
      <w:r w:rsidR="007B74B8">
        <w:t xml:space="preserve">, </w:t>
      </w:r>
      <w:r w:rsidR="007B74B8" w:rsidRPr="007B74B8">
        <w:rPr>
          <w:i/>
        </w:rPr>
        <w:t>12</w:t>
      </w:r>
      <w:r w:rsidR="007B74B8">
        <w:t>, 2421-2425.</w:t>
      </w:r>
    </w:p>
    <w:p w14:paraId="5024081B" w14:textId="5A6A7B45" w:rsidR="00845227" w:rsidRPr="005A5109" w:rsidRDefault="00341B64" w:rsidP="007B74B8">
      <w:pPr>
        <w:pStyle w:val="EndNoteBibliography"/>
        <w:ind w:left="720" w:hanging="720"/>
      </w:pPr>
      <w:r>
        <w:t>[53</w:t>
      </w:r>
      <w:r w:rsidR="007B74B8" w:rsidRPr="005A5109">
        <w:t>]</w:t>
      </w:r>
      <w:r w:rsidR="007B74B8" w:rsidRPr="005A5109">
        <w:tab/>
      </w:r>
      <w:r w:rsidR="00845227" w:rsidRPr="005A5109">
        <w:t xml:space="preserve">J. Mangas-Sanchez, M. Sharma, S. C. Cosgrove, J. I. Ramsden, J. R. Marshall, T. W. Thorpe, R. B. Palmer, G. Grogan, N. J. Turner, </w:t>
      </w:r>
      <w:r w:rsidR="00845227" w:rsidRPr="005A5109">
        <w:rPr>
          <w:i/>
        </w:rPr>
        <w:t>Chem</w:t>
      </w:r>
      <w:r w:rsidR="00845227">
        <w:rPr>
          <w:i/>
        </w:rPr>
        <w:t xml:space="preserve">. </w:t>
      </w:r>
      <w:r w:rsidR="00845227" w:rsidRPr="005A5109">
        <w:rPr>
          <w:i/>
        </w:rPr>
        <w:t>Sci</w:t>
      </w:r>
      <w:r w:rsidR="00845227">
        <w:rPr>
          <w:i/>
        </w:rPr>
        <w:t>.</w:t>
      </w:r>
      <w:r w:rsidR="00845227" w:rsidRPr="005A5109">
        <w:rPr>
          <w:i/>
        </w:rPr>
        <w:t xml:space="preserve"> </w:t>
      </w:r>
      <w:r w:rsidR="00845227" w:rsidRPr="005A5109">
        <w:rPr>
          <w:b/>
        </w:rPr>
        <w:t>2020</w:t>
      </w:r>
      <w:r w:rsidR="00845227" w:rsidRPr="005A5109">
        <w:t xml:space="preserve">, </w:t>
      </w:r>
      <w:r w:rsidR="00845227" w:rsidRPr="005A5109">
        <w:rPr>
          <w:i/>
        </w:rPr>
        <w:t>11</w:t>
      </w:r>
      <w:r w:rsidR="00845227" w:rsidRPr="005A5109">
        <w:t>, 5052-5057.</w:t>
      </w:r>
    </w:p>
    <w:p w14:paraId="1157C9E8" w14:textId="54006204" w:rsidR="00845227" w:rsidRPr="005A5109" w:rsidRDefault="00341B64" w:rsidP="00845227">
      <w:pPr>
        <w:pStyle w:val="EndNoteBibliography"/>
        <w:ind w:left="720" w:hanging="720"/>
      </w:pPr>
      <w:r>
        <w:t>[54</w:t>
      </w:r>
      <w:r w:rsidR="00845227" w:rsidRPr="005A5109">
        <w:t>]</w:t>
      </w:r>
      <w:r w:rsidR="00845227" w:rsidRPr="005A5109">
        <w:tab/>
        <w:t xml:space="preserve">G.-D. Roiban, M. Kern, Z. Liu, J. Hyslop, P. L. Tey, M. S. Levine, L. S. Jordan, K. K. Brown, T. Hadi, L. A. F. Ihnken, M. J. B. Brown, </w:t>
      </w:r>
      <w:r w:rsidR="00845227" w:rsidRPr="005A5109">
        <w:rPr>
          <w:i/>
        </w:rPr>
        <w:t xml:space="preserve">ChemCatChem </w:t>
      </w:r>
      <w:r w:rsidR="00845227" w:rsidRPr="005A5109">
        <w:rPr>
          <w:b/>
        </w:rPr>
        <w:t>2017</w:t>
      </w:r>
      <w:r w:rsidR="00845227" w:rsidRPr="005A5109">
        <w:t xml:space="preserve">, </w:t>
      </w:r>
      <w:r w:rsidR="00845227" w:rsidRPr="005A5109">
        <w:rPr>
          <w:i/>
        </w:rPr>
        <w:t>9</w:t>
      </w:r>
      <w:r w:rsidR="00845227" w:rsidRPr="005A5109">
        <w:t>, 4475-4479.</w:t>
      </w:r>
    </w:p>
    <w:p w14:paraId="6FE97171" w14:textId="5739A414" w:rsidR="00845227" w:rsidRPr="005A5109" w:rsidRDefault="00341B64" w:rsidP="00845227">
      <w:pPr>
        <w:pStyle w:val="EndNoteBibliography"/>
        <w:ind w:left="720" w:hanging="720"/>
      </w:pPr>
      <w:r>
        <w:t>[55</w:t>
      </w:r>
      <w:r w:rsidR="00845227" w:rsidRPr="005A5109">
        <w:t>]</w:t>
      </w:r>
      <w:r w:rsidR="00845227" w:rsidRPr="005A5109">
        <w:tab/>
        <w:t xml:space="preserve">S. P. France, R. M. Howard, J. Steflik, N. J. Weise, J. Mangas-Sanchez, S. L. Montgomery, R. Crook, R. Kumar, N. J. Turner, </w:t>
      </w:r>
      <w:r w:rsidR="00845227" w:rsidRPr="005A5109">
        <w:rPr>
          <w:i/>
        </w:rPr>
        <w:t xml:space="preserve">ChemCatChem </w:t>
      </w:r>
      <w:r w:rsidR="00845227" w:rsidRPr="005A5109">
        <w:rPr>
          <w:b/>
        </w:rPr>
        <w:t>2018</w:t>
      </w:r>
      <w:r w:rsidR="00845227" w:rsidRPr="005A5109">
        <w:t xml:space="preserve">, </w:t>
      </w:r>
      <w:r w:rsidR="00845227" w:rsidRPr="005A5109">
        <w:rPr>
          <w:i/>
        </w:rPr>
        <w:t>10</w:t>
      </w:r>
      <w:r w:rsidR="00845227" w:rsidRPr="005A5109">
        <w:t>, 1-6.</w:t>
      </w:r>
    </w:p>
    <w:p w14:paraId="69B1E3AD" w14:textId="1B0A961F" w:rsidR="00845227" w:rsidRPr="005A5109" w:rsidRDefault="00341B64" w:rsidP="00845227">
      <w:pPr>
        <w:pStyle w:val="EndNoteBibliography"/>
        <w:ind w:left="720" w:hanging="720"/>
      </w:pPr>
      <w:r>
        <w:t>[56</w:t>
      </w:r>
      <w:r w:rsidR="00845227" w:rsidRPr="005A5109">
        <w:t>]</w:t>
      </w:r>
      <w:r w:rsidR="00845227" w:rsidRPr="005A5109">
        <w:tab/>
        <w:t xml:space="preserve">S. L. Montgomery, A. Pushpanath, R. S. Heath, J. R. Marshall, U. Klemstein, J. L. Galman, D. Woodlock, S. Bisagni, C. J. Taylor, J. Mangas-Sanchez, J. I. Ramsden, B. Dominguez, N. J. Turner, </w:t>
      </w:r>
      <w:r w:rsidR="00845227">
        <w:rPr>
          <w:i/>
        </w:rPr>
        <w:t>Sci.</w:t>
      </w:r>
      <w:r w:rsidR="00845227" w:rsidRPr="005A5109">
        <w:rPr>
          <w:i/>
        </w:rPr>
        <w:t xml:space="preserve"> Adv</w:t>
      </w:r>
      <w:r w:rsidR="00845227">
        <w:rPr>
          <w:i/>
        </w:rPr>
        <w:t>.</w:t>
      </w:r>
      <w:r w:rsidR="00845227" w:rsidRPr="005A5109">
        <w:rPr>
          <w:i/>
        </w:rPr>
        <w:t xml:space="preserve"> </w:t>
      </w:r>
      <w:r w:rsidR="00845227" w:rsidRPr="005A5109">
        <w:rPr>
          <w:b/>
        </w:rPr>
        <w:t>2020</w:t>
      </w:r>
      <w:r w:rsidR="00845227" w:rsidRPr="005A5109">
        <w:t xml:space="preserve">, </w:t>
      </w:r>
      <w:r w:rsidR="00845227" w:rsidRPr="005A5109">
        <w:rPr>
          <w:i/>
        </w:rPr>
        <w:t>6</w:t>
      </w:r>
      <w:r w:rsidR="00845227" w:rsidRPr="005A5109">
        <w:t>, eaay9320.</w:t>
      </w:r>
    </w:p>
    <w:p w14:paraId="687845C7" w14:textId="616C5A85" w:rsidR="00845227" w:rsidRPr="005A5109" w:rsidRDefault="00341B64" w:rsidP="00845227">
      <w:pPr>
        <w:pStyle w:val="EndNoteBibliography"/>
        <w:ind w:left="720" w:hanging="720"/>
      </w:pPr>
      <w:r>
        <w:t>[57</w:t>
      </w:r>
      <w:r w:rsidR="00845227" w:rsidRPr="005A5109">
        <w:t>]</w:t>
      </w:r>
      <w:r w:rsidR="00845227" w:rsidRPr="005A5109">
        <w:tab/>
        <w:t xml:space="preserve">A. Bornadel, S. Bisagni, A. Pushpanath, S. L. Montgomery, N. J. Turner, B. Dominguez, </w:t>
      </w:r>
      <w:r w:rsidR="00845227" w:rsidRPr="005A5109">
        <w:rPr>
          <w:i/>
        </w:rPr>
        <w:t>Org</w:t>
      </w:r>
      <w:r w:rsidR="00845227">
        <w:rPr>
          <w:i/>
        </w:rPr>
        <w:t>.</w:t>
      </w:r>
      <w:r w:rsidR="00845227" w:rsidRPr="005A5109">
        <w:rPr>
          <w:i/>
        </w:rPr>
        <w:t xml:space="preserve"> Process Res</w:t>
      </w:r>
      <w:r w:rsidR="00845227">
        <w:rPr>
          <w:i/>
        </w:rPr>
        <w:t xml:space="preserve">. </w:t>
      </w:r>
      <w:r w:rsidR="00845227" w:rsidRPr="005A5109">
        <w:rPr>
          <w:i/>
        </w:rPr>
        <w:t>De</w:t>
      </w:r>
      <w:r w:rsidR="00845227">
        <w:rPr>
          <w:i/>
        </w:rPr>
        <w:t>v.</w:t>
      </w:r>
      <w:r w:rsidR="00845227" w:rsidRPr="005A5109">
        <w:rPr>
          <w:i/>
        </w:rPr>
        <w:t xml:space="preserve"> </w:t>
      </w:r>
      <w:r w:rsidR="00845227" w:rsidRPr="005A5109">
        <w:rPr>
          <w:b/>
        </w:rPr>
        <w:t>2019</w:t>
      </w:r>
      <w:r w:rsidR="00845227">
        <w:t xml:space="preserve">, </w:t>
      </w:r>
      <w:r w:rsidR="00845227" w:rsidRPr="00BA7A6E">
        <w:rPr>
          <w:i/>
        </w:rPr>
        <w:t>23</w:t>
      </w:r>
      <w:r w:rsidR="00845227">
        <w:t xml:space="preserve">, </w:t>
      </w:r>
      <w:r w:rsidR="00845227" w:rsidRPr="00BA7A6E">
        <w:t>1262–1268</w:t>
      </w:r>
      <w:r w:rsidR="00845227">
        <w:t>.</w:t>
      </w:r>
    </w:p>
    <w:p w14:paraId="6919CCA4" w14:textId="76F3ECA5" w:rsidR="00845227" w:rsidRPr="005A5109" w:rsidRDefault="00341B64" w:rsidP="00845227">
      <w:pPr>
        <w:pStyle w:val="EndNoteBibliography"/>
        <w:ind w:left="720" w:hanging="720"/>
      </w:pPr>
      <w:r>
        <w:t>[58</w:t>
      </w:r>
      <w:r w:rsidR="00845227" w:rsidRPr="005A5109">
        <w:t>]</w:t>
      </w:r>
      <w:r w:rsidR="00845227" w:rsidRPr="005A5109">
        <w:tab/>
        <w:t xml:space="preserve">M. Schober, C. MacDermaid, A. A. Ollis, S. Chang, D. Khan, J. Hosford, J. Latham, L. A. F. Ihnken, M. J. B. Brown, D. Fuerst, M. J. Sanganee, G.-D. Roiban, </w:t>
      </w:r>
      <w:r w:rsidR="00845227">
        <w:rPr>
          <w:i/>
        </w:rPr>
        <w:t xml:space="preserve">Nat. Catal. </w:t>
      </w:r>
      <w:r w:rsidR="00845227" w:rsidRPr="005A5109">
        <w:rPr>
          <w:b/>
        </w:rPr>
        <w:t>2019</w:t>
      </w:r>
      <w:r w:rsidR="00845227" w:rsidRPr="005A5109">
        <w:t xml:space="preserve">, </w:t>
      </w:r>
      <w:r w:rsidR="00845227" w:rsidRPr="005A5109">
        <w:rPr>
          <w:i/>
        </w:rPr>
        <w:t>2</w:t>
      </w:r>
      <w:r w:rsidR="00845227" w:rsidRPr="005A5109">
        <w:t>, 909-915.</w:t>
      </w:r>
    </w:p>
    <w:p w14:paraId="1DCC9841" w14:textId="342A30C7" w:rsidR="00845227" w:rsidRPr="005A5109" w:rsidRDefault="00341B64" w:rsidP="00845227">
      <w:pPr>
        <w:pStyle w:val="EndNoteBibliography"/>
        <w:ind w:left="720" w:hanging="720"/>
      </w:pPr>
      <w:r>
        <w:t>[59</w:t>
      </w:r>
      <w:r w:rsidR="00845227" w:rsidRPr="005A5109">
        <w:t>]</w:t>
      </w:r>
      <w:r w:rsidR="00845227" w:rsidRPr="005A5109">
        <w:tab/>
        <w:t xml:space="preserve">B. R. Lichman, A. Sula, T. Pesnot, H. C. Hailes, J. M. Ward, N. H. Keep, </w:t>
      </w:r>
      <w:r w:rsidR="00845227" w:rsidRPr="005A5109">
        <w:rPr>
          <w:i/>
        </w:rPr>
        <w:t xml:space="preserve">Biochemistry </w:t>
      </w:r>
      <w:r w:rsidR="00845227" w:rsidRPr="005A5109">
        <w:rPr>
          <w:b/>
        </w:rPr>
        <w:t>2017</w:t>
      </w:r>
      <w:r w:rsidR="00845227" w:rsidRPr="005A5109">
        <w:t xml:space="preserve">, </w:t>
      </w:r>
      <w:r w:rsidR="00845227" w:rsidRPr="005A5109">
        <w:rPr>
          <w:i/>
        </w:rPr>
        <w:t>56</w:t>
      </w:r>
      <w:r w:rsidR="00845227" w:rsidRPr="005A5109">
        <w:t>, 5274-5277.</w:t>
      </w:r>
    </w:p>
    <w:p w14:paraId="252B573D" w14:textId="77777777" w:rsidR="00845227" w:rsidRPr="006722A0" w:rsidRDefault="00845227" w:rsidP="00845227">
      <w:pPr>
        <w:rPr>
          <w:lang w:val="en-GB"/>
        </w:rPr>
      </w:pPr>
    </w:p>
    <w:p w14:paraId="2CD2053F" w14:textId="77777777" w:rsidR="00561D8F" w:rsidRPr="006722A0" w:rsidRDefault="00561D8F" w:rsidP="000E69C9">
      <w:pPr>
        <w:rPr>
          <w:lang w:val="en-GB"/>
        </w:rPr>
      </w:pPr>
    </w:p>
    <w:p w14:paraId="102013F0" w14:textId="77777777" w:rsidR="00561D8F" w:rsidRPr="006722A0" w:rsidRDefault="00561D8F" w:rsidP="000E69C9">
      <w:pPr>
        <w:rPr>
          <w:lang w:val="en-GB"/>
        </w:rPr>
        <w:sectPr w:rsidR="00561D8F" w:rsidRPr="006722A0" w:rsidSect="000E69C9">
          <w:type w:val="continuous"/>
          <w:pgSz w:w="11906" w:h="16838" w:code="9"/>
          <w:pgMar w:top="1134" w:right="680" w:bottom="1225" w:left="1361" w:header="709" w:footer="709" w:gutter="0"/>
          <w:cols w:num="2" w:space="340"/>
          <w:docGrid w:linePitch="360"/>
        </w:sectPr>
      </w:pPr>
    </w:p>
    <w:p w14:paraId="39A98DB1" w14:textId="77777777" w:rsidR="00561D8F" w:rsidRDefault="00561D8F" w:rsidP="000E69C9">
      <w:pPr>
        <w:rPr>
          <w:lang w:val="en-GB"/>
        </w:rPr>
        <w:sectPr w:rsidR="00561D8F" w:rsidSect="000E69C9">
          <w:type w:val="continuous"/>
          <w:pgSz w:w="11906" w:h="16838" w:code="9"/>
          <w:pgMar w:top="1191" w:right="680" w:bottom="1225" w:left="1361" w:header="709" w:footer="709" w:gutter="0"/>
          <w:cols w:num="2" w:space="284"/>
          <w:docGrid w:linePitch="360"/>
        </w:sectPr>
      </w:pPr>
    </w:p>
    <w:tbl>
      <w:tblPr>
        <w:tblW w:w="9866" w:type="dxa"/>
        <w:tblLayout w:type="fixed"/>
        <w:tblLook w:val="01E0" w:firstRow="1" w:lastRow="1" w:firstColumn="1" w:lastColumn="1" w:noHBand="0" w:noVBand="0"/>
      </w:tblPr>
      <w:tblGrid>
        <w:gridCol w:w="1384"/>
        <w:gridCol w:w="3402"/>
        <w:gridCol w:w="284"/>
        <w:gridCol w:w="4796"/>
      </w:tblGrid>
      <w:tr w:rsidR="00561D8F" w:rsidRPr="000D0065" w14:paraId="74B3AD37" w14:textId="77777777">
        <w:tc>
          <w:tcPr>
            <w:tcW w:w="1384" w:type="dxa"/>
            <w:tcBorders>
              <w:bottom w:val="single" w:sz="12" w:space="0" w:color="808080"/>
            </w:tcBorders>
            <w:shd w:val="clear" w:color="auto" w:fill="808080"/>
          </w:tcPr>
          <w:p w14:paraId="38AD9F49" w14:textId="77777777" w:rsidR="00561D8F" w:rsidRDefault="00561D8F" w:rsidP="000E69C9">
            <w:pPr>
              <w:pStyle w:val="SubjectHeadingTOC"/>
            </w:pPr>
            <w:r>
              <w:t>REVIEW</w:t>
            </w:r>
          </w:p>
        </w:tc>
        <w:tc>
          <w:tcPr>
            <w:tcW w:w="3402" w:type="dxa"/>
            <w:tcBorders>
              <w:bottom w:val="single" w:sz="12" w:space="0" w:color="808080"/>
            </w:tcBorders>
            <w:shd w:val="clear" w:color="auto" w:fill="auto"/>
          </w:tcPr>
          <w:p w14:paraId="77C48124" w14:textId="77777777" w:rsidR="00561D8F" w:rsidRDefault="00561D8F" w:rsidP="000E69C9">
            <w:pPr>
              <w:pStyle w:val="SubjectHeadingTOC"/>
            </w:pPr>
          </w:p>
        </w:tc>
        <w:tc>
          <w:tcPr>
            <w:tcW w:w="284" w:type="dxa"/>
            <w:tcBorders>
              <w:bottom w:val="single" w:sz="12" w:space="0" w:color="808080"/>
            </w:tcBorders>
            <w:shd w:val="clear" w:color="auto" w:fill="auto"/>
            <w:vAlign w:val="center"/>
          </w:tcPr>
          <w:p w14:paraId="489B492C" w14:textId="77777777" w:rsidR="00561D8F" w:rsidRPr="00BF7112" w:rsidRDefault="00561D8F" w:rsidP="000E69C9">
            <w:pPr>
              <w:rPr>
                <w:sz w:val="18"/>
              </w:rPr>
            </w:pPr>
          </w:p>
        </w:tc>
        <w:tc>
          <w:tcPr>
            <w:tcW w:w="4796" w:type="dxa"/>
            <w:tcBorders>
              <w:bottom w:val="single" w:sz="12" w:space="0" w:color="808080"/>
            </w:tcBorders>
            <w:shd w:val="clear" w:color="auto" w:fill="auto"/>
            <w:vAlign w:val="center"/>
          </w:tcPr>
          <w:p w14:paraId="08530A02" w14:textId="77777777" w:rsidR="00561D8F" w:rsidRPr="00BF7112" w:rsidRDefault="00561D8F" w:rsidP="000E69C9">
            <w:pPr>
              <w:rPr>
                <w:sz w:val="18"/>
              </w:rPr>
            </w:pPr>
          </w:p>
        </w:tc>
      </w:tr>
      <w:tr w:rsidR="00561D8F" w:rsidRPr="00A70B86" w14:paraId="2A60BC49" w14:textId="77777777">
        <w:tc>
          <w:tcPr>
            <w:tcW w:w="4786" w:type="dxa"/>
            <w:gridSpan w:val="2"/>
            <w:tcBorders>
              <w:top w:val="single" w:sz="12" w:space="0" w:color="808080"/>
            </w:tcBorders>
            <w:shd w:val="clear" w:color="auto" w:fill="auto"/>
          </w:tcPr>
          <w:p w14:paraId="2C09038E" w14:textId="67FE6DE3" w:rsidR="00561D8F" w:rsidRPr="00954442" w:rsidRDefault="00980160" w:rsidP="00980160">
            <w:pPr>
              <w:pStyle w:val="TitleTOC"/>
            </w:pPr>
            <w:proofErr w:type="gramStart"/>
            <w:r>
              <w:t>NAD(</w:t>
            </w:r>
            <w:proofErr w:type="gramEnd"/>
            <w:r>
              <w:t>P)H-Dependent E</w:t>
            </w:r>
            <w:r w:rsidR="00561D8F" w:rsidRPr="00CE33D0">
              <w:t xml:space="preserve">nzymes for </w:t>
            </w:r>
            <w:r>
              <w:t>Reductive Amination: Active Site Description and C</w:t>
            </w:r>
            <w:r w:rsidR="00722E34">
              <w:t>arbonyl-C</w:t>
            </w:r>
            <w:r>
              <w:t>ontaining Compound S</w:t>
            </w:r>
            <w:r w:rsidR="00561D8F" w:rsidRPr="00CE33D0">
              <w:t>pectrum.</w:t>
            </w:r>
          </w:p>
        </w:tc>
        <w:tc>
          <w:tcPr>
            <w:tcW w:w="284" w:type="dxa"/>
            <w:vMerge w:val="restart"/>
            <w:tcBorders>
              <w:top w:val="single" w:sz="12" w:space="0" w:color="808080"/>
            </w:tcBorders>
            <w:shd w:val="clear" w:color="auto" w:fill="auto"/>
          </w:tcPr>
          <w:p w14:paraId="70DA19B4" w14:textId="77777777" w:rsidR="00561D8F" w:rsidRPr="00A70B86" w:rsidRDefault="00561D8F" w:rsidP="000E69C9">
            <w:pPr>
              <w:rPr>
                <w:lang w:val="en-GB"/>
              </w:rPr>
            </w:pPr>
          </w:p>
        </w:tc>
        <w:tc>
          <w:tcPr>
            <w:tcW w:w="4796" w:type="dxa"/>
            <w:vMerge w:val="restart"/>
            <w:tcBorders>
              <w:top w:val="single" w:sz="12" w:space="0" w:color="808080"/>
            </w:tcBorders>
            <w:shd w:val="clear" w:color="auto" w:fill="auto"/>
            <w:vAlign w:val="center"/>
          </w:tcPr>
          <w:p w14:paraId="7A18F44A" w14:textId="355E9250" w:rsidR="00561D8F" w:rsidRPr="00EA58B5" w:rsidRDefault="003871B1" w:rsidP="000E69C9">
            <w:pPr>
              <w:jc w:val="center"/>
              <w:rPr>
                <w:sz w:val="22"/>
                <w:lang w:val="en-GB"/>
              </w:rPr>
            </w:pPr>
            <w:r>
              <w:rPr>
                <w:noProof/>
                <w:sz w:val="22"/>
                <w:lang w:val="en-GB" w:eastAsia="en-GB"/>
              </w:rPr>
              <w:drawing>
                <wp:inline distT="0" distB="0" distL="0" distR="0" wp14:anchorId="081FE733" wp14:editId="7431587F">
                  <wp:extent cx="2908300" cy="1352550"/>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alAbstract.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08300" cy="1352550"/>
                          </a:xfrm>
                          <a:prstGeom prst="rect">
                            <a:avLst/>
                          </a:prstGeom>
                        </pic:spPr>
                      </pic:pic>
                    </a:graphicData>
                  </a:graphic>
                </wp:inline>
              </w:drawing>
            </w:r>
          </w:p>
        </w:tc>
      </w:tr>
      <w:tr w:rsidR="00561D8F" w:rsidRPr="00B31134" w14:paraId="0FACABD8" w14:textId="77777777">
        <w:trPr>
          <w:trHeight w:val="805"/>
        </w:trPr>
        <w:tc>
          <w:tcPr>
            <w:tcW w:w="4786" w:type="dxa"/>
            <w:gridSpan w:val="2"/>
            <w:vAlign w:val="center"/>
          </w:tcPr>
          <w:p w14:paraId="5C240AAB" w14:textId="77777777" w:rsidR="00561D8F" w:rsidRPr="00EA58B5" w:rsidRDefault="00561D8F" w:rsidP="000E69C9">
            <w:pPr>
              <w:rPr>
                <w:sz w:val="22"/>
                <w:lang w:val="en-GB"/>
              </w:rPr>
            </w:pPr>
            <w:r w:rsidRPr="00EA58B5">
              <w:rPr>
                <w:i/>
                <w:sz w:val="22"/>
                <w:lang w:val="en-GB"/>
              </w:rPr>
              <w:t>Adv. Synth. Catal.</w:t>
            </w:r>
            <w:r w:rsidRPr="00EA58B5">
              <w:rPr>
                <w:sz w:val="22"/>
                <w:lang w:val="en-GB"/>
              </w:rPr>
              <w:t xml:space="preserve"> </w:t>
            </w:r>
            <w:r>
              <w:rPr>
                <w:b/>
                <w:sz w:val="22"/>
                <w:lang w:val="en-GB"/>
              </w:rPr>
              <w:t>Year</w:t>
            </w:r>
            <w:r w:rsidRPr="00EA58B5">
              <w:rPr>
                <w:sz w:val="22"/>
                <w:lang w:val="en-GB"/>
              </w:rPr>
              <w:t xml:space="preserve">, </w:t>
            </w:r>
            <w:r>
              <w:rPr>
                <w:i/>
                <w:sz w:val="22"/>
                <w:lang w:val="en-GB"/>
              </w:rPr>
              <w:t>Volume</w:t>
            </w:r>
            <w:r w:rsidRPr="00EA58B5">
              <w:rPr>
                <w:sz w:val="22"/>
                <w:lang w:val="en-GB"/>
              </w:rPr>
              <w:t>, Page – Page</w:t>
            </w:r>
          </w:p>
        </w:tc>
        <w:tc>
          <w:tcPr>
            <w:tcW w:w="284" w:type="dxa"/>
            <w:vMerge/>
            <w:shd w:val="clear" w:color="auto" w:fill="auto"/>
          </w:tcPr>
          <w:p w14:paraId="6DBA2D44" w14:textId="77777777" w:rsidR="00561D8F" w:rsidRPr="00B31134" w:rsidRDefault="00561D8F" w:rsidP="000E69C9">
            <w:pPr>
              <w:rPr>
                <w:lang w:val="en-GB"/>
              </w:rPr>
            </w:pPr>
          </w:p>
        </w:tc>
        <w:tc>
          <w:tcPr>
            <w:tcW w:w="4796" w:type="dxa"/>
            <w:vMerge/>
            <w:shd w:val="clear" w:color="auto" w:fill="auto"/>
          </w:tcPr>
          <w:p w14:paraId="1A67802B" w14:textId="77777777" w:rsidR="00561D8F" w:rsidRPr="00B31134" w:rsidRDefault="00561D8F" w:rsidP="000E69C9">
            <w:pPr>
              <w:rPr>
                <w:lang w:val="en-GB"/>
              </w:rPr>
            </w:pPr>
          </w:p>
        </w:tc>
      </w:tr>
      <w:tr w:rsidR="00561D8F" w:rsidRPr="00B31134" w14:paraId="3EE2BE30" w14:textId="77777777">
        <w:trPr>
          <w:trHeight w:val="1069"/>
        </w:trPr>
        <w:tc>
          <w:tcPr>
            <w:tcW w:w="4786" w:type="dxa"/>
            <w:gridSpan w:val="2"/>
            <w:tcBorders>
              <w:bottom w:val="single" w:sz="8" w:space="0" w:color="808080"/>
            </w:tcBorders>
          </w:tcPr>
          <w:p w14:paraId="6E49361D" w14:textId="77777777" w:rsidR="00561D8F" w:rsidRPr="00C8558C" w:rsidRDefault="00561D8F" w:rsidP="000E69C9">
            <w:pPr>
              <w:pStyle w:val="AuthorsTOC"/>
            </w:pPr>
            <w:r w:rsidRPr="00524C9E">
              <w:rPr>
                <w:lang w:val="fr-FR"/>
              </w:rPr>
              <w:t>Laurine Ducrot,</w:t>
            </w:r>
            <w:r w:rsidRPr="00524C9E">
              <w:rPr>
                <w:vertAlign w:val="superscript"/>
                <w:lang w:val="fr-FR"/>
              </w:rPr>
              <w:t>a</w:t>
            </w:r>
            <w:r w:rsidRPr="00524C9E">
              <w:rPr>
                <w:lang w:val="fr-FR"/>
              </w:rPr>
              <w:t xml:space="preserve"> Megan Bennett,</w:t>
            </w:r>
            <w:r w:rsidRPr="00524C9E">
              <w:rPr>
                <w:vertAlign w:val="superscript"/>
                <w:lang w:val="fr-FR"/>
              </w:rPr>
              <w:t>b</w:t>
            </w:r>
            <w:r w:rsidRPr="00524C9E">
              <w:rPr>
                <w:lang w:val="fr-FR"/>
              </w:rPr>
              <w:t xml:space="preserve"> Gid</w:t>
            </w:r>
            <w:r>
              <w:rPr>
                <w:lang w:val="fr-FR"/>
              </w:rPr>
              <w:t>e</w:t>
            </w:r>
            <w:r w:rsidRPr="00524C9E">
              <w:rPr>
                <w:lang w:val="fr-FR"/>
              </w:rPr>
              <w:t>on Grogan</w:t>
            </w:r>
            <w:r w:rsidRPr="00524C9E">
              <w:rPr>
                <w:vertAlign w:val="superscript"/>
                <w:lang w:val="fr-FR"/>
              </w:rPr>
              <w:t>b</w:t>
            </w:r>
            <w:r w:rsidRPr="00524C9E">
              <w:rPr>
                <w:lang w:val="fr-FR"/>
              </w:rPr>
              <w:t xml:space="preserve"> and Carine Vergne-Vaxelaire</w:t>
            </w:r>
            <w:r w:rsidRPr="00524C9E">
              <w:rPr>
                <w:vertAlign w:val="superscript"/>
                <w:lang w:val="fr-FR"/>
              </w:rPr>
              <w:t>a</w:t>
            </w:r>
            <w:r>
              <w:rPr>
                <w:vertAlign w:val="superscript"/>
                <w:lang w:val="fr-FR"/>
              </w:rPr>
              <w:t>*</w:t>
            </w:r>
          </w:p>
        </w:tc>
        <w:tc>
          <w:tcPr>
            <w:tcW w:w="284" w:type="dxa"/>
            <w:vMerge/>
            <w:tcBorders>
              <w:bottom w:val="single" w:sz="8" w:space="0" w:color="808080"/>
            </w:tcBorders>
            <w:shd w:val="clear" w:color="auto" w:fill="auto"/>
          </w:tcPr>
          <w:p w14:paraId="09ADDCAB" w14:textId="77777777" w:rsidR="00561D8F" w:rsidRPr="00B31134" w:rsidRDefault="00561D8F" w:rsidP="000E69C9">
            <w:pPr>
              <w:rPr>
                <w:lang w:val="en-GB"/>
              </w:rPr>
            </w:pPr>
          </w:p>
        </w:tc>
        <w:tc>
          <w:tcPr>
            <w:tcW w:w="4796" w:type="dxa"/>
            <w:vMerge/>
            <w:tcBorders>
              <w:bottom w:val="single" w:sz="8" w:space="0" w:color="808080"/>
            </w:tcBorders>
            <w:shd w:val="clear" w:color="auto" w:fill="auto"/>
          </w:tcPr>
          <w:p w14:paraId="6DF72F69" w14:textId="77777777" w:rsidR="00561D8F" w:rsidRPr="00B31134" w:rsidRDefault="00561D8F" w:rsidP="000E69C9">
            <w:pPr>
              <w:rPr>
                <w:lang w:val="en-GB"/>
              </w:rPr>
            </w:pPr>
          </w:p>
        </w:tc>
      </w:tr>
    </w:tbl>
    <w:p w14:paraId="1BA718C6" w14:textId="77777777" w:rsidR="00561D8F" w:rsidRDefault="00561D8F" w:rsidP="000E69C9">
      <w:pPr>
        <w:rPr>
          <w:lang w:val="en-GB"/>
        </w:rPr>
      </w:pPr>
    </w:p>
    <w:p w14:paraId="746E1588" w14:textId="77777777" w:rsidR="00561D8F" w:rsidRDefault="00561D8F" w:rsidP="000E69C9">
      <w:pPr>
        <w:rPr>
          <w:lang w:val="en-GB"/>
        </w:rPr>
      </w:pPr>
    </w:p>
    <w:p w14:paraId="4B4F3811" w14:textId="77777777" w:rsidR="008D2D26" w:rsidRDefault="008D2D26">
      <w:bookmarkStart w:id="1" w:name="_GoBack"/>
      <w:bookmarkEnd w:id="1"/>
    </w:p>
    <w:sectPr w:rsidR="008D2D26" w:rsidSect="000E69C9">
      <w:pgSz w:w="11906" w:h="16838" w:code="9"/>
      <w:pgMar w:top="1191" w:right="680" w:bottom="1225" w:left="1361" w:header="709" w:footer="709" w:gutter="0"/>
      <w:cols w:space="284" w:equalWidth="0">
        <w:col w:w="10375"/>
      </w:cols>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4643B49" w16cid:durableId="22FA9186"/>
  <w16cid:commentId w16cid:paraId="0F6D076F" w16cid:durableId="22FA918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1F4D68" w14:textId="77777777" w:rsidR="00C254BE" w:rsidRDefault="00C254BE">
      <w:r>
        <w:separator/>
      </w:r>
    </w:p>
  </w:endnote>
  <w:endnote w:type="continuationSeparator" w:id="0">
    <w:p w14:paraId="1674BD1A" w14:textId="77777777" w:rsidR="00C254BE" w:rsidRDefault="00C25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115E6" w14:textId="77777777" w:rsidR="0099316B" w:rsidRDefault="0099316B" w:rsidP="000E69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41D146" w14:textId="77777777" w:rsidR="0099316B" w:rsidRDefault="0099316B" w:rsidP="000E69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89B81" w14:textId="16C70183" w:rsidR="0099316B" w:rsidRDefault="0099316B" w:rsidP="000E69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2DDB">
      <w:rPr>
        <w:rStyle w:val="PageNumber"/>
        <w:noProof/>
      </w:rPr>
      <w:t>26</w:t>
    </w:r>
    <w:r>
      <w:rPr>
        <w:rStyle w:val="PageNumber"/>
      </w:rPr>
      <w:fldChar w:fldCharType="end"/>
    </w:r>
  </w:p>
  <w:p w14:paraId="1A5265F4" w14:textId="77777777" w:rsidR="0099316B" w:rsidRDefault="0099316B" w:rsidP="000E69C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36BACC" w14:textId="77777777" w:rsidR="00C254BE" w:rsidRDefault="00C254BE">
      <w:r>
        <w:separator/>
      </w:r>
    </w:p>
  </w:footnote>
  <w:footnote w:type="continuationSeparator" w:id="0">
    <w:p w14:paraId="3A5CA25D" w14:textId="77777777" w:rsidR="00C254BE" w:rsidRDefault="00C254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4B4EAD"/>
    <w:multiLevelType w:val="hybridMultilevel"/>
    <w:tmpl w:val="CF404408"/>
    <w:lvl w:ilvl="0" w:tplc="E88A86E6">
      <w:start w:val="2"/>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DAF1752"/>
    <w:multiLevelType w:val="hybridMultilevel"/>
    <w:tmpl w:val="94C27876"/>
    <w:lvl w:ilvl="0" w:tplc="6ADCFB62">
      <w:start w:val="1"/>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8E07C34"/>
    <w:multiLevelType w:val="multilevel"/>
    <w:tmpl w:val="4C4A0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urine DUCROT">
    <w15:presenceInfo w15:providerId="None" w15:userId="Laurine DUCRO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GB" w:vendorID="64" w:dllVersion="131078" w:nlCheck="1" w:checkStyle="1"/>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61D8F"/>
    <w:rsid w:val="00002F37"/>
    <w:rsid w:val="000078BD"/>
    <w:rsid w:val="00034B0C"/>
    <w:rsid w:val="00034E8A"/>
    <w:rsid w:val="00060AD3"/>
    <w:rsid w:val="000641E0"/>
    <w:rsid w:val="00065167"/>
    <w:rsid w:val="00067D82"/>
    <w:rsid w:val="000732F9"/>
    <w:rsid w:val="00080649"/>
    <w:rsid w:val="000813E7"/>
    <w:rsid w:val="0008270E"/>
    <w:rsid w:val="000A4D6F"/>
    <w:rsid w:val="000B62EA"/>
    <w:rsid w:val="000E69C9"/>
    <w:rsid w:val="00122D44"/>
    <w:rsid w:val="00130D50"/>
    <w:rsid w:val="00132946"/>
    <w:rsid w:val="001337A8"/>
    <w:rsid w:val="001418F9"/>
    <w:rsid w:val="00146C46"/>
    <w:rsid w:val="001A439B"/>
    <w:rsid w:val="001B00B7"/>
    <w:rsid w:val="001B58D7"/>
    <w:rsid w:val="00203E8B"/>
    <w:rsid w:val="0022245D"/>
    <w:rsid w:val="002224BB"/>
    <w:rsid w:val="00226FA8"/>
    <w:rsid w:val="0025376D"/>
    <w:rsid w:val="00254367"/>
    <w:rsid w:val="002622A4"/>
    <w:rsid w:val="00293A57"/>
    <w:rsid w:val="002A3DDF"/>
    <w:rsid w:val="002B5E95"/>
    <w:rsid w:val="002C46DC"/>
    <w:rsid w:val="002D0211"/>
    <w:rsid w:val="002E41F9"/>
    <w:rsid w:val="00324A03"/>
    <w:rsid w:val="00334255"/>
    <w:rsid w:val="003373F9"/>
    <w:rsid w:val="00337796"/>
    <w:rsid w:val="00341B64"/>
    <w:rsid w:val="00350955"/>
    <w:rsid w:val="00350C92"/>
    <w:rsid w:val="003871B1"/>
    <w:rsid w:val="003A41BA"/>
    <w:rsid w:val="003B7286"/>
    <w:rsid w:val="003C20C8"/>
    <w:rsid w:val="003C2F92"/>
    <w:rsid w:val="003D6831"/>
    <w:rsid w:val="003E6B17"/>
    <w:rsid w:val="00444D27"/>
    <w:rsid w:val="00453241"/>
    <w:rsid w:val="00464F66"/>
    <w:rsid w:val="00473F4D"/>
    <w:rsid w:val="00486720"/>
    <w:rsid w:val="004B04C5"/>
    <w:rsid w:val="004C7A3D"/>
    <w:rsid w:val="004E3061"/>
    <w:rsid w:val="004E4463"/>
    <w:rsid w:val="004F5C89"/>
    <w:rsid w:val="004F5FCF"/>
    <w:rsid w:val="00503141"/>
    <w:rsid w:val="00532242"/>
    <w:rsid w:val="00534E77"/>
    <w:rsid w:val="0054071D"/>
    <w:rsid w:val="00557210"/>
    <w:rsid w:val="00561D8F"/>
    <w:rsid w:val="005711DF"/>
    <w:rsid w:val="0058114F"/>
    <w:rsid w:val="0058136B"/>
    <w:rsid w:val="00587307"/>
    <w:rsid w:val="00587E70"/>
    <w:rsid w:val="00596ADA"/>
    <w:rsid w:val="005A0CF9"/>
    <w:rsid w:val="005A3212"/>
    <w:rsid w:val="005C0E96"/>
    <w:rsid w:val="005C7DF1"/>
    <w:rsid w:val="005D0C69"/>
    <w:rsid w:val="005F1481"/>
    <w:rsid w:val="00611DE9"/>
    <w:rsid w:val="0062298B"/>
    <w:rsid w:val="006536C8"/>
    <w:rsid w:val="00684928"/>
    <w:rsid w:val="006D19C0"/>
    <w:rsid w:val="006E692A"/>
    <w:rsid w:val="006F25BB"/>
    <w:rsid w:val="006F2767"/>
    <w:rsid w:val="00711B2B"/>
    <w:rsid w:val="00722E34"/>
    <w:rsid w:val="007519D1"/>
    <w:rsid w:val="00753FCB"/>
    <w:rsid w:val="0076552B"/>
    <w:rsid w:val="00765936"/>
    <w:rsid w:val="0077693A"/>
    <w:rsid w:val="00776F9C"/>
    <w:rsid w:val="00777BB9"/>
    <w:rsid w:val="007A034D"/>
    <w:rsid w:val="007A284E"/>
    <w:rsid w:val="007A3CEF"/>
    <w:rsid w:val="007A4981"/>
    <w:rsid w:val="007B74B8"/>
    <w:rsid w:val="007E305C"/>
    <w:rsid w:val="007F3638"/>
    <w:rsid w:val="0081142B"/>
    <w:rsid w:val="00823C63"/>
    <w:rsid w:val="00832FC4"/>
    <w:rsid w:val="00845227"/>
    <w:rsid w:val="0084743B"/>
    <w:rsid w:val="00872F40"/>
    <w:rsid w:val="008D2D26"/>
    <w:rsid w:val="008E60C2"/>
    <w:rsid w:val="008F4FFB"/>
    <w:rsid w:val="0091163C"/>
    <w:rsid w:val="00912376"/>
    <w:rsid w:val="00930392"/>
    <w:rsid w:val="00933DAB"/>
    <w:rsid w:val="00980160"/>
    <w:rsid w:val="009925AD"/>
    <w:rsid w:val="009930FD"/>
    <w:rsid w:val="0099316B"/>
    <w:rsid w:val="009B0C88"/>
    <w:rsid w:val="009B40B9"/>
    <w:rsid w:val="009D185C"/>
    <w:rsid w:val="009D590B"/>
    <w:rsid w:val="009E1D39"/>
    <w:rsid w:val="009E6602"/>
    <w:rsid w:val="009F183B"/>
    <w:rsid w:val="00A05409"/>
    <w:rsid w:val="00A05B7A"/>
    <w:rsid w:val="00A2002B"/>
    <w:rsid w:val="00A33B20"/>
    <w:rsid w:val="00A35EC6"/>
    <w:rsid w:val="00A51455"/>
    <w:rsid w:val="00A61E06"/>
    <w:rsid w:val="00A62CCF"/>
    <w:rsid w:val="00A645F2"/>
    <w:rsid w:val="00A87E7B"/>
    <w:rsid w:val="00A93892"/>
    <w:rsid w:val="00AA2DB5"/>
    <w:rsid w:val="00AA40B2"/>
    <w:rsid w:val="00AB4728"/>
    <w:rsid w:val="00AD1117"/>
    <w:rsid w:val="00AE0925"/>
    <w:rsid w:val="00AE3FA1"/>
    <w:rsid w:val="00AE4158"/>
    <w:rsid w:val="00AF1EB6"/>
    <w:rsid w:val="00B04D37"/>
    <w:rsid w:val="00B260F7"/>
    <w:rsid w:val="00B50FE5"/>
    <w:rsid w:val="00B61DA1"/>
    <w:rsid w:val="00B67A07"/>
    <w:rsid w:val="00B8293F"/>
    <w:rsid w:val="00B91556"/>
    <w:rsid w:val="00BB1B81"/>
    <w:rsid w:val="00BB1D00"/>
    <w:rsid w:val="00BB4BD0"/>
    <w:rsid w:val="00BC7474"/>
    <w:rsid w:val="00BE0A55"/>
    <w:rsid w:val="00C12A3A"/>
    <w:rsid w:val="00C146E5"/>
    <w:rsid w:val="00C254BE"/>
    <w:rsid w:val="00C34048"/>
    <w:rsid w:val="00CA3CB8"/>
    <w:rsid w:val="00CB53AB"/>
    <w:rsid w:val="00CC4C1F"/>
    <w:rsid w:val="00CD16CC"/>
    <w:rsid w:val="00CE7809"/>
    <w:rsid w:val="00D35F69"/>
    <w:rsid w:val="00D36C88"/>
    <w:rsid w:val="00D41290"/>
    <w:rsid w:val="00D50278"/>
    <w:rsid w:val="00D6014C"/>
    <w:rsid w:val="00D7581F"/>
    <w:rsid w:val="00D82080"/>
    <w:rsid w:val="00DA2663"/>
    <w:rsid w:val="00DC5AD6"/>
    <w:rsid w:val="00DF6CD8"/>
    <w:rsid w:val="00DF7457"/>
    <w:rsid w:val="00E22F99"/>
    <w:rsid w:val="00E24C93"/>
    <w:rsid w:val="00E33BA4"/>
    <w:rsid w:val="00E67283"/>
    <w:rsid w:val="00E70B00"/>
    <w:rsid w:val="00E817DC"/>
    <w:rsid w:val="00E92DDB"/>
    <w:rsid w:val="00E95346"/>
    <w:rsid w:val="00E97073"/>
    <w:rsid w:val="00EB0B08"/>
    <w:rsid w:val="00ED2C8E"/>
    <w:rsid w:val="00EE66BE"/>
    <w:rsid w:val="00EE704F"/>
    <w:rsid w:val="00EF5F5A"/>
    <w:rsid w:val="00F01A44"/>
    <w:rsid w:val="00F34EE9"/>
    <w:rsid w:val="00F35A35"/>
    <w:rsid w:val="00F42584"/>
    <w:rsid w:val="00F62FBF"/>
    <w:rsid w:val="00F74FA4"/>
    <w:rsid w:val="00F81551"/>
    <w:rsid w:val="00F838BE"/>
    <w:rsid w:val="00FB2BAB"/>
    <w:rsid w:val="00FE0DFF"/>
    <w:rsid w:val="00FE424B"/>
    <w:rsid w:val="00FF6E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52151D43"/>
  <w15:chartTrackingRefBased/>
  <w15:docId w15:val="{6F8A3F4B-EE44-4F6F-A1E7-B53B5C5D7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D8F"/>
    <w:pPr>
      <w:spacing w:after="0" w:line="240" w:lineRule="auto"/>
    </w:pPr>
    <w:rPr>
      <w:rFonts w:ascii="Times New Roman" w:eastAsia="MS Mincho" w:hAnsi="Times New Roman" w:cs="Times New Roman"/>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German">
    <w:name w:val="TitleGerman"/>
    <w:basedOn w:val="Normal"/>
    <w:next w:val="Normal"/>
    <w:rsid w:val="00561D8F"/>
    <w:pPr>
      <w:spacing w:before="200" w:after="120" w:line="300" w:lineRule="exact"/>
    </w:pPr>
    <w:rPr>
      <w:b/>
      <w:sz w:val="28"/>
      <w:szCs w:val="28"/>
    </w:rPr>
  </w:style>
  <w:style w:type="paragraph" w:customStyle="1" w:styleId="Authors">
    <w:name w:val="Authors"/>
    <w:basedOn w:val="Normal"/>
    <w:rsid w:val="00561D8F"/>
    <w:pPr>
      <w:spacing w:before="360" w:after="240" w:line="260" w:lineRule="exact"/>
    </w:pPr>
    <w:rPr>
      <w:sz w:val="28"/>
      <w:lang w:val="en-GB"/>
    </w:rPr>
  </w:style>
  <w:style w:type="paragraph" w:customStyle="1" w:styleId="Dedication">
    <w:name w:val="Dedication"/>
    <w:basedOn w:val="Normal"/>
    <w:rsid w:val="00561D8F"/>
    <w:pPr>
      <w:spacing w:before="230" w:after="460" w:line="230" w:lineRule="exact"/>
      <w:contextualSpacing/>
    </w:pPr>
    <w:rPr>
      <w:i/>
      <w:sz w:val="18"/>
    </w:rPr>
  </w:style>
  <w:style w:type="paragraph" w:customStyle="1" w:styleId="P1withoutIndendation">
    <w:name w:val="P1_without_Indendation"/>
    <w:basedOn w:val="Normal"/>
    <w:link w:val="P1withoutIndendationCar"/>
    <w:rsid w:val="00561D8F"/>
    <w:pPr>
      <w:spacing w:line="230" w:lineRule="exact"/>
      <w:jc w:val="both"/>
    </w:pPr>
    <w:rPr>
      <w:sz w:val="22"/>
    </w:rPr>
  </w:style>
  <w:style w:type="paragraph" w:customStyle="1" w:styleId="History">
    <w:name w:val="History"/>
    <w:basedOn w:val="Normal"/>
    <w:rsid w:val="00561D8F"/>
    <w:pPr>
      <w:spacing w:before="240" w:after="240" w:line="180" w:lineRule="exact"/>
    </w:pPr>
    <w:rPr>
      <w:sz w:val="20"/>
      <w:szCs w:val="16"/>
    </w:rPr>
  </w:style>
  <w:style w:type="paragraph" w:styleId="FootnoteText">
    <w:name w:val="footnote text"/>
    <w:basedOn w:val="Normal"/>
    <w:link w:val="FootnoteTextChar"/>
    <w:semiHidden/>
    <w:rsid w:val="00561D8F"/>
    <w:rPr>
      <w:sz w:val="20"/>
      <w:szCs w:val="20"/>
    </w:rPr>
  </w:style>
  <w:style w:type="character" w:customStyle="1" w:styleId="FootnoteTextChar">
    <w:name w:val="Footnote Text Char"/>
    <w:basedOn w:val="DefaultParagraphFont"/>
    <w:link w:val="FootnoteText"/>
    <w:semiHidden/>
    <w:rsid w:val="00561D8F"/>
    <w:rPr>
      <w:rFonts w:ascii="Times New Roman" w:eastAsia="MS Mincho" w:hAnsi="Times New Roman" w:cs="Times New Roman"/>
      <w:sz w:val="20"/>
      <w:szCs w:val="20"/>
      <w:lang w:val="de-DE" w:eastAsia="ja-JP"/>
    </w:rPr>
  </w:style>
  <w:style w:type="character" w:styleId="FootnoteReference">
    <w:name w:val="footnote reference"/>
    <w:basedOn w:val="DefaultParagraphFont"/>
    <w:semiHidden/>
    <w:rsid w:val="00561D8F"/>
    <w:rPr>
      <w:vertAlign w:val="superscript"/>
    </w:rPr>
  </w:style>
  <w:style w:type="paragraph" w:customStyle="1" w:styleId="Address">
    <w:name w:val="*Address"/>
    <w:basedOn w:val="FootnoteText"/>
    <w:rsid w:val="00561D8F"/>
    <w:pPr>
      <w:spacing w:before="230" w:line="200" w:lineRule="exact"/>
    </w:pPr>
    <w:rPr>
      <w:rFonts w:ascii="Arial" w:hAnsi="Arial"/>
      <w:sz w:val="16"/>
    </w:rPr>
  </w:style>
  <w:style w:type="paragraph" w:customStyle="1" w:styleId="SupportingInformation">
    <w:name w:val="SupportingInformation"/>
    <w:basedOn w:val="Address"/>
    <w:rsid w:val="00561D8F"/>
    <w:pPr>
      <w:spacing w:before="120" w:after="360" w:line="180" w:lineRule="exact"/>
    </w:pPr>
    <w:rPr>
      <w:rFonts w:ascii="Times New Roman" w:hAnsi="Times New Roman"/>
      <w:sz w:val="20"/>
      <w:szCs w:val="14"/>
      <w:lang w:val="en-GB"/>
    </w:rPr>
  </w:style>
  <w:style w:type="paragraph" w:customStyle="1" w:styleId="References">
    <w:name w:val="References"/>
    <w:basedOn w:val="Normal"/>
    <w:rsid w:val="00561D8F"/>
    <w:pPr>
      <w:spacing w:after="120" w:line="230" w:lineRule="exact"/>
      <w:ind w:left="284" w:hanging="284"/>
      <w:jc w:val="both"/>
    </w:pPr>
    <w:rPr>
      <w:sz w:val="20"/>
      <w:szCs w:val="14"/>
      <w:lang w:val="en-GB"/>
    </w:rPr>
  </w:style>
  <w:style w:type="paragraph" w:customStyle="1" w:styleId="ColumnTitle">
    <w:name w:val="ColumnTitle"/>
    <w:basedOn w:val="Normal"/>
    <w:rsid w:val="00561D8F"/>
    <w:pPr>
      <w:ind w:right="113"/>
      <w:jc w:val="right"/>
    </w:pPr>
    <w:rPr>
      <w:rFonts w:cs="Arial"/>
      <w:b/>
      <w:color w:val="000000"/>
      <w:spacing w:val="10"/>
      <w:w w:val="110"/>
      <w:sz w:val="40"/>
      <w:szCs w:val="36"/>
      <w:lang w:val="en-GB"/>
    </w:rPr>
  </w:style>
  <w:style w:type="paragraph" w:customStyle="1" w:styleId="ExperimentalSection">
    <w:name w:val="ExperimentalSection"/>
    <w:basedOn w:val="Normal"/>
    <w:rsid w:val="00561D8F"/>
    <w:pPr>
      <w:spacing w:after="240" w:line="180" w:lineRule="exact"/>
      <w:jc w:val="both"/>
    </w:pPr>
    <w:rPr>
      <w:sz w:val="16"/>
      <w:szCs w:val="14"/>
      <w:lang w:val="en-GB"/>
    </w:rPr>
  </w:style>
  <w:style w:type="paragraph" w:customStyle="1" w:styleId="HExperimentalSection">
    <w:name w:val="HExperimental_Section"/>
    <w:basedOn w:val="Normal"/>
    <w:rsid w:val="00561D8F"/>
    <w:pPr>
      <w:spacing w:before="460" w:after="230" w:line="230" w:lineRule="atLeast"/>
    </w:pPr>
    <w:rPr>
      <w:b/>
      <w:sz w:val="20"/>
      <w:szCs w:val="20"/>
    </w:rPr>
  </w:style>
  <w:style w:type="paragraph" w:customStyle="1" w:styleId="SchemeCaption">
    <w:name w:val="SchemeCaption"/>
    <w:basedOn w:val="Normal"/>
    <w:rsid w:val="00561D8F"/>
    <w:pPr>
      <w:spacing w:before="230" w:after="460" w:line="230" w:lineRule="exact"/>
      <w:jc w:val="both"/>
    </w:pPr>
    <w:rPr>
      <w:sz w:val="20"/>
      <w:szCs w:val="14"/>
      <w:lang w:val="en-GB"/>
    </w:rPr>
  </w:style>
  <w:style w:type="paragraph" w:customStyle="1" w:styleId="FigureCaption">
    <w:name w:val="FigureCaption"/>
    <w:basedOn w:val="Normal"/>
    <w:rsid w:val="00561D8F"/>
    <w:pPr>
      <w:spacing w:before="230" w:after="460" w:line="230" w:lineRule="exact"/>
      <w:jc w:val="both"/>
    </w:pPr>
    <w:rPr>
      <w:sz w:val="20"/>
      <w:szCs w:val="14"/>
      <w:lang w:val="en-GB"/>
    </w:rPr>
  </w:style>
  <w:style w:type="paragraph" w:customStyle="1" w:styleId="TableCaption">
    <w:name w:val="TableCaption"/>
    <w:basedOn w:val="Normal"/>
    <w:rsid w:val="00561D8F"/>
    <w:pPr>
      <w:spacing w:before="230" w:after="120" w:line="200" w:lineRule="exact"/>
      <w:jc w:val="both"/>
    </w:pPr>
    <w:rPr>
      <w:sz w:val="20"/>
      <w:szCs w:val="14"/>
      <w:lang w:val="en-GB"/>
    </w:rPr>
  </w:style>
  <w:style w:type="paragraph" w:customStyle="1" w:styleId="TableHead">
    <w:name w:val="TableHead"/>
    <w:basedOn w:val="TableCaption"/>
    <w:rsid w:val="00561D8F"/>
    <w:pPr>
      <w:spacing w:before="50" w:after="50"/>
    </w:pPr>
  </w:style>
  <w:style w:type="paragraph" w:customStyle="1" w:styleId="TableBody">
    <w:name w:val="TableBody"/>
    <w:basedOn w:val="Normal"/>
    <w:qFormat/>
    <w:rsid w:val="00561D8F"/>
    <w:pPr>
      <w:spacing w:line="230" w:lineRule="atLeast"/>
    </w:pPr>
    <w:rPr>
      <w:sz w:val="20"/>
    </w:rPr>
  </w:style>
  <w:style w:type="paragraph" w:customStyle="1" w:styleId="TableFoot">
    <w:name w:val="TableFoot"/>
    <w:basedOn w:val="Normal"/>
    <w:rsid w:val="00561D8F"/>
    <w:pPr>
      <w:spacing w:after="460" w:line="230" w:lineRule="exact"/>
      <w:jc w:val="both"/>
    </w:pPr>
    <w:rPr>
      <w:sz w:val="20"/>
      <w:szCs w:val="14"/>
      <w:lang w:val="en-GB"/>
    </w:rPr>
  </w:style>
  <w:style w:type="table" w:styleId="TableGrid">
    <w:name w:val="Table Grid"/>
    <w:basedOn w:val="TableNormal"/>
    <w:rsid w:val="00561D8F"/>
    <w:pPr>
      <w:spacing w:after="0" w:line="240" w:lineRule="auto"/>
    </w:pPr>
    <w:rPr>
      <w:rFonts w:ascii="Times New Roman" w:eastAsia="MS Mincho"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words">
    <w:name w:val="Keywords"/>
    <w:basedOn w:val="Normal"/>
    <w:rsid w:val="00561D8F"/>
    <w:pPr>
      <w:spacing w:before="240" w:after="120" w:line="220" w:lineRule="exact"/>
    </w:pPr>
    <w:rPr>
      <w:sz w:val="20"/>
      <w:szCs w:val="20"/>
      <w:lang w:val="en-GB"/>
    </w:rPr>
  </w:style>
  <w:style w:type="paragraph" w:customStyle="1" w:styleId="ManuscriptID">
    <w:name w:val="ManuscriptID"/>
    <w:basedOn w:val="Normal"/>
    <w:rsid w:val="00561D8F"/>
    <w:pPr>
      <w:spacing w:before="360" w:after="120" w:line="230" w:lineRule="exact"/>
      <w:jc w:val="right"/>
    </w:pPr>
    <w:rPr>
      <w:b/>
      <w:sz w:val="20"/>
      <w:szCs w:val="15"/>
      <w:lang w:val="en-GB"/>
    </w:rPr>
  </w:style>
  <w:style w:type="paragraph" w:customStyle="1" w:styleId="AuthorsTOC">
    <w:name w:val="Authors_TOC"/>
    <w:basedOn w:val="Normal"/>
    <w:rsid w:val="00561D8F"/>
    <w:pPr>
      <w:spacing w:before="120" w:after="60" w:line="220" w:lineRule="exact"/>
    </w:pPr>
    <w:rPr>
      <w:sz w:val="22"/>
      <w:szCs w:val="20"/>
      <w:lang w:val="en-GB"/>
    </w:rPr>
  </w:style>
  <w:style w:type="paragraph" w:customStyle="1" w:styleId="ColumnTitleTOC">
    <w:name w:val="ColumnTitle_TOC"/>
    <w:basedOn w:val="Normal"/>
    <w:rsid w:val="00561D8F"/>
    <w:pPr>
      <w:spacing w:before="120" w:after="60"/>
      <w:jc w:val="right"/>
    </w:pPr>
    <w:rPr>
      <w:rFonts w:cs="Arial"/>
      <w:b/>
      <w:color w:val="008080"/>
      <w:sz w:val="18"/>
      <w:szCs w:val="16"/>
      <w:lang w:val="en-GB"/>
    </w:rPr>
  </w:style>
  <w:style w:type="paragraph" w:customStyle="1" w:styleId="TableOfContentText">
    <w:name w:val="TableOfContentText"/>
    <w:basedOn w:val="Normal"/>
    <w:rsid w:val="00561D8F"/>
    <w:pPr>
      <w:spacing w:before="120" w:line="220" w:lineRule="exact"/>
    </w:pPr>
    <w:rPr>
      <w:color w:val="000000"/>
      <w:sz w:val="18"/>
    </w:rPr>
  </w:style>
  <w:style w:type="character" w:styleId="Hyperlink">
    <w:name w:val="Hyperlink"/>
    <w:basedOn w:val="DefaultParagraphFont"/>
    <w:rsid w:val="00561D8F"/>
    <w:rPr>
      <w:color w:val="0000FF"/>
      <w:u w:val="single"/>
    </w:rPr>
  </w:style>
  <w:style w:type="paragraph" w:customStyle="1" w:styleId="P1withIndendation">
    <w:name w:val="P1_with_Indendation"/>
    <w:basedOn w:val="TableCaption"/>
    <w:rsid w:val="00561D8F"/>
    <w:pPr>
      <w:spacing w:before="0" w:after="0" w:line="230" w:lineRule="exact"/>
      <w:ind w:firstLine="227"/>
    </w:pPr>
    <w:rPr>
      <w:sz w:val="22"/>
    </w:rPr>
  </w:style>
  <w:style w:type="paragraph" w:customStyle="1" w:styleId="LeadIn">
    <w:name w:val="LeadIn"/>
    <w:basedOn w:val="Normal"/>
    <w:rsid w:val="00561D8F"/>
    <w:pPr>
      <w:spacing w:after="460" w:line="280" w:lineRule="exact"/>
    </w:pPr>
    <w:rPr>
      <w:i/>
      <w:sz w:val="22"/>
      <w:szCs w:val="22"/>
      <w:lang w:val="en-GB"/>
    </w:rPr>
  </w:style>
  <w:style w:type="paragraph" w:customStyle="1" w:styleId="H1">
    <w:name w:val="H1"/>
    <w:basedOn w:val="Normal"/>
    <w:rsid w:val="00561D8F"/>
    <w:pPr>
      <w:spacing w:before="480" w:after="230" w:line="220" w:lineRule="exact"/>
    </w:pPr>
    <w:rPr>
      <w:b/>
      <w:sz w:val="28"/>
      <w:lang w:val="en-GB"/>
    </w:rPr>
  </w:style>
  <w:style w:type="paragraph" w:customStyle="1" w:styleId="H2">
    <w:name w:val="H2"/>
    <w:basedOn w:val="H1"/>
    <w:rsid w:val="00561D8F"/>
    <w:pPr>
      <w:spacing w:before="230"/>
    </w:pPr>
    <w:rPr>
      <w:i/>
      <w:sz w:val="18"/>
    </w:rPr>
  </w:style>
  <w:style w:type="paragraph" w:customStyle="1" w:styleId="H3">
    <w:name w:val="H3"/>
    <w:basedOn w:val="H2"/>
    <w:rsid w:val="00561D8F"/>
    <w:rPr>
      <w:b w:val="0"/>
    </w:rPr>
  </w:style>
  <w:style w:type="paragraph" w:customStyle="1" w:styleId="H4">
    <w:name w:val="H4"/>
    <w:basedOn w:val="H3"/>
    <w:rsid w:val="00561D8F"/>
  </w:style>
  <w:style w:type="paragraph" w:customStyle="1" w:styleId="H5">
    <w:name w:val="H5"/>
    <w:basedOn w:val="H4"/>
    <w:rsid w:val="00561D8F"/>
  </w:style>
  <w:style w:type="paragraph" w:customStyle="1" w:styleId="Biography">
    <w:name w:val="Biography"/>
    <w:basedOn w:val="TableFoot"/>
    <w:rsid w:val="00561D8F"/>
    <w:pPr>
      <w:spacing w:before="200" w:after="200" w:line="200" w:lineRule="exact"/>
    </w:pPr>
    <w:rPr>
      <w:i/>
    </w:rPr>
  </w:style>
  <w:style w:type="paragraph" w:styleId="Caption">
    <w:name w:val="caption"/>
    <w:basedOn w:val="Normal"/>
    <w:next w:val="Normal"/>
    <w:qFormat/>
    <w:rsid w:val="00561D8F"/>
    <w:pPr>
      <w:spacing w:before="120" w:after="120"/>
    </w:pPr>
    <w:rPr>
      <w:b/>
      <w:bCs/>
      <w:sz w:val="20"/>
      <w:szCs w:val="20"/>
    </w:rPr>
  </w:style>
  <w:style w:type="paragraph" w:styleId="Footer">
    <w:name w:val="footer"/>
    <w:basedOn w:val="Normal"/>
    <w:link w:val="FooterChar"/>
    <w:rsid w:val="00561D8F"/>
    <w:pPr>
      <w:tabs>
        <w:tab w:val="center" w:pos="4536"/>
        <w:tab w:val="right" w:pos="9072"/>
      </w:tabs>
    </w:pPr>
  </w:style>
  <w:style w:type="character" w:customStyle="1" w:styleId="FooterChar">
    <w:name w:val="Footer Char"/>
    <w:basedOn w:val="DefaultParagraphFont"/>
    <w:link w:val="Footer"/>
    <w:rsid w:val="00561D8F"/>
    <w:rPr>
      <w:rFonts w:ascii="Times New Roman" w:eastAsia="MS Mincho" w:hAnsi="Times New Roman" w:cs="Times New Roman"/>
      <w:sz w:val="24"/>
      <w:szCs w:val="24"/>
      <w:lang w:val="de-DE" w:eastAsia="ja-JP"/>
    </w:rPr>
  </w:style>
  <w:style w:type="character" w:styleId="PageNumber">
    <w:name w:val="page number"/>
    <w:basedOn w:val="DefaultParagraphFont"/>
    <w:rsid w:val="00561D8F"/>
  </w:style>
  <w:style w:type="paragraph" w:customStyle="1" w:styleId="Abstract">
    <w:name w:val="Abstract"/>
    <w:basedOn w:val="Normal"/>
    <w:rsid w:val="00561D8F"/>
    <w:pPr>
      <w:spacing w:line="220" w:lineRule="exact"/>
      <w:jc w:val="both"/>
    </w:pPr>
    <w:rPr>
      <w:sz w:val="20"/>
      <w:szCs w:val="20"/>
      <w:lang w:val="en-GB"/>
    </w:rPr>
  </w:style>
  <w:style w:type="paragraph" w:customStyle="1" w:styleId="HAcknowledgements">
    <w:name w:val="HAcknowledgements"/>
    <w:basedOn w:val="H1"/>
    <w:autoRedefine/>
    <w:rsid w:val="00561D8F"/>
  </w:style>
  <w:style w:type="paragraph" w:customStyle="1" w:styleId="Acknowledgements">
    <w:name w:val="Acknowledgements"/>
    <w:basedOn w:val="ExperimentalSection"/>
    <w:rsid w:val="00561D8F"/>
    <w:pPr>
      <w:spacing w:before="240" w:after="480"/>
    </w:pPr>
    <w:rPr>
      <w:i/>
      <w:sz w:val="18"/>
    </w:rPr>
  </w:style>
  <w:style w:type="paragraph" w:customStyle="1" w:styleId="TitleTOC">
    <w:name w:val="Title_TOC"/>
    <w:basedOn w:val="AuthorsTOC"/>
    <w:rsid w:val="00561D8F"/>
    <w:pPr>
      <w:spacing w:before="240"/>
    </w:pPr>
  </w:style>
  <w:style w:type="paragraph" w:customStyle="1" w:styleId="KeywordsTOC">
    <w:name w:val="Keywords_TOC"/>
    <w:basedOn w:val="Keywords"/>
    <w:rsid w:val="00561D8F"/>
    <w:pPr>
      <w:framePr w:hSpace="141" w:wrap="around" w:hAnchor="text" w:y="673"/>
      <w:spacing w:after="0"/>
    </w:pPr>
    <w:rPr>
      <w:b/>
      <w:sz w:val="18"/>
      <w:szCs w:val="24"/>
    </w:rPr>
  </w:style>
  <w:style w:type="paragraph" w:customStyle="1" w:styleId="Titre1">
    <w:name w:val="Titre1"/>
    <w:basedOn w:val="TitleGerman"/>
    <w:rsid w:val="00561D8F"/>
    <w:rPr>
      <w:sz w:val="36"/>
      <w:lang w:val="en-GB"/>
    </w:rPr>
  </w:style>
  <w:style w:type="paragraph" w:customStyle="1" w:styleId="Address0">
    <w:name w:val="Address"/>
    <w:basedOn w:val="Normal"/>
    <w:rsid w:val="00561D8F"/>
    <w:pPr>
      <w:ind w:left="284" w:hanging="284"/>
    </w:pPr>
    <w:rPr>
      <w:sz w:val="20"/>
    </w:rPr>
  </w:style>
  <w:style w:type="paragraph" w:customStyle="1" w:styleId="SubjectHeadingTOC">
    <w:name w:val="SubjectHeading_TOC"/>
    <w:basedOn w:val="Normal"/>
    <w:rsid w:val="00561D8F"/>
    <w:pPr>
      <w:spacing w:before="60" w:after="60" w:line="230" w:lineRule="exact"/>
    </w:pPr>
    <w:rPr>
      <w:b/>
      <w:color w:val="FFFFFF"/>
      <w:sz w:val="28"/>
      <w:szCs w:val="18"/>
      <w:lang w:val="en-GB"/>
    </w:rPr>
  </w:style>
  <w:style w:type="paragraph" w:styleId="Header">
    <w:name w:val="header"/>
    <w:basedOn w:val="Normal"/>
    <w:link w:val="HeaderChar"/>
    <w:uiPriority w:val="99"/>
    <w:semiHidden/>
    <w:unhideWhenUsed/>
    <w:rsid w:val="00561D8F"/>
    <w:pPr>
      <w:tabs>
        <w:tab w:val="center" w:pos="4703"/>
        <w:tab w:val="right" w:pos="9406"/>
      </w:tabs>
    </w:pPr>
  </w:style>
  <w:style w:type="character" w:customStyle="1" w:styleId="HeaderChar">
    <w:name w:val="Header Char"/>
    <w:basedOn w:val="DefaultParagraphFont"/>
    <w:link w:val="Header"/>
    <w:uiPriority w:val="99"/>
    <w:semiHidden/>
    <w:rsid w:val="00561D8F"/>
    <w:rPr>
      <w:rFonts w:ascii="Times New Roman" w:eastAsia="MS Mincho" w:hAnsi="Times New Roman" w:cs="Times New Roman"/>
      <w:sz w:val="24"/>
      <w:szCs w:val="24"/>
      <w:lang w:val="de-DE" w:eastAsia="ja-JP"/>
    </w:rPr>
  </w:style>
  <w:style w:type="paragraph" w:customStyle="1" w:styleId="EndNoteBibliographyTitle">
    <w:name w:val="EndNote Bibliography Title"/>
    <w:basedOn w:val="Normal"/>
    <w:link w:val="EndNoteBibliographyTitleCar"/>
    <w:rsid w:val="00561D8F"/>
    <w:pPr>
      <w:jc w:val="center"/>
    </w:pPr>
    <w:rPr>
      <w:noProof/>
    </w:rPr>
  </w:style>
  <w:style w:type="character" w:customStyle="1" w:styleId="P1withoutIndendationCar">
    <w:name w:val="P1_without_Indendation Car"/>
    <w:basedOn w:val="DefaultParagraphFont"/>
    <w:link w:val="P1withoutIndendation"/>
    <w:rsid w:val="00561D8F"/>
    <w:rPr>
      <w:rFonts w:ascii="Times New Roman" w:eastAsia="MS Mincho" w:hAnsi="Times New Roman" w:cs="Times New Roman"/>
      <w:szCs w:val="24"/>
      <w:lang w:val="de-DE" w:eastAsia="ja-JP"/>
    </w:rPr>
  </w:style>
  <w:style w:type="character" w:customStyle="1" w:styleId="EndNoteBibliographyTitleCar">
    <w:name w:val="EndNote Bibliography Title Car"/>
    <w:basedOn w:val="P1withoutIndendationCar"/>
    <w:link w:val="EndNoteBibliographyTitle"/>
    <w:rsid w:val="00561D8F"/>
    <w:rPr>
      <w:rFonts w:ascii="Times New Roman" w:eastAsia="MS Mincho" w:hAnsi="Times New Roman" w:cs="Times New Roman"/>
      <w:noProof/>
      <w:sz w:val="24"/>
      <w:szCs w:val="24"/>
      <w:lang w:val="de-DE" w:eastAsia="ja-JP"/>
    </w:rPr>
  </w:style>
  <w:style w:type="paragraph" w:customStyle="1" w:styleId="EndNoteBibliography">
    <w:name w:val="EndNote Bibliography"/>
    <w:basedOn w:val="Normal"/>
    <w:link w:val="EndNoteBibliographyCar"/>
    <w:rsid w:val="00561D8F"/>
    <w:rPr>
      <w:noProof/>
    </w:rPr>
  </w:style>
  <w:style w:type="character" w:customStyle="1" w:styleId="EndNoteBibliographyCar">
    <w:name w:val="EndNote Bibliography Car"/>
    <w:basedOn w:val="P1withoutIndendationCar"/>
    <w:link w:val="EndNoteBibliography"/>
    <w:rsid w:val="00561D8F"/>
    <w:rPr>
      <w:rFonts w:ascii="Times New Roman" w:eastAsia="MS Mincho" w:hAnsi="Times New Roman" w:cs="Times New Roman"/>
      <w:noProof/>
      <w:sz w:val="24"/>
      <w:szCs w:val="24"/>
      <w:lang w:val="de-DE" w:eastAsia="ja-JP"/>
    </w:rPr>
  </w:style>
  <w:style w:type="character" w:styleId="CommentReference">
    <w:name w:val="annotation reference"/>
    <w:basedOn w:val="DefaultParagraphFont"/>
    <w:uiPriority w:val="99"/>
    <w:semiHidden/>
    <w:unhideWhenUsed/>
    <w:rsid w:val="00561D8F"/>
    <w:rPr>
      <w:sz w:val="16"/>
      <w:szCs w:val="16"/>
    </w:rPr>
  </w:style>
  <w:style w:type="paragraph" w:styleId="CommentText">
    <w:name w:val="annotation text"/>
    <w:basedOn w:val="Normal"/>
    <w:link w:val="CommentTextChar"/>
    <w:uiPriority w:val="99"/>
    <w:unhideWhenUsed/>
    <w:rsid w:val="00561D8F"/>
    <w:rPr>
      <w:sz w:val="20"/>
      <w:szCs w:val="20"/>
      <w:lang w:val="en-GB"/>
    </w:rPr>
  </w:style>
  <w:style w:type="character" w:customStyle="1" w:styleId="CommentTextChar">
    <w:name w:val="Comment Text Char"/>
    <w:basedOn w:val="DefaultParagraphFont"/>
    <w:link w:val="CommentText"/>
    <w:uiPriority w:val="99"/>
    <w:rsid w:val="00561D8F"/>
    <w:rPr>
      <w:rFonts w:ascii="Times New Roman" w:eastAsia="MS Mincho" w:hAnsi="Times New Roman" w:cs="Times New Roman"/>
      <w:sz w:val="20"/>
      <w:szCs w:val="20"/>
      <w:lang w:val="en-GB" w:eastAsia="ja-JP"/>
    </w:rPr>
  </w:style>
  <w:style w:type="paragraph" w:styleId="BalloonText">
    <w:name w:val="Balloon Text"/>
    <w:basedOn w:val="Normal"/>
    <w:link w:val="BalloonTextChar"/>
    <w:uiPriority w:val="99"/>
    <w:semiHidden/>
    <w:unhideWhenUsed/>
    <w:rsid w:val="00561D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D8F"/>
    <w:rPr>
      <w:rFonts w:ascii="Segoe UI" w:eastAsia="MS Mincho" w:hAnsi="Segoe UI" w:cs="Segoe UI"/>
      <w:sz w:val="18"/>
      <w:szCs w:val="18"/>
      <w:lang w:val="de-DE" w:eastAsia="ja-JP"/>
    </w:rPr>
  </w:style>
  <w:style w:type="paragraph" w:styleId="CommentSubject">
    <w:name w:val="annotation subject"/>
    <w:basedOn w:val="CommentText"/>
    <w:next w:val="CommentText"/>
    <w:link w:val="CommentSubjectChar"/>
    <w:uiPriority w:val="99"/>
    <w:semiHidden/>
    <w:unhideWhenUsed/>
    <w:rsid w:val="00561D8F"/>
    <w:rPr>
      <w:b/>
      <w:bCs/>
      <w:lang w:val="de-DE"/>
    </w:rPr>
  </w:style>
  <w:style w:type="character" w:customStyle="1" w:styleId="CommentSubjectChar">
    <w:name w:val="Comment Subject Char"/>
    <w:basedOn w:val="CommentTextChar"/>
    <w:link w:val="CommentSubject"/>
    <w:uiPriority w:val="99"/>
    <w:semiHidden/>
    <w:rsid w:val="00561D8F"/>
    <w:rPr>
      <w:rFonts w:ascii="Times New Roman" w:eastAsia="MS Mincho" w:hAnsi="Times New Roman" w:cs="Times New Roman"/>
      <w:b/>
      <w:bCs/>
      <w:sz w:val="20"/>
      <w:szCs w:val="20"/>
      <w:lang w:val="de-DE" w:eastAsia="ja-JP"/>
    </w:rPr>
  </w:style>
  <w:style w:type="character" w:customStyle="1" w:styleId="period">
    <w:name w:val="period"/>
    <w:basedOn w:val="DefaultParagraphFont"/>
    <w:rsid w:val="004B04C5"/>
  </w:style>
  <w:style w:type="character" w:customStyle="1" w:styleId="cit">
    <w:name w:val="cit"/>
    <w:basedOn w:val="DefaultParagraphFont"/>
    <w:rsid w:val="004B0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61944">
      <w:bodyDiv w:val="1"/>
      <w:marLeft w:val="0"/>
      <w:marRight w:val="0"/>
      <w:marTop w:val="0"/>
      <w:marBottom w:val="0"/>
      <w:divBdr>
        <w:top w:val="none" w:sz="0" w:space="0" w:color="auto"/>
        <w:left w:val="none" w:sz="0" w:space="0" w:color="auto"/>
        <w:bottom w:val="none" w:sz="0" w:space="0" w:color="auto"/>
        <w:right w:val="none" w:sz="0" w:space="0" w:color="auto"/>
      </w:divBdr>
    </w:div>
    <w:div w:id="3866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872373">
          <w:marLeft w:val="0"/>
          <w:marRight w:val="0"/>
          <w:marTop w:val="0"/>
          <w:marBottom w:val="0"/>
          <w:divBdr>
            <w:top w:val="none" w:sz="0" w:space="0" w:color="auto"/>
            <w:left w:val="none" w:sz="0" w:space="0" w:color="auto"/>
            <w:bottom w:val="none" w:sz="0" w:space="0" w:color="auto"/>
            <w:right w:val="none" w:sz="0" w:space="0" w:color="auto"/>
          </w:divBdr>
          <w:divsChild>
            <w:div w:id="83140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1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oleObject" Target="embeddings/oleObject5.bin"/><Relationship Id="rId39" Type="http://schemas.openxmlformats.org/officeDocument/2006/relationships/image" Target="media/image21.png"/><Relationship Id="rId21" Type="http://schemas.openxmlformats.org/officeDocument/2006/relationships/image" Target="media/image10.emf"/><Relationship Id="rId34" Type="http://schemas.openxmlformats.org/officeDocument/2006/relationships/image" Target="media/image18.png"/><Relationship Id="rId42" Type="http://schemas.openxmlformats.org/officeDocument/2006/relationships/oleObject" Target="embeddings/oleObject10.bin"/><Relationship Id="rId47" Type="http://schemas.openxmlformats.org/officeDocument/2006/relationships/image" Target="media/image26.emf"/><Relationship Id="rId50" Type="http://schemas.openxmlformats.org/officeDocument/2006/relationships/image" Target="media/image28.png"/><Relationship Id="rId55" Type="http://schemas.openxmlformats.org/officeDocument/2006/relationships/oleObject" Target="embeddings/oleObject15.bin"/><Relationship Id="rId63"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image" Target="media/image15.emf"/><Relationship Id="rId41" Type="http://schemas.openxmlformats.org/officeDocument/2006/relationships/image" Target="media/image23.emf"/><Relationship Id="rId54"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oleObject" Target="embeddings/oleObject4.bin"/><Relationship Id="rId32" Type="http://schemas.openxmlformats.org/officeDocument/2006/relationships/image" Target="media/image17.emf"/><Relationship Id="rId37" Type="http://schemas.openxmlformats.org/officeDocument/2006/relationships/image" Target="media/image20.emf"/><Relationship Id="rId40" Type="http://schemas.openxmlformats.org/officeDocument/2006/relationships/image" Target="media/image22.png"/><Relationship Id="rId45" Type="http://schemas.openxmlformats.org/officeDocument/2006/relationships/image" Target="media/image25.emf"/><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image" Target="media/image14.png"/><Relationship Id="rId36" Type="http://schemas.openxmlformats.org/officeDocument/2006/relationships/oleObject" Target="embeddings/oleObject8.bin"/><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image" Target="media/image16.png"/><Relationship Id="rId44" Type="http://schemas.openxmlformats.org/officeDocument/2006/relationships/oleObject" Target="embeddings/oleObject11.bin"/><Relationship Id="rId52" Type="http://schemas.openxmlformats.org/officeDocument/2006/relationships/oleObject" Target="embeddings/oleObject14.bin"/><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3.png"/><Relationship Id="rId30" Type="http://schemas.openxmlformats.org/officeDocument/2006/relationships/oleObject" Target="embeddings/oleObject6.bin"/><Relationship Id="rId35" Type="http://schemas.openxmlformats.org/officeDocument/2006/relationships/image" Target="media/image19.emf"/><Relationship Id="rId43" Type="http://schemas.openxmlformats.org/officeDocument/2006/relationships/image" Target="media/image24.emf"/><Relationship Id="rId48" Type="http://schemas.openxmlformats.org/officeDocument/2006/relationships/oleObject" Target="embeddings/oleObject13.bin"/><Relationship Id="rId56" Type="http://schemas.openxmlformats.org/officeDocument/2006/relationships/image" Target="media/image32.png"/><Relationship Id="rId8" Type="http://schemas.openxmlformats.org/officeDocument/2006/relationships/footer" Target="footer1.xml"/><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2.emf"/><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oleObject" Target="embeddings/oleObject12.bin"/><Relationship Id="rId59"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8092F-E551-4646-B862-A8A7F00F2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12983</Words>
  <Characters>74007</Characters>
  <Application>Microsoft Office Word</Application>
  <DocSecurity>0</DocSecurity>
  <Lines>616</Lines>
  <Paragraphs>173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Carine Vergne</dc:creator>
  <cp:keywords/>
  <dc:description/>
  <cp:lastModifiedBy>Gideon Grogan</cp:lastModifiedBy>
  <cp:revision>3</cp:revision>
  <cp:lastPrinted>2020-09-03T15:09:00Z</cp:lastPrinted>
  <dcterms:created xsi:type="dcterms:W3CDTF">2020-09-15T11:14:00Z</dcterms:created>
  <dcterms:modified xsi:type="dcterms:W3CDTF">2020-09-15T11:16:00Z</dcterms:modified>
</cp:coreProperties>
</file>