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22C45" w14:textId="7171D0F6" w:rsidR="00AC6D45" w:rsidRPr="00642AB3" w:rsidRDefault="00AC6D45" w:rsidP="00D35786">
      <w:pPr>
        <w:pStyle w:val="Title"/>
        <w:spacing w:line="480" w:lineRule="auto"/>
        <w:rPr>
          <w:rFonts w:ascii="Times New Roman" w:hAnsi="Times New Roman" w:cs="Times New Roman"/>
          <w:b/>
          <w:bCs/>
          <w:sz w:val="24"/>
          <w:szCs w:val="24"/>
          <w:u w:val="single"/>
        </w:rPr>
      </w:pPr>
      <w:r w:rsidRPr="00642AB3">
        <w:rPr>
          <w:rFonts w:ascii="Times New Roman" w:hAnsi="Times New Roman" w:cs="Times New Roman"/>
          <w:b/>
          <w:bCs/>
          <w:sz w:val="24"/>
          <w:szCs w:val="24"/>
          <w:u w:val="single"/>
        </w:rPr>
        <w:t xml:space="preserve">Problem </w:t>
      </w:r>
      <w:r w:rsidR="00642AB3" w:rsidRPr="00642AB3">
        <w:rPr>
          <w:rFonts w:ascii="Times New Roman" w:hAnsi="Times New Roman" w:cs="Times New Roman"/>
          <w:b/>
          <w:bCs/>
          <w:sz w:val="24"/>
          <w:szCs w:val="24"/>
          <w:u w:val="single"/>
        </w:rPr>
        <w:t>Structuring in Economic Evaluation</w:t>
      </w:r>
    </w:p>
    <w:p w14:paraId="25072BCC" w14:textId="5DBD8C08" w:rsidR="00DF21E6" w:rsidRPr="00642AB3" w:rsidRDefault="00DF21E6" w:rsidP="00D35786">
      <w:pPr>
        <w:spacing w:line="480" w:lineRule="auto"/>
      </w:pPr>
      <w:r w:rsidRPr="00642AB3">
        <w:t>Rita Faria</w:t>
      </w:r>
    </w:p>
    <w:p w14:paraId="22F11CA2" w14:textId="2F83BDB6" w:rsidR="00631F43" w:rsidRPr="00642AB3" w:rsidRDefault="00AC6D45" w:rsidP="00392021">
      <w:pPr>
        <w:pStyle w:val="Heading1"/>
      </w:pPr>
      <w:bookmarkStart w:id="0" w:name="_Toc48925877"/>
      <w:r w:rsidRPr="00642AB3">
        <w:t>Summary</w:t>
      </w:r>
      <w:bookmarkEnd w:id="0"/>
      <w:r w:rsidRPr="00642AB3">
        <w:t xml:space="preserve"> </w:t>
      </w:r>
    </w:p>
    <w:p w14:paraId="76D4E7D2" w14:textId="20C7E081" w:rsidR="00F03EA4" w:rsidRDefault="00AC6D45" w:rsidP="00D35786">
      <w:pPr>
        <w:spacing w:line="480" w:lineRule="auto"/>
      </w:pPr>
      <w:r w:rsidRPr="00642AB3">
        <w:t xml:space="preserve">Economic evaluation </w:t>
      </w:r>
      <w:r w:rsidR="00537575" w:rsidRPr="00642AB3">
        <w:t>provides a framework</w:t>
      </w:r>
      <w:r w:rsidRPr="00642AB3">
        <w:t xml:space="preserve"> to help inform decisions on which </w:t>
      </w:r>
      <w:r w:rsidR="0008677A" w:rsidRPr="00642AB3">
        <w:t>technologies</w:t>
      </w:r>
      <w:r w:rsidRPr="00642AB3">
        <w:t xml:space="preserve"> </w:t>
      </w:r>
      <w:r w:rsidR="00537575" w:rsidRPr="00642AB3">
        <w:t xml:space="preserve">represent the best use of healthcare resources (i.e. are cost-effective) by bringing together the available evidence about the </w:t>
      </w:r>
      <w:r w:rsidR="003B467D" w:rsidRPr="00642AB3">
        <w:t>benefits</w:t>
      </w:r>
      <w:r w:rsidR="00537575" w:rsidRPr="00642AB3">
        <w:t xml:space="preserve"> and costs of the alternative options</w:t>
      </w:r>
      <w:r w:rsidRPr="00642AB3">
        <w:t xml:space="preserve">. </w:t>
      </w:r>
      <w:r w:rsidR="00537575" w:rsidRPr="00642AB3">
        <w:t>Critical to the economic evaluation framework is the need to accurately characterise the decision problem</w:t>
      </w:r>
      <w:r w:rsidR="00F03EA4">
        <w:t xml:space="preserve"> – this is the problem structuring stage</w:t>
      </w:r>
      <w:r w:rsidR="00537575" w:rsidRPr="00642AB3">
        <w:t>.</w:t>
      </w:r>
      <w:r w:rsidR="00F03EA4">
        <w:t xml:space="preserve"> Problem structuring</w:t>
      </w:r>
      <w:r w:rsidR="00537575" w:rsidRPr="00642AB3">
        <w:t xml:space="preserve"> </w:t>
      </w:r>
      <w:r w:rsidR="00F03EA4" w:rsidRPr="00642AB3">
        <w:t>encompasses the characterisation of the target population; identification of the decisions options to compare in the model (e.g. using the technology in different ways, standard of care, others); and the development of the conceptual model, which maps out how</w:t>
      </w:r>
      <w:r w:rsidR="00F03EA4">
        <w:t xml:space="preserve"> the</w:t>
      </w:r>
      <w:r w:rsidR="00F03EA4" w:rsidRPr="00642AB3">
        <w:t xml:space="preserve"> decision options </w:t>
      </w:r>
      <w:r w:rsidR="00F03EA4">
        <w:t>relate to</w:t>
      </w:r>
      <w:r w:rsidR="00F03EA4" w:rsidRPr="00642AB3">
        <w:t xml:space="preserve"> the costs and benefits in the target population. </w:t>
      </w:r>
      <w:r w:rsidR="00F03EA4">
        <w:t xml:space="preserve">Problem structuring </w:t>
      </w:r>
      <w:r w:rsidR="00537575" w:rsidRPr="00642AB3">
        <w:t xml:space="preserve">is central to the application of the economic evaluation framework and </w:t>
      </w:r>
      <w:r w:rsidR="0059183D">
        <w:t xml:space="preserve">to </w:t>
      </w:r>
      <w:r w:rsidR="00537575" w:rsidRPr="00642AB3">
        <w:t>development of the analysis</w:t>
      </w:r>
      <w:r w:rsidR="00F03EA4">
        <w:t xml:space="preserve">, as it determines </w:t>
      </w:r>
      <w:r w:rsidR="00F03EA4" w:rsidRPr="00642AB3">
        <w:t>the specific questions that can be addressed and affect</w:t>
      </w:r>
      <w:r w:rsidR="00F03EA4">
        <w:t>s</w:t>
      </w:r>
      <w:r w:rsidR="00F03EA4" w:rsidRPr="00642AB3">
        <w:t xml:space="preserve"> the relevance and credibility of the results</w:t>
      </w:r>
      <w:r w:rsidR="00537575" w:rsidRPr="00642AB3">
        <w:t xml:space="preserve">. </w:t>
      </w:r>
      <w:r w:rsidR="00F03EA4">
        <w:t xml:space="preserve">The methodological </w:t>
      </w:r>
      <w:r w:rsidR="00561339" w:rsidRPr="00561339">
        <w:t xml:space="preserve">guidelines </w:t>
      </w:r>
      <w:r w:rsidR="002861CE">
        <w:t xml:space="preserve">discuss problem structuring to some extent, although the </w:t>
      </w:r>
      <w:r w:rsidR="00561339">
        <w:t>practical implications</w:t>
      </w:r>
      <w:r w:rsidR="002861CE">
        <w:t xml:space="preserve"> warrant further consideration</w:t>
      </w:r>
      <w:r w:rsidR="00561339">
        <w:t>.</w:t>
      </w:r>
      <w:r w:rsidR="002861CE">
        <w:t xml:space="preserve"> </w:t>
      </w:r>
      <w:r w:rsidR="00561339">
        <w:t>With respect to the target population, questions emerge</w:t>
      </w:r>
      <w:r w:rsidR="002861CE">
        <w:t xml:space="preserve"> about how to define the target population, whether and which sources of heterogeneity to consider, and when and in whom to consider spillovers. Relating to the specification of decision options, about how to identify and select relevant decision options, including </w:t>
      </w:r>
      <w:r w:rsidR="0059183D">
        <w:t xml:space="preserve">restricting the comparison to standard of care, </w:t>
      </w:r>
      <w:r w:rsidR="002861CE">
        <w:t xml:space="preserve">sequences of tests and/or treatments and do-nothing approaches. </w:t>
      </w:r>
      <w:r w:rsidR="0059183D">
        <w:t>There are also issues r</w:t>
      </w:r>
      <w:r w:rsidR="00561339">
        <w:t xml:space="preserve">elating to the </w:t>
      </w:r>
      <w:r w:rsidR="0059183D">
        <w:t>role and the process of development of</w:t>
      </w:r>
      <w:r w:rsidR="005A4810">
        <w:t xml:space="preserve"> the</w:t>
      </w:r>
      <w:r w:rsidR="0059183D">
        <w:t xml:space="preserve"> </w:t>
      </w:r>
      <w:r w:rsidR="00561339">
        <w:t xml:space="preserve">conceptual model. Based on a </w:t>
      </w:r>
      <w:r w:rsidR="00561339" w:rsidRPr="00561339">
        <w:t>review of methodological guidelines and reflections on their implications</w:t>
      </w:r>
      <w:r w:rsidR="00561339">
        <w:t xml:space="preserve">, various recommendations for practice emerge. The process </w:t>
      </w:r>
      <w:r w:rsidR="00561339">
        <w:lastRenderedPageBreak/>
        <w:t>of developing the conceptual model</w:t>
      </w:r>
      <w:r w:rsidR="005A4810">
        <w:t>,</w:t>
      </w:r>
      <w:r w:rsidR="00561339">
        <w:t xml:space="preserve"> and </w:t>
      </w:r>
      <w:r w:rsidR="0059183D">
        <w:t xml:space="preserve">how to use it to </w:t>
      </w:r>
      <w:r w:rsidR="00561339">
        <w:t xml:space="preserve">inform choices and assumptions in the economic evaluation </w:t>
      </w:r>
      <w:r w:rsidR="00D12C14">
        <w:t xml:space="preserve">are two areas where further research is warranted. </w:t>
      </w:r>
    </w:p>
    <w:p w14:paraId="7EF5CC17" w14:textId="36A38591" w:rsidR="00AC6D45" w:rsidRPr="00642AB3" w:rsidRDefault="00AC6D45" w:rsidP="00D35786">
      <w:pPr>
        <w:spacing w:line="480" w:lineRule="auto"/>
      </w:pPr>
    </w:p>
    <w:p w14:paraId="22C47209" w14:textId="19E28C12" w:rsidR="00AC6D45" w:rsidRPr="00642AB3" w:rsidRDefault="00AC6D45" w:rsidP="00D35786">
      <w:pPr>
        <w:spacing w:line="480" w:lineRule="auto"/>
        <w:rPr>
          <w:b/>
          <w:bCs/>
        </w:rPr>
      </w:pPr>
      <w:r w:rsidRPr="00642AB3">
        <w:rPr>
          <w:b/>
          <w:bCs/>
        </w:rPr>
        <w:t>Keywords (5-10 words)</w:t>
      </w:r>
      <w:r w:rsidR="00A55EB3" w:rsidRPr="00642AB3">
        <w:rPr>
          <w:b/>
          <w:bCs/>
        </w:rPr>
        <w:t>:</w:t>
      </w:r>
    </w:p>
    <w:p w14:paraId="3703705E" w14:textId="6D33410C" w:rsidR="00AC6D45" w:rsidRPr="00642AB3" w:rsidRDefault="00AC6D45" w:rsidP="00D35786">
      <w:pPr>
        <w:spacing w:line="480" w:lineRule="auto"/>
      </w:pPr>
      <w:r w:rsidRPr="00642AB3">
        <w:t xml:space="preserve">Economic evaluation; cost-effectiveness analysis; model conceptualisation; study design; comparators; subgroup analysis; heterogeneity; model </w:t>
      </w:r>
      <w:r w:rsidR="00A55EB3" w:rsidRPr="00642AB3">
        <w:t>structure.</w:t>
      </w:r>
      <w:r w:rsidRPr="00642AB3">
        <w:t xml:space="preserve"> </w:t>
      </w:r>
    </w:p>
    <w:p w14:paraId="5AC4EFC5" w14:textId="4CEAD15B" w:rsidR="003221D1" w:rsidRPr="00642AB3" w:rsidRDefault="00A55EB3" w:rsidP="00D35786">
      <w:pPr>
        <w:spacing w:line="480" w:lineRule="auto"/>
        <w:rPr>
          <w:b/>
          <w:bCs/>
        </w:rPr>
      </w:pPr>
      <w:r w:rsidRPr="00642AB3">
        <w:rPr>
          <w:b/>
          <w:bCs/>
        </w:rPr>
        <w:t xml:space="preserve">Word count: </w:t>
      </w:r>
      <w:r w:rsidR="00653052" w:rsidRPr="00642AB3">
        <w:rPr>
          <w:b/>
          <w:bCs/>
        </w:rPr>
        <w:t>9542</w:t>
      </w:r>
    </w:p>
    <w:p w14:paraId="2E2107B4" w14:textId="44D702D5" w:rsidR="005B24D8" w:rsidRPr="00642AB3" w:rsidRDefault="005B24D8" w:rsidP="00D35786">
      <w:pPr>
        <w:spacing w:line="480" w:lineRule="auto"/>
        <w:rPr>
          <w:b/>
          <w:bCs/>
        </w:rPr>
      </w:pPr>
      <w:r w:rsidRPr="00642AB3">
        <w:rPr>
          <w:b/>
          <w:bCs/>
        </w:rPr>
        <w:t>Acknowledgements</w:t>
      </w:r>
    </w:p>
    <w:p w14:paraId="07946CF0" w14:textId="0D9787D1" w:rsidR="005B24D8" w:rsidRPr="00642AB3" w:rsidRDefault="005B24D8" w:rsidP="005B24D8">
      <w:r w:rsidRPr="00642AB3">
        <w:t>The author would like to thank Claire Rothery</w:t>
      </w:r>
      <w:r w:rsidR="0059183D">
        <w:t xml:space="preserve">, </w:t>
      </w:r>
      <w:r w:rsidRPr="00642AB3">
        <w:t xml:space="preserve">Beth Woods </w:t>
      </w:r>
      <w:r w:rsidR="0059183D">
        <w:t xml:space="preserve">and the two anonymous reviewers </w:t>
      </w:r>
      <w:r w:rsidRPr="00642AB3">
        <w:t xml:space="preserve">for their insightful comments and suggestions. </w:t>
      </w:r>
    </w:p>
    <w:sdt>
      <w:sdtPr>
        <w:rPr>
          <w:rFonts w:eastAsiaTheme="minorEastAsia" w:cs="Times New Roman"/>
          <w:b w:val="0"/>
          <w:color w:val="auto"/>
          <w:sz w:val="24"/>
          <w:szCs w:val="24"/>
        </w:rPr>
        <w:id w:val="-822580795"/>
        <w:docPartObj>
          <w:docPartGallery w:val="Table of Contents"/>
          <w:docPartUnique/>
        </w:docPartObj>
      </w:sdtPr>
      <w:sdtEndPr>
        <w:rPr>
          <w:bCs/>
          <w:noProof/>
        </w:rPr>
      </w:sdtEndPr>
      <w:sdtContent>
        <w:p w14:paraId="117D136F" w14:textId="360E8E7A" w:rsidR="00CE60A7" w:rsidRPr="00642AB3" w:rsidRDefault="00CE60A7" w:rsidP="00451BA3">
          <w:pPr>
            <w:pStyle w:val="TOCHeading"/>
          </w:pPr>
          <w:r w:rsidRPr="00642AB3">
            <w:t>Contents</w:t>
          </w:r>
        </w:p>
        <w:p w14:paraId="681695BF" w14:textId="5B4F7F8C" w:rsidR="002E020D" w:rsidRDefault="00CE60A7">
          <w:pPr>
            <w:pStyle w:val="TOC1"/>
            <w:tabs>
              <w:tab w:val="right" w:leader="dot" w:pos="9016"/>
            </w:tabs>
            <w:rPr>
              <w:rFonts w:asciiTheme="minorHAnsi" w:hAnsiTheme="minorHAnsi" w:cstheme="minorBidi"/>
              <w:noProof/>
              <w:sz w:val="22"/>
              <w:szCs w:val="22"/>
              <w:lang w:eastAsia="en-GB"/>
            </w:rPr>
          </w:pPr>
          <w:r w:rsidRPr="00642AB3">
            <w:fldChar w:fldCharType="begin"/>
          </w:r>
          <w:r w:rsidRPr="00642AB3">
            <w:instrText xml:space="preserve"> TOC \o "1-4" \h \z \u </w:instrText>
          </w:r>
          <w:r w:rsidRPr="00642AB3">
            <w:fldChar w:fldCharType="separate"/>
          </w:r>
          <w:hyperlink w:anchor="_Toc48925877" w:history="1">
            <w:r w:rsidR="002E020D" w:rsidRPr="00E71A7E">
              <w:rPr>
                <w:rStyle w:val="Hyperlink"/>
                <w:noProof/>
              </w:rPr>
              <w:t>Summary</w:t>
            </w:r>
            <w:r w:rsidR="002E020D">
              <w:rPr>
                <w:noProof/>
                <w:webHidden/>
              </w:rPr>
              <w:tab/>
            </w:r>
            <w:r w:rsidR="002E020D">
              <w:rPr>
                <w:noProof/>
                <w:webHidden/>
              </w:rPr>
              <w:fldChar w:fldCharType="begin"/>
            </w:r>
            <w:r w:rsidR="002E020D">
              <w:rPr>
                <w:noProof/>
                <w:webHidden/>
              </w:rPr>
              <w:instrText xml:space="preserve"> PAGEREF _Toc48925877 \h </w:instrText>
            </w:r>
            <w:r w:rsidR="002E020D">
              <w:rPr>
                <w:noProof/>
                <w:webHidden/>
              </w:rPr>
            </w:r>
            <w:r w:rsidR="002E020D">
              <w:rPr>
                <w:noProof/>
                <w:webHidden/>
              </w:rPr>
              <w:fldChar w:fldCharType="separate"/>
            </w:r>
            <w:r w:rsidR="002E020D">
              <w:rPr>
                <w:noProof/>
                <w:webHidden/>
              </w:rPr>
              <w:t>i</w:t>
            </w:r>
            <w:r w:rsidR="002E020D">
              <w:rPr>
                <w:noProof/>
                <w:webHidden/>
              </w:rPr>
              <w:fldChar w:fldCharType="end"/>
            </w:r>
          </w:hyperlink>
        </w:p>
        <w:p w14:paraId="457BB979" w14:textId="1FBC027E" w:rsidR="002E020D" w:rsidRDefault="002E020D">
          <w:pPr>
            <w:pStyle w:val="TOC1"/>
            <w:tabs>
              <w:tab w:val="right" w:leader="dot" w:pos="9016"/>
            </w:tabs>
            <w:rPr>
              <w:rFonts w:asciiTheme="minorHAnsi" w:hAnsiTheme="minorHAnsi" w:cstheme="minorBidi"/>
              <w:noProof/>
              <w:sz w:val="22"/>
              <w:szCs w:val="22"/>
              <w:lang w:eastAsia="en-GB"/>
            </w:rPr>
          </w:pPr>
          <w:hyperlink w:anchor="_Toc48925878" w:history="1">
            <w:r w:rsidRPr="00E71A7E">
              <w:rPr>
                <w:rStyle w:val="Hyperlink"/>
                <w:noProof/>
              </w:rPr>
              <w:t>Introduction</w:t>
            </w:r>
            <w:r>
              <w:rPr>
                <w:noProof/>
                <w:webHidden/>
              </w:rPr>
              <w:tab/>
            </w:r>
            <w:r>
              <w:rPr>
                <w:noProof/>
                <w:webHidden/>
              </w:rPr>
              <w:fldChar w:fldCharType="begin"/>
            </w:r>
            <w:r>
              <w:rPr>
                <w:noProof/>
                <w:webHidden/>
              </w:rPr>
              <w:instrText xml:space="preserve"> PAGEREF _Toc48925878 \h </w:instrText>
            </w:r>
            <w:r>
              <w:rPr>
                <w:noProof/>
                <w:webHidden/>
              </w:rPr>
            </w:r>
            <w:r>
              <w:rPr>
                <w:noProof/>
                <w:webHidden/>
              </w:rPr>
              <w:fldChar w:fldCharType="separate"/>
            </w:r>
            <w:r>
              <w:rPr>
                <w:noProof/>
                <w:webHidden/>
              </w:rPr>
              <w:t>4</w:t>
            </w:r>
            <w:r>
              <w:rPr>
                <w:noProof/>
                <w:webHidden/>
              </w:rPr>
              <w:fldChar w:fldCharType="end"/>
            </w:r>
          </w:hyperlink>
        </w:p>
        <w:p w14:paraId="36871ED0" w14:textId="44AC04BC" w:rsidR="002E020D" w:rsidRDefault="002E020D">
          <w:pPr>
            <w:pStyle w:val="TOC1"/>
            <w:tabs>
              <w:tab w:val="right" w:leader="dot" w:pos="9016"/>
            </w:tabs>
            <w:rPr>
              <w:rFonts w:asciiTheme="minorHAnsi" w:hAnsiTheme="minorHAnsi" w:cstheme="minorBidi"/>
              <w:noProof/>
              <w:sz w:val="22"/>
              <w:szCs w:val="22"/>
              <w:lang w:eastAsia="en-GB"/>
            </w:rPr>
          </w:pPr>
          <w:hyperlink w:anchor="_Toc48925880" w:history="1">
            <w:r w:rsidRPr="00E71A7E">
              <w:rPr>
                <w:rStyle w:val="Hyperlink"/>
                <w:noProof/>
              </w:rPr>
              <w:t>Population</w:t>
            </w:r>
            <w:r>
              <w:rPr>
                <w:noProof/>
                <w:webHidden/>
              </w:rPr>
              <w:tab/>
            </w:r>
            <w:r>
              <w:rPr>
                <w:noProof/>
                <w:webHidden/>
              </w:rPr>
              <w:fldChar w:fldCharType="begin"/>
            </w:r>
            <w:r>
              <w:rPr>
                <w:noProof/>
                <w:webHidden/>
              </w:rPr>
              <w:instrText xml:space="preserve"> PAGEREF _Toc48925880 \h </w:instrText>
            </w:r>
            <w:r>
              <w:rPr>
                <w:noProof/>
                <w:webHidden/>
              </w:rPr>
            </w:r>
            <w:r>
              <w:rPr>
                <w:noProof/>
                <w:webHidden/>
              </w:rPr>
              <w:fldChar w:fldCharType="separate"/>
            </w:r>
            <w:r>
              <w:rPr>
                <w:noProof/>
                <w:webHidden/>
              </w:rPr>
              <w:t>7</w:t>
            </w:r>
            <w:r>
              <w:rPr>
                <w:noProof/>
                <w:webHidden/>
              </w:rPr>
              <w:fldChar w:fldCharType="end"/>
            </w:r>
          </w:hyperlink>
        </w:p>
        <w:p w14:paraId="78B5F2D1" w14:textId="41000DD0" w:rsidR="002E020D" w:rsidRDefault="002E020D">
          <w:pPr>
            <w:pStyle w:val="TOC2"/>
            <w:tabs>
              <w:tab w:val="right" w:leader="dot" w:pos="9016"/>
            </w:tabs>
            <w:rPr>
              <w:rFonts w:asciiTheme="minorHAnsi" w:hAnsiTheme="minorHAnsi" w:cstheme="minorBidi"/>
              <w:noProof/>
              <w:sz w:val="22"/>
              <w:szCs w:val="22"/>
              <w:lang w:eastAsia="en-GB"/>
            </w:rPr>
          </w:pPr>
          <w:hyperlink w:anchor="_Toc48925881" w:history="1">
            <w:r w:rsidRPr="00E71A7E">
              <w:rPr>
                <w:rStyle w:val="Hyperlink"/>
                <w:noProof/>
              </w:rPr>
              <w:t>Recommendations in methodological guidelines</w:t>
            </w:r>
            <w:r>
              <w:rPr>
                <w:noProof/>
                <w:webHidden/>
              </w:rPr>
              <w:tab/>
            </w:r>
            <w:r>
              <w:rPr>
                <w:noProof/>
                <w:webHidden/>
              </w:rPr>
              <w:fldChar w:fldCharType="begin"/>
            </w:r>
            <w:r>
              <w:rPr>
                <w:noProof/>
                <w:webHidden/>
              </w:rPr>
              <w:instrText xml:space="preserve"> PAGEREF _Toc48925881 \h </w:instrText>
            </w:r>
            <w:r>
              <w:rPr>
                <w:noProof/>
                <w:webHidden/>
              </w:rPr>
            </w:r>
            <w:r>
              <w:rPr>
                <w:noProof/>
                <w:webHidden/>
              </w:rPr>
              <w:fldChar w:fldCharType="separate"/>
            </w:r>
            <w:r>
              <w:rPr>
                <w:noProof/>
                <w:webHidden/>
              </w:rPr>
              <w:t>8</w:t>
            </w:r>
            <w:r>
              <w:rPr>
                <w:noProof/>
                <w:webHidden/>
              </w:rPr>
              <w:fldChar w:fldCharType="end"/>
            </w:r>
          </w:hyperlink>
        </w:p>
        <w:p w14:paraId="77313349" w14:textId="0E8AB39B" w:rsidR="002E020D" w:rsidRDefault="002E020D">
          <w:pPr>
            <w:pStyle w:val="TOC3"/>
            <w:tabs>
              <w:tab w:val="right" w:leader="dot" w:pos="9016"/>
            </w:tabs>
            <w:rPr>
              <w:rFonts w:asciiTheme="minorHAnsi" w:hAnsiTheme="minorHAnsi" w:cstheme="minorBidi"/>
              <w:noProof/>
              <w:sz w:val="22"/>
              <w:szCs w:val="22"/>
              <w:lang w:eastAsia="en-GB"/>
            </w:rPr>
          </w:pPr>
          <w:hyperlink w:anchor="_Toc48925882" w:history="1">
            <w:r w:rsidRPr="00E71A7E">
              <w:rPr>
                <w:rStyle w:val="Hyperlink"/>
                <w:noProof/>
              </w:rPr>
              <w:t>Recommendations on target population</w:t>
            </w:r>
            <w:r>
              <w:rPr>
                <w:noProof/>
                <w:webHidden/>
              </w:rPr>
              <w:tab/>
            </w:r>
            <w:r>
              <w:rPr>
                <w:noProof/>
                <w:webHidden/>
              </w:rPr>
              <w:fldChar w:fldCharType="begin"/>
            </w:r>
            <w:r>
              <w:rPr>
                <w:noProof/>
                <w:webHidden/>
              </w:rPr>
              <w:instrText xml:space="preserve"> PAGEREF _Toc48925882 \h </w:instrText>
            </w:r>
            <w:r>
              <w:rPr>
                <w:noProof/>
                <w:webHidden/>
              </w:rPr>
            </w:r>
            <w:r>
              <w:rPr>
                <w:noProof/>
                <w:webHidden/>
              </w:rPr>
              <w:fldChar w:fldCharType="separate"/>
            </w:r>
            <w:r>
              <w:rPr>
                <w:noProof/>
                <w:webHidden/>
              </w:rPr>
              <w:t>8</w:t>
            </w:r>
            <w:r>
              <w:rPr>
                <w:noProof/>
                <w:webHidden/>
              </w:rPr>
              <w:fldChar w:fldCharType="end"/>
            </w:r>
          </w:hyperlink>
        </w:p>
        <w:p w14:paraId="35895EFF" w14:textId="6D6A32E8" w:rsidR="002E020D" w:rsidRDefault="002E020D">
          <w:pPr>
            <w:pStyle w:val="TOC3"/>
            <w:tabs>
              <w:tab w:val="right" w:leader="dot" w:pos="9016"/>
            </w:tabs>
            <w:rPr>
              <w:rFonts w:asciiTheme="minorHAnsi" w:hAnsiTheme="minorHAnsi" w:cstheme="minorBidi"/>
              <w:noProof/>
              <w:sz w:val="22"/>
              <w:szCs w:val="22"/>
              <w:lang w:eastAsia="en-GB"/>
            </w:rPr>
          </w:pPr>
          <w:hyperlink w:anchor="_Toc48925883" w:history="1">
            <w:r w:rsidRPr="00E71A7E">
              <w:rPr>
                <w:rStyle w:val="Hyperlink"/>
                <w:noProof/>
              </w:rPr>
              <w:t>Recommendations on heterogeneity</w:t>
            </w:r>
            <w:r>
              <w:rPr>
                <w:noProof/>
                <w:webHidden/>
              </w:rPr>
              <w:tab/>
            </w:r>
            <w:r>
              <w:rPr>
                <w:noProof/>
                <w:webHidden/>
              </w:rPr>
              <w:fldChar w:fldCharType="begin"/>
            </w:r>
            <w:r>
              <w:rPr>
                <w:noProof/>
                <w:webHidden/>
              </w:rPr>
              <w:instrText xml:space="preserve"> PAGEREF _Toc48925883 \h </w:instrText>
            </w:r>
            <w:r>
              <w:rPr>
                <w:noProof/>
                <w:webHidden/>
              </w:rPr>
            </w:r>
            <w:r>
              <w:rPr>
                <w:noProof/>
                <w:webHidden/>
              </w:rPr>
              <w:fldChar w:fldCharType="separate"/>
            </w:r>
            <w:r>
              <w:rPr>
                <w:noProof/>
                <w:webHidden/>
              </w:rPr>
              <w:t>9</w:t>
            </w:r>
            <w:r>
              <w:rPr>
                <w:noProof/>
                <w:webHidden/>
              </w:rPr>
              <w:fldChar w:fldCharType="end"/>
            </w:r>
          </w:hyperlink>
        </w:p>
        <w:p w14:paraId="720E30A1" w14:textId="530ADD37" w:rsidR="002E020D" w:rsidRDefault="002E020D">
          <w:pPr>
            <w:pStyle w:val="TOC3"/>
            <w:tabs>
              <w:tab w:val="right" w:leader="dot" w:pos="9016"/>
            </w:tabs>
            <w:rPr>
              <w:rFonts w:asciiTheme="minorHAnsi" w:hAnsiTheme="minorHAnsi" w:cstheme="minorBidi"/>
              <w:noProof/>
              <w:sz w:val="22"/>
              <w:szCs w:val="22"/>
              <w:lang w:eastAsia="en-GB"/>
            </w:rPr>
          </w:pPr>
          <w:hyperlink w:anchor="_Toc48925884" w:history="1">
            <w:r w:rsidRPr="00E71A7E">
              <w:rPr>
                <w:rStyle w:val="Hyperlink"/>
                <w:noProof/>
              </w:rPr>
              <w:t>Recommendations on spillover effects</w:t>
            </w:r>
            <w:r>
              <w:rPr>
                <w:noProof/>
                <w:webHidden/>
              </w:rPr>
              <w:tab/>
            </w:r>
            <w:r>
              <w:rPr>
                <w:noProof/>
                <w:webHidden/>
              </w:rPr>
              <w:fldChar w:fldCharType="begin"/>
            </w:r>
            <w:r>
              <w:rPr>
                <w:noProof/>
                <w:webHidden/>
              </w:rPr>
              <w:instrText xml:space="preserve"> PAGEREF _Toc48925884 \h </w:instrText>
            </w:r>
            <w:r>
              <w:rPr>
                <w:noProof/>
                <w:webHidden/>
              </w:rPr>
            </w:r>
            <w:r>
              <w:rPr>
                <w:noProof/>
                <w:webHidden/>
              </w:rPr>
              <w:fldChar w:fldCharType="separate"/>
            </w:r>
            <w:r>
              <w:rPr>
                <w:noProof/>
                <w:webHidden/>
              </w:rPr>
              <w:t>10</w:t>
            </w:r>
            <w:r>
              <w:rPr>
                <w:noProof/>
                <w:webHidden/>
              </w:rPr>
              <w:fldChar w:fldCharType="end"/>
            </w:r>
          </w:hyperlink>
        </w:p>
        <w:p w14:paraId="256C8215" w14:textId="72CDCB6F" w:rsidR="002E020D" w:rsidRDefault="002E020D">
          <w:pPr>
            <w:pStyle w:val="TOC2"/>
            <w:tabs>
              <w:tab w:val="right" w:leader="dot" w:pos="9016"/>
            </w:tabs>
            <w:rPr>
              <w:rFonts w:asciiTheme="minorHAnsi" w:hAnsiTheme="minorHAnsi" w:cstheme="minorBidi"/>
              <w:noProof/>
              <w:sz w:val="22"/>
              <w:szCs w:val="22"/>
              <w:lang w:eastAsia="en-GB"/>
            </w:rPr>
          </w:pPr>
          <w:hyperlink w:anchor="_Toc48925885" w:history="1">
            <w:r w:rsidRPr="00E71A7E">
              <w:rPr>
                <w:rStyle w:val="Hyperlink"/>
                <w:noProof/>
              </w:rPr>
              <w:t>Practical implications</w:t>
            </w:r>
            <w:r>
              <w:rPr>
                <w:noProof/>
                <w:webHidden/>
              </w:rPr>
              <w:tab/>
            </w:r>
            <w:r>
              <w:rPr>
                <w:noProof/>
                <w:webHidden/>
              </w:rPr>
              <w:fldChar w:fldCharType="begin"/>
            </w:r>
            <w:r>
              <w:rPr>
                <w:noProof/>
                <w:webHidden/>
              </w:rPr>
              <w:instrText xml:space="preserve"> PAGEREF _Toc48925885 \h </w:instrText>
            </w:r>
            <w:r>
              <w:rPr>
                <w:noProof/>
                <w:webHidden/>
              </w:rPr>
            </w:r>
            <w:r>
              <w:rPr>
                <w:noProof/>
                <w:webHidden/>
              </w:rPr>
              <w:fldChar w:fldCharType="separate"/>
            </w:r>
            <w:r>
              <w:rPr>
                <w:noProof/>
                <w:webHidden/>
              </w:rPr>
              <w:t>17</w:t>
            </w:r>
            <w:r>
              <w:rPr>
                <w:noProof/>
                <w:webHidden/>
              </w:rPr>
              <w:fldChar w:fldCharType="end"/>
            </w:r>
          </w:hyperlink>
        </w:p>
        <w:p w14:paraId="4EC72131" w14:textId="33947CDE" w:rsidR="002E020D" w:rsidRDefault="002E020D">
          <w:pPr>
            <w:pStyle w:val="TOC3"/>
            <w:tabs>
              <w:tab w:val="right" w:leader="dot" w:pos="9016"/>
            </w:tabs>
            <w:rPr>
              <w:rFonts w:asciiTheme="minorHAnsi" w:hAnsiTheme="minorHAnsi" w:cstheme="minorBidi"/>
              <w:noProof/>
              <w:sz w:val="22"/>
              <w:szCs w:val="22"/>
              <w:lang w:eastAsia="en-GB"/>
            </w:rPr>
          </w:pPr>
          <w:hyperlink w:anchor="_Toc48925886" w:history="1">
            <w:r w:rsidRPr="00E71A7E">
              <w:rPr>
                <w:rStyle w:val="Hyperlink"/>
                <w:noProof/>
              </w:rPr>
              <w:t>Who should constitute the target population?</w:t>
            </w:r>
            <w:r>
              <w:rPr>
                <w:noProof/>
                <w:webHidden/>
              </w:rPr>
              <w:tab/>
            </w:r>
            <w:r>
              <w:rPr>
                <w:noProof/>
                <w:webHidden/>
              </w:rPr>
              <w:fldChar w:fldCharType="begin"/>
            </w:r>
            <w:r>
              <w:rPr>
                <w:noProof/>
                <w:webHidden/>
              </w:rPr>
              <w:instrText xml:space="preserve"> PAGEREF _Toc48925886 \h </w:instrText>
            </w:r>
            <w:r>
              <w:rPr>
                <w:noProof/>
                <w:webHidden/>
              </w:rPr>
            </w:r>
            <w:r>
              <w:rPr>
                <w:noProof/>
                <w:webHidden/>
              </w:rPr>
              <w:fldChar w:fldCharType="separate"/>
            </w:r>
            <w:r>
              <w:rPr>
                <w:noProof/>
                <w:webHidden/>
              </w:rPr>
              <w:t>17</w:t>
            </w:r>
            <w:r>
              <w:rPr>
                <w:noProof/>
                <w:webHidden/>
              </w:rPr>
              <w:fldChar w:fldCharType="end"/>
            </w:r>
          </w:hyperlink>
        </w:p>
        <w:p w14:paraId="48512C2B" w14:textId="687D7A76" w:rsidR="002E020D" w:rsidRDefault="002E020D">
          <w:pPr>
            <w:pStyle w:val="TOC3"/>
            <w:tabs>
              <w:tab w:val="right" w:leader="dot" w:pos="9016"/>
            </w:tabs>
            <w:rPr>
              <w:rFonts w:asciiTheme="minorHAnsi" w:hAnsiTheme="minorHAnsi" w:cstheme="minorBidi"/>
              <w:noProof/>
              <w:sz w:val="22"/>
              <w:szCs w:val="22"/>
              <w:lang w:eastAsia="en-GB"/>
            </w:rPr>
          </w:pPr>
          <w:hyperlink w:anchor="_Toc48925887" w:history="1">
            <w:r w:rsidRPr="00E71A7E">
              <w:rPr>
                <w:rStyle w:val="Hyperlink"/>
                <w:noProof/>
              </w:rPr>
              <w:t>Whether and which sources of heterogeneity to consider?</w:t>
            </w:r>
            <w:r>
              <w:rPr>
                <w:noProof/>
                <w:webHidden/>
              </w:rPr>
              <w:tab/>
            </w:r>
            <w:r>
              <w:rPr>
                <w:noProof/>
                <w:webHidden/>
              </w:rPr>
              <w:fldChar w:fldCharType="begin"/>
            </w:r>
            <w:r>
              <w:rPr>
                <w:noProof/>
                <w:webHidden/>
              </w:rPr>
              <w:instrText xml:space="preserve"> PAGEREF _Toc48925887 \h </w:instrText>
            </w:r>
            <w:r>
              <w:rPr>
                <w:noProof/>
                <w:webHidden/>
              </w:rPr>
            </w:r>
            <w:r>
              <w:rPr>
                <w:noProof/>
                <w:webHidden/>
              </w:rPr>
              <w:fldChar w:fldCharType="separate"/>
            </w:r>
            <w:r>
              <w:rPr>
                <w:noProof/>
                <w:webHidden/>
              </w:rPr>
              <w:t>18</w:t>
            </w:r>
            <w:r>
              <w:rPr>
                <w:noProof/>
                <w:webHidden/>
              </w:rPr>
              <w:fldChar w:fldCharType="end"/>
            </w:r>
          </w:hyperlink>
        </w:p>
        <w:p w14:paraId="6D183F84" w14:textId="670C11EB" w:rsidR="002E020D" w:rsidRDefault="002E020D">
          <w:pPr>
            <w:pStyle w:val="TOC3"/>
            <w:tabs>
              <w:tab w:val="right" w:leader="dot" w:pos="9016"/>
            </w:tabs>
            <w:rPr>
              <w:rFonts w:asciiTheme="minorHAnsi" w:hAnsiTheme="minorHAnsi" w:cstheme="minorBidi"/>
              <w:noProof/>
              <w:sz w:val="22"/>
              <w:szCs w:val="22"/>
              <w:lang w:eastAsia="en-GB"/>
            </w:rPr>
          </w:pPr>
          <w:hyperlink w:anchor="_Toc48925888" w:history="1">
            <w:r w:rsidRPr="00E71A7E">
              <w:rPr>
                <w:rStyle w:val="Hyperlink"/>
                <w:noProof/>
              </w:rPr>
              <w:t>When and in whom to consider spillovers?</w:t>
            </w:r>
            <w:r>
              <w:rPr>
                <w:noProof/>
                <w:webHidden/>
              </w:rPr>
              <w:tab/>
            </w:r>
            <w:r>
              <w:rPr>
                <w:noProof/>
                <w:webHidden/>
              </w:rPr>
              <w:fldChar w:fldCharType="begin"/>
            </w:r>
            <w:r>
              <w:rPr>
                <w:noProof/>
                <w:webHidden/>
              </w:rPr>
              <w:instrText xml:space="preserve"> PAGEREF _Toc48925888 \h </w:instrText>
            </w:r>
            <w:r>
              <w:rPr>
                <w:noProof/>
                <w:webHidden/>
              </w:rPr>
            </w:r>
            <w:r>
              <w:rPr>
                <w:noProof/>
                <w:webHidden/>
              </w:rPr>
              <w:fldChar w:fldCharType="separate"/>
            </w:r>
            <w:r>
              <w:rPr>
                <w:noProof/>
                <w:webHidden/>
              </w:rPr>
              <w:t>20</w:t>
            </w:r>
            <w:r>
              <w:rPr>
                <w:noProof/>
                <w:webHidden/>
              </w:rPr>
              <w:fldChar w:fldCharType="end"/>
            </w:r>
          </w:hyperlink>
        </w:p>
        <w:p w14:paraId="5649993F" w14:textId="5A7AE3BA" w:rsidR="002E020D" w:rsidRDefault="002E020D">
          <w:pPr>
            <w:pStyle w:val="TOC1"/>
            <w:tabs>
              <w:tab w:val="right" w:leader="dot" w:pos="9016"/>
            </w:tabs>
            <w:rPr>
              <w:rFonts w:asciiTheme="minorHAnsi" w:hAnsiTheme="minorHAnsi" w:cstheme="minorBidi"/>
              <w:noProof/>
              <w:sz w:val="22"/>
              <w:szCs w:val="22"/>
              <w:lang w:eastAsia="en-GB"/>
            </w:rPr>
          </w:pPr>
          <w:hyperlink w:anchor="_Toc48925889" w:history="1">
            <w:r w:rsidRPr="00E71A7E">
              <w:rPr>
                <w:rStyle w:val="Hyperlink"/>
                <w:noProof/>
              </w:rPr>
              <w:t>Decision options to evaluate</w:t>
            </w:r>
            <w:r>
              <w:rPr>
                <w:noProof/>
                <w:webHidden/>
              </w:rPr>
              <w:tab/>
            </w:r>
            <w:r>
              <w:rPr>
                <w:noProof/>
                <w:webHidden/>
              </w:rPr>
              <w:fldChar w:fldCharType="begin"/>
            </w:r>
            <w:r>
              <w:rPr>
                <w:noProof/>
                <w:webHidden/>
              </w:rPr>
              <w:instrText xml:space="preserve"> PAGEREF _Toc48925889 \h </w:instrText>
            </w:r>
            <w:r>
              <w:rPr>
                <w:noProof/>
                <w:webHidden/>
              </w:rPr>
            </w:r>
            <w:r>
              <w:rPr>
                <w:noProof/>
                <w:webHidden/>
              </w:rPr>
              <w:fldChar w:fldCharType="separate"/>
            </w:r>
            <w:r>
              <w:rPr>
                <w:noProof/>
                <w:webHidden/>
              </w:rPr>
              <w:t>21</w:t>
            </w:r>
            <w:r>
              <w:rPr>
                <w:noProof/>
                <w:webHidden/>
              </w:rPr>
              <w:fldChar w:fldCharType="end"/>
            </w:r>
          </w:hyperlink>
        </w:p>
        <w:p w14:paraId="6088EE1C" w14:textId="165786F8" w:rsidR="002E020D" w:rsidRDefault="002E020D">
          <w:pPr>
            <w:pStyle w:val="TOC2"/>
            <w:tabs>
              <w:tab w:val="right" w:leader="dot" w:pos="9016"/>
            </w:tabs>
            <w:rPr>
              <w:rFonts w:asciiTheme="minorHAnsi" w:hAnsiTheme="minorHAnsi" w:cstheme="minorBidi"/>
              <w:noProof/>
              <w:sz w:val="22"/>
              <w:szCs w:val="22"/>
              <w:lang w:eastAsia="en-GB"/>
            </w:rPr>
          </w:pPr>
          <w:hyperlink w:anchor="_Toc48925890" w:history="1">
            <w:r w:rsidRPr="00E71A7E">
              <w:rPr>
                <w:rStyle w:val="Hyperlink"/>
                <w:noProof/>
              </w:rPr>
              <w:t>Recommendations in methodological guidelines</w:t>
            </w:r>
            <w:r>
              <w:rPr>
                <w:noProof/>
                <w:webHidden/>
              </w:rPr>
              <w:tab/>
            </w:r>
            <w:r>
              <w:rPr>
                <w:noProof/>
                <w:webHidden/>
              </w:rPr>
              <w:fldChar w:fldCharType="begin"/>
            </w:r>
            <w:r>
              <w:rPr>
                <w:noProof/>
                <w:webHidden/>
              </w:rPr>
              <w:instrText xml:space="preserve"> PAGEREF _Toc48925890 \h </w:instrText>
            </w:r>
            <w:r>
              <w:rPr>
                <w:noProof/>
                <w:webHidden/>
              </w:rPr>
            </w:r>
            <w:r>
              <w:rPr>
                <w:noProof/>
                <w:webHidden/>
              </w:rPr>
              <w:fldChar w:fldCharType="separate"/>
            </w:r>
            <w:r>
              <w:rPr>
                <w:noProof/>
                <w:webHidden/>
              </w:rPr>
              <w:t>22</w:t>
            </w:r>
            <w:r>
              <w:rPr>
                <w:noProof/>
                <w:webHidden/>
              </w:rPr>
              <w:fldChar w:fldCharType="end"/>
            </w:r>
          </w:hyperlink>
        </w:p>
        <w:p w14:paraId="00239B6A" w14:textId="7BDAD206" w:rsidR="002E020D" w:rsidRDefault="002E020D">
          <w:pPr>
            <w:pStyle w:val="TOC3"/>
            <w:tabs>
              <w:tab w:val="right" w:leader="dot" w:pos="9016"/>
            </w:tabs>
            <w:rPr>
              <w:rFonts w:asciiTheme="minorHAnsi" w:hAnsiTheme="minorHAnsi" w:cstheme="minorBidi"/>
              <w:noProof/>
              <w:sz w:val="22"/>
              <w:szCs w:val="22"/>
              <w:lang w:eastAsia="en-GB"/>
            </w:rPr>
          </w:pPr>
          <w:hyperlink w:anchor="_Toc48925891" w:history="1">
            <w:r w:rsidRPr="00E71A7E">
              <w:rPr>
                <w:rStyle w:val="Hyperlink"/>
                <w:noProof/>
              </w:rPr>
              <w:t>Identification of decision options</w:t>
            </w:r>
            <w:r>
              <w:rPr>
                <w:noProof/>
                <w:webHidden/>
              </w:rPr>
              <w:tab/>
            </w:r>
            <w:r>
              <w:rPr>
                <w:noProof/>
                <w:webHidden/>
              </w:rPr>
              <w:fldChar w:fldCharType="begin"/>
            </w:r>
            <w:r>
              <w:rPr>
                <w:noProof/>
                <w:webHidden/>
              </w:rPr>
              <w:instrText xml:space="preserve"> PAGEREF _Toc48925891 \h </w:instrText>
            </w:r>
            <w:r>
              <w:rPr>
                <w:noProof/>
                <w:webHidden/>
              </w:rPr>
            </w:r>
            <w:r>
              <w:rPr>
                <w:noProof/>
                <w:webHidden/>
              </w:rPr>
              <w:fldChar w:fldCharType="separate"/>
            </w:r>
            <w:r>
              <w:rPr>
                <w:noProof/>
                <w:webHidden/>
              </w:rPr>
              <w:t>28</w:t>
            </w:r>
            <w:r>
              <w:rPr>
                <w:noProof/>
                <w:webHidden/>
              </w:rPr>
              <w:fldChar w:fldCharType="end"/>
            </w:r>
          </w:hyperlink>
        </w:p>
        <w:p w14:paraId="710DF2EB" w14:textId="114AE278" w:rsidR="002E020D" w:rsidRDefault="002E020D">
          <w:pPr>
            <w:pStyle w:val="TOC3"/>
            <w:tabs>
              <w:tab w:val="right" w:leader="dot" w:pos="9016"/>
            </w:tabs>
            <w:rPr>
              <w:rFonts w:asciiTheme="minorHAnsi" w:hAnsiTheme="minorHAnsi" w:cstheme="minorBidi"/>
              <w:noProof/>
              <w:sz w:val="22"/>
              <w:szCs w:val="22"/>
              <w:lang w:eastAsia="en-GB"/>
            </w:rPr>
          </w:pPr>
          <w:hyperlink w:anchor="_Toc48925892" w:history="1">
            <w:r w:rsidRPr="00E71A7E">
              <w:rPr>
                <w:rStyle w:val="Hyperlink"/>
                <w:noProof/>
              </w:rPr>
              <w:t>Selection of decision options</w:t>
            </w:r>
            <w:r>
              <w:rPr>
                <w:noProof/>
                <w:webHidden/>
              </w:rPr>
              <w:tab/>
            </w:r>
            <w:r>
              <w:rPr>
                <w:noProof/>
                <w:webHidden/>
              </w:rPr>
              <w:fldChar w:fldCharType="begin"/>
            </w:r>
            <w:r>
              <w:rPr>
                <w:noProof/>
                <w:webHidden/>
              </w:rPr>
              <w:instrText xml:space="preserve"> PAGEREF _Toc48925892 \h </w:instrText>
            </w:r>
            <w:r>
              <w:rPr>
                <w:noProof/>
                <w:webHidden/>
              </w:rPr>
            </w:r>
            <w:r>
              <w:rPr>
                <w:noProof/>
                <w:webHidden/>
              </w:rPr>
              <w:fldChar w:fldCharType="separate"/>
            </w:r>
            <w:r>
              <w:rPr>
                <w:noProof/>
                <w:webHidden/>
              </w:rPr>
              <w:t>29</w:t>
            </w:r>
            <w:r>
              <w:rPr>
                <w:noProof/>
                <w:webHidden/>
              </w:rPr>
              <w:fldChar w:fldCharType="end"/>
            </w:r>
          </w:hyperlink>
        </w:p>
        <w:p w14:paraId="3F2D112A" w14:textId="5BF9117C" w:rsidR="002E020D" w:rsidRDefault="002E020D">
          <w:pPr>
            <w:pStyle w:val="TOC2"/>
            <w:tabs>
              <w:tab w:val="right" w:leader="dot" w:pos="9016"/>
            </w:tabs>
            <w:rPr>
              <w:rFonts w:asciiTheme="minorHAnsi" w:hAnsiTheme="minorHAnsi" w:cstheme="minorBidi"/>
              <w:noProof/>
              <w:sz w:val="22"/>
              <w:szCs w:val="22"/>
              <w:lang w:eastAsia="en-GB"/>
            </w:rPr>
          </w:pPr>
          <w:hyperlink w:anchor="_Toc48925893" w:history="1">
            <w:r w:rsidRPr="00E71A7E">
              <w:rPr>
                <w:rStyle w:val="Hyperlink"/>
                <w:noProof/>
              </w:rPr>
              <w:t>Practical implications</w:t>
            </w:r>
            <w:r>
              <w:rPr>
                <w:noProof/>
                <w:webHidden/>
              </w:rPr>
              <w:tab/>
            </w:r>
            <w:r>
              <w:rPr>
                <w:noProof/>
                <w:webHidden/>
              </w:rPr>
              <w:fldChar w:fldCharType="begin"/>
            </w:r>
            <w:r>
              <w:rPr>
                <w:noProof/>
                <w:webHidden/>
              </w:rPr>
              <w:instrText xml:space="preserve"> PAGEREF _Toc48925893 \h </w:instrText>
            </w:r>
            <w:r>
              <w:rPr>
                <w:noProof/>
                <w:webHidden/>
              </w:rPr>
            </w:r>
            <w:r>
              <w:rPr>
                <w:noProof/>
                <w:webHidden/>
              </w:rPr>
              <w:fldChar w:fldCharType="separate"/>
            </w:r>
            <w:r>
              <w:rPr>
                <w:noProof/>
                <w:webHidden/>
              </w:rPr>
              <w:t>30</w:t>
            </w:r>
            <w:r>
              <w:rPr>
                <w:noProof/>
                <w:webHidden/>
              </w:rPr>
              <w:fldChar w:fldCharType="end"/>
            </w:r>
          </w:hyperlink>
        </w:p>
        <w:p w14:paraId="3EF860C8" w14:textId="6BA5350C" w:rsidR="002E020D" w:rsidRDefault="002E020D">
          <w:pPr>
            <w:pStyle w:val="TOC3"/>
            <w:tabs>
              <w:tab w:val="right" w:leader="dot" w:pos="9016"/>
            </w:tabs>
            <w:rPr>
              <w:rFonts w:asciiTheme="minorHAnsi" w:hAnsiTheme="minorHAnsi" w:cstheme="minorBidi"/>
              <w:noProof/>
              <w:sz w:val="22"/>
              <w:szCs w:val="22"/>
              <w:lang w:eastAsia="en-GB"/>
            </w:rPr>
          </w:pPr>
          <w:hyperlink w:anchor="_Toc48925894" w:history="1">
            <w:r w:rsidRPr="00E71A7E">
              <w:rPr>
                <w:rStyle w:val="Hyperlink"/>
                <w:noProof/>
              </w:rPr>
              <w:t>Should economic evaluations compare the new technology only to standard care?</w:t>
            </w:r>
            <w:r>
              <w:rPr>
                <w:noProof/>
                <w:webHidden/>
              </w:rPr>
              <w:tab/>
            </w:r>
            <w:r>
              <w:rPr>
                <w:noProof/>
                <w:webHidden/>
              </w:rPr>
              <w:fldChar w:fldCharType="begin"/>
            </w:r>
            <w:r>
              <w:rPr>
                <w:noProof/>
                <w:webHidden/>
              </w:rPr>
              <w:instrText xml:space="preserve"> PAGEREF _Toc48925894 \h </w:instrText>
            </w:r>
            <w:r>
              <w:rPr>
                <w:noProof/>
                <w:webHidden/>
              </w:rPr>
            </w:r>
            <w:r>
              <w:rPr>
                <w:noProof/>
                <w:webHidden/>
              </w:rPr>
              <w:fldChar w:fldCharType="separate"/>
            </w:r>
            <w:r>
              <w:rPr>
                <w:noProof/>
                <w:webHidden/>
              </w:rPr>
              <w:t>30</w:t>
            </w:r>
            <w:r>
              <w:rPr>
                <w:noProof/>
                <w:webHidden/>
              </w:rPr>
              <w:fldChar w:fldCharType="end"/>
            </w:r>
          </w:hyperlink>
        </w:p>
        <w:p w14:paraId="59A5C168" w14:textId="5A1B7CB8" w:rsidR="002E020D" w:rsidRDefault="002E020D">
          <w:pPr>
            <w:pStyle w:val="TOC3"/>
            <w:tabs>
              <w:tab w:val="right" w:leader="dot" w:pos="9016"/>
            </w:tabs>
            <w:rPr>
              <w:rFonts w:asciiTheme="minorHAnsi" w:hAnsiTheme="minorHAnsi" w:cstheme="minorBidi"/>
              <w:noProof/>
              <w:sz w:val="22"/>
              <w:szCs w:val="22"/>
              <w:lang w:eastAsia="en-GB"/>
            </w:rPr>
          </w:pPr>
          <w:hyperlink w:anchor="_Toc48925895" w:history="1">
            <w:r w:rsidRPr="00E71A7E">
              <w:rPr>
                <w:rStyle w:val="Hyperlink"/>
                <w:noProof/>
              </w:rPr>
              <w:t>How to identify and select the relevant decision options?</w:t>
            </w:r>
            <w:r>
              <w:rPr>
                <w:noProof/>
                <w:webHidden/>
              </w:rPr>
              <w:tab/>
            </w:r>
            <w:r>
              <w:rPr>
                <w:noProof/>
                <w:webHidden/>
              </w:rPr>
              <w:fldChar w:fldCharType="begin"/>
            </w:r>
            <w:r>
              <w:rPr>
                <w:noProof/>
                <w:webHidden/>
              </w:rPr>
              <w:instrText xml:space="preserve"> PAGEREF _Toc48925895 \h </w:instrText>
            </w:r>
            <w:r>
              <w:rPr>
                <w:noProof/>
                <w:webHidden/>
              </w:rPr>
            </w:r>
            <w:r>
              <w:rPr>
                <w:noProof/>
                <w:webHidden/>
              </w:rPr>
              <w:fldChar w:fldCharType="separate"/>
            </w:r>
            <w:r>
              <w:rPr>
                <w:noProof/>
                <w:webHidden/>
              </w:rPr>
              <w:t>31</w:t>
            </w:r>
            <w:r>
              <w:rPr>
                <w:noProof/>
                <w:webHidden/>
              </w:rPr>
              <w:fldChar w:fldCharType="end"/>
            </w:r>
          </w:hyperlink>
        </w:p>
        <w:p w14:paraId="46F98A13" w14:textId="4675FB00" w:rsidR="002E020D" w:rsidRDefault="002E020D">
          <w:pPr>
            <w:pStyle w:val="TOC3"/>
            <w:tabs>
              <w:tab w:val="right" w:leader="dot" w:pos="9016"/>
            </w:tabs>
            <w:rPr>
              <w:rFonts w:asciiTheme="minorHAnsi" w:hAnsiTheme="minorHAnsi" w:cstheme="minorBidi"/>
              <w:noProof/>
              <w:sz w:val="22"/>
              <w:szCs w:val="22"/>
              <w:lang w:eastAsia="en-GB"/>
            </w:rPr>
          </w:pPr>
          <w:hyperlink w:anchor="_Toc48925896" w:history="1">
            <w:r w:rsidRPr="00E71A7E">
              <w:rPr>
                <w:rStyle w:val="Hyperlink"/>
                <w:noProof/>
              </w:rPr>
              <w:t>When to consider sequences of treatments and/or of tests?</w:t>
            </w:r>
            <w:r>
              <w:rPr>
                <w:noProof/>
                <w:webHidden/>
              </w:rPr>
              <w:tab/>
            </w:r>
            <w:r>
              <w:rPr>
                <w:noProof/>
                <w:webHidden/>
              </w:rPr>
              <w:fldChar w:fldCharType="begin"/>
            </w:r>
            <w:r>
              <w:rPr>
                <w:noProof/>
                <w:webHidden/>
              </w:rPr>
              <w:instrText xml:space="preserve"> PAGEREF _Toc48925896 \h </w:instrText>
            </w:r>
            <w:r>
              <w:rPr>
                <w:noProof/>
                <w:webHidden/>
              </w:rPr>
            </w:r>
            <w:r>
              <w:rPr>
                <w:noProof/>
                <w:webHidden/>
              </w:rPr>
              <w:fldChar w:fldCharType="separate"/>
            </w:r>
            <w:r>
              <w:rPr>
                <w:noProof/>
                <w:webHidden/>
              </w:rPr>
              <w:t>32</w:t>
            </w:r>
            <w:r>
              <w:rPr>
                <w:noProof/>
                <w:webHidden/>
              </w:rPr>
              <w:fldChar w:fldCharType="end"/>
            </w:r>
          </w:hyperlink>
        </w:p>
        <w:p w14:paraId="6E32C5D4" w14:textId="548C79A2" w:rsidR="002E020D" w:rsidRDefault="002E020D">
          <w:pPr>
            <w:pStyle w:val="TOC3"/>
            <w:tabs>
              <w:tab w:val="right" w:leader="dot" w:pos="9016"/>
            </w:tabs>
            <w:rPr>
              <w:rFonts w:asciiTheme="minorHAnsi" w:hAnsiTheme="minorHAnsi" w:cstheme="minorBidi"/>
              <w:noProof/>
              <w:sz w:val="22"/>
              <w:szCs w:val="22"/>
              <w:lang w:eastAsia="en-GB"/>
            </w:rPr>
          </w:pPr>
          <w:hyperlink w:anchor="_Toc48925897" w:history="1">
            <w:r w:rsidRPr="00E71A7E">
              <w:rPr>
                <w:rStyle w:val="Hyperlink"/>
                <w:noProof/>
              </w:rPr>
              <w:t>What does a “do-nothing” option represent?</w:t>
            </w:r>
            <w:r>
              <w:rPr>
                <w:noProof/>
                <w:webHidden/>
              </w:rPr>
              <w:tab/>
            </w:r>
            <w:r>
              <w:rPr>
                <w:noProof/>
                <w:webHidden/>
              </w:rPr>
              <w:fldChar w:fldCharType="begin"/>
            </w:r>
            <w:r>
              <w:rPr>
                <w:noProof/>
                <w:webHidden/>
              </w:rPr>
              <w:instrText xml:space="preserve"> PAGEREF _Toc48925897 \h </w:instrText>
            </w:r>
            <w:r>
              <w:rPr>
                <w:noProof/>
                <w:webHidden/>
              </w:rPr>
            </w:r>
            <w:r>
              <w:rPr>
                <w:noProof/>
                <w:webHidden/>
              </w:rPr>
              <w:fldChar w:fldCharType="separate"/>
            </w:r>
            <w:r>
              <w:rPr>
                <w:noProof/>
                <w:webHidden/>
              </w:rPr>
              <w:t>33</w:t>
            </w:r>
            <w:r>
              <w:rPr>
                <w:noProof/>
                <w:webHidden/>
              </w:rPr>
              <w:fldChar w:fldCharType="end"/>
            </w:r>
          </w:hyperlink>
        </w:p>
        <w:p w14:paraId="2CDC486F" w14:textId="1A19E633" w:rsidR="002E020D" w:rsidRDefault="002E020D">
          <w:pPr>
            <w:pStyle w:val="TOC1"/>
            <w:tabs>
              <w:tab w:val="right" w:leader="dot" w:pos="9016"/>
            </w:tabs>
            <w:rPr>
              <w:rFonts w:asciiTheme="minorHAnsi" w:hAnsiTheme="minorHAnsi" w:cstheme="minorBidi"/>
              <w:noProof/>
              <w:sz w:val="22"/>
              <w:szCs w:val="22"/>
              <w:lang w:eastAsia="en-GB"/>
            </w:rPr>
          </w:pPr>
          <w:hyperlink w:anchor="_Toc48925898" w:history="1">
            <w:r w:rsidRPr="00E71A7E">
              <w:rPr>
                <w:rStyle w:val="Hyperlink"/>
                <w:noProof/>
              </w:rPr>
              <w:t>Conceptual model of the evaluation</w:t>
            </w:r>
            <w:r>
              <w:rPr>
                <w:noProof/>
                <w:webHidden/>
              </w:rPr>
              <w:tab/>
            </w:r>
            <w:r>
              <w:rPr>
                <w:noProof/>
                <w:webHidden/>
              </w:rPr>
              <w:fldChar w:fldCharType="begin"/>
            </w:r>
            <w:r>
              <w:rPr>
                <w:noProof/>
                <w:webHidden/>
              </w:rPr>
              <w:instrText xml:space="preserve"> PAGEREF _Toc48925898 \h </w:instrText>
            </w:r>
            <w:r>
              <w:rPr>
                <w:noProof/>
                <w:webHidden/>
              </w:rPr>
            </w:r>
            <w:r>
              <w:rPr>
                <w:noProof/>
                <w:webHidden/>
              </w:rPr>
              <w:fldChar w:fldCharType="separate"/>
            </w:r>
            <w:r>
              <w:rPr>
                <w:noProof/>
                <w:webHidden/>
              </w:rPr>
              <w:t>34</w:t>
            </w:r>
            <w:r>
              <w:rPr>
                <w:noProof/>
                <w:webHidden/>
              </w:rPr>
              <w:fldChar w:fldCharType="end"/>
            </w:r>
          </w:hyperlink>
        </w:p>
        <w:p w14:paraId="19D38BE4" w14:textId="5EE185ED" w:rsidR="002E020D" w:rsidRDefault="002E020D">
          <w:pPr>
            <w:pStyle w:val="TOC2"/>
            <w:tabs>
              <w:tab w:val="right" w:leader="dot" w:pos="9016"/>
            </w:tabs>
            <w:rPr>
              <w:rFonts w:asciiTheme="minorHAnsi" w:hAnsiTheme="minorHAnsi" w:cstheme="minorBidi"/>
              <w:noProof/>
              <w:sz w:val="22"/>
              <w:szCs w:val="22"/>
              <w:lang w:eastAsia="en-GB"/>
            </w:rPr>
          </w:pPr>
          <w:hyperlink w:anchor="_Toc48925899" w:history="1">
            <w:r w:rsidRPr="00E71A7E">
              <w:rPr>
                <w:rStyle w:val="Hyperlink"/>
                <w:noProof/>
              </w:rPr>
              <w:t>Recommendations in methodological guidelines</w:t>
            </w:r>
            <w:r>
              <w:rPr>
                <w:noProof/>
                <w:webHidden/>
              </w:rPr>
              <w:tab/>
            </w:r>
            <w:r>
              <w:rPr>
                <w:noProof/>
                <w:webHidden/>
              </w:rPr>
              <w:fldChar w:fldCharType="begin"/>
            </w:r>
            <w:r>
              <w:rPr>
                <w:noProof/>
                <w:webHidden/>
              </w:rPr>
              <w:instrText xml:space="preserve"> PAGEREF _Toc48925899 \h </w:instrText>
            </w:r>
            <w:r>
              <w:rPr>
                <w:noProof/>
                <w:webHidden/>
              </w:rPr>
            </w:r>
            <w:r>
              <w:rPr>
                <w:noProof/>
                <w:webHidden/>
              </w:rPr>
              <w:fldChar w:fldCharType="separate"/>
            </w:r>
            <w:r>
              <w:rPr>
                <w:noProof/>
                <w:webHidden/>
              </w:rPr>
              <w:t>35</w:t>
            </w:r>
            <w:r>
              <w:rPr>
                <w:noProof/>
                <w:webHidden/>
              </w:rPr>
              <w:fldChar w:fldCharType="end"/>
            </w:r>
          </w:hyperlink>
        </w:p>
        <w:p w14:paraId="63AA5AD4" w14:textId="08582B07" w:rsidR="002E020D" w:rsidRDefault="002E020D">
          <w:pPr>
            <w:pStyle w:val="TOC3"/>
            <w:tabs>
              <w:tab w:val="right" w:leader="dot" w:pos="9016"/>
            </w:tabs>
            <w:rPr>
              <w:rFonts w:asciiTheme="minorHAnsi" w:hAnsiTheme="minorHAnsi" w:cstheme="minorBidi"/>
              <w:noProof/>
              <w:sz w:val="22"/>
              <w:szCs w:val="22"/>
              <w:lang w:eastAsia="en-GB"/>
            </w:rPr>
          </w:pPr>
          <w:hyperlink w:anchor="_Toc48925900" w:history="1">
            <w:r w:rsidRPr="00E71A7E">
              <w:rPr>
                <w:rStyle w:val="Hyperlink"/>
                <w:noProof/>
              </w:rPr>
              <w:t>Terminology</w:t>
            </w:r>
            <w:r>
              <w:rPr>
                <w:noProof/>
                <w:webHidden/>
              </w:rPr>
              <w:tab/>
            </w:r>
            <w:r>
              <w:rPr>
                <w:noProof/>
                <w:webHidden/>
              </w:rPr>
              <w:fldChar w:fldCharType="begin"/>
            </w:r>
            <w:r>
              <w:rPr>
                <w:noProof/>
                <w:webHidden/>
              </w:rPr>
              <w:instrText xml:space="preserve"> PAGEREF _Toc48925900 \h </w:instrText>
            </w:r>
            <w:r>
              <w:rPr>
                <w:noProof/>
                <w:webHidden/>
              </w:rPr>
            </w:r>
            <w:r>
              <w:rPr>
                <w:noProof/>
                <w:webHidden/>
              </w:rPr>
              <w:fldChar w:fldCharType="separate"/>
            </w:r>
            <w:r>
              <w:rPr>
                <w:noProof/>
                <w:webHidden/>
              </w:rPr>
              <w:t>35</w:t>
            </w:r>
            <w:r>
              <w:rPr>
                <w:noProof/>
                <w:webHidden/>
              </w:rPr>
              <w:fldChar w:fldCharType="end"/>
            </w:r>
          </w:hyperlink>
        </w:p>
        <w:p w14:paraId="196B6F47" w14:textId="482C7E57" w:rsidR="002E020D" w:rsidRDefault="002E020D">
          <w:pPr>
            <w:pStyle w:val="TOC3"/>
            <w:tabs>
              <w:tab w:val="right" w:leader="dot" w:pos="9016"/>
            </w:tabs>
            <w:rPr>
              <w:rFonts w:asciiTheme="minorHAnsi" w:hAnsiTheme="minorHAnsi" w:cstheme="minorBidi"/>
              <w:noProof/>
              <w:sz w:val="22"/>
              <w:szCs w:val="22"/>
              <w:lang w:eastAsia="en-GB"/>
            </w:rPr>
          </w:pPr>
          <w:hyperlink w:anchor="_Toc48925901" w:history="1">
            <w:r w:rsidRPr="00E71A7E">
              <w:rPr>
                <w:rStyle w:val="Hyperlink"/>
                <w:noProof/>
              </w:rPr>
              <w:t>Recommendations on conceptual model and/or model structuring</w:t>
            </w:r>
            <w:r>
              <w:rPr>
                <w:noProof/>
                <w:webHidden/>
              </w:rPr>
              <w:tab/>
            </w:r>
            <w:r>
              <w:rPr>
                <w:noProof/>
                <w:webHidden/>
              </w:rPr>
              <w:fldChar w:fldCharType="begin"/>
            </w:r>
            <w:r>
              <w:rPr>
                <w:noProof/>
                <w:webHidden/>
              </w:rPr>
              <w:instrText xml:space="preserve"> PAGEREF _Toc48925901 \h </w:instrText>
            </w:r>
            <w:r>
              <w:rPr>
                <w:noProof/>
                <w:webHidden/>
              </w:rPr>
            </w:r>
            <w:r>
              <w:rPr>
                <w:noProof/>
                <w:webHidden/>
              </w:rPr>
              <w:fldChar w:fldCharType="separate"/>
            </w:r>
            <w:r>
              <w:rPr>
                <w:noProof/>
                <w:webHidden/>
              </w:rPr>
              <w:t>37</w:t>
            </w:r>
            <w:r>
              <w:rPr>
                <w:noProof/>
                <w:webHidden/>
              </w:rPr>
              <w:fldChar w:fldCharType="end"/>
            </w:r>
          </w:hyperlink>
        </w:p>
        <w:p w14:paraId="4998BEB9" w14:textId="113E69DA" w:rsidR="002E020D" w:rsidRDefault="002E020D">
          <w:pPr>
            <w:pStyle w:val="TOC2"/>
            <w:tabs>
              <w:tab w:val="right" w:leader="dot" w:pos="9016"/>
            </w:tabs>
            <w:rPr>
              <w:rFonts w:asciiTheme="minorHAnsi" w:hAnsiTheme="minorHAnsi" w:cstheme="minorBidi"/>
              <w:noProof/>
              <w:sz w:val="22"/>
              <w:szCs w:val="22"/>
              <w:lang w:eastAsia="en-GB"/>
            </w:rPr>
          </w:pPr>
          <w:hyperlink w:anchor="_Toc48925902" w:history="1">
            <w:r w:rsidRPr="00E71A7E">
              <w:rPr>
                <w:rStyle w:val="Hyperlink"/>
                <w:noProof/>
              </w:rPr>
              <w:t>Practical implications</w:t>
            </w:r>
            <w:r>
              <w:rPr>
                <w:noProof/>
                <w:webHidden/>
              </w:rPr>
              <w:tab/>
            </w:r>
            <w:r>
              <w:rPr>
                <w:noProof/>
                <w:webHidden/>
              </w:rPr>
              <w:fldChar w:fldCharType="begin"/>
            </w:r>
            <w:r>
              <w:rPr>
                <w:noProof/>
                <w:webHidden/>
              </w:rPr>
              <w:instrText xml:space="preserve"> PAGEREF _Toc48925902 \h </w:instrText>
            </w:r>
            <w:r>
              <w:rPr>
                <w:noProof/>
                <w:webHidden/>
              </w:rPr>
            </w:r>
            <w:r>
              <w:rPr>
                <w:noProof/>
                <w:webHidden/>
              </w:rPr>
              <w:fldChar w:fldCharType="separate"/>
            </w:r>
            <w:r>
              <w:rPr>
                <w:noProof/>
                <w:webHidden/>
              </w:rPr>
              <w:t>44</w:t>
            </w:r>
            <w:r>
              <w:rPr>
                <w:noProof/>
                <w:webHidden/>
              </w:rPr>
              <w:fldChar w:fldCharType="end"/>
            </w:r>
          </w:hyperlink>
        </w:p>
        <w:p w14:paraId="03D9A770" w14:textId="579187BB" w:rsidR="002E020D" w:rsidRDefault="002E020D">
          <w:pPr>
            <w:pStyle w:val="TOC3"/>
            <w:tabs>
              <w:tab w:val="right" w:leader="dot" w:pos="9016"/>
            </w:tabs>
            <w:rPr>
              <w:rFonts w:asciiTheme="minorHAnsi" w:hAnsiTheme="minorHAnsi" w:cstheme="minorBidi"/>
              <w:noProof/>
              <w:sz w:val="22"/>
              <w:szCs w:val="22"/>
              <w:lang w:eastAsia="en-GB"/>
            </w:rPr>
          </w:pPr>
          <w:hyperlink w:anchor="_Toc48925903" w:history="1">
            <w:r w:rsidRPr="00E71A7E">
              <w:rPr>
                <w:rStyle w:val="Hyperlink"/>
                <w:noProof/>
              </w:rPr>
              <w:t>What is the role of the conceptual model?</w:t>
            </w:r>
            <w:r>
              <w:rPr>
                <w:noProof/>
                <w:webHidden/>
              </w:rPr>
              <w:tab/>
            </w:r>
            <w:r>
              <w:rPr>
                <w:noProof/>
                <w:webHidden/>
              </w:rPr>
              <w:fldChar w:fldCharType="begin"/>
            </w:r>
            <w:r>
              <w:rPr>
                <w:noProof/>
                <w:webHidden/>
              </w:rPr>
              <w:instrText xml:space="preserve"> PAGEREF _Toc48925903 \h </w:instrText>
            </w:r>
            <w:r>
              <w:rPr>
                <w:noProof/>
                <w:webHidden/>
              </w:rPr>
            </w:r>
            <w:r>
              <w:rPr>
                <w:noProof/>
                <w:webHidden/>
              </w:rPr>
              <w:fldChar w:fldCharType="separate"/>
            </w:r>
            <w:r>
              <w:rPr>
                <w:noProof/>
                <w:webHidden/>
              </w:rPr>
              <w:t>44</w:t>
            </w:r>
            <w:r>
              <w:rPr>
                <w:noProof/>
                <w:webHidden/>
              </w:rPr>
              <w:fldChar w:fldCharType="end"/>
            </w:r>
          </w:hyperlink>
        </w:p>
        <w:p w14:paraId="4FF91A33" w14:textId="2F8B610F" w:rsidR="002E020D" w:rsidRDefault="002E020D">
          <w:pPr>
            <w:pStyle w:val="TOC3"/>
            <w:tabs>
              <w:tab w:val="right" w:leader="dot" w:pos="9016"/>
            </w:tabs>
            <w:rPr>
              <w:rFonts w:asciiTheme="minorHAnsi" w:hAnsiTheme="minorHAnsi" w:cstheme="minorBidi"/>
              <w:noProof/>
              <w:sz w:val="22"/>
              <w:szCs w:val="22"/>
              <w:lang w:eastAsia="en-GB"/>
            </w:rPr>
          </w:pPr>
          <w:hyperlink w:anchor="_Toc48925904" w:history="1">
            <w:r w:rsidRPr="00E71A7E">
              <w:rPr>
                <w:rStyle w:val="Hyperlink"/>
                <w:noProof/>
              </w:rPr>
              <w:t>How to develop a conceptual model?</w:t>
            </w:r>
            <w:r>
              <w:rPr>
                <w:noProof/>
                <w:webHidden/>
              </w:rPr>
              <w:tab/>
            </w:r>
            <w:r>
              <w:rPr>
                <w:noProof/>
                <w:webHidden/>
              </w:rPr>
              <w:fldChar w:fldCharType="begin"/>
            </w:r>
            <w:r>
              <w:rPr>
                <w:noProof/>
                <w:webHidden/>
              </w:rPr>
              <w:instrText xml:space="preserve"> PAGEREF _Toc48925904 \h </w:instrText>
            </w:r>
            <w:r>
              <w:rPr>
                <w:noProof/>
                <w:webHidden/>
              </w:rPr>
            </w:r>
            <w:r>
              <w:rPr>
                <w:noProof/>
                <w:webHidden/>
              </w:rPr>
              <w:fldChar w:fldCharType="separate"/>
            </w:r>
            <w:r>
              <w:rPr>
                <w:noProof/>
                <w:webHidden/>
              </w:rPr>
              <w:t>45</w:t>
            </w:r>
            <w:r>
              <w:rPr>
                <w:noProof/>
                <w:webHidden/>
              </w:rPr>
              <w:fldChar w:fldCharType="end"/>
            </w:r>
          </w:hyperlink>
        </w:p>
        <w:p w14:paraId="226EFE4E" w14:textId="5BF4D2A8" w:rsidR="002E020D" w:rsidRDefault="002E020D">
          <w:pPr>
            <w:pStyle w:val="TOC1"/>
            <w:tabs>
              <w:tab w:val="right" w:leader="dot" w:pos="9016"/>
            </w:tabs>
            <w:rPr>
              <w:rFonts w:asciiTheme="minorHAnsi" w:hAnsiTheme="minorHAnsi" w:cstheme="minorBidi"/>
              <w:noProof/>
              <w:sz w:val="22"/>
              <w:szCs w:val="22"/>
              <w:lang w:eastAsia="en-GB"/>
            </w:rPr>
          </w:pPr>
          <w:hyperlink w:anchor="_Toc48925905" w:history="1">
            <w:r w:rsidRPr="00E71A7E">
              <w:rPr>
                <w:rStyle w:val="Hyperlink"/>
                <w:noProof/>
              </w:rPr>
              <w:t>Recommendations</w:t>
            </w:r>
            <w:r>
              <w:rPr>
                <w:noProof/>
                <w:webHidden/>
              </w:rPr>
              <w:tab/>
            </w:r>
            <w:r>
              <w:rPr>
                <w:noProof/>
                <w:webHidden/>
              </w:rPr>
              <w:fldChar w:fldCharType="begin"/>
            </w:r>
            <w:r>
              <w:rPr>
                <w:noProof/>
                <w:webHidden/>
              </w:rPr>
              <w:instrText xml:space="preserve"> PAGEREF _Toc48925905 \h </w:instrText>
            </w:r>
            <w:r>
              <w:rPr>
                <w:noProof/>
                <w:webHidden/>
              </w:rPr>
            </w:r>
            <w:r>
              <w:rPr>
                <w:noProof/>
                <w:webHidden/>
              </w:rPr>
              <w:fldChar w:fldCharType="separate"/>
            </w:r>
            <w:r>
              <w:rPr>
                <w:noProof/>
                <w:webHidden/>
              </w:rPr>
              <w:t>48</w:t>
            </w:r>
            <w:r>
              <w:rPr>
                <w:noProof/>
                <w:webHidden/>
              </w:rPr>
              <w:fldChar w:fldCharType="end"/>
            </w:r>
          </w:hyperlink>
        </w:p>
        <w:p w14:paraId="171EBFC5" w14:textId="6462BD3C" w:rsidR="002E020D" w:rsidRDefault="002E020D">
          <w:pPr>
            <w:pStyle w:val="TOC2"/>
            <w:tabs>
              <w:tab w:val="right" w:leader="dot" w:pos="9016"/>
            </w:tabs>
            <w:rPr>
              <w:rFonts w:asciiTheme="minorHAnsi" w:hAnsiTheme="minorHAnsi" w:cstheme="minorBidi"/>
              <w:noProof/>
              <w:sz w:val="22"/>
              <w:szCs w:val="22"/>
              <w:lang w:eastAsia="en-GB"/>
            </w:rPr>
          </w:pPr>
          <w:hyperlink w:anchor="_Toc48925906" w:history="1">
            <w:r w:rsidRPr="00E71A7E">
              <w:rPr>
                <w:rStyle w:val="Hyperlink"/>
                <w:noProof/>
              </w:rPr>
              <w:t>Conclusion</w:t>
            </w:r>
            <w:r>
              <w:rPr>
                <w:noProof/>
                <w:webHidden/>
              </w:rPr>
              <w:tab/>
            </w:r>
            <w:r>
              <w:rPr>
                <w:noProof/>
                <w:webHidden/>
              </w:rPr>
              <w:fldChar w:fldCharType="begin"/>
            </w:r>
            <w:r>
              <w:rPr>
                <w:noProof/>
                <w:webHidden/>
              </w:rPr>
              <w:instrText xml:space="preserve"> PAGEREF _Toc48925906 \h </w:instrText>
            </w:r>
            <w:r>
              <w:rPr>
                <w:noProof/>
                <w:webHidden/>
              </w:rPr>
            </w:r>
            <w:r>
              <w:rPr>
                <w:noProof/>
                <w:webHidden/>
              </w:rPr>
              <w:fldChar w:fldCharType="separate"/>
            </w:r>
            <w:r>
              <w:rPr>
                <w:noProof/>
                <w:webHidden/>
              </w:rPr>
              <w:t>51</w:t>
            </w:r>
            <w:r>
              <w:rPr>
                <w:noProof/>
                <w:webHidden/>
              </w:rPr>
              <w:fldChar w:fldCharType="end"/>
            </w:r>
          </w:hyperlink>
        </w:p>
        <w:p w14:paraId="11AF9C58" w14:textId="3698771B" w:rsidR="002E020D" w:rsidRDefault="002E020D">
          <w:pPr>
            <w:pStyle w:val="TOC1"/>
            <w:tabs>
              <w:tab w:val="right" w:leader="dot" w:pos="9016"/>
            </w:tabs>
            <w:rPr>
              <w:rFonts w:asciiTheme="minorHAnsi" w:hAnsiTheme="minorHAnsi" w:cstheme="minorBidi"/>
              <w:noProof/>
              <w:sz w:val="22"/>
              <w:szCs w:val="22"/>
              <w:lang w:eastAsia="en-GB"/>
            </w:rPr>
          </w:pPr>
          <w:hyperlink w:anchor="_Toc48925907" w:history="1">
            <w:r w:rsidRPr="00E71A7E">
              <w:rPr>
                <w:rStyle w:val="Hyperlink"/>
                <w:noProof/>
              </w:rPr>
              <w:t>Further reading</w:t>
            </w:r>
            <w:r>
              <w:rPr>
                <w:noProof/>
                <w:webHidden/>
              </w:rPr>
              <w:tab/>
            </w:r>
            <w:r>
              <w:rPr>
                <w:noProof/>
                <w:webHidden/>
              </w:rPr>
              <w:fldChar w:fldCharType="begin"/>
            </w:r>
            <w:r>
              <w:rPr>
                <w:noProof/>
                <w:webHidden/>
              </w:rPr>
              <w:instrText xml:space="preserve"> PAGEREF _Toc48925907 \h </w:instrText>
            </w:r>
            <w:r>
              <w:rPr>
                <w:noProof/>
                <w:webHidden/>
              </w:rPr>
            </w:r>
            <w:r>
              <w:rPr>
                <w:noProof/>
                <w:webHidden/>
              </w:rPr>
              <w:fldChar w:fldCharType="separate"/>
            </w:r>
            <w:r>
              <w:rPr>
                <w:noProof/>
                <w:webHidden/>
              </w:rPr>
              <w:t>53</w:t>
            </w:r>
            <w:r>
              <w:rPr>
                <w:noProof/>
                <w:webHidden/>
              </w:rPr>
              <w:fldChar w:fldCharType="end"/>
            </w:r>
          </w:hyperlink>
        </w:p>
        <w:p w14:paraId="190DA327" w14:textId="39A420F2" w:rsidR="002E020D" w:rsidRDefault="002E020D">
          <w:pPr>
            <w:pStyle w:val="TOC2"/>
            <w:tabs>
              <w:tab w:val="right" w:leader="dot" w:pos="9016"/>
            </w:tabs>
            <w:rPr>
              <w:rFonts w:asciiTheme="minorHAnsi" w:hAnsiTheme="minorHAnsi" w:cstheme="minorBidi"/>
              <w:noProof/>
              <w:sz w:val="22"/>
              <w:szCs w:val="22"/>
              <w:lang w:eastAsia="en-GB"/>
            </w:rPr>
          </w:pPr>
          <w:hyperlink w:anchor="_Toc48925908" w:history="1">
            <w:r w:rsidRPr="00E71A7E">
              <w:rPr>
                <w:rStyle w:val="Hyperlink"/>
                <w:noProof/>
              </w:rPr>
              <w:t>Methodological guidelines</w:t>
            </w:r>
            <w:r>
              <w:rPr>
                <w:noProof/>
                <w:webHidden/>
              </w:rPr>
              <w:tab/>
            </w:r>
            <w:r>
              <w:rPr>
                <w:noProof/>
                <w:webHidden/>
              </w:rPr>
              <w:fldChar w:fldCharType="begin"/>
            </w:r>
            <w:r>
              <w:rPr>
                <w:noProof/>
                <w:webHidden/>
              </w:rPr>
              <w:instrText xml:space="preserve"> PAGEREF _Toc48925908 \h </w:instrText>
            </w:r>
            <w:r>
              <w:rPr>
                <w:noProof/>
                <w:webHidden/>
              </w:rPr>
            </w:r>
            <w:r>
              <w:rPr>
                <w:noProof/>
                <w:webHidden/>
              </w:rPr>
              <w:fldChar w:fldCharType="separate"/>
            </w:r>
            <w:r>
              <w:rPr>
                <w:noProof/>
                <w:webHidden/>
              </w:rPr>
              <w:t>53</w:t>
            </w:r>
            <w:r>
              <w:rPr>
                <w:noProof/>
                <w:webHidden/>
              </w:rPr>
              <w:fldChar w:fldCharType="end"/>
            </w:r>
          </w:hyperlink>
        </w:p>
        <w:p w14:paraId="3B38D813" w14:textId="30B1E4BF" w:rsidR="002E020D" w:rsidRDefault="002E020D">
          <w:pPr>
            <w:pStyle w:val="TOC2"/>
            <w:tabs>
              <w:tab w:val="right" w:leader="dot" w:pos="9016"/>
            </w:tabs>
            <w:rPr>
              <w:rFonts w:asciiTheme="minorHAnsi" w:hAnsiTheme="minorHAnsi" w:cstheme="minorBidi"/>
              <w:noProof/>
              <w:sz w:val="22"/>
              <w:szCs w:val="22"/>
              <w:lang w:eastAsia="en-GB"/>
            </w:rPr>
          </w:pPr>
          <w:hyperlink w:anchor="_Toc48925909" w:history="1">
            <w:r w:rsidRPr="00E71A7E">
              <w:rPr>
                <w:rStyle w:val="Hyperlink"/>
                <w:noProof/>
              </w:rPr>
              <w:t>Other further reading</w:t>
            </w:r>
            <w:r>
              <w:rPr>
                <w:noProof/>
                <w:webHidden/>
              </w:rPr>
              <w:tab/>
            </w:r>
            <w:r>
              <w:rPr>
                <w:noProof/>
                <w:webHidden/>
              </w:rPr>
              <w:fldChar w:fldCharType="begin"/>
            </w:r>
            <w:r>
              <w:rPr>
                <w:noProof/>
                <w:webHidden/>
              </w:rPr>
              <w:instrText xml:space="preserve"> PAGEREF _Toc48925909 \h </w:instrText>
            </w:r>
            <w:r>
              <w:rPr>
                <w:noProof/>
                <w:webHidden/>
              </w:rPr>
            </w:r>
            <w:r>
              <w:rPr>
                <w:noProof/>
                <w:webHidden/>
              </w:rPr>
              <w:fldChar w:fldCharType="separate"/>
            </w:r>
            <w:r>
              <w:rPr>
                <w:noProof/>
                <w:webHidden/>
              </w:rPr>
              <w:t>55</w:t>
            </w:r>
            <w:r>
              <w:rPr>
                <w:noProof/>
                <w:webHidden/>
              </w:rPr>
              <w:fldChar w:fldCharType="end"/>
            </w:r>
          </w:hyperlink>
        </w:p>
        <w:p w14:paraId="0EC620A1" w14:textId="1B5F0AC9" w:rsidR="002E020D" w:rsidRDefault="002E020D">
          <w:pPr>
            <w:pStyle w:val="TOC3"/>
            <w:tabs>
              <w:tab w:val="right" w:leader="dot" w:pos="9016"/>
            </w:tabs>
            <w:rPr>
              <w:rFonts w:asciiTheme="minorHAnsi" w:hAnsiTheme="minorHAnsi" w:cstheme="minorBidi"/>
              <w:noProof/>
              <w:sz w:val="22"/>
              <w:szCs w:val="22"/>
              <w:lang w:eastAsia="en-GB"/>
            </w:rPr>
          </w:pPr>
          <w:hyperlink w:anchor="_Toc48925910" w:history="1">
            <w:r w:rsidRPr="00E71A7E">
              <w:rPr>
                <w:rStyle w:val="Hyperlink"/>
                <w:noProof/>
              </w:rPr>
              <w:t>On subpopulations and heterogeneity</w:t>
            </w:r>
            <w:r>
              <w:rPr>
                <w:noProof/>
                <w:webHidden/>
              </w:rPr>
              <w:tab/>
            </w:r>
            <w:r>
              <w:rPr>
                <w:noProof/>
                <w:webHidden/>
              </w:rPr>
              <w:fldChar w:fldCharType="begin"/>
            </w:r>
            <w:r>
              <w:rPr>
                <w:noProof/>
                <w:webHidden/>
              </w:rPr>
              <w:instrText xml:space="preserve"> PAGEREF _Toc48925910 \h </w:instrText>
            </w:r>
            <w:r>
              <w:rPr>
                <w:noProof/>
                <w:webHidden/>
              </w:rPr>
            </w:r>
            <w:r>
              <w:rPr>
                <w:noProof/>
                <w:webHidden/>
              </w:rPr>
              <w:fldChar w:fldCharType="separate"/>
            </w:r>
            <w:r>
              <w:rPr>
                <w:noProof/>
                <w:webHidden/>
              </w:rPr>
              <w:t>55</w:t>
            </w:r>
            <w:r>
              <w:rPr>
                <w:noProof/>
                <w:webHidden/>
              </w:rPr>
              <w:fldChar w:fldCharType="end"/>
            </w:r>
          </w:hyperlink>
        </w:p>
        <w:p w14:paraId="61DE7E27" w14:textId="5C95EAB2" w:rsidR="002E020D" w:rsidRDefault="002E020D">
          <w:pPr>
            <w:pStyle w:val="TOC3"/>
            <w:tabs>
              <w:tab w:val="right" w:leader="dot" w:pos="9016"/>
            </w:tabs>
            <w:rPr>
              <w:rFonts w:asciiTheme="minorHAnsi" w:hAnsiTheme="minorHAnsi" w:cstheme="minorBidi"/>
              <w:noProof/>
              <w:sz w:val="22"/>
              <w:szCs w:val="22"/>
              <w:lang w:eastAsia="en-GB"/>
            </w:rPr>
          </w:pPr>
          <w:hyperlink w:anchor="_Toc48925911" w:history="1">
            <w:r w:rsidRPr="00E71A7E">
              <w:rPr>
                <w:rStyle w:val="Hyperlink"/>
                <w:noProof/>
              </w:rPr>
              <w:t>On spillover populations</w:t>
            </w:r>
            <w:r>
              <w:rPr>
                <w:noProof/>
                <w:webHidden/>
              </w:rPr>
              <w:tab/>
            </w:r>
            <w:r>
              <w:rPr>
                <w:noProof/>
                <w:webHidden/>
              </w:rPr>
              <w:fldChar w:fldCharType="begin"/>
            </w:r>
            <w:r>
              <w:rPr>
                <w:noProof/>
                <w:webHidden/>
              </w:rPr>
              <w:instrText xml:space="preserve"> PAGEREF _Toc48925911 \h </w:instrText>
            </w:r>
            <w:r>
              <w:rPr>
                <w:noProof/>
                <w:webHidden/>
              </w:rPr>
            </w:r>
            <w:r>
              <w:rPr>
                <w:noProof/>
                <w:webHidden/>
              </w:rPr>
              <w:fldChar w:fldCharType="separate"/>
            </w:r>
            <w:r>
              <w:rPr>
                <w:noProof/>
                <w:webHidden/>
              </w:rPr>
              <w:t>55</w:t>
            </w:r>
            <w:r>
              <w:rPr>
                <w:noProof/>
                <w:webHidden/>
              </w:rPr>
              <w:fldChar w:fldCharType="end"/>
            </w:r>
          </w:hyperlink>
        </w:p>
        <w:p w14:paraId="2F9A8AD1" w14:textId="31A4B4AA" w:rsidR="002E020D" w:rsidRDefault="002E020D">
          <w:pPr>
            <w:pStyle w:val="TOC3"/>
            <w:tabs>
              <w:tab w:val="right" w:leader="dot" w:pos="9016"/>
            </w:tabs>
            <w:rPr>
              <w:rFonts w:asciiTheme="minorHAnsi" w:hAnsiTheme="minorHAnsi" w:cstheme="minorBidi"/>
              <w:noProof/>
              <w:sz w:val="22"/>
              <w:szCs w:val="22"/>
              <w:lang w:eastAsia="en-GB"/>
            </w:rPr>
          </w:pPr>
          <w:hyperlink w:anchor="_Toc48925912" w:history="1">
            <w:r w:rsidRPr="00E71A7E">
              <w:rPr>
                <w:rStyle w:val="Hyperlink"/>
                <w:noProof/>
              </w:rPr>
              <w:t>On conceptual modelling</w:t>
            </w:r>
            <w:r>
              <w:rPr>
                <w:noProof/>
                <w:webHidden/>
              </w:rPr>
              <w:tab/>
            </w:r>
            <w:r>
              <w:rPr>
                <w:noProof/>
                <w:webHidden/>
              </w:rPr>
              <w:fldChar w:fldCharType="begin"/>
            </w:r>
            <w:r>
              <w:rPr>
                <w:noProof/>
                <w:webHidden/>
              </w:rPr>
              <w:instrText xml:space="preserve"> PAGEREF _Toc48925912 \h </w:instrText>
            </w:r>
            <w:r>
              <w:rPr>
                <w:noProof/>
                <w:webHidden/>
              </w:rPr>
            </w:r>
            <w:r>
              <w:rPr>
                <w:noProof/>
                <w:webHidden/>
              </w:rPr>
              <w:fldChar w:fldCharType="separate"/>
            </w:r>
            <w:r>
              <w:rPr>
                <w:noProof/>
                <w:webHidden/>
              </w:rPr>
              <w:t>55</w:t>
            </w:r>
            <w:r>
              <w:rPr>
                <w:noProof/>
                <w:webHidden/>
              </w:rPr>
              <w:fldChar w:fldCharType="end"/>
            </w:r>
          </w:hyperlink>
        </w:p>
        <w:p w14:paraId="56CC35F0" w14:textId="5B42A870" w:rsidR="002E020D" w:rsidRDefault="002E020D">
          <w:pPr>
            <w:pStyle w:val="TOC1"/>
            <w:tabs>
              <w:tab w:val="right" w:leader="dot" w:pos="9016"/>
            </w:tabs>
            <w:rPr>
              <w:rFonts w:asciiTheme="minorHAnsi" w:hAnsiTheme="minorHAnsi" w:cstheme="minorBidi"/>
              <w:noProof/>
              <w:sz w:val="22"/>
              <w:szCs w:val="22"/>
              <w:lang w:eastAsia="en-GB"/>
            </w:rPr>
          </w:pPr>
          <w:hyperlink w:anchor="_Toc48925913" w:history="1">
            <w:r w:rsidRPr="00E71A7E">
              <w:rPr>
                <w:rStyle w:val="Hyperlink"/>
                <w:noProof/>
              </w:rPr>
              <w:t>References</w:t>
            </w:r>
            <w:r>
              <w:rPr>
                <w:noProof/>
                <w:webHidden/>
              </w:rPr>
              <w:tab/>
            </w:r>
            <w:r>
              <w:rPr>
                <w:noProof/>
                <w:webHidden/>
              </w:rPr>
              <w:fldChar w:fldCharType="begin"/>
            </w:r>
            <w:r>
              <w:rPr>
                <w:noProof/>
                <w:webHidden/>
              </w:rPr>
              <w:instrText xml:space="preserve"> PAGEREF _Toc48925913 \h </w:instrText>
            </w:r>
            <w:r>
              <w:rPr>
                <w:noProof/>
                <w:webHidden/>
              </w:rPr>
            </w:r>
            <w:r>
              <w:rPr>
                <w:noProof/>
                <w:webHidden/>
              </w:rPr>
              <w:fldChar w:fldCharType="separate"/>
            </w:r>
            <w:r>
              <w:rPr>
                <w:noProof/>
                <w:webHidden/>
              </w:rPr>
              <w:t>56</w:t>
            </w:r>
            <w:r>
              <w:rPr>
                <w:noProof/>
                <w:webHidden/>
              </w:rPr>
              <w:fldChar w:fldCharType="end"/>
            </w:r>
          </w:hyperlink>
        </w:p>
        <w:p w14:paraId="065F31B7" w14:textId="5133B931" w:rsidR="00CE60A7" w:rsidRPr="00642AB3" w:rsidRDefault="00CE60A7" w:rsidP="00D35786">
          <w:pPr>
            <w:spacing w:line="480" w:lineRule="auto"/>
          </w:pPr>
          <w:r w:rsidRPr="00642AB3">
            <w:fldChar w:fldCharType="end"/>
          </w:r>
        </w:p>
      </w:sdtContent>
    </w:sdt>
    <w:p w14:paraId="20F2C901" w14:textId="77777777" w:rsidR="00BB1521" w:rsidRPr="00642AB3" w:rsidRDefault="00BB1521" w:rsidP="00D35786">
      <w:pPr>
        <w:spacing w:line="480" w:lineRule="auto"/>
      </w:pPr>
    </w:p>
    <w:p w14:paraId="3937454D" w14:textId="77777777" w:rsidR="00B42D77" w:rsidRPr="00642AB3" w:rsidRDefault="00B42D77">
      <w:pPr>
        <w:pStyle w:val="Heading2"/>
        <w:sectPr w:rsidR="00B42D77" w:rsidRPr="00642AB3" w:rsidSect="00B42D7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fmt="lowerRoman" w:start="1"/>
          <w:cols w:space="708"/>
          <w:docGrid w:linePitch="360"/>
        </w:sectPr>
      </w:pPr>
    </w:p>
    <w:p w14:paraId="4C579CC5" w14:textId="49DEDA12" w:rsidR="0062384A" w:rsidRPr="00642AB3" w:rsidRDefault="00631F43">
      <w:pPr>
        <w:pStyle w:val="Heading1"/>
      </w:pPr>
      <w:bookmarkStart w:id="1" w:name="_Toc48925878"/>
      <w:r w:rsidRPr="00642AB3">
        <w:lastRenderedPageBreak/>
        <w:t>Introduction</w:t>
      </w:r>
      <w:bookmarkEnd w:id="1"/>
    </w:p>
    <w:p w14:paraId="2EBEF6F3" w14:textId="0F294D14" w:rsidR="000555E5" w:rsidRPr="00642AB3" w:rsidRDefault="0083684E" w:rsidP="00D35786">
      <w:pPr>
        <w:spacing w:line="480" w:lineRule="auto"/>
      </w:pPr>
      <w:r w:rsidRPr="00642AB3">
        <w:t xml:space="preserve">Economic evaluation in the form of cost-effectiveness </w:t>
      </w:r>
      <w:r w:rsidR="00E96F83" w:rsidRPr="00642AB3">
        <w:t xml:space="preserve">(or cost-utility) </w:t>
      </w:r>
      <w:r w:rsidRPr="00642AB3">
        <w:t xml:space="preserve">analysis </w:t>
      </w:r>
      <w:r w:rsidR="002E020D">
        <w:t>can</w:t>
      </w:r>
      <w:r w:rsidRPr="00642AB3">
        <w:t xml:space="preserve"> inform the optimal decision choice between alternative </w:t>
      </w:r>
      <w:r w:rsidR="0008677A" w:rsidRPr="00642AB3">
        <w:t>technologies</w:t>
      </w:r>
      <w:r w:rsidR="00E26B1C" w:rsidRPr="00642AB3">
        <w:t>,</w:t>
      </w:r>
      <w:r w:rsidRPr="00642AB3">
        <w:t xml:space="preserve"> by establishing the associated costs and </w:t>
      </w:r>
      <w:r w:rsidR="00921F20" w:rsidRPr="00642AB3">
        <w:t>consequences</w:t>
      </w:r>
      <w:r w:rsidRPr="00642AB3">
        <w:t xml:space="preserve"> of the </w:t>
      </w:r>
      <w:r w:rsidR="000555E5" w:rsidRPr="00642AB3">
        <w:t>technologies</w:t>
      </w:r>
      <w:r w:rsidRPr="00642AB3">
        <w:t xml:space="preserve"> and quantifying the expected improvement of one </w:t>
      </w:r>
      <w:r w:rsidR="00662A3F" w:rsidRPr="00642AB3">
        <w:t>technology</w:t>
      </w:r>
      <w:r w:rsidRPr="00642AB3">
        <w:t xml:space="preserve"> over the alternatives</w:t>
      </w:r>
      <w:r w:rsidR="000555E5" w:rsidRPr="00642AB3">
        <w:t xml:space="preserve"> </w:t>
      </w:r>
      <w:r w:rsidR="000555E5" w:rsidRPr="00642AB3">
        <w:fldChar w:fldCharType="begin" w:fldLock="1"/>
      </w:r>
      <w:r w:rsidR="00A33BA4">
        <w:instrText>ADDIN CSL_CITATION {"citationItems":[{"id":"ITEM-1","itemData":{"author":[{"dropping-particle":"","family":"Drummond","given":"Michael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W.","non-dropping-particle":"","parse-names":false,"suffix":""}],"edition":"4th","id":"ITEM-1","issued":{"date-parts":[["2015"]]},"number-of-pages":"464","publisher":"Oxford University Press","publisher-place":"Oxford","title":"Methods for the Economic Evaluation of Health Care Programmes","type":"book"},"uris":["http://www.mendeley.com/documents/?uuid=bfcbd1b8-6b05-4fe8-a3fd-fb1cbb802fd7"]}],"mendeley":{"formattedCitation":"(M. F. Drummond, Sculpher, Claxton, Stoddart, &amp; Torrance, 2015)","plainTextFormattedCitation":"(M. F. Drummond, Sculpher, Claxton, Stoddart, &amp; Torrance, 2015)","previouslyFormattedCitation":"(M. F. Drummond, Sculpher, Claxton, Stoddart, &amp; Torrance, 2015)"},"properties":{"noteIndex":0},"schema":"https://github.com/citation-style-language/schema/raw/master/csl-citation.json"}</w:instrText>
      </w:r>
      <w:r w:rsidR="000555E5" w:rsidRPr="00642AB3">
        <w:fldChar w:fldCharType="separate"/>
      </w:r>
      <w:r w:rsidR="0082743F" w:rsidRPr="00642AB3">
        <w:rPr>
          <w:noProof/>
        </w:rPr>
        <w:t>(M. F. Drummond, Sculpher, Claxton, Stoddart, &amp; Torrance, 2015)</w:t>
      </w:r>
      <w:r w:rsidR="000555E5" w:rsidRPr="00642AB3">
        <w:fldChar w:fldCharType="end"/>
      </w:r>
      <w:r w:rsidRPr="00642AB3">
        <w:t xml:space="preserve">. </w:t>
      </w:r>
      <w:r w:rsidR="0008677A" w:rsidRPr="00642AB3">
        <w:t xml:space="preserve">Technologies refer the various interventions which can be evaluated, such as drugs, diagnostic tests, medical devices, care pathways, etc. </w:t>
      </w:r>
      <w:r w:rsidRPr="00642AB3">
        <w:t xml:space="preserve">The evidence, assumptions and judgements used to inform an economic evaluation are never perfect; therefore, uncertainty and the need for further research to help inform the decision is an important consideration </w:t>
      </w:r>
      <w:r w:rsidR="000555E5" w:rsidRPr="00642AB3">
        <w:fldChar w:fldCharType="begin" w:fldLock="1"/>
      </w:r>
      <w:r w:rsidR="00A33BA4">
        <w:instrText>ADDIN CSL_CITATION {"citationItems":[{"id":"ITEM-1","itemData":{"DOI":"10.1016/j.jval.2020.01.001","ISSN":"10983015","abstract":"&lt;h2&gt;Abstract&lt;/h2&gt;&lt;p&gt;Healthcare resource allocation decisions made under conditions of uncertainty may turn out to be suboptimal. In a resource constrained system in which there is a fixed budget, these suboptimal decisions will result in health loss. Consequently, there may be value in reducing uncertainty, through the collection of new evidence, to make better resource allocation decisions. This value can be quantified using a value of information (VOI) analysis. This report, from the ISPOR VOI Task Force, introduces VOI analysis, defines key concepts and terminology, and outlines the role of VOI for supporting decision making, including the steps involved in undertaking and interpreting VOI analyses. The report is specifically aimed at those tasked with making decisions about the adoption of healthcare or the funding of healthcare research. The report provides a number of recommendations for good practice when planning, undertaking, or reviewing the results of VOI analyses.&lt;/p&gt;","author":[{"dropping-particle":"","family":"Fenwick","given":"Elisabeth","non-dropping-particle":"","parse-names":false,"suffix":""},{"dropping-particle":"","family":"Steuten","given":"Lotte","non-dropping-particle":"","parse-names":false,"suffix":""},{"dropping-particle":"","family":"Knies","given":"Saskia","non-dropping-particle":"","parse-names":false,"suffix":""},{"dropping-particle":"","family":"Ghabri","given":"Salah","non-dropping-particle":"","parse-names":false,"suffix":""},{"dropping-particle":"","family":"Basu","given":"Anirban","non-dropping-particle":"","parse-names":false,"suffix":""},{"dropping-particle":"","family":"Murray","given":"James F.","non-dropping-particle":"","parse-names":false,"suffix":""},{"dropping-particle":"","family":"Koffijberg","given":"Hendrik (Erik)","non-dropping-particle":"","parse-names":false,"suffix":""},{"dropping-particle":"","family":"Strong","given":"Mark","non-dropping-particle":"","parse-names":false,"suffix":""},{"dropping-particle":"","family":"Sanders Schmidler","given":"Gillian D.","non-dropping-particle":"","parse-names":false,"suffix":""},{"dropping-particle":"","family":"Rothery","given":"Claire","non-dropping-particle":"","parse-names":false,"suffix":""}],"container-title":"Value in Health","id":"ITEM-1","issue":"2","issued":{"date-parts":[["2020","2","1"]]},"page":"139-150","publisher":"Elsevier","title":"Value of Information Analysis for Research Decisions—An Introduction: Report 1 of the ISPOR Value of Information Analysis Emerging Good Practices Task Force","type":"article-journal","volume":"23"},"uris":["http://www.mendeley.com/documents/?uuid=ce0d4aed-7577-3f02-a518-538a0ddd9428"]},{"id":"ITEM-2","itemData":{"DOI":"10.1016/j.jval.2020.01.004","ISSN":"15244733","abstract":"The allocation of healthcare resources among competing priorities requires an assessment of the expected costs and health effects of investing resources in the activities and of the opportunity cost of the expenditure. To date, much effort has been devoted to assessing the expected costs and health effects, but there remains an important need to also reflect the consequences of uncertainty in resource allocation decisions and the value of further research to reduce uncertainty. Decision making with uncertainty may turn out to be suboptimal, resulting in health loss. Consequently, there may be value in reducing uncertainty, through the collection of new evidence, to better inform resource decisions. This value can be quantified using value of information (VOI) analysis. This report from the ISPOR VOI Task Force describes methods for computing 4 VOI measures: the expected value of perfect information, expected value of partial perfect information (EVPPI), expected value of sample information (EVSI), and expected net benefit of sampling (ENBS). Several methods exist for computing EVPPI and EVSI, and this report provides guidance on selecting the most appropriate method based on the features of the decision problem. The report provides a number of recommendations for good practice when planning, undertaking, or reviewing VOI analyses. The software needed to compute VOI is discussed, and areas for future research are highlighted.","author":[{"dropping-particle":"","family":"Rothery","given":"Claire","non-dropping-particle":"","parse-names":false,"suffix":""},{"dropping-particle":"","family":"Strong","given":"Mark","non-dropping-particle":"","parse-names":false,"suffix":""},{"dropping-particle":"","family":"Koffijberg","given":"Hendrik Erik","non-dropping-particle":"","parse-names":false,"suffix":""},{"dropping-particle":"","family":"Basu","given":"Anirban","non-dropping-particle":"","parse-names":false,"suffix":""},{"dropping-particle":"","family":"Ghabri","given":"Salah","non-dropping-particle":"","parse-names":false,"suffix":""},{"dropping-particle":"","family":"Knies","given":"Saskia","non-dropping-particle":"","parse-names":false,"suffix":""},{"dropping-particle":"","family":"Murray","given":"James F.","non-dropping-particle":"","parse-names":false,"suffix":""},{"dropping-particle":"","family":"Sanders Schmidler","given":"Gillian D.","non-dropping-particle":"","parse-names":false,"suffix":""},{"dropping-particle":"","family":"Steuten","given":"Lotte","non-dropping-particle":"","parse-names":false,"suffix":""},{"dropping-particle":"","family":"Fenwick","given":"Elisabeth","non-dropping-particle":"","parse-names":false,"suffix":""}],"container-title":"Value in Health","id":"ITEM-2","issue":"3","issued":{"date-parts":[["2020","3","1"]]},"page":"277-286","publisher":"Elsevier","title":"Value of Information Analytical Methods: Report 2 of the ISPOR Value of Information Analysis Emerging Good Practices Task Force","type":"article-journal","volume":"23"},"uris":["http://www.mendeley.com/documents/?uuid=76a70575-6d8f-34ff-8696-800a76f541f0"]}],"mendeley":{"formattedCitation":"(Fenwick et al., 2020; Rothery et al., 2020)","plainTextFormattedCitation":"(Fenwick et al., 2020; Rothery et al., 2020)","previouslyFormattedCitation":"(Fenwick et al., 2020; Rothery et al., 2020)"},"properties":{"noteIndex":0},"schema":"https://github.com/citation-style-language/schema/raw/master/csl-citation.json"}</w:instrText>
      </w:r>
      <w:r w:rsidR="000555E5" w:rsidRPr="00642AB3">
        <w:fldChar w:fldCharType="separate"/>
      </w:r>
      <w:r w:rsidR="0082743F" w:rsidRPr="00642AB3">
        <w:rPr>
          <w:noProof/>
        </w:rPr>
        <w:t>(Fenwick et al., 2020; Rothery et al., 2020)</w:t>
      </w:r>
      <w:r w:rsidR="000555E5" w:rsidRPr="00642AB3">
        <w:fldChar w:fldCharType="end"/>
      </w:r>
      <w:r w:rsidRPr="00642AB3">
        <w:t xml:space="preserve">. </w:t>
      </w:r>
    </w:p>
    <w:p w14:paraId="5F6FD160" w14:textId="3A3AA7FD" w:rsidR="0083684E" w:rsidRPr="00642AB3" w:rsidRDefault="0083684E" w:rsidP="00D35786">
      <w:pPr>
        <w:spacing w:line="480" w:lineRule="auto"/>
      </w:pPr>
      <w:r w:rsidRPr="00642AB3">
        <w:t>The first stage of an economic evaluation is in its design, also known as structuring the decision problem. At this stage, analysts consider the demands on the economic evaluation so that it can inform the decision problem and meet the decision makers</w:t>
      </w:r>
      <w:r w:rsidR="00A33BA4">
        <w:t>’</w:t>
      </w:r>
      <w:r w:rsidRPr="00642AB3">
        <w:t xml:space="preserve"> requirements (e.g. perspective, outcome measures, </w:t>
      </w:r>
      <w:r w:rsidR="000555E5" w:rsidRPr="00642AB3">
        <w:t>and</w:t>
      </w:r>
      <w:r w:rsidRPr="00642AB3">
        <w:t xml:space="preserve"> discounting)</w:t>
      </w:r>
      <w:r w:rsidR="000555E5" w:rsidRPr="00642AB3">
        <w:t xml:space="preserve">. </w:t>
      </w:r>
      <w:r w:rsidRPr="00642AB3">
        <w:t>At the same time, analysts decide the specific elements of the economic evaluation</w:t>
      </w:r>
      <w:r w:rsidR="000555E5" w:rsidRPr="00642AB3">
        <w:t xml:space="preserve"> to address the decision problem, within the decision makers’ requirements. That is, given the perspective, outcome of interest, and discounting rates, </w:t>
      </w:r>
      <w:r w:rsidRPr="00642AB3">
        <w:t xml:space="preserve">who are the people that the </w:t>
      </w:r>
      <w:r w:rsidR="00662A3F" w:rsidRPr="00642AB3">
        <w:t>technology</w:t>
      </w:r>
      <w:r w:rsidRPr="00642AB3">
        <w:t xml:space="preserve"> is aimed at (the </w:t>
      </w:r>
      <w:r w:rsidRPr="00642AB3">
        <w:rPr>
          <w:i/>
          <w:iCs/>
        </w:rPr>
        <w:t>target population</w:t>
      </w:r>
      <w:r w:rsidRPr="00642AB3">
        <w:t>)</w:t>
      </w:r>
      <w:r w:rsidR="000555E5" w:rsidRPr="00642AB3">
        <w:t>, in whom costs and outcomes may differ (</w:t>
      </w:r>
      <w:r w:rsidR="000555E5" w:rsidRPr="00642AB3">
        <w:rPr>
          <w:i/>
          <w:iCs/>
        </w:rPr>
        <w:t>subpopulations</w:t>
      </w:r>
      <w:r w:rsidR="000555E5" w:rsidRPr="00642AB3">
        <w:t>)</w:t>
      </w:r>
      <w:r w:rsidRPr="00642AB3">
        <w:t xml:space="preserve"> and others who may be affected (</w:t>
      </w:r>
      <w:r w:rsidRPr="00642AB3">
        <w:rPr>
          <w:i/>
          <w:iCs/>
        </w:rPr>
        <w:t>spillover effects</w:t>
      </w:r>
      <w:r w:rsidRPr="00642AB3">
        <w:t>); what are the relevant</w:t>
      </w:r>
      <w:r w:rsidR="000555E5" w:rsidRPr="00642AB3">
        <w:t xml:space="preserve"> </w:t>
      </w:r>
      <w:r w:rsidR="000555E5" w:rsidRPr="00642AB3">
        <w:rPr>
          <w:i/>
          <w:iCs/>
        </w:rPr>
        <w:t>decision</w:t>
      </w:r>
      <w:r w:rsidRPr="00642AB3">
        <w:rPr>
          <w:i/>
          <w:iCs/>
        </w:rPr>
        <w:t xml:space="preserve"> options</w:t>
      </w:r>
      <w:r w:rsidRPr="00642AB3">
        <w:t xml:space="preserve"> </w:t>
      </w:r>
      <w:r w:rsidR="000555E5" w:rsidRPr="00642AB3">
        <w:t>given the technology and other ways to address the problem</w:t>
      </w:r>
      <w:r w:rsidRPr="00642AB3">
        <w:t xml:space="preserve">; and how to reflect all the important consequences of all the options on the total costs and outcomes for the target population – this is the </w:t>
      </w:r>
      <w:r w:rsidRPr="00642AB3">
        <w:rPr>
          <w:i/>
          <w:iCs/>
        </w:rPr>
        <w:t>conceptual model</w:t>
      </w:r>
      <w:r w:rsidRPr="00642AB3">
        <w:t xml:space="preserve"> underpinning the evaluation. The decisions at the problem structuring stage determine the specific questions that can be addressed by the economic evaluation, and ultimately determine the relevance and credibility of the cost-effectiveness results. </w:t>
      </w:r>
    </w:p>
    <w:p w14:paraId="57388215" w14:textId="2EFC6B6A" w:rsidR="00FC76EC" w:rsidRPr="00642AB3" w:rsidRDefault="00BF7F7D" w:rsidP="00D35786">
      <w:pPr>
        <w:spacing w:line="480" w:lineRule="auto"/>
      </w:pPr>
      <w:r w:rsidRPr="00642AB3">
        <w:lastRenderedPageBreak/>
        <w:t xml:space="preserve">This chapter </w:t>
      </w:r>
      <w:r w:rsidR="00A972B6" w:rsidRPr="00642AB3">
        <w:t>discusses</w:t>
      </w:r>
      <w:r w:rsidR="00FC76EC" w:rsidRPr="00642AB3">
        <w:t xml:space="preserve"> the </w:t>
      </w:r>
      <w:r w:rsidRPr="00642AB3">
        <w:t xml:space="preserve">methodological guidance in economic evaluation for decision-making in healthcare for their recommendations </w:t>
      </w:r>
      <w:r w:rsidR="0083684E" w:rsidRPr="00642AB3">
        <w:t xml:space="preserve">around three areas </w:t>
      </w:r>
      <w:r w:rsidR="00E512AD" w:rsidRPr="00642AB3">
        <w:t xml:space="preserve">of problem structuring for economic evaluation: population, </w:t>
      </w:r>
      <w:r w:rsidR="0083684E" w:rsidRPr="00642AB3">
        <w:t xml:space="preserve">decision </w:t>
      </w:r>
      <w:r w:rsidR="00E512AD" w:rsidRPr="00642AB3">
        <w:t>options and conceptual modelling</w:t>
      </w:r>
      <w:r w:rsidR="00A972B6" w:rsidRPr="00642AB3">
        <w:t>.</w:t>
      </w:r>
      <w:r w:rsidR="00E26B1C" w:rsidRPr="00642AB3">
        <w:t xml:space="preserve"> </w:t>
      </w:r>
      <w:r w:rsidR="00A972B6" w:rsidRPr="00642AB3">
        <w:t xml:space="preserve">Under each area, the methodological guidance is summarised, and its implications </w:t>
      </w:r>
      <w:r w:rsidR="00E26B1C" w:rsidRPr="00642AB3">
        <w:t xml:space="preserve">for practice are </w:t>
      </w:r>
      <w:r w:rsidR="00A972B6" w:rsidRPr="00642AB3">
        <w:t>discussed</w:t>
      </w:r>
      <w:r w:rsidRPr="00642AB3">
        <w:t>.</w:t>
      </w:r>
      <w:r w:rsidR="00A972B6" w:rsidRPr="00642AB3">
        <w:t xml:space="preserve"> The chapter </w:t>
      </w:r>
      <w:r w:rsidR="00C938B6" w:rsidRPr="00642AB3">
        <w:t>concludes</w:t>
      </w:r>
      <w:r w:rsidR="00A972B6" w:rsidRPr="00642AB3">
        <w:t xml:space="preserve"> with recommendations for practice</w:t>
      </w:r>
      <w:r w:rsidR="00A0634B" w:rsidRPr="00642AB3">
        <w:t xml:space="preserve"> and research</w:t>
      </w:r>
      <w:r w:rsidRPr="00642AB3">
        <w:t xml:space="preserve">. </w:t>
      </w:r>
      <w:r w:rsidR="00E26B1C" w:rsidRPr="00642AB3">
        <w:t xml:space="preserve">These three areas were selected because they are at the start of many applied economic evaluations, </w:t>
      </w:r>
      <w:r w:rsidR="0008677A" w:rsidRPr="00642AB3">
        <w:t xml:space="preserve">given that </w:t>
      </w:r>
      <w:r w:rsidR="00E26B1C" w:rsidRPr="00642AB3">
        <w:t xml:space="preserve">the decision makers’ requirements are </w:t>
      </w:r>
      <w:r w:rsidR="0008677A" w:rsidRPr="00642AB3">
        <w:t xml:space="preserve">often </w:t>
      </w:r>
      <w:r w:rsidR="00E26B1C" w:rsidRPr="00642AB3">
        <w:t xml:space="preserve">already established </w:t>
      </w:r>
      <w:r w:rsidR="00E26B1C" w:rsidRPr="00642AB3">
        <w:rPr>
          <w:i/>
          <w:iCs/>
        </w:rPr>
        <w:t>a priori</w:t>
      </w:r>
      <w:r w:rsidR="00E26B1C" w:rsidRPr="00642AB3">
        <w:t xml:space="preserve">. </w:t>
      </w:r>
      <w:r w:rsidR="0008677A" w:rsidRPr="00642AB3">
        <w:t>I</w:t>
      </w:r>
      <w:r w:rsidR="00E702A8" w:rsidRPr="00642AB3">
        <w:t xml:space="preserve">n this author’s experience, </w:t>
      </w:r>
      <w:r w:rsidR="000D4F26" w:rsidRPr="00642AB3">
        <w:t xml:space="preserve">the choices </w:t>
      </w:r>
      <w:r w:rsidR="00E26B1C" w:rsidRPr="00642AB3">
        <w:t xml:space="preserve">about the target population, decision options and conceptual model </w:t>
      </w:r>
      <w:r w:rsidR="000D4F26" w:rsidRPr="00642AB3">
        <w:t xml:space="preserve">are </w:t>
      </w:r>
      <w:r w:rsidR="00E702A8" w:rsidRPr="00642AB3">
        <w:t>often not</w:t>
      </w:r>
      <w:r w:rsidR="000D4F26" w:rsidRPr="00642AB3">
        <w:t xml:space="preserve"> discussed </w:t>
      </w:r>
      <w:r w:rsidR="00E702A8" w:rsidRPr="00642AB3">
        <w:t>in detail</w:t>
      </w:r>
      <w:r w:rsidR="00A33BA4">
        <w:t xml:space="preserve"> in the reports of economic evaluations (e.g. journal articles and health technology assessment reports)</w:t>
      </w:r>
      <w:r w:rsidR="00E702A8" w:rsidRPr="00642AB3">
        <w:t>. F</w:t>
      </w:r>
      <w:r w:rsidR="000D4F26" w:rsidRPr="00642AB3">
        <w:t xml:space="preserve">or example, a review of economic evaluations of diagnostic tests in the UK </w:t>
      </w:r>
      <w:r w:rsidR="00E702A8" w:rsidRPr="00642AB3">
        <w:t xml:space="preserve">setting </w:t>
      </w:r>
      <w:r w:rsidR="000D4F26" w:rsidRPr="00642AB3">
        <w:t xml:space="preserve">found that </w:t>
      </w:r>
      <w:r w:rsidR="00E702A8" w:rsidRPr="00642AB3">
        <w:t>19/38 (50%)</w:t>
      </w:r>
      <w:r w:rsidR="000D4F26" w:rsidRPr="00642AB3">
        <w:t xml:space="preserve"> </w:t>
      </w:r>
      <w:r w:rsidR="00E702A8" w:rsidRPr="00642AB3">
        <w:t>studies specified</w:t>
      </w:r>
      <w:r w:rsidR="000D4F26" w:rsidRPr="00642AB3">
        <w:t xml:space="preserve"> the reasons for the exclusion of decision options from the evaluation </w:t>
      </w:r>
      <w:r w:rsidR="000D4F26" w:rsidRPr="00642AB3">
        <w:fldChar w:fldCharType="begin" w:fldLock="1"/>
      </w:r>
      <w:r w:rsidR="00A33BA4">
        <w:instrText>ADDIN CSL_CITATION {"citationItems":[{"id":"ITEM-1","itemData":{"DOI":"10.1007/s41669-018-0109-9","ISSN":"2509-4262","abstract":"Diagnostic tests play an important role in the clinical decision-making process by providing information that enables patients to be identified and stratified to the most appropriate treatment and management strategies. Decision analytic modelling facilitates the synthesis of evidence from multiple sources to evaluate the cost effectiveness of diagnostic tests. This study critically reviews the methods used to model the cost effectiveness of diagnostic tests in UK National Institute for Health Research (NIHR) Health Technology Assessment (HTA) reports. UK NIHR HTA reports published between 2009 and 2018 were screened to identify those reporting an economic evaluation of a diagnostic test using decision analytic modelling. Existing decision modelling checklists were identified in the literature and a modified checklist tailored to diagnostic economic evaluations was developed, piloted and used to assess the diagnostic models in HTA reports. Of 728 HTA reports published during the study period, 55 met the inclusion criteria. The majority of models performed well with a clearly defined decision problem and analytical perspective (89% of HTAs met the criterion). The model structure usually reflected the care pathway and progression of the health condition. However, there are areas requiring improvement. These are predominantly systematic identification of treatment effects (20% met), poor selection of comparators (50% met) and assumed independence of tests used in sequence (32% took correlation between sequential tests into consideration). The complexity and constraints of performing decision analysis of diagnostic tests on costs and health outcomes makes it particularly challenging and, as a result, quality issues remain. This review provides a comprehensive assessment of modelling in HTA reports, highlights problems and gives recommendations for future diagnostic modelling practice. A diagnostic test-specific checklist to assess decision modelling has been developed and piloted. The models in Health Technology Assessments tended to be of relative high quality but also suffered key problems including lacking justification of comparators, lacking model validation, insufficient efforts to examine structural uncertainty and obtain treatment effects data as well as assuming independence of tests in sequence. Y. Yang et al.","author":[{"dropping-particle":"","family":"Yang","given":"Yaling","non-dropping-particle":"","parse-names":false,"suffix":""},{"dropping-particle":"","family":"Abel","given":"Lucy","non-dropping-particle":"","parse-names":false,"suffix":""},{"dropping-particle":"","family":"Buchanan","given":"James","non-dropping-particle":"","parse-names":false,"suffix":""},{"dropping-particle":"","family":"Fanshawe","given":"Thomas","non-dropping-particle":"","parse-names":false,"suffix":""},{"dropping-particle":"","family":"Shinkins","given":"Bethany","non-dropping-particle":"","parse-names":false,"suffix":""}],"container-title":"PharmacoEconomics - Open","id":"ITEM-1","issue":"3","issued":{"date-parts":[["2019","9","14"]]},"page":"281-291","publisher":"Springer International Publishing","title":"Use of Decision Modelling in Economic Evaluations of Diagnostic Tests: An Appraisal and Review of Health Technology Assessments in the UK","type":"article-journal","volume":"3"},"uris":["http://www.mendeley.com/documents/?uuid=f4698098-fbdd-3910-8cab-082ef46d79d5"]}],"mendeley":{"formattedCitation":"(Yang, Abel, Buchanan, Fanshawe, &amp; Shinkins, 2019)","plainTextFormattedCitation":"(Yang, Abel, Buchanan, Fanshawe, &amp; Shinkins, 2019)","previouslyFormattedCitation":"(Yang, Abel, Buchanan, Fanshawe, &amp; Shinkins, 2019)"},"properties":{"noteIndex":0},"schema":"https://github.com/citation-style-language/schema/raw/master/csl-citation.json"}</w:instrText>
      </w:r>
      <w:r w:rsidR="000D4F26" w:rsidRPr="00642AB3">
        <w:fldChar w:fldCharType="separate"/>
      </w:r>
      <w:r w:rsidR="0082743F" w:rsidRPr="00642AB3">
        <w:rPr>
          <w:noProof/>
        </w:rPr>
        <w:t>(Yang, Abel, Buchanan, Fanshawe, &amp; Shinkins, 2019)</w:t>
      </w:r>
      <w:r w:rsidR="000D4F26" w:rsidRPr="00642AB3">
        <w:fldChar w:fldCharType="end"/>
      </w:r>
      <w:r w:rsidR="00A33BA4">
        <w:t>, and a review of economic evaluations of treatments for venous leg ulcers noted that</w:t>
      </w:r>
      <w:r w:rsidR="002E020D">
        <w:t xml:space="preserve"> the quality of the reporting about the model structure is variable </w:t>
      </w:r>
      <w:r w:rsidR="00A33BA4">
        <w:fldChar w:fldCharType="begin" w:fldLock="1"/>
      </w:r>
      <w:r w:rsidR="008E0866">
        <w:instrText>ADDIN CSL_CITATION {"citationItems":[{"id":"ITEM-1","itemData":{"DOI":"10.1007/s41669-019-0148-x","ISSN":"2509-4262","abstract":"OBJECTIVE: The aim of this review was to identify, and assess the quality of, published model-based economic evaluations relating to treatments for patients with venous leg ulcers to help inform future decision-analytic models in this clinical area., METHODS: A systematic literature search was performed on six electronic databases, from database inception until 21 May 2018. Search results were screened against predefined criteria by two independent reviewers. Data was then extracted from the included studies using a standardised form, whilst the decision-analytic model-specific Philips Checklist was used to assess quality and to inform model critique., RESULTS: A total of 23 models were identified, 12 studies used a Markov modelling approach, five used decision trees and six studies did not detail the model type. Studies were predominantly from the National Health Service (NHS)/payer perspective, with only two taking a societal perspective. Interventions were wide ranging, but dressing technologies (11/23) were most common. The intervention studied was found to be dominant in 22/23 studies. The reporting quality of papers was mostly low, with evidence behind model structures, time horizons and data selection consistently underreported across the included papers., CONCLUSIONS: This review has identified a sizeable literature of model-based economic evaluations, evaluating treatments for venous leg ulcers. However, the methods used to conduct such studies were generally poorly reported. In particular, the reporting of evidence surrounding the model structure, justification of the time horizon used and the rationale for selecting data inputs should be focused on in any future models developed.","author":[{"dropping-particle":"","family":"Layer","given":"Ashley","non-dropping-particle":"","parse-names":false,"suffix":""},{"dropping-particle":"","family":"McManus","given":"Emma","non-dropping-particle":"","parse-names":false,"suffix":""},{"dropping-particle":"","family":"Levell","given":"N. J.","non-dropping-particle":"","parse-names":false,"suffix":""}],"container-title":"PharmacoEconomics - Open","id":"ITEM-1","issue":"2","issued":{"date-parts":[["2020","6","27"]]},"page":"211-222","publisher":"Springer Science and Business Media LLC","title":"A Systematic Review of Model-Based Economic Evaluations of Treatments for Venous Leg Ulcers","type":"article-journal","volume":"4"},"uris":["http://www.mendeley.com/documents/?uuid=23036c9f-3f54-4428-b029-6b67df84b7e1"]}],"mendeley":{"formattedCitation":"(Layer, McManus, &amp; Levell, 2020)","plainTextFormattedCitation":"(Layer, McManus, &amp; Levell, 2020)","previouslyFormattedCitation":"(Layer, McManus, &amp; Levell, 2020)"},"properties":{"noteIndex":0},"schema":"https://github.com/citation-style-language/schema/raw/master/csl-citation.json"}</w:instrText>
      </w:r>
      <w:r w:rsidR="00A33BA4">
        <w:fldChar w:fldCharType="separate"/>
      </w:r>
      <w:r w:rsidR="00A33BA4" w:rsidRPr="00A33BA4">
        <w:rPr>
          <w:noProof/>
        </w:rPr>
        <w:t>(Layer, McManus, &amp; Levell, 2020)</w:t>
      </w:r>
      <w:r w:rsidR="00A33BA4">
        <w:fldChar w:fldCharType="end"/>
      </w:r>
      <w:r w:rsidR="002E020D">
        <w:t xml:space="preserve">. </w:t>
      </w:r>
      <w:r w:rsidR="00E702A8" w:rsidRPr="00642AB3">
        <w:t xml:space="preserve">As a result, analysts and decision-makers may not </w:t>
      </w:r>
      <w:r w:rsidR="00662A3F" w:rsidRPr="00642AB3">
        <w:t xml:space="preserve">be fully aware of the considerations in making such choices or </w:t>
      </w:r>
      <w:r w:rsidR="00E702A8" w:rsidRPr="00642AB3">
        <w:t xml:space="preserve">appreciate the impact of these early decisions on the results. </w:t>
      </w:r>
    </w:p>
    <w:p w14:paraId="4AC97F36" w14:textId="7D8F892F" w:rsidR="001E2C47" w:rsidRPr="00642AB3" w:rsidRDefault="00BF7F7D" w:rsidP="001E2C47">
      <w:pPr>
        <w:spacing w:line="480" w:lineRule="auto"/>
        <w:ind w:left="122"/>
      </w:pPr>
      <w:r w:rsidRPr="00642AB3">
        <w:t xml:space="preserve">The </w:t>
      </w:r>
      <w:r w:rsidR="00EF2C92" w:rsidRPr="00642AB3">
        <w:t xml:space="preserve">methodological guidance </w:t>
      </w:r>
      <w:r w:rsidR="0083684E" w:rsidRPr="00642AB3">
        <w:t>documents</w:t>
      </w:r>
      <w:r w:rsidR="00FC76EC" w:rsidRPr="00642AB3">
        <w:t xml:space="preserve"> </w:t>
      </w:r>
      <w:r w:rsidR="00D72444">
        <w:t xml:space="preserve">considered in this chapter </w:t>
      </w:r>
      <w:r w:rsidR="00FC76EC" w:rsidRPr="00642AB3">
        <w:t xml:space="preserve">were chosen for their role as reference materials </w:t>
      </w:r>
      <w:r w:rsidR="0083684E" w:rsidRPr="00642AB3">
        <w:t>that set out the guiding principles for</w:t>
      </w:r>
      <w:r w:rsidR="00FC76EC" w:rsidRPr="00642AB3">
        <w:t xml:space="preserve"> economic evaluation </w:t>
      </w:r>
      <w:r w:rsidR="0083684E" w:rsidRPr="00642AB3">
        <w:t xml:space="preserve">in healthcare </w:t>
      </w:r>
      <w:r w:rsidR="00FC76EC" w:rsidRPr="00642AB3">
        <w:t>decision</w:t>
      </w:r>
      <w:r w:rsidR="003C5525">
        <w:t>-making</w:t>
      </w:r>
      <w:r w:rsidR="00815E1E" w:rsidRPr="00642AB3">
        <w:t>,</w:t>
      </w:r>
      <w:r w:rsidR="00FC76EC" w:rsidRPr="00642AB3">
        <w:t xml:space="preserve"> either as country-specific guidance to inform decision-making</w:t>
      </w:r>
      <w:r w:rsidR="001062CC">
        <w:t xml:space="preserve">, </w:t>
      </w:r>
      <w:r w:rsidR="00014D94" w:rsidRPr="00642AB3">
        <w:t xml:space="preserve"> </w:t>
      </w:r>
      <w:r w:rsidR="001062CC" w:rsidRPr="00642AB3">
        <w:t>recommendations by international organisations</w:t>
      </w:r>
      <w:r w:rsidR="001062CC">
        <w:t xml:space="preserve">, </w:t>
      </w:r>
      <w:r w:rsidR="001062CC" w:rsidRPr="001062CC">
        <w:t>textbooks in economic evaluation</w:t>
      </w:r>
      <w:r w:rsidR="001062CC">
        <w:t xml:space="preserve"> and </w:t>
      </w:r>
      <w:r w:rsidR="001062CC" w:rsidRPr="001062CC">
        <w:t>consensus statements</w:t>
      </w:r>
      <w:r w:rsidR="001062CC">
        <w:t xml:space="preserve">. </w:t>
      </w:r>
      <w:r w:rsidR="001E2C47" w:rsidRPr="00642AB3">
        <w:t>The focus is on methodological guidance by health technology assessment agencies and expert consensus reports in the literature, which were identified by targeted searches</w:t>
      </w:r>
      <w:r w:rsidR="00A8099F">
        <w:t xml:space="preserve"> in the websites of health technology assessment agencies and professional </w:t>
      </w:r>
      <w:r w:rsidR="00A8099F">
        <w:lastRenderedPageBreak/>
        <w:t>organisations</w:t>
      </w:r>
      <w:r w:rsidR="001E2C47" w:rsidRPr="00642AB3">
        <w:t xml:space="preserve">, rather than a comprehensive systematic review of the literature. For an overview of the guidance documents reviewed here, see </w:t>
      </w:r>
      <w:r w:rsidR="001E2C47" w:rsidRPr="001E2C47">
        <w:rPr>
          <w:highlight w:val="yellow"/>
        </w:rPr>
        <w:t>Further Reading</w:t>
      </w:r>
      <w:r w:rsidR="001E2C47" w:rsidRPr="00642AB3">
        <w:t xml:space="preserve">.  </w:t>
      </w:r>
    </w:p>
    <w:p w14:paraId="177893C3" w14:textId="2F2213EF" w:rsidR="001E2C47" w:rsidRDefault="001E2C47" w:rsidP="00D35786">
      <w:pPr>
        <w:spacing w:line="480" w:lineRule="auto"/>
      </w:pPr>
    </w:p>
    <w:p w14:paraId="31575B4C" w14:textId="79DFBD92" w:rsidR="001062CC" w:rsidRDefault="001062CC" w:rsidP="00D35786">
      <w:pPr>
        <w:spacing w:line="480" w:lineRule="auto"/>
      </w:pPr>
      <w:r>
        <w:t>The methodological guidance reviewed here includes:</w:t>
      </w:r>
    </w:p>
    <w:p w14:paraId="49DEC420" w14:textId="3D53FC40" w:rsidR="001062CC" w:rsidRDefault="001062CC" w:rsidP="001E2C47">
      <w:pPr>
        <w:pStyle w:val="ListParagraph"/>
        <w:numPr>
          <w:ilvl w:val="0"/>
          <w:numId w:val="42"/>
        </w:numPr>
        <w:spacing w:line="480" w:lineRule="auto"/>
      </w:pPr>
      <w:r>
        <w:t xml:space="preserve">The </w:t>
      </w:r>
      <w:r w:rsidR="00014D94" w:rsidRPr="00642AB3">
        <w:t>National Institute for Health and Care Excellence (NICE)</w:t>
      </w:r>
      <w:r>
        <w:t xml:space="preserve"> </w:t>
      </w:r>
      <w:r w:rsidR="00014D94" w:rsidRPr="00642AB3">
        <w:t xml:space="preserve"> </w:t>
      </w:r>
      <w:r>
        <w:t>“</w:t>
      </w:r>
      <w:r w:rsidRPr="001062CC">
        <w:t>Guide to the methods of technology appraisal 2013</w:t>
      </w:r>
      <w:r>
        <w:t>” termed henceforth as NICE</w:t>
      </w:r>
      <w:r w:rsidRPr="00642AB3">
        <w:t xml:space="preserve"> </w:t>
      </w:r>
      <w:r w:rsidR="00014D94" w:rsidRPr="00642AB3">
        <w:t>Guide</w:t>
      </w:r>
      <w:r w:rsidR="00DC7385" w:rsidRPr="00642AB3">
        <w:t xml:space="preserve">line </w:t>
      </w:r>
      <w:r w:rsidR="00DC7385"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00DC7385" w:rsidRPr="00642AB3">
        <w:fldChar w:fldCharType="separate"/>
      </w:r>
      <w:r w:rsidR="0082743F" w:rsidRPr="00642AB3">
        <w:rPr>
          <w:noProof/>
        </w:rPr>
        <w:t>(National Institute for Health and Care Excellence (NICE), 2013)</w:t>
      </w:r>
      <w:r w:rsidR="00DC7385" w:rsidRPr="00642AB3">
        <w:fldChar w:fldCharType="end"/>
      </w:r>
      <w:r>
        <w:t xml:space="preserve">, and associated NICE Decision Support Unit Technical Support Documents </w:t>
      </w:r>
      <w:r w:rsidRPr="00642AB3">
        <w:fldChar w:fldCharType="begin" w:fldLock="1"/>
      </w:r>
      <w:r>
        <w:instrText>ADDIN CSL_CITATION {"citationItems":[{"id":"ITEM-1","itemData":{"URL":"http://nicedsu.org.uk/technical-support-documents/","accessed":{"date-parts":[["2020","7","4"]]},"author":[{"dropping-particle":"","family":"NICE Decision Support Unit","given":"","non-dropping-particle":"","parse-names":false,"suffix":""}],"id":"ITEM-1","issued":{"date-parts":[["0"]]},"title":"Technical Support Documents – NICE Decision Support Unit","type":"webpage"},"uris":["http://www.mendeley.com/documents/?uuid=f660daa5-ff16-3c3e-9b7e-1514476cf1a7"]}],"mendeley":{"formattedCitation":"(NICE Decision Support Unit, n.d.)","plainTextFormattedCitation":"(NICE Decision Support Unit, n.d.)","previouslyFormattedCitation":"(NICE Decision Support Unit, n.d.)"},"properties":{"noteIndex":0},"schema":"https://github.com/citation-style-language/schema/raw/master/csl-citation.json"}</w:instrText>
      </w:r>
      <w:r w:rsidRPr="00642AB3">
        <w:fldChar w:fldCharType="separate"/>
      </w:r>
      <w:r w:rsidRPr="00642AB3">
        <w:rPr>
          <w:noProof/>
        </w:rPr>
        <w:t>(NICE Decision Support Unit, n.d.)</w:t>
      </w:r>
      <w:r w:rsidRPr="00642AB3">
        <w:fldChar w:fldCharType="end"/>
      </w:r>
      <w:r>
        <w:t>;</w:t>
      </w:r>
    </w:p>
    <w:p w14:paraId="7718CA89" w14:textId="3FD89A4A" w:rsidR="001062CC" w:rsidRDefault="00014D94" w:rsidP="001E2C47">
      <w:pPr>
        <w:pStyle w:val="ListParagraph"/>
        <w:numPr>
          <w:ilvl w:val="0"/>
          <w:numId w:val="42"/>
        </w:numPr>
        <w:spacing w:line="480" w:lineRule="auto"/>
      </w:pPr>
      <w:r w:rsidRPr="00642AB3">
        <w:t xml:space="preserve"> </w:t>
      </w:r>
      <w:r w:rsidR="001062CC">
        <w:t>T</w:t>
      </w:r>
      <w:r w:rsidR="00DC7385" w:rsidRPr="00642AB3">
        <w:t xml:space="preserve">he Canadian Agency for Drugs and Technologies in Health (CADTH) </w:t>
      </w:r>
      <w:r w:rsidR="001062CC" w:rsidRPr="001062CC">
        <w:t>“Guidelines for the Economic Evaluation of Health Technologies: Canada (4th edition)”</w:t>
      </w:r>
      <w:r w:rsidR="001062CC">
        <w:t xml:space="preserve">, termed henceforth as the CADTH </w:t>
      </w:r>
      <w:r w:rsidR="00DC7385" w:rsidRPr="00642AB3">
        <w:t xml:space="preserve">Guideline </w:t>
      </w:r>
      <w:r w:rsidR="00DC7385"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Canada","type":"article-journal"},"uris":["http://www.mendeley.com/documents/?uuid=c1edb1ae-e4b3-3ad4-9c48-be7c245913bf"]}],"mendeley":{"formattedCitation":"(Canadian Agency for Drugs and Technologies in Health, 2017)","plainTextFormattedCitation":"(Canadian Agency for Drugs and Technologies in Health, 2017)","previouslyFormattedCitation":"(Canadian Agency for Drugs and Technologies in Health, 2017)"},"properties":{"noteIndex":0},"schema":"https://github.com/citation-style-language/schema/raw/master/csl-citation.json"}</w:instrText>
      </w:r>
      <w:r w:rsidR="00DC7385" w:rsidRPr="00642AB3">
        <w:fldChar w:fldCharType="separate"/>
      </w:r>
      <w:r w:rsidR="0082743F" w:rsidRPr="00642AB3">
        <w:rPr>
          <w:noProof/>
        </w:rPr>
        <w:t>(Canadian Agency for Drugs and Technologies in Health, 2017)</w:t>
      </w:r>
      <w:r w:rsidR="00DC7385" w:rsidRPr="00642AB3">
        <w:fldChar w:fldCharType="end"/>
      </w:r>
      <w:r w:rsidR="001062CC">
        <w:t>;</w:t>
      </w:r>
    </w:p>
    <w:p w14:paraId="12A524DB" w14:textId="02F8EC76" w:rsidR="001062CC" w:rsidRDefault="001062CC" w:rsidP="001E2C47">
      <w:pPr>
        <w:pStyle w:val="ListParagraph"/>
        <w:numPr>
          <w:ilvl w:val="0"/>
          <w:numId w:val="42"/>
        </w:numPr>
        <w:spacing w:line="480" w:lineRule="auto"/>
      </w:pPr>
      <w:r>
        <w:t>T</w:t>
      </w:r>
      <w:r w:rsidR="00DC7385" w:rsidRPr="00642AB3">
        <w:t xml:space="preserve">he Australia’s Pharmaceutical Benefits Advisory Committee (PBAC) </w:t>
      </w:r>
      <w:r w:rsidRPr="001062CC">
        <w:t>“Guidelines for preparing a submission to the Pharmaceutical Benefits Advisory Committee (version 5.0)”</w:t>
      </w:r>
      <w:r>
        <w:t xml:space="preserve">, termed henceforth as the PBAC </w:t>
      </w:r>
      <w:r w:rsidR="00DC7385" w:rsidRPr="00642AB3">
        <w:t xml:space="preserve">Guideline </w:t>
      </w:r>
      <w:r w:rsidR="00DC7385" w:rsidRPr="00642AB3">
        <w:fldChar w:fldCharType="begin" w:fldLock="1"/>
      </w:r>
      <w:r w:rsidR="00A33BA4">
        <w:instrText>ADDIN CSL_CITATION {"citationItems":[{"id":"ITEM-1","itemData":{"ISBN":"9781741860009","abstract":"The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Committee","given":"","non-dropping-particle":"","parse-names":false,"suffix":""}],"id":"ITEM-1","issued":{"date-parts":[["2016"]]},"title":"Guidelines for preparing submissions to the Pharmaceutical Benefits Advisory Committee","type":"report"},"uris":["http://www.mendeley.com/documents/?uuid=57a65f32-3da3-380c-b9ea-2dc0de627f0c"]}],"mendeley":{"formattedCitation":"(Pharmaceutical Benefits Advisory Committee, 2016)","plainTextFormattedCitation":"(Pharmaceutical Benefits Advisory Committee, 2016)","previouslyFormattedCitation":"(Pharmaceutical Benefits Advisory Committee, 2016)"},"properties":{"noteIndex":0},"schema":"https://github.com/citation-style-language/schema/raw/master/csl-citation.json"}</w:instrText>
      </w:r>
      <w:r w:rsidR="00DC7385" w:rsidRPr="00642AB3">
        <w:fldChar w:fldCharType="separate"/>
      </w:r>
      <w:r w:rsidR="0082743F" w:rsidRPr="00642AB3">
        <w:rPr>
          <w:noProof/>
        </w:rPr>
        <w:t>(Pharmaceutical Benefits Advisory Committee, 2016)</w:t>
      </w:r>
      <w:r w:rsidR="00DC7385" w:rsidRPr="00642AB3">
        <w:fldChar w:fldCharType="end"/>
      </w:r>
      <w:r>
        <w:t>;</w:t>
      </w:r>
    </w:p>
    <w:p w14:paraId="626CA1CB" w14:textId="53A232FD" w:rsidR="001062CC" w:rsidRDefault="00DC7385" w:rsidP="001E2C47">
      <w:pPr>
        <w:pStyle w:val="ListParagraph"/>
        <w:numPr>
          <w:ilvl w:val="0"/>
          <w:numId w:val="42"/>
        </w:numPr>
        <w:spacing w:line="480" w:lineRule="auto"/>
      </w:pPr>
      <w:r w:rsidRPr="00642AB3">
        <w:t xml:space="preserve"> </w:t>
      </w:r>
      <w:r w:rsidR="001062CC">
        <w:t>T</w:t>
      </w:r>
      <w:r w:rsidRPr="00642AB3">
        <w:t xml:space="preserve">he European Network for Health Technology Assessment (EUnetHTA) </w:t>
      </w:r>
      <w:r w:rsidR="001062CC">
        <w:t xml:space="preserve">report </w:t>
      </w:r>
      <w:r w:rsidR="001062CC" w:rsidRPr="001062CC">
        <w:t>“Methods for health economic evaluations – a guideline based on current practices in Europe”</w:t>
      </w:r>
      <w:r w:rsidR="001062CC">
        <w:t xml:space="preserve">, termed henceforth EUnetHTA </w:t>
      </w:r>
      <w:r w:rsidRPr="00642AB3">
        <w:t xml:space="preserve">Guideline </w:t>
      </w:r>
      <w:r w:rsidRPr="00642AB3">
        <w:fldChar w:fldCharType="begin" w:fldLock="1"/>
      </w:r>
      <w:r w:rsidR="00A33BA4">
        <w:instrText>ADDIN CSL_CITATION {"citationItems":[{"id":"ITEM-1","itemData":{"author":[{"dropping-particle":"","family":"European Network for Health Technology Assessment (EUneHTA)","given":"","non-dropping-particle":"","parse-names":false,"suffix":""}],"id":"ITEM-1","issued":{"date-parts":[["2015"]]},"number-of-pages":"100","title":"Methods for health economic evaluations -A guideline based on current practices in Europe","type":"report"},"uris":["http://www.mendeley.com/documents/?uuid=82316c6b-dca8-3243-bc63-c6556a5e0a10"]}],"mendeley":{"formattedCitation":"(European Network for Health Technology Assessment (EUneHTA), 2015)","plainTextFormattedCitation":"(European Network for Health Technology Assessment (EUneHTA), 2015)","previouslyFormattedCitation":"(European Network for Health Technology Assessment (EUneHTA), 2015)"},"properties":{"noteIndex":0},"schema":"https://github.com/citation-style-language/schema/raw/master/csl-citation.json"}</w:instrText>
      </w:r>
      <w:r w:rsidRPr="00642AB3">
        <w:fldChar w:fldCharType="separate"/>
      </w:r>
      <w:r w:rsidR="0082743F" w:rsidRPr="00642AB3">
        <w:rPr>
          <w:noProof/>
        </w:rPr>
        <w:t>(European Network for Health Technology Assessment (EUneHTA), 2015)</w:t>
      </w:r>
      <w:r w:rsidRPr="00642AB3">
        <w:fldChar w:fldCharType="end"/>
      </w:r>
      <w:r w:rsidR="001062CC">
        <w:t>;</w:t>
      </w:r>
    </w:p>
    <w:p w14:paraId="2C6A0491" w14:textId="7A40E93A" w:rsidR="001E2C47" w:rsidRDefault="001062CC" w:rsidP="001E2C47">
      <w:pPr>
        <w:pStyle w:val="ListParagraph"/>
        <w:numPr>
          <w:ilvl w:val="0"/>
          <w:numId w:val="42"/>
        </w:numPr>
        <w:spacing w:line="480" w:lineRule="auto"/>
      </w:pPr>
      <w:r>
        <w:t>T</w:t>
      </w:r>
      <w:r w:rsidR="00DC7385" w:rsidRPr="00642AB3">
        <w:t>he Bill and Melinda Gates Foundation</w:t>
      </w:r>
      <w:r w:rsidR="001E2C47">
        <w:t xml:space="preserve"> </w:t>
      </w:r>
      <w:r w:rsidR="001E2C47" w:rsidRPr="001E2C47">
        <w:t>report “Methods for Economic Evaluation Project”</w:t>
      </w:r>
      <w:r w:rsidR="001E2C47">
        <w:t>,</w:t>
      </w:r>
      <w:r w:rsidR="001E2C47" w:rsidRPr="001E2C47">
        <w:t xml:space="preserve"> </w:t>
      </w:r>
      <w:r w:rsidR="00DC7385" w:rsidRPr="00642AB3">
        <w:t xml:space="preserve">henceforth referred to as Gates Guideline </w:t>
      </w:r>
      <w:r w:rsidR="00DC7385" w:rsidRPr="00642AB3">
        <w:fldChar w:fldCharType="begin" w:fldLock="1"/>
      </w:r>
      <w:r w:rsidR="00A33BA4">
        <w:instrText>ADDIN CSL_CITATION {"citationItems":[{"id":"ITEM-1","itemData":{"author":[{"dropping-particle":"","family":"NICE International","given":"","non-dropping-particle":"","parse-names":false,"suffix":""}],"container-title":"Bill and Melinda Gates Foundation Methods for Economic Evaluation Project (MEEP)","id":"ITEM-1","issue":"January","issued":{"date-parts":[["2014"]]},"number-of-pages":"30-33","title":"Methods for Economic Evaluation Project: Final Report","type":"report"},"uris":["http://www.mendeley.com/documents/?uuid=72af4fb1-6d31-3c01-bc40-a1dbae091c33"]}],"mendeley":{"formattedCitation":"(NICE International, 2014)","plainTextFormattedCitation":"(NICE International, 2014)","previouslyFormattedCitation":"(NICE International, 2014)"},"properties":{"noteIndex":0},"schema":"https://github.com/citation-style-language/schema/raw/master/csl-citation.json"}</w:instrText>
      </w:r>
      <w:r w:rsidR="00DC7385" w:rsidRPr="00642AB3">
        <w:fldChar w:fldCharType="separate"/>
      </w:r>
      <w:r w:rsidR="0082743F" w:rsidRPr="00642AB3">
        <w:rPr>
          <w:noProof/>
        </w:rPr>
        <w:t>(NICE International, 2014)</w:t>
      </w:r>
      <w:r w:rsidR="00DC7385" w:rsidRPr="00642AB3">
        <w:fldChar w:fldCharType="end"/>
      </w:r>
      <w:r w:rsidR="001E2C47">
        <w:t>;</w:t>
      </w:r>
    </w:p>
    <w:p w14:paraId="4BA220BD" w14:textId="1D4E7DD8" w:rsidR="001E2C47" w:rsidRDefault="001E2C47" w:rsidP="001E2C47">
      <w:pPr>
        <w:pStyle w:val="ListParagraph"/>
        <w:numPr>
          <w:ilvl w:val="0"/>
          <w:numId w:val="42"/>
        </w:numPr>
        <w:spacing w:line="480" w:lineRule="auto"/>
      </w:pPr>
      <w:r w:rsidRPr="001E2C47">
        <w:lastRenderedPageBreak/>
        <w:t>The Drummond et al textbook “Methods for economic evaluation of health programmes (4th edition)”</w:t>
      </w:r>
      <w:r>
        <w:t xml:space="preserve">, henceforth referred to as </w:t>
      </w:r>
      <w:r w:rsidR="00DC7385" w:rsidRPr="00642AB3">
        <w:t xml:space="preserve">the Drummond et al book </w:t>
      </w:r>
      <w:r w:rsidR="00014D94" w:rsidRPr="00642AB3">
        <w:fldChar w:fldCharType="begin" w:fldLock="1"/>
      </w:r>
      <w:r w:rsidR="00A33BA4">
        <w:instrText>ADDIN CSL_CITATION {"citationItems":[{"id":"ITEM-1","itemData":{"author":[{"dropping-particle":"","family":"Drummond","given":"Michael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W.","non-dropping-particle":"","parse-names":false,"suffix":""}],"edition":"4th","id":"ITEM-1","issued":{"date-parts":[["2015"]]},"number-of-pages":"464","publisher":"Oxford University Press","publisher-place":"Oxford","title":"Methods for the Economic Evaluation of Health Care Programmes","type":"book"},"uris":["http://www.mendeley.com/documents/?uuid=bfcbd1b8-6b05-4fe8-a3fd-fb1cbb802fd7"]}],"mendeley":{"formattedCitation":"(M. F. Drummond et al., 2015)","plainTextFormattedCitation":"(M. F. Drummond et al., 2015)","previouslyFormattedCitation":"(M. F. Drummond et al., 2015)"},"properties":{"noteIndex":0},"schema":"https://github.com/citation-style-language/schema/raw/master/csl-citation.json"}</w:instrText>
      </w:r>
      <w:r w:rsidR="00014D94" w:rsidRPr="00642AB3">
        <w:fldChar w:fldCharType="separate"/>
      </w:r>
      <w:r w:rsidR="0082743F" w:rsidRPr="00642AB3">
        <w:rPr>
          <w:noProof/>
        </w:rPr>
        <w:t>(M. F. Drummond et al., 2015)</w:t>
      </w:r>
      <w:r w:rsidR="00014D94" w:rsidRPr="00642AB3">
        <w:fldChar w:fldCharType="end"/>
      </w:r>
      <w:r>
        <w:t>;</w:t>
      </w:r>
    </w:p>
    <w:p w14:paraId="5E34E587" w14:textId="02193F69" w:rsidR="001E2C47" w:rsidRDefault="001E2C47" w:rsidP="001E2C47">
      <w:pPr>
        <w:pStyle w:val="ListParagraph"/>
        <w:numPr>
          <w:ilvl w:val="0"/>
          <w:numId w:val="42"/>
        </w:numPr>
        <w:spacing w:line="480" w:lineRule="auto"/>
      </w:pPr>
      <w:r w:rsidRPr="001E2C47">
        <w:t>The 2016 book “Cost-effectiveness in health and medicine” by the second US panel on the topic</w:t>
      </w:r>
      <w:r>
        <w:t xml:space="preserve">, henceforth referred to US Panel report </w:t>
      </w:r>
      <w:r w:rsidR="00DC7385" w:rsidRPr="00642AB3">
        <w:fldChar w:fldCharType="begin" w:fldLock="1"/>
      </w:r>
      <w:r w:rsidR="00A33BA4">
        <w:instrText>ADDIN CSL_CITATION {"citationItems":[{"id":"ITEM-1","itemData":{"DOI":"10.1093/acprof:oso/9780190492939.003.0002","ISBN":"9780190492939","author":[{"dropping-particle":"","family":"Meltzer","given":"David O.","non-dropping-particle":"","parse-names":false,"suffix":""},{"dropping-particle":"","family":"Basu","given":"Anirban","non-dropping-particle":"","parse-names":false,"suffix":""},{"dropping-particle":"","family":"Sculpher","given":"Mark J.","non-dropping-particle":"","parse-names":false,"suffix":""}],"container-title":"Cost-Effectiveness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E","non-dropping-particle":"","parse-names":false,"suffix":""}],"id":"ITEM-1","issued":{"date-parts":[["2016"]]},"page":"39-66","publisher":"Oxford University Press","publisher-place":"Oxford","title":"Theoretical Foundations of Cost-Effectiveness Analysis in Health and Medicine","type":"chapter"},"uris":["http://www.mendeley.com/documents/?uuid=17569b7f-98a7-3a6b-bbf3-aeda32b829b0"]},{"id":"ITEM-2","itemData":{"DOI":"10.1093/acprof:oso/9780190492939.001.0001","ISBN":"9780190492939","abstract":"This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D","non-dropping-particle":"","parse-names":false,"suffix":""}],"id":"ITEM-2","issued":{"date-parts":[["2016"]]},"publisher":"Oxford University Press","publisher-place":"Oxford","title":"Designing a Cost-Effectiveness Analysis","type":"chapter"},"uris":["http://www.mendeley.com/documents/?uuid=5008afc6-8cab-3f7d-94d0-c4aadfc9796e"]},{"id":"ITEM-3","itemData":{"DOI":"10.1093/acprof:oso/9780190492939.001.0001","ISBN":"9780190492939","abstract":"This is a new chapter and underscores recent advances in the field. Analysts typically face situations in which the data available about the costs and effects of different interventions come from disparate sources and often from studies for which analysts do not have access to primary data. Models fill in the gaps and help to structure analysts’ thinking. They provide a framework for synthesizing data from disparate sources, allowing extrapolations beyond the time horizons of available data and to population subgroups and strategies not observed in studies. This chapter reviews the different types of decision models and their relative advantages and disadvantages. It also provides recommendations for model structure, output, evaluation of uncertainty, and validation.","author":[{"dropping-particle":"","family":"Kuntz","given":"Karen M.","non-dropping-particle":"","parse-names":false,"suffix":""},{"dropping-particle":"","family":"Russell","given":"Louise B","non-dropping-particle":"","parse-names":false,"suffix":""},{"dropping-particle":"","family":"Owens","given":"Douglas K","non-dropping-particle":"","parse-names":false,"suffix":""},{"dropping-particle":"","family":"Sanders","given":"Gillian D.","non-dropping-particle":"","parse-names":false,"suffix":""},{"dropping-particle":"","family":"Trikalinos","given":"Thomas A.","non-dropping-particle":"","parse-names":false,"suffix":""},{"dropping-particle":"","family":"Salomon","given":"Joshua A.","non-dropping-particle":"","parse-names":false,"suffix":""}],"container-title":"Cost 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D","non-dropping-particle":"","parse-names":false,"suffix":""}],"id":"ITEM-3","issued":{"date-parts":[["2016"]]},"publisher":"Oxford University Press","publisher-place":"Oxford","title":"Decision Models in Cost-Effectiveness Analysis","type":"chapter"},"uris":["http://www.mendeley.com/documents/?uuid=130c09eb-d67f-39a2-b765-379137b2b6bd"]}],"mendeley":{"formattedCitation":"(Kuntz et al., 2016; Meltzer, Basu, &amp; Sculpher, 2016; Owens, Siegel, Sculpher, &amp; Salomon, 2016)","plainTextFormattedCitation":"(Kuntz et al., 2016; Meltzer, Basu, &amp; Sculpher, 2016; Owens, Siegel, Sculpher, &amp; Salomon, 2016)","previouslyFormattedCitation":"(Kuntz et al., 2016; Meltzer, Basu, &amp; Sculpher, 2016; Owens, Siegel, Sculpher, &amp; Salomon, 2016)"},"properties":{"noteIndex":0},"schema":"https://github.com/citation-style-language/schema/raw/master/csl-citation.json"}</w:instrText>
      </w:r>
      <w:r w:rsidR="00DC7385" w:rsidRPr="00642AB3">
        <w:fldChar w:fldCharType="separate"/>
      </w:r>
      <w:r w:rsidR="0082743F" w:rsidRPr="00642AB3">
        <w:rPr>
          <w:noProof/>
        </w:rPr>
        <w:t>(Kuntz et al., 2016; Meltzer, Basu, &amp; Sculpher, 2016; Owens, Siegel, Sculpher, &amp; Salomon, 2016)</w:t>
      </w:r>
      <w:r w:rsidR="00DC7385" w:rsidRPr="00642AB3">
        <w:fldChar w:fldCharType="end"/>
      </w:r>
    </w:p>
    <w:p w14:paraId="55535B3B" w14:textId="03FCDF85" w:rsidR="001E2C47" w:rsidRDefault="001E2C47" w:rsidP="001E2C47">
      <w:pPr>
        <w:pStyle w:val="ListParagraph"/>
        <w:numPr>
          <w:ilvl w:val="0"/>
          <w:numId w:val="42"/>
        </w:numPr>
        <w:spacing w:line="480" w:lineRule="auto"/>
      </w:pPr>
      <w:r>
        <w:t>T</w:t>
      </w:r>
      <w:r w:rsidR="00DC7385" w:rsidRPr="00642AB3">
        <w:t>he International Society for Pharmacoeconomics and Outcomes Research (ISPOR) task forces reports</w:t>
      </w:r>
      <w:r>
        <w:t xml:space="preserve"> of economic evaluation using decision models, specifically </w:t>
      </w:r>
      <w:r w:rsidRPr="001E2C47">
        <w:t>“</w:t>
      </w:r>
      <w:proofErr w:type="spellStart"/>
      <w:r w:rsidRPr="001E2C47">
        <w:t>Modeling</w:t>
      </w:r>
      <w:proofErr w:type="spellEnd"/>
      <w:r w:rsidRPr="001E2C47">
        <w:t xml:space="preserve"> good research practices - Overview: A report of the ISPOR-SMDM </w:t>
      </w:r>
      <w:proofErr w:type="spellStart"/>
      <w:r w:rsidRPr="001E2C47">
        <w:t>modeling</w:t>
      </w:r>
      <w:proofErr w:type="spellEnd"/>
      <w:r w:rsidRPr="001E2C47">
        <w:t xml:space="preserve"> good research practices task force-1” </w:t>
      </w:r>
      <w:r>
        <w:t xml:space="preserve">and </w:t>
      </w:r>
      <w:r w:rsidRPr="001E2C47">
        <w:t xml:space="preserve">“Conceptualizing a Model: A Report of the ISPOR-SMDM </w:t>
      </w:r>
      <w:proofErr w:type="spellStart"/>
      <w:r w:rsidRPr="001E2C47">
        <w:t>Modeling</w:t>
      </w:r>
      <w:proofErr w:type="spellEnd"/>
      <w:r w:rsidRPr="001E2C47">
        <w:t xml:space="preserve"> Good Research Practices Task Force-2”</w:t>
      </w:r>
      <w:r>
        <w:t xml:space="preserve">, </w:t>
      </w:r>
      <w:r w:rsidRPr="001E2C47">
        <w:t>referred henceforth as ISPOR taskforce reports</w:t>
      </w:r>
      <w:r w:rsidR="00DC7385" w:rsidRPr="00642AB3">
        <w:t xml:space="preserve"> </w:t>
      </w:r>
      <w:r w:rsidR="00DC7385" w:rsidRPr="00642AB3">
        <w:fldChar w:fldCharType="begin" w:fldLock="1"/>
      </w:r>
      <w:r w:rsidR="00A33BA4">
        <w:instrText>ADDIN CSL_CITATION {"citationItems":[{"id":"ITEM-1","itemData":{"DOI":"10.1016/j.jval.2012.06.012","ISBN":"1524-4733","ISSN":"10983015","PMID":"22999128","abstract":"Models - mathematical frameworks that facilitate estimation of the consequences of health care decisions - have become essential tools for health technology assessment. Evolution of the methods since the first ISPOR Modeling Task Force reported in 2003 has led to a new Task Force, jointly convened with the Society for Medical Decision Making, and this series of seven articles presents the updated recommendations for best practices in conceptualizing models; implementing state-transition approaches, discrete event simulations, or dynamic transmission models; and dealing with uncertainty and validating and reporting models transparently. This overview article introduces the work of the Task Force, provides all the recommendations, and discusses some quandaries that require further elucidation. The audience for these articles includes those who build models, stakeholders who utilize their results, and, indeed, anyone concerned with the use of models to support decision making. © 2012 International Society for Pharmacoeconomics and Outcomes Research (ISPOR).","author":[{"dropping-particle":"","family":"Caro","given":"J. Jaime","non-dropping-particle":"","parse-names":false,"suffix":""},{"dropping-particle":"","family":"Briggs","given":"Andrew H.","non-dropping-particle":"","parse-names":false,"suffix":""},{"dropping-particle":"","family":"Siebert","given":"Uwe","non-dropping-particle":"","parse-names":false,"suffix":""},{"dropping-particle":"","family":"Kuntz","given":"Karen M.","non-dropping-particle":"","parse-names":false,"suffix":""}],"container-title":"Value in Health","id":"ITEM-1","issue":"6","issued":{"date-parts":[["2012"]]},"page":"796-803","title":"Modeling good research practices - Overview: A report of the ISPOR-SMDM modeling good research practices task force-1","type":"article","volume":"15"},"uris":["http://www.mendeley.com/documents/?uuid=c98b4b05-f762-3507-bdb2-329212e69577"]},{"id":"ITEM-2","itemData":{"DOI":"10.1016/j.jval.2012.06.012","ISBN":"1524-4733","ISSN":"1524-4733","PMID":"22999128","abstract":"Thee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Health","id":"ITEM-2","issued":{"date-parts":[["2012"]]},"page":"804-811","title":"Conceptualizing a Model: A Report of the ISPOR-SMDM Modeling Good Research Practices Task Force-2","type":"article-journal","volume":"15"},"uris":["http://www.mendeley.com/documents/?uuid=d6058f98-c577-37fc-9309-1ea31daea085"]}],"mendeley":{"formattedCitation":"(Caro, Briggs, Siebert, &amp; Kuntz, 2012; Roberts, Russell, Paltiel, Chambers, &amp; McEwan, 2012)","plainTextFormattedCitation":"(Caro, Briggs, Siebert, &amp; Kuntz, 2012; Roberts, Russell, Paltiel, Chambers, &amp; McEwan, 2012)","previouslyFormattedCitation":"(Caro, Briggs, Siebert, &amp; Kuntz, 2012; Roberts, Russell, Paltiel, Chambers, &amp; McEwan, 2012)"},"properties":{"noteIndex":0},"schema":"https://github.com/citation-style-language/schema/raw/master/csl-citation.json"}</w:instrText>
      </w:r>
      <w:r w:rsidR="00DC7385" w:rsidRPr="00642AB3">
        <w:fldChar w:fldCharType="separate"/>
      </w:r>
      <w:r w:rsidR="0082743F" w:rsidRPr="00642AB3">
        <w:rPr>
          <w:noProof/>
        </w:rPr>
        <w:t>(Caro, Briggs, Siebert, &amp; Kuntz, 2012; Roberts, Russell, Paltiel, Chambers, &amp; McEwan, 2012)</w:t>
      </w:r>
      <w:r w:rsidR="00DC7385" w:rsidRPr="00642AB3">
        <w:fldChar w:fldCharType="end"/>
      </w:r>
      <w:r w:rsidR="00DC7385" w:rsidRPr="00642AB3">
        <w:t>)</w:t>
      </w:r>
      <w:r w:rsidR="00FC76EC" w:rsidRPr="00642AB3">
        <w:t xml:space="preserve">. </w:t>
      </w:r>
    </w:p>
    <w:p w14:paraId="0508963E" w14:textId="77777777" w:rsidR="00A55EB3" w:rsidRPr="00C0402E" w:rsidRDefault="00A55EB3" w:rsidP="00451BA3">
      <w:pPr>
        <w:pStyle w:val="Heading1"/>
      </w:pPr>
      <w:bookmarkStart w:id="2" w:name="_Toc48925880"/>
      <w:r w:rsidRPr="00C0402E">
        <w:t>Population</w:t>
      </w:r>
      <w:bookmarkEnd w:id="2"/>
    </w:p>
    <w:p w14:paraId="306CAC27" w14:textId="74633B84" w:rsidR="00682E9A" w:rsidRPr="00642AB3" w:rsidRDefault="00A55EB3" w:rsidP="00D35786">
      <w:pPr>
        <w:spacing w:line="480" w:lineRule="auto"/>
      </w:pPr>
      <w:r w:rsidRPr="00642AB3">
        <w:t xml:space="preserve">The target population is the group of individuals for whom </w:t>
      </w:r>
      <w:r w:rsidR="0083684E" w:rsidRPr="00642AB3">
        <w:t xml:space="preserve">the </w:t>
      </w:r>
      <w:r w:rsidR="00662A3F" w:rsidRPr="00642AB3">
        <w:t>technology</w:t>
      </w:r>
      <w:r w:rsidR="0083684E" w:rsidRPr="00642AB3">
        <w:t xml:space="preserve"> is </w:t>
      </w:r>
      <w:r w:rsidRPr="00642AB3">
        <w:t xml:space="preserve">intended </w:t>
      </w:r>
      <w:r w:rsidRPr="00642AB3">
        <w:fldChar w:fldCharType="begin" w:fldLock="1"/>
      </w:r>
      <w:r w:rsidR="00A33BA4">
        <w:instrText>ADDIN CSL_CITATION {"citationItems":[{"id":"ITEM-1","itemData":{"DOI":"10.1093/acprof:oso/9780190492939.001.0001","ISBN":"9780190492939","abstract":"This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Press","publisher-place":"Oxford","title":"Designing a Cost-Effectiveness Analysis","type":"chapter"},"uris":["http://www.mendeley.com/documents/?uuid=5008afc6-8cab-3f7d-94d0-c4aadfc9796e"]}],"mendeley":{"formattedCitation":"(Owens et al., 2016)","plainTextFormattedCitation":"(Owens et al., 2016)","previouslyFormattedCitation":"(Owens et al., 2016)"},"properties":{"noteIndex":0},"schema":"https://github.com/citation-style-language/schema/raw/master/csl-citation.json"}</w:instrText>
      </w:r>
      <w:r w:rsidRPr="00642AB3">
        <w:fldChar w:fldCharType="separate"/>
      </w:r>
      <w:r w:rsidR="0082743F" w:rsidRPr="00642AB3">
        <w:rPr>
          <w:noProof/>
        </w:rPr>
        <w:t>(Owens et al., 2016)</w:t>
      </w:r>
      <w:r w:rsidRPr="00642AB3">
        <w:fldChar w:fldCharType="end"/>
      </w:r>
      <w:r w:rsidRPr="00642AB3">
        <w:t xml:space="preserve">. </w:t>
      </w:r>
      <w:r w:rsidR="00771542" w:rsidRPr="00642AB3">
        <w:t>Th</w:t>
      </w:r>
      <w:r w:rsidR="0008677A" w:rsidRPr="00642AB3">
        <w:t xml:space="preserve">e economic evaluation aims to determine the expected costs and outcomes of the technology and alternative courses of action for the average individual in the target population. </w:t>
      </w:r>
    </w:p>
    <w:p w14:paraId="17B39170" w14:textId="65B0A2A4" w:rsidR="00367E3D" w:rsidRPr="00642AB3" w:rsidRDefault="00A5499E" w:rsidP="00D35786">
      <w:pPr>
        <w:spacing w:line="480" w:lineRule="auto"/>
      </w:pPr>
      <w:r w:rsidRPr="00642AB3">
        <w:t xml:space="preserve">Patients in the same population may vary in ways that affect the magnitude of </w:t>
      </w:r>
      <w:r w:rsidR="00BE55DD" w:rsidRPr="00642AB3">
        <w:t>benefits</w:t>
      </w:r>
      <w:r w:rsidRPr="00642AB3">
        <w:t xml:space="preserve"> they may achieve from a </w:t>
      </w:r>
      <w:r w:rsidR="00662A3F" w:rsidRPr="00642AB3">
        <w:t>technology</w:t>
      </w:r>
      <w:r w:rsidRPr="00642AB3">
        <w:t xml:space="preserve"> or in the</w:t>
      </w:r>
      <w:r w:rsidR="00364F90" w:rsidRPr="00642AB3">
        <w:t>ir</w:t>
      </w:r>
      <w:r w:rsidRPr="00642AB3">
        <w:t xml:space="preserve"> costs. </w:t>
      </w:r>
      <w:r w:rsidR="0083684E" w:rsidRPr="00642AB3">
        <w:t>Of interest to economic evaluation, is the variation in benefits or costs that can be explained by information known at the time of deciding which option to use. This variation is referred to as ‘</w:t>
      </w:r>
      <w:r w:rsidR="0083684E" w:rsidRPr="00642AB3">
        <w:rPr>
          <w:i/>
        </w:rPr>
        <w:t>heterogeneity’</w:t>
      </w:r>
      <w:r w:rsidR="0083684E" w:rsidRPr="00642AB3">
        <w:t xml:space="preserve">. Offering </w:t>
      </w:r>
      <w:r w:rsidR="00911295" w:rsidRPr="00642AB3">
        <w:t xml:space="preserve">a </w:t>
      </w:r>
      <w:r w:rsidR="00662A3F" w:rsidRPr="00642AB3">
        <w:t>technology</w:t>
      </w:r>
      <w:r w:rsidR="00911295" w:rsidRPr="00642AB3">
        <w:t xml:space="preserve"> only in the </w:t>
      </w:r>
      <w:r w:rsidRPr="00642AB3">
        <w:t xml:space="preserve">subpopulations </w:t>
      </w:r>
      <w:r w:rsidR="00367E3D" w:rsidRPr="00642AB3">
        <w:rPr>
          <w:vertAlign w:val="superscript"/>
        </w:rPr>
        <w:endnoteReference w:id="1"/>
      </w:r>
      <w:r w:rsidR="00367E3D" w:rsidRPr="00642AB3">
        <w:t xml:space="preserve"> in whom it is expected to be cost-effective means that the health care service gets the most value of the technology </w:t>
      </w:r>
      <w:r w:rsidR="00367E3D" w:rsidRPr="00642AB3">
        <w:fldChar w:fldCharType="begin" w:fldLock="1"/>
      </w:r>
      <w:r w:rsidR="00A33BA4">
        <w:instrText>ADDIN CSL_CITATION {"citationItems":[{"id":"ITEM-1","itemData":{"DOI":"10.1002/hec.788","ISBN":"1057-9230 (Print)\\r1057-9230 (Linking)","ISSN":"10579230","PMID":"12720259","abstract":"The cost-effectiveness of new health care technologies is conditional upon who receives what therapy and under what circumstances. Understanding this heterogeneity in cost-effectiveness, health care payers often limit reimbursement of therapies to a more restrictive sub-group of patients than that indicated in a product's licensing. Such limits may be based upon clinical or demographic criteria that are prognostic of costs, outcomes or both. However, there is little guidance on how to estimate and interpret stratified cost-effectiveness analysis. In this paper we present a framework for estimating the benefits from stratification that permits consideration of both the opportunity cost resulting from a lack of adherence with criteria and the efficiency loss associated with incorporating equity concerns.","author":[{"dropping-particle":"","family":"Coyle","given":"Douglas","non-dropping-particle":"","parse-names":false,"suffix":""},{"dropping-particle":"","family":"Buxton","given":"Martin J.","non-dropping-particle":"","parse-names":false,"suffix":""},{"dropping-particle":"","family":"O'Brien","given":"Bernie J.","non-dropping-particle":"","parse-names":false,"suffix":""}],"container-title":"Health Economics","id":"ITEM-1","issue":"5","issued":{"date-parts":[["2003","5","1"]]},"page":"421-427","publisher":"Wiley-Blackwell","title":"Stratified cost-effectiveness analysis: A framework for establishing efficient limited use criteria","type":"article-journal","volume":"12"},"uris":["http://www.mendeley.com/documents/?uuid=389e6263-dfb5-30e4-a9d4-94ec7d655e5b"]}],"mendeley":{"formattedCitation":"(Coyle, Buxton, &amp; O’Brien, 2003)","plainTextFormattedCitation":"(Coyle, Buxton, &amp; O’Brien, 2003)","previouslyFormattedCitation":"(Coyle, Buxton, &amp; O’Brien, 2003)"},"properties":{"noteIndex":0},"schema":"https://github.com/citation-style-language/schema/raw/master/csl-citation.json"}</w:instrText>
      </w:r>
      <w:r w:rsidR="00367E3D" w:rsidRPr="00642AB3">
        <w:fldChar w:fldCharType="separate"/>
      </w:r>
      <w:r w:rsidR="00367E3D" w:rsidRPr="00642AB3">
        <w:rPr>
          <w:noProof/>
        </w:rPr>
        <w:t xml:space="preserve">(Coyle, Buxton, &amp; O’Brien, </w:t>
      </w:r>
      <w:r w:rsidR="00367E3D" w:rsidRPr="00642AB3">
        <w:rPr>
          <w:noProof/>
        </w:rPr>
        <w:lastRenderedPageBreak/>
        <w:t>2003)</w:t>
      </w:r>
      <w:r w:rsidR="00367E3D" w:rsidRPr="00642AB3">
        <w:fldChar w:fldCharType="end"/>
      </w:r>
      <w:r w:rsidR="00367E3D" w:rsidRPr="00642AB3">
        <w:t xml:space="preserve">. For more details on heterogeneity in economic evaluation, see </w:t>
      </w:r>
      <w:r w:rsidR="00367E3D" w:rsidRPr="00642AB3">
        <w:rPr>
          <w:highlight w:val="yellow"/>
        </w:rPr>
        <w:t>Heterogeneity in Cost-Effectiveness Analysis</w:t>
      </w:r>
      <w:r w:rsidR="00367E3D" w:rsidRPr="00642AB3">
        <w:t xml:space="preserve"> </w:t>
      </w:r>
      <w:r w:rsidR="00367E3D" w:rsidRPr="00642AB3">
        <w:fldChar w:fldCharType="begin" w:fldLock="1"/>
      </w:r>
      <w:r w:rsidR="00451BA3">
        <w:instrText>ADDIN CSL_CITATION {"citationItems":[{"id":"ITEM-1","itemData":{"DOI":"10.1093/acrefore/9780190625979.013.101","author":[{"dropping-particle":"","family":"Kohli-Lynch","given":"Ciaran N.","non-dropping-particle":"","parse-names":false,"suffix":""},{"dropping-particle":"","family":"Briggs","given":"Andrew H.","non-dropping-particle":"","parse-names":false,"suffix":""}],"container-title":"Oxford Research Encyclopedia of Economics and Finance","id":"ITEM-1","issued":{"date-parts":[["2019","8","28"]]},"title":"Heterogeneity in Cost-Effectiveness Analysis","type":"chapter"},"uris":["http://www.mendeley.com/documents/?uuid=6f7a6fca-2010-3956-97d0-4697e386be21"]}],"mendeley":{"formattedCitation":"(Kohli-Lynch &amp; Briggs, 2019)","plainTextFormattedCitation":"(Kohli-Lynch &amp; Briggs, 2019)","previouslyFormattedCitation":"(Kohli-Lynch &amp; Briggs, 2019)"},"properties":{"noteIndex":0},"schema":"https://github.com/citation-style-language/schema/raw/master/csl-citation.json"}</w:instrText>
      </w:r>
      <w:r w:rsidR="00367E3D" w:rsidRPr="00642AB3">
        <w:fldChar w:fldCharType="separate"/>
      </w:r>
      <w:r w:rsidR="00392021" w:rsidRPr="00392021">
        <w:rPr>
          <w:noProof/>
        </w:rPr>
        <w:t>(Kohli-Lynch &amp; Briggs, 2019)</w:t>
      </w:r>
      <w:r w:rsidR="00367E3D" w:rsidRPr="00642AB3">
        <w:fldChar w:fldCharType="end"/>
      </w:r>
      <w:r w:rsidR="00367E3D" w:rsidRPr="00642AB3">
        <w:t xml:space="preserve">. </w:t>
      </w:r>
    </w:p>
    <w:p w14:paraId="35788DAF" w14:textId="36337143" w:rsidR="00367E3D" w:rsidRPr="00642AB3" w:rsidRDefault="00367E3D" w:rsidP="00D35786">
      <w:pPr>
        <w:spacing w:line="480" w:lineRule="auto"/>
      </w:pPr>
      <w:r w:rsidRPr="00642AB3">
        <w:t xml:space="preserve">Some technologies may also have consequences to people beyond the target population, in terms of their health outcomes, other non-health outcomes (e.g. consumption, employment, wellbeing, etc.) and costs. These are known as </w:t>
      </w:r>
      <w:r w:rsidRPr="00642AB3">
        <w:rPr>
          <w:i/>
          <w:iCs/>
        </w:rPr>
        <w:t>spillover</w:t>
      </w:r>
      <w:r w:rsidRPr="00642AB3">
        <w:t xml:space="preserve"> </w:t>
      </w:r>
      <w:r w:rsidRPr="00642AB3">
        <w:rPr>
          <w:i/>
          <w:iCs/>
        </w:rPr>
        <w:t xml:space="preserve">effects </w:t>
      </w:r>
      <w:r w:rsidRPr="00642AB3">
        <w:rPr>
          <w:i/>
          <w:iCs/>
        </w:rPr>
        <w:fldChar w:fldCharType="begin" w:fldLock="1"/>
      </w:r>
      <w:r w:rsidR="00A33BA4">
        <w:rPr>
          <w:i/>
          <w:iCs/>
        </w:rPr>
        <w:instrText>ADDIN CSL_CITATION {"citationItems":[{"id":"ITEM-1","itemData":{"DOI":"10.1093/acprof:oso/9780190492939.001.0001","ISBN":"9780190492939","abstract":"This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Press","publisher-place":"Oxford","title":"Designing a Cost-Effectiveness Analysis","type":"chapter"},"uris":["http://www.mendeley.com/documents/?uuid=5008afc6-8cab-3f7d-94d0-c4aadfc9796e"]}],"mendeley":{"formattedCitation":"(Owens et al., 2016)","plainTextFormattedCitation":"(Owens et al., 2016)","previouslyFormattedCitation":"(Owens et al., 2016)"},"properties":{"noteIndex":0},"schema":"https://github.com/citation-style-language/schema/raw/master/csl-citation.json"}</w:instrText>
      </w:r>
      <w:r w:rsidRPr="00642AB3">
        <w:rPr>
          <w:i/>
          <w:iCs/>
        </w:rPr>
        <w:fldChar w:fldCharType="separate"/>
      </w:r>
      <w:r w:rsidRPr="00642AB3">
        <w:rPr>
          <w:iCs/>
          <w:noProof/>
        </w:rPr>
        <w:t>(Owens et al., 2016)</w:t>
      </w:r>
      <w:r w:rsidRPr="00642AB3">
        <w:rPr>
          <w:i/>
          <w:iCs/>
        </w:rPr>
        <w:fldChar w:fldCharType="end"/>
      </w:r>
      <w:r w:rsidRPr="00642AB3">
        <w:t xml:space="preserve">. Examples of spillover effects are curing or preventing an infectious disease (also known as externalities; see </w:t>
      </w:r>
      <w:r w:rsidRPr="00642AB3">
        <w:rPr>
          <w:highlight w:val="yellow"/>
        </w:rPr>
        <w:t>The Economics of Infectious Diseases</w:t>
      </w:r>
      <w:r w:rsidRPr="00642AB3">
        <w:t xml:space="preserve"> </w:t>
      </w:r>
      <w:r w:rsidRPr="00642AB3">
        <w:fldChar w:fldCharType="begin" w:fldLock="1"/>
      </w:r>
      <w:r w:rsidR="00451BA3">
        <w:instrText>ADDIN CSL_CITATION {"citationItems":[{"id":"ITEM-1","itemData":{"DOI":"10.1093/acrefore/9780190625979.013.251","abstract":"Economics can make immensely valuable contributions to our understanding of infectious disease transmission and the design of effective policy responses. The one unique charac? teristic of infectious diseases makes it also particularly complicated to analyze: the fact that it is transmitted from person to person. It explains why individuals’ behavior and ex? ternalities are a central topic for the economics of infectious diseases. Many public health interventions are built on the assumption that individuals are altruistic and consider the benefits and costs of their actions to others. This would imply that even infected individu? als demand prevention, which stands in conflict with the economic theory of rational be? havior. Empirical evidence is conflicting for infected individuals. For healthy individuals, evidence suggests that the demand for prevention is affected by real or perceived risk of infection. However, studies are plagued by underreporting of preventive behavior and non-random selection into testing. Some empirical studies have shown that the impact of prevention interventions could be far greater than one case prevented, resulting in signif? icant externalities. Therefore, economic evaluations need to build on dynamic transmis? sion models in order to correctly estimate these externalities. Future research needs are significant. Economic research needs to improve our understanding of the role of human behavior in disease transmission; support the better integration of economic and epidemi? ological modeling, evaluation of large-scale public health interventions with quasi-experi? mental methods, design of optimal subsidies for tackling the global threat of antimicro? bial resistance, refocusing the research agenda toward underresearched diseases; and most importantly to assure that progress translates into saved lives on the ground by ad? vising on effective health system strengthening.","author":[{"dropping-particle":"","family":"Hauck","given":"Katharina","non-dropping-particle":"","parse-names":false,"suffix":""}],"container-title":"Oxford Research Encyclopedia of Economics and Finance","id":"ITEM-1","issued":{"date-parts":[["2018","8","28"]]},"title":"The Economics of Infectious Diseases","type":"chapter"},"uris":["http://www.mendeley.com/documents/?uuid=448d301d-d6b5-362f-b59e-2efdd72d2ae0"]}],"mendeley":{"formattedCitation":"(Hauck, 2018)","plainTextFormattedCitation":"(Hauck, 2018)","previouslyFormattedCitation":"(Hauck, 2018)"},"properties":{"noteIndex":0},"schema":"https://github.com/citation-style-language/schema/raw/master/csl-citation.json"}</w:instrText>
      </w:r>
      <w:r w:rsidRPr="00642AB3">
        <w:fldChar w:fldCharType="separate"/>
      </w:r>
      <w:r w:rsidR="00392021" w:rsidRPr="00392021">
        <w:rPr>
          <w:noProof/>
        </w:rPr>
        <w:t>(Hauck, 2018)</w:t>
      </w:r>
      <w:r w:rsidRPr="00642AB3">
        <w:fldChar w:fldCharType="end"/>
      </w:r>
      <w:r w:rsidRPr="00642AB3">
        <w:t xml:space="preserve">), which has benefits to people who do not have the disease but who are at risk of being infected, and consequences to caregivers and family members (see </w:t>
      </w:r>
      <w:r w:rsidRPr="00642AB3">
        <w:rPr>
          <w:highlight w:val="yellow"/>
        </w:rPr>
        <w:t>The Economics of Informal Care</w:t>
      </w:r>
      <w:r w:rsidRPr="00642AB3">
        <w:t xml:space="preserve">  </w:t>
      </w:r>
      <w:r w:rsidRPr="00642AB3">
        <w:fldChar w:fldCharType="begin" w:fldLock="1"/>
      </w:r>
      <w:r w:rsidR="00A33BA4">
        <w:instrText>ADDIN CSL_CITATION {"citationItems":[{"id":"ITEM-1","itemData":{"DOI":"10.1093/acrefore/9780190625979.013.265","abstract":"Across the globe, the most common means of supporting older disabled adults in their homes is through “informal care.” An informal carer is a family member or friend, including children or adults, who help another person because of their illness, frailty, or disability. There is a rich economics literature on the direct benefits of caregiving, including allowing the care recipient to remain at home for longer than if there was no informal care provided. There is also a growing literature outlining the associated costs of care provision. Although informal care helps individuals with disabilities to remain at home and is rewarding to many carers, there are often negative effects such as depression and lost labor market earnings that may offset some of these rewards. Economists have taken several approaches to quantify the net societal benefit of informal care that consider the degree of choice in caregiving decisions and all direct and indirect benefits and costs of informal care.","author":[{"dropping-particle":"","family":"Houtven","given":"Courtney","non-dropping-particle":"Van","parse-names":false,"suffix":""},{"dropping-particle":"","family":"Carmichael","given":"Fiona","non-dropping-particle":"","parse-names":false,"suffix":""},{"dropping-particle":"","family":"Jacobs","given":"Josephine","non-dropping-particle":"","parse-names":false,"suffix":""},{"dropping-particle":"","family":"Coyte","given":"Peter C.","non-dropping-particle":"","parse-names":false,"suffix":""},{"dropping-particle":"","family":"Houtven","given":"Courtney","non-dropping-particle":"Van","parse-names":false,"suffix":""},{"dropping-particle":"","family":"Carmichael","given":"Fiona","non-dropping-particle":"","parse-names":false,"suffix":""},{"dropping-particle":"","family":"Jacobs","given":"Josephine","non-dropping-particle":"","parse-names":false,"suffix":""},{"dropping-particle":"","family":"Coyte","given":"Peter C.","non-dropping-particle":"","parse-names":false,"suffix":""}],"container-title":"Oxford Research Encyclopedia of Economics and Finance","id":"ITEM-1","issued":{"date-parts":[["2019","5","23"]]},"title":"The Economics of Informal Care","type":"chapter"},"uris":["http://www.mendeley.com/documents/?uuid=ef1a9414-8e99-31f6-bf0a-a7f6d6643e02"]}],"mendeley":{"formattedCitation":"(Van Houtven et al., 2019)","plainTextFormattedCitation":"(Van Houtven et al., 2019)","previouslyFormattedCitation":"(Van Houtven et al., 2019)"},"properties":{"noteIndex":0},"schema":"https://github.com/citation-style-language/schema/raw/master/csl-citation.json"}</w:instrText>
      </w:r>
      <w:r w:rsidRPr="00642AB3">
        <w:fldChar w:fldCharType="separate"/>
      </w:r>
      <w:r w:rsidRPr="00642AB3">
        <w:rPr>
          <w:noProof/>
        </w:rPr>
        <w:t>(Van Houtven et al., 2019)</w:t>
      </w:r>
      <w:r w:rsidRPr="00642AB3">
        <w:fldChar w:fldCharType="end"/>
      </w:r>
      <w:r w:rsidRPr="00642AB3">
        <w:t xml:space="preserve"> and </w:t>
      </w:r>
      <w:r w:rsidRPr="00642AB3">
        <w:rPr>
          <w:highlight w:val="yellow"/>
        </w:rPr>
        <w:t>The Economics of Families and Health</w:t>
      </w:r>
      <w:r w:rsidRPr="00642AB3">
        <w:t xml:space="preserve"> </w:t>
      </w:r>
      <w:r w:rsidRPr="00642AB3">
        <w:fldChar w:fldCharType="begin" w:fldLock="1"/>
      </w:r>
      <w:r w:rsidR="00451BA3">
        <w:instrText>ADDIN CSL_CITATION {"citationItems":[{"id":"ITEM-1","itemData":{"DOI":"10.1093/acrefore/9780190625979.013.9","author":[{"dropping-particle":"","family":"Averett","given":"Susan","non-dropping-particle":"","parse-names":false,"suffix":""},{"dropping-particle":"","family":"Kohn","given":"Jennifer","non-dropping-particle":"","parse-names":false,"suffix":""}],"container-title":"Oxford Research Encyclopedia of Economics and Finance","id":"ITEM-1","issued":{"date-parts":[["2018","7","30"]]},"title":"The Economics of Families and Health","type":"chapter"},"uris":["http://www.mendeley.com/documents/?uuid=b9a3d296-a224-39d0-b9ce-1e8a90d2e178"]}],"mendeley":{"formattedCitation":"(Averett &amp; Kohn, 2018)","plainTextFormattedCitation":"(Averett &amp; Kohn, 2018)","previouslyFormattedCitation":"(Averett &amp; Kohn, 2018)"},"properties":{"noteIndex":0},"schema":"https://github.com/citation-style-language/schema/raw/master/csl-citation.json"}</w:instrText>
      </w:r>
      <w:r w:rsidRPr="00642AB3">
        <w:fldChar w:fldCharType="separate"/>
      </w:r>
      <w:r w:rsidR="00392021" w:rsidRPr="00392021">
        <w:rPr>
          <w:noProof/>
        </w:rPr>
        <w:t>(Averett &amp; Kohn, 2018)</w:t>
      </w:r>
      <w:r w:rsidRPr="00642AB3">
        <w:fldChar w:fldCharType="end"/>
      </w:r>
      <w:r w:rsidRPr="00642AB3">
        <w:t xml:space="preserve">). </w:t>
      </w:r>
    </w:p>
    <w:p w14:paraId="4F813C20" w14:textId="6E8CE916" w:rsidR="00367E3D" w:rsidRPr="00642AB3" w:rsidRDefault="00367E3D" w:rsidP="00D35786">
      <w:pPr>
        <w:spacing w:line="480" w:lineRule="auto"/>
      </w:pPr>
      <w:r w:rsidRPr="00642AB3">
        <w:t xml:space="preserve">The target population, subpopulations and spillover populations should be considered at the problem structuring stage. This is because these aspects have implications not only to the data collection to inform the economic evaluation but also to the choice of decision options to include in the evaluation, given that the options should be relevant to the target population and subpopulations, and to the development of the conceptual model, so that it can adequately map the relationships between the options and their consequences on costs and health outcomes. </w:t>
      </w:r>
    </w:p>
    <w:p w14:paraId="0CA5D2B0" w14:textId="2817CB58" w:rsidR="00367E3D" w:rsidRPr="00451BA3" w:rsidRDefault="00392021" w:rsidP="00451BA3">
      <w:pPr>
        <w:pStyle w:val="Heading2"/>
      </w:pPr>
      <w:bookmarkStart w:id="3" w:name="_Toc48925881"/>
      <w:r w:rsidRPr="00451BA3">
        <w:t xml:space="preserve">Recommendations </w:t>
      </w:r>
      <w:proofErr w:type="gramStart"/>
      <w:r w:rsidRPr="005C7101">
        <w:t>In</w:t>
      </w:r>
      <w:proofErr w:type="gramEnd"/>
      <w:r w:rsidRPr="005C7101">
        <w:t xml:space="preserve"> Methodological Guidelines</w:t>
      </w:r>
      <w:bookmarkEnd w:id="3"/>
    </w:p>
    <w:p w14:paraId="50905FF6" w14:textId="7359AB3A" w:rsidR="00367E3D" w:rsidRPr="005C7101" w:rsidRDefault="00392021" w:rsidP="00451BA3">
      <w:pPr>
        <w:pStyle w:val="Heading3"/>
      </w:pPr>
      <w:bookmarkStart w:id="4" w:name="_Toc48925882"/>
      <w:r w:rsidRPr="00451BA3">
        <w:t xml:space="preserve">Recommendations </w:t>
      </w:r>
      <w:proofErr w:type="gramStart"/>
      <w:r w:rsidRPr="005C7101">
        <w:t>On</w:t>
      </w:r>
      <w:proofErr w:type="gramEnd"/>
      <w:r w:rsidRPr="005C7101">
        <w:t xml:space="preserve"> Target Population</w:t>
      </w:r>
      <w:bookmarkEnd w:id="4"/>
    </w:p>
    <w:p w14:paraId="4DBE38C8" w14:textId="0814346E" w:rsidR="00367E3D" w:rsidRPr="00642AB3" w:rsidRDefault="00367E3D" w:rsidP="00D35786">
      <w:pPr>
        <w:spacing w:line="480" w:lineRule="auto"/>
      </w:pPr>
      <w:r w:rsidRPr="00642AB3">
        <w:t xml:space="preserve">The recommendations are summarised in Table 1. Four guidelines define the target population as the people for which the technologies are to be used within their specific setting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Canada","type":"article-journal"},"uris":["http://www.mendeley.com/documents/?uuid=c1edb1ae-e4b3-3ad4-9c48-be7c245913bf"]},{"id":"ITEM-2","itemData":{"ISBN":"9781741860009","abstract":"The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Committee","given":"","non-dropping-particle":"","parse-names":false,"suffix":""}],"id":"ITEM-2","issued":{"date-parts":[["2016"]]},"title":"Guidelines for preparing submissions to the Pharmaceutical Benefits Advisory Committee","type":"report"},"uris":["http://www.mendeley.com/documents/?uuid=57a65f32-3da3-380c-b9ea-2dc0de627f0c"]},{"id":"ITEM-3","itemData":{"DOI":"10.1093/acprof:oso/9780190492939.001.0001","ISBN":"9780190492939","abstract":"This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D","non-dropping-particle":"","parse-names":false,"suffix":""}],"id":"ITEM-3","issued":{"date-parts":[["2016"]]},"publisher":"Oxford University Press","publisher-place":"Oxford","title":"Designing a Cost-Effectiveness Analysis","type":"chapter"},"uris":["http://www.mendeley.com/documents/?uuid=5008afc6-8cab-3f7d-94d0-c4aadfc9796e"]},{"id":"ITEM-4","itemData":{"DOI":"10.1016/j.jval.2012.06.012","ISBN":"1524-4733","ISSN":"1524-4733","PMID":"22999128","abstract":"Thee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Health","id":"ITEM-4","issued":{"date-parts":[["2012"]]},"page":"804-811","title":"Conceptualizing a Model: A Report of the ISPOR-SMDM Modeling Good Research Practices Task Force-2","type":"article-journal","volume":"15"},"uris":["http://www.mendeley.com/documents/?uuid=d6058f98-c577-37fc-9309-1ea31daea085"]}],"mendeley":{"formattedCitation":"(Canadian Agency for Drugs and Technologies in Health, 2017; Owens et al., 2016; Pharmaceutical Benefits Advisory Committee, 2016; Roberts et al., 2012)","plainTextFormattedCitation":"(Canadian Agency for Drugs and Technologies in Health, 2017; Owens et al., 2016; Pharmaceutical Benefits Advisory Committee, 2016; Roberts et al., 2012)","previouslyFormattedCitation":"(Canadian Agency for Drugs and Technologies in Health, 2017; Owens et al., 2016; Pharmaceutical Benefits Advisory Committee, 2016; Roberts et al., 2012)"},"properties":{"noteIndex":0},"schema":"https://github.com/citation-style-language/schema/raw/master/csl-citation.json"}</w:instrText>
      </w:r>
      <w:r w:rsidRPr="00642AB3">
        <w:fldChar w:fldCharType="separate"/>
      </w:r>
      <w:r w:rsidRPr="00642AB3">
        <w:rPr>
          <w:noProof/>
        </w:rPr>
        <w:t>(Canadian Agency for Drugs and Technologies in Health, 2017; Owens et al., 2016; Pharmaceutical Benefits Advisory Committee, 2016; Roberts et al., 2012)</w:t>
      </w:r>
      <w:r w:rsidRPr="00642AB3">
        <w:fldChar w:fldCharType="end"/>
      </w:r>
      <w:r w:rsidRPr="00642AB3">
        <w:t xml:space="preserve">. </w:t>
      </w:r>
    </w:p>
    <w:p w14:paraId="15953763" w14:textId="313F0761" w:rsidR="00367E3D" w:rsidRPr="005C7101" w:rsidRDefault="00367E3D" w:rsidP="00451BA3">
      <w:pPr>
        <w:pStyle w:val="Heading3"/>
      </w:pPr>
      <w:bookmarkStart w:id="5" w:name="_Toc48925883"/>
      <w:r w:rsidRPr="00451BA3">
        <w:lastRenderedPageBreak/>
        <w:t xml:space="preserve">Recommendations </w:t>
      </w:r>
      <w:proofErr w:type="gramStart"/>
      <w:r w:rsidR="00392021" w:rsidRPr="00451BA3">
        <w:t>On</w:t>
      </w:r>
      <w:proofErr w:type="gramEnd"/>
      <w:r w:rsidR="00392021" w:rsidRPr="00451BA3">
        <w:t xml:space="preserve"> Heterogeneity</w:t>
      </w:r>
      <w:bookmarkEnd w:id="5"/>
    </w:p>
    <w:p w14:paraId="187A8591" w14:textId="65BA0881" w:rsidR="00367E3D" w:rsidRPr="00642AB3" w:rsidRDefault="00367E3D" w:rsidP="00D35786">
      <w:pPr>
        <w:spacing w:line="480" w:lineRule="auto"/>
      </w:pPr>
      <w:r w:rsidRPr="00642AB3">
        <w:t xml:space="preserve">The guidelines acknowledged a wide variety of sources of heterogeneity (see Table 1). The source of heterogeneity mentioned the most is heterogeneity in the treatment effect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2013","type":"report"},"uris":["http://www.mendeley.com/documents/?uuid=63ed8dfc-b348-31dc-aeaa-c7d1757d8e1c"]},{"id":"ITEM-2","itemData":{"ISBN":"1897257082","abstract":"Cite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Health","given":"","non-dropping-particle":"","parse-names":false,"suffix":""}],"id":"ITEM-2","issue":"March","issued":{"date-parts":[["2017"]]},"page":"1-76","title":"Guidelines for the Economic Evaluation of Health Technologies: Canada","type":"article-journal"},"uris":["http://www.mendeley.com/documents/?uuid=c1edb1ae-e4b3-3ad4-9c48-be7c245913bf"]},{"id":"ITEM-3","itemData":{"ISBN":"9781741860009","abstract":"The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Committee","given":"","non-dropping-particle":"","parse-names":false,"suffix":""}],"id":"ITEM-3","issued":{"date-parts":[["2016"]]},"title":"Guidelines for preparing submissions to the Pharmaceutical Benefits Advisory Committee","type":"report"},"uris":["http://www.mendeley.com/documents/?uuid=57a65f32-3da3-380c-b9ea-2dc0de627f0c"]},{"id":"ITEM-4","itemData":{"author":[{"dropping-particle":"","family":"NICE International","given":"","non-dropping-particle":"","parse-names":false,"suffix":""}],"container-title":"Bill and Melinda Gates Foundation Methods for Economic Evaluation Project (MEEP)","id":"ITEM-4","issue":"January","issued":{"date-parts":[["2014"]]},"number-of-pages":"30-33","title":"Methods for Economic Evaluation Project: Final Report","type":"report"},"uris":["http://www.mendeley.com/documents/?uuid=72af4fb1-6d31-3c01-bc40-a1dbae091c33"]},{"id":"ITEM-5","itemData":{"author":[{"dropping-particle":"","family":"Drummond","given":"Michael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W.","non-dropping-particle":"","parse-names":false,"suffix":""}],"edition":"4th","id":"ITEM-5","issued":{"date-parts":[["2015"]]},"number-of-pages":"464","publisher":"Oxford University Press","publisher-place":"Oxford","title":"Methods for the Economic Evaluation of Health Care Programmes","type":"book"},"uris":["http://www.mendeley.com/documents/?uuid=bfcbd1b8-6b05-4fe8-a3fd-fb1cbb802fd7"]},{"id":"ITEM-6","itemData":{"DOI":"10.1093/acprof:oso/9780190492939.001.0001","ISBN":"9780190492939","abstract":"This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D","non-dropping-particle":"","parse-names":false,"suffix":""}],"id":"ITEM-6","issued":{"date-parts":[["2016"]]},"publisher":"Oxford University Press","publisher-place":"Oxford","title":"Designing a Cost-Effectiveness Analysis","type":"chapter"},"uris":["http://www.mendeley.com/documents/?uuid=5008afc6-8cab-3f7d-94d0-c4aadfc9796e"]}],"mendeley":{"formattedCitation":"(Canadian Agency for Drugs and Technologies in Health, 2017; M. F. Drummond et al., 2015; National Institute for Health and Care Excellence (NICE), 2013; NICE International, 2014; Owens et al., 2016; Pharmaceutical Benefits Advisory Committee, 2016)","plainTextFormattedCitation":"(Canadian Agency for Drugs and Technologies in Health, 2017; M. F. Drummond et al., 2015; National Institute for Health and Care Excellence (NICE), 2013; NICE International, 2014; Owens et al., 2016; Pharmaceutical Benefits Advisory Committee, 2016)","previouslyFormattedCitation":"(Canadian Agency for Drugs and Technologies in Health, 2017; M. F. Drummond et al., 2015; National Institute for Health and Care Excellence (NICE), 2013; NICE International, 2014; Owens et al., 2016; Pharmaceutical Benefits Advisory Committee, 2016)"},"properties":{"noteIndex":0},"schema":"https://github.com/citation-style-language/schema/raw/master/csl-citation.json"}</w:instrText>
      </w:r>
      <w:r w:rsidRPr="00642AB3">
        <w:fldChar w:fldCharType="separate"/>
      </w:r>
      <w:r w:rsidRPr="00642AB3">
        <w:rPr>
          <w:noProof/>
        </w:rPr>
        <w:t>(Canadian Agency for Drugs and Technologies in Health, 2017; M. F. Drummond et al., 2015; National Institute for Health and Care Excellence (NICE), 2013; NICE International, 2014; Owens et al., 2016; Pharmaceutical Benefits Advisory Committee, 2016)</w:t>
      </w:r>
      <w:r w:rsidRPr="00642AB3">
        <w:fldChar w:fldCharType="end"/>
      </w:r>
      <w:r w:rsidRPr="00642AB3">
        <w:t xml:space="preserve">. Five guidelines mention heterogeneity in the absolute level of risk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2013","type":"report"},"uris":["http://www.mendeley.com/documents/?uuid=63ed8dfc-b348-31dc-aeaa-c7d1757d8e1c"]},{"id":"ITEM-2","itemData":{"ISBN":"1897257082","abstract":"Cite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Health","given":"","non-dropping-particle":"","parse-names":false,"suffix":""}],"id":"ITEM-2","issue":"March","issued":{"date-parts":[["2017"]]},"page":"1-76","title":"Guidelines for the Economic Evaluation of Health Technologies: Canada","type":"article-journal"},"uris":["http://www.mendeley.com/documents/?uuid=c1edb1ae-e4b3-3ad4-9c48-be7c245913bf"]},{"id":"ITEM-3","itemData":{"author":[{"dropping-particle":"","family":"NICE International","given":"","non-dropping-particle":"","parse-names":false,"suffix":""}],"container-title":"Bill and Melinda Gates Foundation Methods for Economic Evaluation Project (MEEP)","id":"ITEM-3","issue":"January","issued":{"date-parts":[["2014"]]},"number-of-pages":"30-33","title":"Methods for Economic Evaluation Project: Final Report","type":"report"},"uris":["http://www.mendeley.com/documents/?uuid=72af4fb1-6d31-3c01-bc40-a1dbae091c33"]},{"id":"ITEM-4","itemData":{"DOI":"10.1093/acprof:oso/9780190492939.001.0001","ISBN":"9780190492939","abstract":"This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D","non-dropping-particle":"","parse-names":false,"suffix":""}],"id":"ITEM-4","issued":{"date-parts":[["2016"]]},"publisher":"Oxford University Press","publisher-place":"Oxford","title":"Designing a Cost-Effectiveness Analysis","type":"chapter"},"uris":["http://www.mendeley.com/documents/?uuid=5008afc6-8cab-3f7d-94d0-c4aadfc9796e"]},{"id":"ITEM-5","itemData":{"DOI":"10.1016/j.jval.2012.06.012","ISBN":"1524-4733","ISSN":"1524-4733","PMID":"22999128","abstract":"Thee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Health","id":"ITEM-5","issued":{"date-parts":[["2012"]]},"page":"804-811","title":"Conceptualizing a Model: A Report of the ISPOR-SMDM Modeling Good Research Practices Task Force-2","type":"article-journal","volume":"15"},"uris":["http://www.mendeley.com/documents/?uuid=d6058f98-c577-37fc-9309-1ea31daea085"]}],"mendeley":{"formattedCitation":"(Canadian Agency for Drugs and Technologies in Health, 2017; National Institute for Health and Care Excellence (NICE), 2013; NICE International, 2014; Owens et al., 2016; Roberts et al., 2012)","plainTextFormattedCitation":"(Canadian Agency for Drugs and Technologies in Health, 2017; National Institute for Health and Care Excellence (NICE), 2013; NICE International, 2014; Owens et al., 2016; Roberts et al., 2012)","previouslyFormattedCitation":"(Canadian Agency for Drugs and Technologies in Health, 2017; National Institute for Health and Care Excellence (NICE), 2013; NICE International, 2014; Owens et al., 2016; Roberts et al., 2012)"},"properties":{"noteIndex":0},"schema":"https://github.com/citation-style-language/schema/raw/master/csl-citation.json"}</w:instrText>
      </w:r>
      <w:r w:rsidRPr="00642AB3">
        <w:fldChar w:fldCharType="separate"/>
      </w:r>
      <w:r w:rsidRPr="00642AB3">
        <w:rPr>
          <w:noProof/>
        </w:rPr>
        <w:t>(Canadian Agency for Drugs and Technologies in Health, 2017; National Institute for Health and Care Excellence (NICE), 2013; NICE International, 2014; Owens et al., 2016; Roberts et al., 2012)</w:t>
      </w:r>
      <w:r w:rsidRPr="00642AB3">
        <w:fldChar w:fldCharType="end"/>
      </w:r>
      <w:r w:rsidRPr="00642AB3">
        <w:t xml:space="preserve">. Four guidelines mention heterogeneity in costs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2013","type":"report"},"uris":["http://www.mendeley.com/documents/?uuid=63ed8dfc-b348-31dc-aeaa-c7d1757d8e1c"]},{"id":"ITEM-2","itemData":{"ISBN":"1897257082","abstract":"Cite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Health","given":"","non-dropping-particle":"","parse-names":false,"suffix":""}],"id":"ITEM-2","issue":"March","issued":{"date-parts":[["2017"]]},"page":"1-76","title":"Guidelines for the Economic Evaluation of Health Technologies: Canada","type":"article-journal"},"uris":["http://www.mendeley.com/documents/?uuid=c1edb1ae-e4b3-3ad4-9c48-be7c245913bf"]},{"id":"ITEM-3","itemData":{"author":[{"dropping-particle":"","family":"NICE International","given":"","non-dropping-particle":"","parse-names":false,"suffix":""}],"container-title":"Bill and Melinda Gates Foundation Methods for Economic Evaluation Project (MEEP)","id":"ITEM-3","issue":"January","issued":{"date-parts":[["2014"]]},"number-of-pages":"30-33","title":"Methods for Economic Evaluation Project: Final Report","type":"report"},"uris":["http://www.mendeley.com/documents/?uuid=72af4fb1-6d31-3c01-bc40-a1dbae091c33"]},{"id":"ITEM-4","itemData":{"DOI":"10.1093/acprof:oso/9780190492939.001.0001","ISBN":"9780190492939","abstract":"This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D","non-dropping-particle":"","parse-names":false,"suffix":""}],"id":"ITEM-4","issued":{"date-parts":[["2016"]]},"publisher":"Oxford University Press","publisher-place":"Oxford","title":"Designing a Cost-Effectiveness Analysis","type":"chapter"},"uris":["http://www.mendeley.com/documents/?uuid=5008afc6-8cab-3f7d-94d0-c4aadfc9796e"]}],"mendeley":{"formattedCitation":"(Canadian Agency for Drugs and Technologies in Health, 2017; National Institute for Health and Care Excellence (NICE), 2013; NICE International, 2014; Owens et al., 2016)","plainTextFormattedCitation":"(Canadian Agency for Drugs and Technologies in Health, 2017; National Institute for Health and Care Excellence (NICE), 2013; NICE International, 2014; Owens et al., 2016)","previouslyFormattedCitation":"(Canadian Agency for Drugs and Technologies in Health, 2017; National Institute for Health and Care Excellence (NICE), 2013; NICE International, 2014; Owens et al., 2016)"},"properties":{"noteIndex":0},"schema":"https://github.com/citation-style-language/schema/raw/master/csl-citation.json"}</w:instrText>
      </w:r>
      <w:r w:rsidRPr="00642AB3">
        <w:fldChar w:fldCharType="separate"/>
      </w:r>
      <w:r w:rsidRPr="00642AB3">
        <w:rPr>
          <w:noProof/>
        </w:rPr>
        <w:t>(Canadian Agency for Drugs and Technologies in Health, 2017; National Institute for Health and Care Excellence (NICE), 2013; NICE International, 2014; Owens et al., 2016)</w:t>
      </w:r>
      <w:r w:rsidRPr="00642AB3">
        <w:fldChar w:fldCharType="end"/>
      </w:r>
      <w:r w:rsidRPr="00642AB3">
        <w:t xml:space="preserve">. Other sources of heterogeneity are demographics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Canada","type":"article-journal"},"uris":["http://www.mendeley.com/documents/?uuid=c1edb1ae-e4b3-3ad4-9c48-be7c245913bf"]},{"id":"ITEM-2","itemData":{"DOI":"10.1016/j.jval.2012.06.012","ISBN":"1524-4733","ISSN":"1524-4733","PMID":"22999128","abstract":"Thee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Health","id":"ITEM-2","issued":{"date-parts":[["2012"]]},"page":"804-811","title":"Conceptualizing a Model: A Report of the ISPOR-SMDM Modeling Good Research Practices Task Force-2","type":"article-journal","volume":"15"},"uris":["http://www.mendeley.com/documents/?uuid=d6058f98-c577-37fc-9309-1ea31daea085"]}],"mendeley":{"formattedCitation":"(Canadian Agency for Drugs and Technologies in Health, 2017; Roberts et al., 2012)","plainTextFormattedCitation":"(Canadian Agency for Drugs and Technologies in Health, 2017; Roberts et al., 2012)","previouslyFormattedCitation":"(Canadian Agency for Drugs and Technologies in Health, 2017; Roberts et al., 2012)"},"properties":{"noteIndex":0},"schema":"https://github.com/citation-style-language/schema/raw/master/csl-citation.json"}</w:instrText>
      </w:r>
      <w:r w:rsidRPr="00642AB3">
        <w:fldChar w:fldCharType="separate"/>
      </w:r>
      <w:r w:rsidRPr="00642AB3">
        <w:rPr>
          <w:noProof/>
        </w:rPr>
        <w:t>(Canadian Agency for Drugs and Technologies in Health, 2017; Roberts et al., 2012)</w:t>
      </w:r>
      <w:r w:rsidRPr="00642AB3">
        <w:fldChar w:fldCharType="end"/>
      </w:r>
      <w:r w:rsidRPr="00642AB3">
        <w:t xml:space="preserve">, socio-economic characteristics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Canada","type":"article-journal"},"uris":["http://www.mendeley.com/documents/?uuid=c1edb1ae-e4b3-3ad4-9c48-be7c245913bf"]},{"id":"ITEM-2","itemData":{"DOI":"10.1093/acprof:oso/9780190492939.001.0001","ISBN":"9780190492939","abstract":"This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D","non-dropping-particle":"","parse-names":false,"suffix":""}],"id":"ITEM-2","issued":{"date-parts":[["2016"]]},"publisher":"Oxford University Press","publisher-place":"Oxford","title":"Designing a Cost-Effectiveness Analysis","type":"chapter"},"uris":["http://www.mendeley.com/documents/?uuid=5008afc6-8cab-3f7d-94d0-c4aadfc9796e"]}],"mendeley":{"formattedCitation":"(Canadian Agency for Drugs and Technologies in Health, 2017; Owens et al., 2016)","plainTextFormattedCitation":"(Canadian Agency for Drugs and Technologies in Health, 2017; Owens et al., 2016)","previouslyFormattedCitation":"(Canadian Agency for Drugs and Technologies in Health, 2017; Owens et al., 2016)"},"properties":{"noteIndex":0},"schema":"https://github.com/citation-style-language/schema/raw/master/csl-citation.json"}</w:instrText>
      </w:r>
      <w:r w:rsidRPr="00642AB3">
        <w:fldChar w:fldCharType="separate"/>
      </w:r>
      <w:r w:rsidRPr="00642AB3">
        <w:rPr>
          <w:noProof/>
        </w:rPr>
        <w:t>(Canadian Agency for Drugs and Technologies in Health, 2017; Owens et al., 2016)</w:t>
      </w:r>
      <w:r w:rsidRPr="00642AB3">
        <w:fldChar w:fldCharType="end"/>
      </w:r>
      <w:r w:rsidRPr="00642AB3">
        <w:t xml:space="preserve">, preferences </w:t>
      </w:r>
      <w:r w:rsidRPr="00642AB3">
        <w:fldChar w:fldCharType="begin" w:fldLock="1"/>
      </w:r>
      <w:r w:rsidR="00A33BA4">
        <w:instrText>ADDIN CSL_CITATION {"citationItems":[{"id":"ITEM-1","itemData":{"DOI":"10.1093/acprof:oso/9780190492939.001.0001","ISBN":"9780190492939","abstract":"This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Press","publisher-place":"Oxford","title":"Designing a Cost-Effectiveness Analysis","type":"chapter"},"uris":["http://www.mendeley.com/documents/?uuid=5008afc6-8cab-3f7d-94d0-c4aadfc9796e"]}],"mendeley":{"formattedCitation":"(Owens et al., 2016)","plainTextFormattedCitation":"(Owens et al., 2016)","previouslyFormattedCitation":"(Owens et al., 2016)"},"properties":{"noteIndex":0},"schema":"https://github.com/citation-style-language/schema/raw/master/csl-citation.json"}</w:instrText>
      </w:r>
      <w:r w:rsidRPr="00642AB3">
        <w:fldChar w:fldCharType="separate"/>
      </w:r>
      <w:r w:rsidRPr="00642AB3">
        <w:rPr>
          <w:noProof/>
        </w:rPr>
        <w:t>(Owens et al., 2016)</w:t>
      </w:r>
      <w:r w:rsidRPr="00642AB3">
        <w:fldChar w:fldCharType="end"/>
      </w:r>
      <w:r w:rsidRPr="00642AB3">
        <w:t xml:space="preserve">, quality of life weights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Canada","type":"article-journal"},"uris":["http://www.mendeley.com/documents/?uuid=c1edb1ae-e4b3-3ad4-9c48-be7c245913bf"]}],"mendeley":{"formattedCitation":"(Canadian Agency for Drugs and Technologies in Health, 2017)","plainTextFormattedCitation":"(Canadian Agency for Drugs and Technologies in Health, 2017)","previouslyFormattedCitation":"(Canadian Agency for Drugs and Technologies in Health, 2017)"},"properties":{"noteIndex":0},"schema":"https://github.com/citation-style-language/schema/raw/master/csl-citation.json"}</w:instrText>
      </w:r>
      <w:r w:rsidRPr="00642AB3">
        <w:fldChar w:fldCharType="separate"/>
      </w:r>
      <w:r w:rsidRPr="00642AB3">
        <w:rPr>
          <w:noProof/>
        </w:rPr>
        <w:t>(Canadian Agency for Drugs and Technologies in Health, 2017)</w:t>
      </w:r>
      <w:r w:rsidRPr="00642AB3">
        <w:fldChar w:fldCharType="end"/>
      </w:r>
      <w:r w:rsidRPr="00642AB3">
        <w:t xml:space="preserve">, etc. The NICE Guideline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642AB3">
        <w:fldChar w:fldCharType="separate"/>
      </w:r>
      <w:r w:rsidRPr="00642AB3">
        <w:rPr>
          <w:noProof/>
        </w:rPr>
        <w:t>(National Institute for Health and Care Excellence (NICE), 2013)</w:t>
      </w:r>
      <w:r w:rsidRPr="00642AB3">
        <w:fldChar w:fldCharType="end"/>
      </w:r>
      <w:r w:rsidRPr="00642AB3">
        <w:t xml:space="preserve">, the CADTH Guideline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Canada","type":"article-journal"},"uris":["http://www.mendeley.com/documents/?uuid=c1edb1ae-e4b3-3ad4-9c48-be7c245913bf"]}],"mendeley":{"formattedCitation":"(Canadian Agency for Drugs and Technologies in Health, 2017)","plainTextFormattedCitation":"(Canadian Agency for Drugs and Technologies in Health, 2017)","previouslyFormattedCitation":"(Canadian Agency for Drugs and Technologies in Health, 2017)"},"properties":{"noteIndex":0},"schema":"https://github.com/citation-style-language/schema/raw/master/csl-citation.json"}</w:instrText>
      </w:r>
      <w:r w:rsidRPr="00642AB3">
        <w:fldChar w:fldCharType="separate"/>
      </w:r>
      <w:r w:rsidRPr="00642AB3">
        <w:rPr>
          <w:noProof/>
        </w:rPr>
        <w:t>(Canadian Agency for Drugs and Technologies in Health, 2017)</w:t>
      </w:r>
      <w:r w:rsidRPr="00642AB3">
        <w:fldChar w:fldCharType="end"/>
      </w:r>
      <w:r w:rsidRPr="00642AB3">
        <w:t xml:space="preserve">, the Gates Guideline </w:t>
      </w:r>
      <w:r w:rsidRPr="00642AB3">
        <w:fldChar w:fldCharType="begin" w:fldLock="1"/>
      </w:r>
      <w:r w:rsidR="00A33BA4">
        <w:instrText>ADDIN CSL_CITATION {"citationItems":[{"id":"ITEM-1","itemData":{"author":[{"dropping-particle":"","family":"NICE International","given":"","non-dropping-particle":"","parse-names":false,"suffix":""}],"container-title":"Bill and Melinda Gates Foundation Methods for Economic Evaluation Project (MEEP)","id":"ITEM-1","issue":"January","issued":{"date-parts":[["2014"]]},"number-of-pages":"30-33","title":"Methods for Economic Evaluation Project: Final Report","type":"report"},"uris":["http://www.mendeley.com/documents/?uuid=72af4fb1-6d31-3c01-bc40-a1dbae091c33"]}],"mendeley":{"formattedCitation":"(NICE International, 2014)","plainTextFormattedCitation":"(NICE International, 2014)","previouslyFormattedCitation":"(NICE International, 2014)"},"properties":{"noteIndex":0},"schema":"https://github.com/citation-style-language/schema/raw/master/csl-citation.json"}</w:instrText>
      </w:r>
      <w:r w:rsidRPr="00642AB3">
        <w:fldChar w:fldCharType="separate"/>
      </w:r>
      <w:r w:rsidRPr="00642AB3">
        <w:rPr>
          <w:noProof/>
        </w:rPr>
        <w:t>(NICE International, 2014)</w:t>
      </w:r>
      <w:r w:rsidRPr="00642AB3">
        <w:fldChar w:fldCharType="end"/>
      </w:r>
      <w:r w:rsidRPr="00642AB3">
        <w:t xml:space="preserve"> and the US panel </w:t>
      </w:r>
      <w:r w:rsidRPr="00642AB3">
        <w:fldChar w:fldCharType="begin" w:fldLock="1"/>
      </w:r>
      <w:r w:rsidR="00A33BA4">
        <w:instrText>ADDIN CSL_CITATION {"citationItems":[{"id":"ITEM-1","itemData":{"DOI":"10.1093/acprof:oso/9780190492939.001.0001","ISBN":"9780190492939","abstract":"This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Press","publisher-place":"Oxford","title":"Designing a Cost-Effectiveness Analysis","type":"chapter"},"uris":["http://www.mendeley.com/documents/?uuid=5008afc6-8cab-3f7d-94d0-c4aadfc9796e"]}],"mendeley":{"formattedCitation":"(Owens et al., 2016)","plainTextFormattedCitation":"(Owens et al., 2016)","previouslyFormattedCitation":"(Owens et al., 2016)"},"properties":{"noteIndex":0},"schema":"https://github.com/citation-style-language/schema/raw/master/csl-citation.json"}</w:instrText>
      </w:r>
      <w:r w:rsidRPr="00642AB3">
        <w:fldChar w:fldCharType="separate"/>
      </w:r>
      <w:r w:rsidRPr="00642AB3">
        <w:rPr>
          <w:noProof/>
        </w:rPr>
        <w:t>(Owens et al., 2016)</w:t>
      </w:r>
      <w:r w:rsidRPr="00642AB3">
        <w:fldChar w:fldCharType="end"/>
      </w:r>
      <w:r w:rsidRPr="00642AB3">
        <w:t xml:space="preserve"> all note that some sources of heterogeneity may give rise to ethical and equity concerns. Of all the guidelines, only </w:t>
      </w:r>
      <w:r w:rsidR="00392021">
        <w:t xml:space="preserve">the </w:t>
      </w:r>
      <w:r w:rsidRPr="00642AB3">
        <w:t>NICE</w:t>
      </w:r>
      <w:r w:rsidR="00392021">
        <w:t xml:space="preserve"> Guideline</w:t>
      </w:r>
      <w:r w:rsidRPr="00642AB3">
        <w:t xml:space="preserve"> states that heterogeneity in treatment costs related to social characteristics or related to geographical location are not relevant to the assessment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642AB3">
        <w:fldChar w:fldCharType="separate"/>
      </w:r>
      <w:r w:rsidRPr="00642AB3">
        <w:rPr>
          <w:noProof/>
        </w:rPr>
        <w:t>(National Institute for Health and Care Excellence (NICE), 2013)</w:t>
      </w:r>
      <w:r w:rsidRPr="00642AB3">
        <w:fldChar w:fldCharType="end"/>
      </w:r>
      <w:r w:rsidRPr="00642AB3">
        <w:t>.</w:t>
      </w:r>
      <w:r w:rsidR="00392021">
        <w:t xml:space="preserve"> </w:t>
      </w:r>
    </w:p>
    <w:p w14:paraId="2F62D2C9" w14:textId="71031416" w:rsidR="00367E3D" w:rsidRPr="00642AB3" w:rsidRDefault="00367E3D" w:rsidP="00D35786">
      <w:pPr>
        <w:spacing w:line="480" w:lineRule="auto"/>
      </w:pPr>
      <w:r w:rsidRPr="00642AB3">
        <w:t xml:space="preserve">All guidelines recommend that heterogeneity is explored by presenting results for subpopulations whenever there is reason to expect that the health benefits and/or the costs differ. The EUnetHTA Guideline notes that 15 countries recommend analysis by </w:t>
      </w:r>
      <w:r w:rsidRPr="00642AB3">
        <w:lastRenderedPageBreak/>
        <w:t xml:space="preserve">subpopulation (Austria, Belgium, Croatia, England, Finland, France, Hungary, Ireland, Italy, Norway, The Netherlands, Poland, Slovakia, Spain, Sweden), six countries allow it (Czech Republic, Estonia, Latvia, Germany, Portugal, Scotland), whereas in four countries there was no information available (Denmark, Russia, Slovenia, Switzerland) </w:t>
      </w:r>
      <w:r w:rsidRPr="00642AB3">
        <w:fldChar w:fldCharType="begin" w:fldLock="1"/>
      </w:r>
      <w:r w:rsidR="00A33BA4">
        <w:instrText>ADDIN CSL_CITATION {"citationItems":[{"id":"ITEM-1","itemData":{"author":[{"dropping-particle":"","family":"European Network for Health Technology Assessment (EUneHTA)","given":"","non-dropping-particle":"","parse-names":false,"suffix":""}],"id":"ITEM-1","issued":{"date-parts":[["2015"]]},"number-of-pages":"100","title":"Methods for health economic evaluations -A guideline based on current practices in Europe","type":"report"},"uris":["http://www.mendeley.com/documents/?uuid=82316c6b-dca8-3243-bc63-c6556a5e0a10"]}],"mendeley":{"formattedCitation":"(European Network for Health Technology Assessment (EUneHTA), 2015)","plainTextFormattedCitation":"(European Network for Health Technology Assessment (EUneHTA), 2015)","previouslyFormattedCitation":"(European Network for Health Technology Assessment (EUneHTA), 2015)"},"properties":{"noteIndex":0},"schema":"https://github.com/citation-style-language/schema/raw/master/csl-citation.json"}</w:instrText>
      </w:r>
      <w:r w:rsidRPr="00642AB3">
        <w:fldChar w:fldCharType="separate"/>
      </w:r>
      <w:r w:rsidRPr="00642AB3">
        <w:rPr>
          <w:noProof/>
        </w:rPr>
        <w:t>(European Network for Health Technology Assessment (EUneHTA), 2015)</w:t>
      </w:r>
      <w:r w:rsidRPr="00642AB3">
        <w:fldChar w:fldCharType="end"/>
      </w:r>
      <w:r w:rsidRPr="00642AB3">
        <w:t xml:space="preserve">. </w:t>
      </w:r>
    </w:p>
    <w:p w14:paraId="7D3D2AF4" w14:textId="61DC1DEA" w:rsidR="00367E3D" w:rsidRPr="00642AB3" w:rsidRDefault="00367E3D" w:rsidP="00D35786">
      <w:pPr>
        <w:spacing w:line="480" w:lineRule="auto"/>
      </w:pPr>
      <w:r w:rsidRPr="00642AB3">
        <w:t>The NICE Guideline, the PBAC Guideline and the EUnetHTA Guideline ask for the analysis by subpopulations to be justified on the basis of</w:t>
      </w:r>
      <w:r w:rsidR="00C0402E">
        <w:t xml:space="preserve"> a</w:t>
      </w:r>
      <w:r w:rsidRPr="00642AB3">
        <w:t xml:space="preserve"> clinical </w:t>
      </w:r>
      <w:r w:rsidR="00C0402E">
        <w:t xml:space="preserve">rationale </w:t>
      </w:r>
      <w:r w:rsidRPr="00642AB3">
        <w:fldChar w:fldCharType="begin" w:fldLock="1"/>
      </w:r>
      <w:r w:rsidR="00A33BA4">
        <w:instrText>ADDIN CSL_CITATION {"citationItems":[{"id":"ITEM-1","itemData":{"ISBN":"9781741860009","abstract":"The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Committee","given":"","non-dropping-particle":"","parse-names":false,"suffix":""}],"id":"ITEM-1","issued":{"date-parts":[["2016"]]},"title":"Guidelines for preparing submissions to the Pharmaceutical Benefits Advisory Committee","type":"report"},"uris":["http://www.mendeley.com/documents/?uuid=57a65f32-3da3-380c-b9ea-2dc0de627f0c"]},{"id":"ITEM-2","itemData":{"author":[{"dropping-particle":"","family":"European Network for Health Technology Assessment (EUneHTA)","given":"","non-dropping-particle":"","parse-names":false,"suffix":""}],"id":"ITEM-2","issued":{"date-parts":[["2015"]]},"number-of-pages":"100","title":"Methods for health economic evaluations -A guideline based on current practices in Europe","type":"report"},"uris":["http://www.mendeley.com/documents/?uuid=82316c6b-dca8-3243-bc63-c6556a5e0a10"]}],"mendeley":{"formattedCitation":"(European Network for Health Technology Assessment (EUneHTA), 2015; Pharmaceutical Benefits Advisory Committee, 2016)","plainTextFormattedCitation":"(European Network for Health Technology Assessment (EUneHTA), 2015; Pharmaceutical Benefits Advisory Committee, 2016)","previouslyFormattedCitation":"(European Network for Health Technology Assessment (EUneHTA), 2015; Pharmaceutical Benefits Advisory Committee, 2016)"},"properties":{"noteIndex":0},"schema":"https://github.com/citation-style-language/schema/raw/master/csl-citation.json"}</w:instrText>
      </w:r>
      <w:r w:rsidRPr="00642AB3">
        <w:fldChar w:fldCharType="separate"/>
      </w:r>
      <w:r w:rsidRPr="00642AB3">
        <w:rPr>
          <w:noProof/>
        </w:rPr>
        <w:t>(European Network for Health Technology Assessment (EUneHTA), 2015; Pharmaceutical Benefits Advisory Committee, 2016)</w:t>
      </w:r>
      <w:r w:rsidRPr="00642AB3">
        <w:fldChar w:fldCharType="end"/>
      </w:r>
      <w:r w:rsidRPr="00642AB3">
        <w:t xml:space="preserve">, </w:t>
      </w:r>
      <w:r w:rsidR="00C0402E">
        <w:t xml:space="preserve">a </w:t>
      </w:r>
      <w:r w:rsidRPr="00642AB3">
        <w:t xml:space="preserve">pharmacological or biological mechanism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2013","type":"report"},"uris":["http://www.mendeley.com/documents/?uuid=63ed8dfc-b348-31dc-aeaa-c7d1757d8e1c"]},{"id":"ITEM-2","itemData":{"ISBN":"9781741860009","abstract":"The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Committee","given":"","non-dropping-particle":"","parse-names":false,"suffix":""}],"id":"ITEM-2","issued":{"date-parts":[["2016"]]},"title":"Guidelines for preparing submissions to the Pharmaceutical Benefits Advisory Committee","type":"report"},"uris":["http://www.mendeley.com/documents/?uuid=57a65f32-3da3-380c-b9ea-2dc0de627f0c"]}],"mendeley":{"formattedCitation":"(National Institute for Health and Care Excellence (NICE), 2013; Pharmaceutical Benefits Advisory Committee, 2016)","plainTextFormattedCitation":"(National Institute for Health and Care Excellence (NICE), 2013; Pharmaceutical Benefits Advisory Committee, 2016)","previouslyFormattedCitation":"(National Institute for Health and Care Excellence (NICE), 2013; Pharmaceutical Benefits Advisory Committee, 2016)"},"properties":{"noteIndex":0},"schema":"https://github.com/citation-style-language/schema/raw/master/csl-citation.json"}</w:instrText>
      </w:r>
      <w:r w:rsidRPr="00642AB3">
        <w:fldChar w:fldCharType="separate"/>
      </w:r>
      <w:r w:rsidRPr="00642AB3">
        <w:rPr>
          <w:noProof/>
        </w:rPr>
        <w:t>(National Institute for Health and Care Excellence (NICE), 2013; Pharmaceutical Benefits Advisory Committee, 2016)</w:t>
      </w:r>
      <w:r w:rsidRPr="00642AB3">
        <w:fldChar w:fldCharType="end"/>
      </w:r>
      <w:r w:rsidRPr="00642AB3">
        <w:t xml:space="preserve">, social characteristics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642AB3">
        <w:fldChar w:fldCharType="separate"/>
      </w:r>
      <w:r w:rsidRPr="00642AB3">
        <w:rPr>
          <w:noProof/>
        </w:rPr>
        <w:t>(National Institute for Health and Care Excellence (NICE), 2013)</w:t>
      </w:r>
      <w:r w:rsidRPr="00642AB3">
        <w:fldChar w:fldCharType="end"/>
      </w:r>
      <w:r w:rsidRPr="00642AB3">
        <w:t xml:space="preserve">, and robustness of the evidence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2013","type":"report"},"uris":["http://www.mendeley.com/documents/?uuid=63ed8dfc-b348-31dc-aeaa-c7d1757d8e1c"]},{"id":"ITEM-2","itemData":{"ISBN":"9781741860009","abstract":"The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Committee","given":"","non-dropping-particle":"","parse-names":false,"suffix":""}],"id":"ITEM-2","issued":{"date-parts":[["2016"]]},"title":"Guidelines for preparing submissions to the Pharmaceutical Benefits Advisory Committee","type":"report"},"uris":["http://www.mendeley.com/documents/?uuid=57a65f32-3da3-380c-b9ea-2dc0de627f0c"]}],"mendeley":{"formattedCitation":"(National Institute for Health and Care Excellence (NICE), 2013; Pharmaceutical Benefits Advisory Committee, 2016)","plainTextFormattedCitation":"(National Institute for Health and Care Excellence (NICE), 2013; Pharmaceutical Benefits Advisory Committee, 2016)","previouslyFormattedCitation":"(National Institute for Health and Care Excellence (NICE), 2013; Pharmaceutical Benefits Advisory Committee, 2016)"},"properties":{"noteIndex":0},"schema":"https://github.com/citation-style-language/schema/raw/master/csl-citation.json"}</w:instrText>
      </w:r>
      <w:r w:rsidRPr="00642AB3">
        <w:fldChar w:fldCharType="separate"/>
      </w:r>
      <w:r w:rsidRPr="00642AB3">
        <w:rPr>
          <w:noProof/>
        </w:rPr>
        <w:t>(National Institute for Health and Care Excellence (NICE), 2013; Pharmaceutical Benefits Advisory Committee, 2016)</w:t>
      </w:r>
      <w:r w:rsidRPr="00642AB3">
        <w:fldChar w:fldCharType="end"/>
      </w:r>
      <w:r w:rsidRPr="00642AB3">
        <w:t xml:space="preserve">. </w:t>
      </w:r>
    </w:p>
    <w:p w14:paraId="6BD82F3E" w14:textId="0F7025D8" w:rsidR="00367E3D" w:rsidRPr="00642AB3" w:rsidRDefault="00367E3D" w:rsidP="00451BA3">
      <w:pPr>
        <w:pStyle w:val="Heading3"/>
      </w:pPr>
      <w:bookmarkStart w:id="6" w:name="_Toc48925884"/>
      <w:r w:rsidRPr="00642AB3">
        <w:t xml:space="preserve">Recommendations </w:t>
      </w:r>
      <w:proofErr w:type="gramStart"/>
      <w:r w:rsidR="00392021" w:rsidRPr="00642AB3">
        <w:t>On</w:t>
      </w:r>
      <w:proofErr w:type="gramEnd"/>
      <w:r w:rsidR="00392021" w:rsidRPr="00642AB3">
        <w:t xml:space="preserve"> Spillover Effects</w:t>
      </w:r>
      <w:bookmarkEnd w:id="6"/>
    </w:p>
    <w:p w14:paraId="31C2B81A" w14:textId="77D34DB1" w:rsidR="00367E3D" w:rsidRPr="00642AB3" w:rsidRDefault="00367E3D" w:rsidP="00D35786">
      <w:pPr>
        <w:spacing w:line="480" w:lineRule="auto"/>
      </w:pPr>
      <w:r w:rsidRPr="00642AB3">
        <w:t xml:space="preserve">Spillover effects are not explicitly referred to in the NICE Guideline, although, under </w:t>
      </w:r>
      <w:r w:rsidR="005859B6">
        <w:t xml:space="preserve">the section on </w:t>
      </w:r>
      <w:r w:rsidRPr="00642AB3">
        <w:t>perspective, there is a recommendation that direct health effects should be included in the base-case,</w:t>
      </w:r>
      <w:r w:rsidR="005859B6">
        <w:t xml:space="preserve"> </w:t>
      </w:r>
      <w:r w:rsidRPr="00642AB3">
        <w:t xml:space="preserve">whether for patients or other people (e.g. carers)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642AB3">
        <w:fldChar w:fldCharType="separate"/>
      </w:r>
      <w:r w:rsidRPr="00642AB3">
        <w:rPr>
          <w:noProof/>
        </w:rPr>
        <w:t>(National Institute for Health and Care Excellence (NICE), 2013)</w:t>
      </w:r>
      <w:r w:rsidRPr="00642AB3">
        <w:fldChar w:fldCharType="end"/>
      </w:r>
      <w:r w:rsidRPr="00642AB3">
        <w:t xml:space="preserve">. This suggests that spillover effects should be considered, although only if they are direct health effects. The CADTH Guideline explicitly recommends that spillover effects should be considered and addressed in a non-reference case analysis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Canada","type":"article-journal"},"uris":["http://www.mendeley.com/documents/?uuid=c1edb1ae-e4b3-3ad4-9c48-be7c245913bf"]}],"mendeley":{"formattedCitation":"(Canadian Agency for Drugs and Technologies in Health, 2017)","plainTextFormattedCitation":"(Canadian Agency for Drugs and Technologies in Health, 2017)","previouslyFormattedCitation":"(Canadian Agency for Drugs and Technologies in Health, 2017)"},"properties":{"noteIndex":0},"schema":"https://github.com/citation-style-language/schema/raw/master/csl-citation.json"}</w:instrText>
      </w:r>
      <w:r w:rsidRPr="00642AB3">
        <w:fldChar w:fldCharType="separate"/>
      </w:r>
      <w:r w:rsidRPr="00642AB3">
        <w:rPr>
          <w:noProof/>
        </w:rPr>
        <w:t>(Canadian Agency for Drugs and Technologies in Health, 2017)</w:t>
      </w:r>
      <w:r w:rsidRPr="00642AB3">
        <w:fldChar w:fldCharType="end"/>
      </w:r>
      <w:r w:rsidRPr="00642AB3">
        <w:t xml:space="preserve">. Similarly, the PBAC Guideline allows supplementary analyses where the beneficiaries of the technology are broader than the treated (target) population </w:t>
      </w:r>
      <w:r w:rsidRPr="00642AB3">
        <w:fldChar w:fldCharType="begin" w:fldLock="1"/>
      </w:r>
      <w:r w:rsidR="00A33BA4">
        <w:instrText>ADDIN CSL_CITATION {"citationItems":[{"id":"ITEM-1","itemData":{"ISBN":"9781741860009","abstract":"The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Committee","given":"","non-dropping-particle":"","parse-names":false,"suffix":""}],"id":"ITEM-1","issued":{"date-parts":[["2016"]]},"title":"Guidelines for preparing submissions to the Pharmaceutical Benefits Advisory Committee","type":"report"},"uris":["http://www.mendeley.com/documents/?uuid=57a65f32-3da3-380c-b9ea-2dc0de627f0c"]}],"mendeley":{"formattedCitation":"(Pharmaceutical Benefits Advisory Committee, 2016)","plainTextFormattedCitation":"(Pharmaceutical Benefits Advisory Committee, 2016)","previouslyFormattedCitation":"(Pharmaceutical Benefits Advisory Committee, 2016)"},"properties":{"noteIndex":0},"schema":"https://github.com/citation-style-language/schema/raw/master/csl-citation.json"}</w:instrText>
      </w:r>
      <w:r w:rsidRPr="00642AB3">
        <w:fldChar w:fldCharType="separate"/>
      </w:r>
      <w:r w:rsidRPr="00642AB3">
        <w:rPr>
          <w:noProof/>
        </w:rPr>
        <w:t>(Pharmaceutical Benefits Advisory Committee, 2016)</w:t>
      </w:r>
      <w:r w:rsidRPr="00642AB3">
        <w:fldChar w:fldCharType="end"/>
      </w:r>
      <w:r w:rsidRPr="00642AB3">
        <w:t xml:space="preserve">. The US Panel discusses spillover effects under the scope of the </w:t>
      </w:r>
      <w:r w:rsidRPr="00642AB3">
        <w:lastRenderedPageBreak/>
        <w:t xml:space="preserve">evaluation, in the chapter on designing a cost-effectiveness analysis </w:t>
      </w:r>
      <w:r w:rsidRPr="00642AB3">
        <w:fldChar w:fldCharType="begin" w:fldLock="1"/>
      </w:r>
      <w:r w:rsidR="00A33BA4">
        <w:instrText>ADDIN CSL_CITATION {"citationItems":[{"id":"ITEM-1","itemData":{"DOI":"10.1093/acprof:oso/9780190492939.001.0001","ISBN":"9780190492939","abstract":"This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Press","publisher-place":"Oxford","title":"Designing a Cost-Effectiveness Analysis","type":"chapter"},"uris":["http://www.mendeley.com/documents/?uuid=5008afc6-8cab-3f7d-94d0-c4aadfc9796e"]}],"mendeley":{"formattedCitation":"(Owens et al., 2016)","plainTextFormattedCitation":"(Owens et al., 2016)","previouslyFormattedCitation":"(Owens et al., 2016)"},"properties":{"noteIndex":0},"schema":"https://github.com/citation-style-language/schema/raw/master/csl-citation.json"}</w:instrText>
      </w:r>
      <w:r w:rsidRPr="00642AB3">
        <w:fldChar w:fldCharType="separate"/>
      </w:r>
      <w:r w:rsidRPr="00642AB3">
        <w:rPr>
          <w:noProof/>
        </w:rPr>
        <w:t>(Owens et al., 2016)</w:t>
      </w:r>
      <w:r w:rsidRPr="00642AB3">
        <w:fldChar w:fldCharType="end"/>
      </w:r>
      <w:r w:rsidRPr="00642AB3">
        <w:t>. Here, the US Panel recommends that the analysis should include all populations where there are “</w:t>
      </w:r>
      <w:r w:rsidRPr="00642AB3">
        <w:rPr>
          <w:i/>
          <w:iCs/>
        </w:rPr>
        <w:t>notable</w:t>
      </w:r>
      <w:r w:rsidRPr="00642AB3">
        <w:t xml:space="preserve">” effects (p.24), and that the analyst should define and justify the inclusion/exclusion criteria </w:t>
      </w:r>
      <w:r w:rsidRPr="00642AB3">
        <w:fldChar w:fldCharType="begin" w:fldLock="1"/>
      </w:r>
      <w:r w:rsidR="00A33BA4">
        <w:instrText>ADDIN CSL_CITATION {"citationItems":[{"id":"ITEM-1","itemData":{"DOI":"10.1093/acprof:oso/9780190492939.001.0001","ISBN":"9780190492939","abstract":"This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Press","publisher-place":"Oxford","title":"Designing a Cost-Effectiveness Analysis","type":"chapter"},"uris":["http://www.mendeley.com/documents/?uuid=5008afc6-8cab-3f7d-94d0-c4aadfc9796e"]}],"mendeley":{"formattedCitation":"(Owens et al., 2016)","plainTextFormattedCitation":"(Owens et al., 2016)","previouslyFormattedCitation":"(Owens et al., 2016)"},"properties":{"noteIndex":0},"schema":"https://github.com/citation-style-language/schema/raw/master/csl-citation.json"}</w:instrText>
      </w:r>
      <w:r w:rsidRPr="00642AB3">
        <w:fldChar w:fldCharType="separate"/>
      </w:r>
      <w:r w:rsidRPr="00642AB3">
        <w:rPr>
          <w:noProof/>
        </w:rPr>
        <w:t>(Owens et al., 2016)</w:t>
      </w:r>
      <w:r w:rsidRPr="00642AB3">
        <w:fldChar w:fldCharType="end"/>
      </w:r>
      <w:r w:rsidRPr="00642AB3">
        <w:t xml:space="preserve">. In another chapter, on identifying and quantifying the consequences of interventions, the US Panel recommends considering the recipients of the technology, their formal and informal carers, and the larger community </w:t>
      </w:r>
      <w:r w:rsidRPr="00642AB3">
        <w:fldChar w:fldCharType="begin" w:fldLock="1"/>
      </w:r>
      <w:r w:rsidR="00A33BA4">
        <w:instrText>ADDIN CSL_CITATION {"citationItems":[{"id":"ITEM-1","itemData":{"DOI":"10.1093/acprof:oso/9780190492939.001.0001","ISBN":"9780190492939","abstract":"There are two distinct phases in identifying and quantifying consequences: a broad and systematic review of relevant consequences of the decision being evaluated and identification of data sources and measurement approaches for quantifying them. Cost-effectiveness analyses should identify all significant consequences related to health (survival and/or health status) and resource use in the healthcare sector, as well as consequences in other sectors. Consequences may be distinguished along various dimensions, including the sector in which they occur; groups with different degrees of proximity to the intervention (target population versus other affected groups); and different time points. The Impact Inventory provides a framework for listing all consequences of an intervention, within and outside the healthcare sector, and encouraging explicit discussion of omitted elements and their likely effect on the conclusions of an analysis.","author":[{"dropping-particle":"","family":"Salomon","given":"Joshua A.","non-dropping-particle":"","parse-names":false,"suffix":""},{"dropping-particle":"","family":"Trikalinos","given":"Thomas A.","non-dropping-particle":"","parse-names":false,"suffix":""},{"dropping-particle":"","family":"Sanders","given":"Gillian D.","non-dropping-particle":"","parse-names":false,"suffix":""},{"dropping-particle":"","family":"Mandelblatt","given":"Jeanne S.","non-dropping-particle":"","parse-names":false,"suffix":""}],"container-title":"Cost-Effectiveness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D.","non-dropping-particle":"","parse-names":false,"suffix":""},{"dropping-particle":"","family":"Siegel","given":"Joanna","non-dropping-particle":"","parse-names":false,"suffix":""}],"id":"ITEM-1","issued":{"date-parts":[["2016"]]},"page":"137-166","publisher":"Oxford University Press","publisher-place":"Oxford","title":"Identifying and Quantifying the Consequences of Interventions","type":"chapter"},"uris":["http://www.mendeley.com/documents/?uuid=d680cf3f-e865-391b-884d-c3464bbd632f"]}],"mendeley":{"formattedCitation":"(Salomon, Trikalinos, Sanders, &amp; Mandelblatt, 2016)","plainTextFormattedCitation":"(Salomon, Trikalinos, Sanders, &amp; Mandelblatt, 2016)","previouslyFormattedCitation":"(Salomon, Trikalinos, Sanders, &amp; Mandelblatt, 2016)"},"properties":{"noteIndex":0},"schema":"https://github.com/citation-style-language/schema/raw/master/csl-citation.json"}</w:instrText>
      </w:r>
      <w:r w:rsidRPr="00642AB3">
        <w:fldChar w:fldCharType="separate"/>
      </w:r>
      <w:r w:rsidRPr="00642AB3">
        <w:rPr>
          <w:noProof/>
        </w:rPr>
        <w:t>(Salomon, Trikalinos, Sanders, &amp; Mandelblatt, 2016)</w:t>
      </w:r>
      <w:r w:rsidRPr="00642AB3">
        <w:fldChar w:fldCharType="end"/>
      </w:r>
      <w:r w:rsidRPr="00642AB3">
        <w:t xml:space="preserve">. The ISPOR taskforce also recommends that effects in people who are not in the target population should be considered </w:t>
      </w:r>
      <w:r w:rsidRPr="00642AB3">
        <w:fldChar w:fldCharType="begin" w:fldLock="1"/>
      </w:r>
      <w:r w:rsidR="00A33BA4">
        <w:instrText>ADDIN CSL_CITATION {"citationItems":[{"id":"ITEM-1","itemData":{"DOI":"10.1016/j.jval.2012.06.012","ISBN":"1524-4733","ISSN":"1524-4733","PMID":"22999128","abstract":"Thee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Health","id":"ITEM-1","issued":{"date-parts":[["2012"]]},"page":"804-811","title":"Conceptualizing a Model: A Report of the ISPOR-SMDM Modeling Good Research Practices Task Force-2","type":"article-journal","volume":"15"},"uris":["http://www.mendeley.com/documents/?uuid=d6058f98-c577-37fc-9309-1ea31daea085"]}],"mendeley":{"formattedCitation":"(Roberts et al., 2012)","plainTextFormattedCitation":"(Roberts et al., 2012)","previouslyFormattedCitation":"(Roberts et al., 2012)"},"properties":{"noteIndex":0},"schema":"https://github.com/citation-style-language/schema/raw/master/csl-citation.json"}</w:instrText>
      </w:r>
      <w:r w:rsidRPr="00642AB3">
        <w:fldChar w:fldCharType="separate"/>
      </w:r>
      <w:r w:rsidRPr="00642AB3">
        <w:rPr>
          <w:noProof/>
        </w:rPr>
        <w:t>(Roberts et al., 2012)</w:t>
      </w:r>
      <w:r w:rsidRPr="00642AB3">
        <w:fldChar w:fldCharType="end"/>
      </w:r>
      <w:r w:rsidRPr="00642AB3">
        <w:t xml:space="preserve">. The EUnetHTA Guideline, the Gates Guideline, and Drummond et al do not discuss spillover effects; effects on families and carers are touched on under perspective but focussing on the question of whether to include costs outside the health care budget </w:t>
      </w:r>
      <w:r w:rsidRPr="00642AB3">
        <w:fldChar w:fldCharType="begin" w:fldLock="1"/>
      </w:r>
      <w:r w:rsidR="00A33BA4">
        <w:instrText>ADDIN CSL_CITATION {"citationItems":[{"id":"ITEM-1","itemData":{"author":[{"dropping-particle":"","family":"European Network for Health Technology Assessment (EUneHTA)","given":"","non-dropping-particle":"","parse-names":false,"suffix":""}],"id":"ITEM-1","issued":{"date-parts":[["2015"]]},"number-of-pages":"100","title":"Methods for health economic evaluations -A guideline based on current practices in Europe","type":"report"},"uris":["http://www.mendeley.com/documents/?uuid=82316c6b-dca8-3243-bc63-c6556a5e0a10"]},{"id":"ITEM-2","itemData":{"author":[{"dropping-particle":"","family":"NICE International","given":"","non-dropping-particle":"","parse-names":false,"suffix":""}],"container-title":"Bill and Melinda Gates Foundation Methods for Economic Evaluation Project (MEEP)","id":"ITEM-2","issue":"January","issued":{"date-parts":[["2014"]]},"number-of-pages":"30-33","title":"Methods for Economic Evaluation Project: Final Report","type":"report"},"uris":["http://www.mendeley.com/documents/?uuid=72af4fb1-6d31-3c01-bc40-a1dbae091c33"]},{"id":"ITEM-3","itemData":{"author":[{"dropping-particle":"","family":"Drummond","given":"Michael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W.","non-dropping-particle":"","parse-names":false,"suffix":""}],"edition":"4th","id":"ITEM-3","issued":{"date-parts":[["2015"]]},"number-of-pages":"464","publisher":"Oxford University Press","publisher-place":"Oxford","title":"Methods for the Economic Evaluation of Health Care Programmes","type":"book"},"uris":["http://www.mendeley.com/documents/?uuid=bfcbd1b8-6b05-4fe8-a3fd-fb1cbb802fd7"]}],"mendeley":{"formattedCitation":"(M. F. Drummond et al., 2015; European Network for Health Technology Assessment (EUneHTA), 2015; NICE International, 2014)","plainTextFormattedCitation":"(M. F. Drummond et al., 2015; European Network for Health Technology Assessment (EUneHTA), 2015; NICE International, 2014)","previouslyFormattedCitation":"(M. F. Drummond et al., 2015; European Network for Health Technology Assessment (EUneHTA), 2015; NICE International, 2014)"},"properties":{"noteIndex":0},"schema":"https://github.com/citation-style-language/schema/raw/master/csl-citation.json"}</w:instrText>
      </w:r>
      <w:r w:rsidRPr="00642AB3">
        <w:fldChar w:fldCharType="separate"/>
      </w:r>
      <w:r w:rsidRPr="00642AB3">
        <w:rPr>
          <w:noProof/>
        </w:rPr>
        <w:t>(M. F. Drummond et al., 2015; European Network for Health Technology Assessment (EUneHTA), 2015; NICE International, 2014)</w:t>
      </w:r>
      <w:r w:rsidRPr="00642AB3">
        <w:fldChar w:fldCharType="end"/>
      </w:r>
      <w:r w:rsidRPr="00642AB3">
        <w:t xml:space="preserve">. </w:t>
      </w:r>
    </w:p>
    <w:p w14:paraId="50D56A1F" w14:textId="77777777" w:rsidR="005859B6" w:rsidRDefault="00367E3D" w:rsidP="00D35786">
      <w:pPr>
        <w:spacing w:line="480" w:lineRule="auto"/>
        <w:rPr>
          <w:rFonts w:eastAsia="Calibri"/>
          <w:highlight w:val="yellow"/>
        </w:rPr>
      </w:pPr>
      <w:r w:rsidRPr="00642AB3">
        <w:t xml:space="preserve"> </w:t>
      </w:r>
    </w:p>
    <w:p w14:paraId="274E8627" w14:textId="77777777" w:rsidR="005859B6" w:rsidRDefault="005859B6" w:rsidP="00D35786">
      <w:pPr>
        <w:spacing w:line="480" w:lineRule="auto"/>
        <w:rPr>
          <w:rFonts w:eastAsia="Calibri"/>
          <w:highlight w:val="yellow"/>
        </w:rPr>
        <w:sectPr w:rsidR="005859B6" w:rsidSect="008E5E08">
          <w:footnotePr>
            <w:numFmt w:val="lowerLetter"/>
          </w:footnotePr>
          <w:pgSz w:w="11906" w:h="16838"/>
          <w:pgMar w:top="1440" w:right="1440" w:bottom="1440" w:left="1440" w:header="708" w:footer="708" w:gutter="0"/>
          <w:cols w:space="708"/>
          <w:docGrid w:linePitch="360"/>
        </w:sectPr>
      </w:pPr>
    </w:p>
    <w:p w14:paraId="3019E381" w14:textId="3D8DDFFD" w:rsidR="00367E3D" w:rsidRPr="00642AB3" w:rsidRDefault="00367E3D" w:rsidP="00C0402E"/>
    <w:p w14:paraId="2BAD4BF9" w14:textId="315074CD" w:rsidR="005859B6" w:rsidRDefault="005859B6" w:rsidP="00A454EB">
      <w:r w:rsidRPr="00642AB3">
        <w:rPr>
          <w:i/>
          <w:iCs/>
          <w:color w:val="44546A" w:themeColor="text2"/>
        </w:rPr>
        <w:t xml:space="preserve">Table </w:t>
      </w:r>
      <w:r w:rsidRPr="00642AB3">
        <w:rPr>
          <w:i/>
          <w:iCs/>
          <w:noProof/>
          <w:color w:val="44546A" w:themeColor="text2"/>
        </w:rPr>
        <w:fldChar w:fldCharType="begin"/>
      </w:r>
      <w:r w:rsidRPr="00642AB3">
        <w:rPr>
          <w:i/>
          <w:iCs/>
          <w:noProof/>
          <w:color w:val="44546A" w:themeColor="text2"/>
        </w:rPr>
        <w:instrText xml:space="preserve"> SEQ Table \* ARABIC </w:instrText>
      </w:r>
      <w:r w:rsidRPr="00642AB3">
        <w:rPr>
          <w:i/>
          <w:iCs/>
          <w:noProof/>
          <w:color w:val="44546A" w:themeColor="text2"/>
        </w:rPr>
        <w:fldChar w:fldCharType="separate"/>
      </w:r>
      <w:r w:rsidRPr="00642AB3">
        <w:rPr>
          <w:i/>
          <w:iCs/>
          <w:noProof/>
          <w:color w:val="44546A" w:themeColor="text2"/>
        </w:rPr>
        <w:t>1</w:t>
      </w:r>
      <w:r w:rsidRPr="00642AB3">
        <w:rPr>
          <w:i/>
          <w:iCs/>
          <w:noProof/>
          <w:color w:val="44546A" w:themeColor="text2"/>
        </w:rPr>
        <w:fldChar w:fldCharType="end"/>
      </w:r>
      <w:r w:rsidRPr="00642AB3">
        <w:rPr>
          <w:i/>
          <w:iCs/>
          <w:color w:val="44546A" w:themeColor="text2"/>
        </w:rPr>
        <w:t>: Summary of recommendations on target population, subpopulations and spillover effects</w:t>
      </w:r>
    </w:p>
    <w:tbl>
      <w:tblPr>
        <w:tblStyle w:val="TableGrid1"/>
        <w:tblW w:w="5000" w:type="pct"/>
        <w:tblLook w:val="04A0" w:firstRow="1" w:lastRow="0" w:firstColumn="1" w:lastColumn="0" w:noHBand="0" w:noVBand="1"/>
      </w:tblPr>
      <w:tblGrid>
        <w:gridCol w:w="1812"/>
        <w:gridCol w:w="1149"/>
        <w:gridCol w:w="1361"/>
        <w:gridCol w:w="2435"/>
        <w:gridCol w:w="1939"/>
        <w:gridCol w:w="1356"/>
        <w:gridCol w:w="1196"/>
        <w:gridCol w:w="972"/>
        <w:gridCol w:w="1728"/>
      </w:tblGrid>
      <w:tr w:rsidR="005859B6" w:rsidRPr="005859B6" w14:paraId="05601CDF" w14:textId="77777777" w:rsidTr="00C0402E">
        <w:tc>
          <w:tcPr>
            <w:tcW w:w="938" w:type="pct"/>
            <w:vAlign w:val="center"/>
          </w:tcPr>
          <w:p w14:paraId="5D05AACB" w14:textId="77777777" w:rsidR="005859B6" w:rsidRPr="005859B6" w:rsidRDefault="005859B6" w:rsidP="005859B6">
            <w:pPr>
              <w:spacing w:line="480" w:lineRule="auto"/>
            </w:pPr>
            <w:r w:rsidRPr="005859B6">
              <w:t>Recommendations</w:t>
            </w:r>
          </w:p>
        </w:tc>
        <w:tc>
          <w:tcPr>
            <w:tcW w:w="532" w:type="pct"/>
          </w:tcPr>
          <w:p w14:paraId="3D761C44" w14:textId="77777777" w:rsidR="005859B6" w:rsidRPr="005859B6" w:rsidRDefault="005859B6" w:rsidP="005859B6">
            <w:pPr>
              <w:spacing w:line="480" w:lineRule="auto"/>
            </w:pPr>
            <w:r w:rsidRPr="005859B6">
              <w:t xml:space="preserve">NICE Guideline </w:t>
            </w:r>
            <w:r w:rsidRPr="005859B6">
              <w:fldChar w:fldCharType="begin" w:fldLock="1"/>
            </w:r>
            <w:r w:rsidRPr="005859B6">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5859B6">
              <w:fldChar w:fldCharType="separate"/>
            </w:r>
            <w:r w:rsidRPr="005859B6">
              <w:rPr>
                <w:noProof/>
              </w:rPr>
              <w:t>(National Institute for Health and Care Excellence (NICE), 2013)</w:t>
            </w:r>
            <w:r w:rsidRPr="005859B6">
              <w:fldChar w:fldCharType="end"/>
            </w:r>
          </w:p>
        </w:tc>
        <w:tc>
          <w:tcPr>
            <w:tcW w:w="475" w:type="pct"/>
          </w:tcPr>
          <w:p w14:paraId="77273378" w14:textId="77777777" w:rsidR="005859B6" w:rsidRPr="005859B6" w:rsidRDefault="005859B6" w:rsidP="005859B6">
            <w:pPr>
              <w:spacing w:line="480" w:lineRule="auto"/>
            </w:pPr>
            <w:r w:rsidRPr="005859B6">
              <w:t xml:space="preserve">CADTH Guideline </w:t>
            </w:r>
            <w:r w:rsidRPr="005859B6">
              <w:fldChar w:fldCharType="begin" w:fldLock="1"/>
            </w:r>
            <w:r w:rsidRPr="005859B6">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Canada","type":"article-journal"},"uris":["http://www.mendeley.com/documents/?uuid=c1edb1ae-e4b3-3ad4-9c48-be7c245913bf"]}],"mendeley":{"formattedCitation":"(Canadian Agency for Drugs and Technologies in Health, 2017)","plainTextFormattedCitation":"(Canadian Agency for Drugs and Technologies in Health, 2017)","previouslyFormattedCitation":"(Canadian Agency for Drugs and Technologies in Health, 2017)"},"properties":{"noteIndex":0},"schema":"https://github.com/citation-style-language/schema/raw/master/csl-citation.json"}</w:instrText>
            </w:r>
            <w:r w:rsidRPr="005859B6">
              <w:fldChar w:fldCharType="separate"/>
            </w:r>
            <w:r w:rsidRPr="005859B6">
              <w:rPr>
                <w:noProof/>
              </w:rPr>
              <w:t>(Canadian Agency for Drugs and Technologies in Health, 2017)</w:t>
            </w:r>
            <w:r w:rsidRPr="005859B6">
              <w:fldChar w:fldCharType="end"/>
            </w:r>
          </w:p>
        </w:tc>
        <w:tc>
          <w:tcPr>
            <w:tcW w:w="590" w:type="pct"/>
          </w:tcPr>
          <w:p w14:paraId="35EE6979" w14:textId="77777777" w:rsidR="005859B6" w:rsidRPr="005859B6" w:rsidRDefault="005859B6" w:rsidP="005859B6">
            <w:pPr>
              <w:spacing w:line="480" w:lineRule="auto"/>
            </w:pPr>
            <w:r w:rsidRPr="005859B6">
              <w:t>PBAC Guideline</w:t>
            </w:r>
            <w:r w:rsidRPr="005859B6">
              <w:fldChar w:fldCharType="begin" w:fldLock="1"/>
            </w:r>
            <w:r w:rsidRPr="005859B6">
              <w:instrText>ADDIN CSL_CITATION {"citationItems":[{"id":"ITEM-1","itemData":{"ISBN":"9781741860009","abstract":"The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Committee","given":"","non-dropping-particle":"","parse-names":false,"suffix":""}],"id":"ITEM-1","issued":{"date-parts":[["2016"]]},"title":"Guidelines for preparing submissions to the Pharmaceutical Benefits Advisory Committee","type":"report"},"uris":["http://www.mendeley.com/documents/?uuid=57a65f32-3da3-380c-b9ea-2dc0de627f0c"]}],"mendeley":{"formattedCitation":"(Pharmaceutical Benefits Advisory Committee, 2016)","plainTextFormattedCitation":"(Pharmaceutical Benefits Advisory Committee, 2016)","previouslyFormattedCitation":"(Pharmaceutical Benefits Advisory Committee, 2016)"},"properties":{"noteIndex":0},"schema":"https://github.com/citation-style-language/schema/raw/master/csl-citation.json"}</w:instrText>
            </w:r>
            <w:r w:rsidRPr="005859B6">
              <w:fldChar w:fldCharType="separate"/>
            </w:r>
            <w:r w:rsidRPr="005859B6">
              <w:rPr>
                <w:noProof/>
              </w:rPr>
              <w:t>(Pharmaceutical Benefits Advisory Committee, 2016)</w:t>
            </w:r>
            <w:r w:rsidRPr="005859B6">
              <w:fldChar w:fldCharType="end"/>
            </w:r>
          </w:p>
        </w:tc>
        <w:tc>
          <w:tcPr>
            <w:tcW w:w="553" w:type="pct"/>
          </w:tcPr>
          <w:p w14:paraId="16510992" w14:textId="77777777" w:rsidR="005859B6" w:rsidRPr="005859B6" w:rsidRDefault="005859B6" w:rsidP="005859B6">
            <w:pPr>
              <w:spacing w:line="480" w:lineRule="auto"/>
            </w:pPr>
            <w:r w:rsidRPr="005859B6">
              <w:t>EUnetHTA Guideline</w:t>
            </w:r>
            <w:r w:rsidRPr="005859B6">
              <w:fldChar w:fldCharType="begin" w:fldLock="1"/>
            </w:r>
            <w:r w:rsidRPr="005859B6">
              <w:instrText>ADDIN CSL_CITATION {"citationItems":[{"id":"ITEM-1","itemData":{"author":[{"dropping-particle":"","family":"European Network for Health Technology Assessment (EUneHTA)","given":"","non-dropping-particle":"","parse-names":false,"suffix":""}],"id":"ITEM-1","issued":{"date-parts":[["2015"]]},"number-of-pages":"100","title":"Methods for health economic evaluations -A guideline based on current practices in Europe","type":"report"},"uris":["http://www.mendeley.com/documents/?uuid=82316c6b-dca8-3243-bc63-c6556a5e0a10"]}],"mendeley":{"formattedCitation":"(European Network for Health Technology Assessment (EUneHTA), 2015)","plainTextFormattedCitation":"(European Network for Health Technology Assessment (EUneHTA), 2015)","previouslyFormattedCitation":"(European Network for Health Technology Assessment (EUneHTA), 2015)"},"properties":{"noteIndex":0},"schema":"https://github.com/citation-style-language/schema/raw/master/csl-citation.json"}</w:instrText>
            </w:r>
            <w:r w:rsidRPr="005859B6">
              <w:fldChar w:fldCharType="separate"/>
            </w:r>
            <w:r w:rsidRPr="005859B6">
              <w:rPr>
                <w:noProof/>
              </w:rPr>
              <w:t>(European Network for Health Technology Assessment (EUneHTA), 2015)</w:t>
            </w:r>
            <w:r w:rsidRPr="005859B6">
              <w:fldChar w:fldCharType="end"/>
            </w:r>
          </w:p>
        </w:tc>
        <w:tc>
          <w:tcPr>
            <w:tcW w:w="475" w:type="pct"/>
          </w:tcPr>
          <w:p w14:paraId="3DE8EBDF" w14:textId="77777777" w:rsidR="005859B6" w:rsidRPr="005859B6" w:rsidRDefault="005859B6" w:rsidP="005859B6">
            <w:pPr>
              <w:spacing w:line="480" w:lineRule="auto"/>
            </w:pPr>
            <w:r w:rsidRPr="005859B6">
              <w:t xml:space="preserve">Gates Guideline </w:t>
            </w:r>
            <w:r w:rsidRPr="005859B6">
              <w:fldChar w:fldCharType="begin" w:fldLock="1"/>
            </w:r>
            <w:r w:rsidRPr="005859B6">
              <w:instrText>ADDIN CSL_CITATION {"citationItems":[{"id":"ITEM-1","itemData":{"author":[{"dropping-particle":"","family":"NICE International","given":"","non-dropping-particle":"","parse-names":false,"suffix":""}],"container-title":"Bill and Melinda Gates Foundation Methods for Economic Evaluation Project (MEEP)","id":"ITEM-1","issue":"January","issued":{"date-parts":[["2014"]]},"number-of-pages":"30-33","title":"Methods for Economic Evaluation Project: Final Report","type":"report"},"uris":["http://www.mendeley.com/documents/?uuid=72af4fb1-6d31-3c01-bc40-a1dbae091c33"]}],"mendeley":{"formattedCitation":"(NICE International, 2014)","plainTextFormattedCitation":"(NICE International, 2014)","previouslyFormattedCitation":"(NICE International, 2014)"},"properties":{"noteIndex":0},"schema":"https://github.com/citation-style-language/schema/raw/master/csl-citation.json"}</w:instrText>
            </w:r>
            <w:r w:rsidRPr="005859B6">
              <w:fldChar w:fldCharType="separate"/>
            </w:r>
            <w:r w:rsidRPr="005859B6">
              <w:rPr>
                <w:noProof/>
              </w:rPr>
              <w:t>(NICE International, 2014)</w:t>
            </w:r>
            <w:r w:rsidRPr="005859B6">
              <w:fldChar w:fldCharType="end"/>
            </w:r>
          </w:p>
        </w:tc>
        <w:tc>
          <w:tcPr>
            <w:tcW w:w="475" w:type="pct"/>
            <w:shd w:val="clear" w:color="auto" w:fill="auto"/>
          </w:tcPr>
          <w:p w14:paraId="2BADAEF1" w14:textId="77777777" w:rsidR="005859B6" w:rsidRPr="005859B6" w:rsidRDefault="005859B6" w:rsidP="005859B6">
            <w:pPr>
              <w:spacing w:line="480" w:lineRule="auto"/>
            </w:pPr>
            <w:r w:rsidRPr="005859B6">
              <w:t xml:space="preserve">Drummond et al </w:t>
            </w:r>
            <w:r w:rsidRPr="005859B6">
              <w:fldChar w:fldCharType="begin" w:fldLock="1"/>
            </w:r>
            <w:r w:rsidRPr="005859B6">
              <w:instrText>ADDIN CSL_CITATION {"citationItems":[{"id":"ITEM-1","itemData":{"author":[{"dropping-particle":"","family":"Drummond","given":"Michael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W.","non-dropping-particle":"","parse-names":false,"suffix":""}],"edition":"4th","id":"ITEM-1","issued":{"date-parts":[["2015"]]},"number-of-pages":"464","publisher":"Oxford University Press","publisher-place":"Oxford","title":"Methods for the Economic Evaluation of Health Care Programmes","type":"book"},"uris":["http://www.mendeley.com/documents/?uuid=bfcbd1b8-6b05-4fe8-a3fd-fb1cbb802fd7"]}],"mendeley":{"formattedCitation":"(M. F. Drummond et al., 2015)","plainTextFormattedCitation":"(M. F. Drummond et al., 2015)","previouslyFormattedCitation":"(M. F. Drummond et al., 2015)"},"properties":{"noteIndex":0},"schema":"https://github.com/citation-style-language/schema/raw/master/csl-citation.json"}</w:instrText>
            </w:r>
            <w:r w:rsidRPr="005859B6">
              <w:fldChar w:fldCharType="separate"/>
            </w:r>
            <w:r w:rsidRPr="005859B6">
              <w:rPr>
                <w:noProof/>
              </w:rPr>
              <w:t>(M. F. Drummond et al., 2015)</w:t>
            </w:r>
            <w:r w:rsidRPr="005859B6">
              <w:fldChar w:fldCharType="end"/>
            </w:r>
          </w:p>
        </w:tc>
        <w:tc>
          <w:tcPr>
            <w:tcW w:w="475" w:type="pct"/>
          </w:tcPr>
          <w:p w14:paraId="411D20BA" w14:textId="77777777" w:rsidR="005859B6" w:rsidRPr="005859B6" w:rsidRDefault="005859B6" w:rsidP="005859B6">
            <w:pPr>
              <w:spacing w:line="480" w:lineRule="auto"/>
            </w:pPr>
            <w:r w:rsidRPr="005859B6">
              <w:t xml:space="preserve">US Panel </w:t>
            </w:r>
            <w:r w:rsidRPr="005859B6">
              <w:fldChar w:fldCharType="begin" w:fldLock="1"/>
            </w:r>
            <w:r w:rsidRPr="005859B6">
              <w:instrText>ADDIN CSL_CITATION {"citationItems":[{"id":"ITEM-1","itemData":{"DOI":"10.1093/acprof:oso/9780190492939.001.0001","ISBN":"9780190492939","abstract":"This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Press","publisher-place":"Oxford","title":"Designing a Cost-Effectiveness Analysis","type":"chapter"},"uris":["http://www.mendeley.com/documents/?uuid=5008afc6-8cab-3f7d-94d0-c4aadfc9796e"]},{"id":"ITEM-2","itemData":{"DOI":"10.1093/acprof:oso/9780190492939.001.0001","ISBN":"9780190492939","abstract":"There are two distinct phases in identifying and quantifying consequences: a broad and systematic review of relevant consequences of the decision being evaluated and identification of data sources and measurement approaches for quantifying them. Cost-effectiveness analyses should identify all significant consequences related to health (survival and/or health status) and resource use in the healthcare sector, as well as consequences in other sectors. Consequences may be distinguished along various dimensions, including the sector in which they occur; groups with different degrees of proximity to the intervention (target population versus other affected groups); and different time points. The Impact Inventory provides a framework for listing all consequences of an intervention, within and outside the healthcare sector, and encouraging explicit discussion of omitted elements and their likely effect on the conclusions of an analysis.","author":[{"dropping-particle":"","family":"Salomon","given":"Joshua A.","non-dropping-particle":"","parse-names":false,"suffix":""},{"dropping-particle":"","family":"Trikalinos","given":"Thomas A.","non-dropping-particle":"","parse-names":false,"suffix":""},{"dropping-particle":"","family":"Sanders","given":"Gillian D.","non-dropping-particle":"","parse-names":false,"suffix":""},{"dropping-particle":"","family":"Mandelblatt","given":"Jeanne S.","non-dropping-particle":"","parse-names":false,"suffix":""}],"container-title":"Cost-Effectiveness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D.","non-dropping-particle":"","parse-names":false,"suffix":""},{"dropping-particle":"","family":"Siegel","given":"Joanna","non-dropping-particle":"","parse-names":false,"suffix":""}],"id":"ITEM-2","issued":{"date-parts":[["2016"]]},"page":"137-166","publisher":"Oxford University Press","publisher-place":"Oxford","title":"Identifying and Quantifying the Consequences of Interventions","type":"chapter"},"uris":["http://www.mendeley.com/documents/?uuid=d680cf3f-e865-391b-884d-c3464bbd632f"]}],"mendeley":{"formattedCitation":"(Owens et al., 2016; Salomon et al., 2016)","plainTextFormattedCitation":"(Owens et al., 2016; Salomon et al., 2016)","previouslyFormattedCitation":"(Owens et al., 2016; Salomon et al., 2016)"},"properties":{"noteIndex":0},"schema":"https://github.com/citation-style-language/schema/raw/master/csl-citation.json"}</w:instrText>
            </w:r>
            <w:r w:rsidRPr="005859B6">
              <w:fldChar w:fldCharType="separate"/>
            </w:r>
            <w:r w:rsidRPr="005859B6">
              <w:rPr>
                <w:noProof/>
              </w:rPr>
              <w:t>(Owens et al., 2016; Salomon et al., 2016)</w:t>
            </w:r>
            <w:r w:rsidRPr="005859B6">
              <w:fldChar w:fldCharType="end"/>
            </w:r>
          </w:p>
        </w:tc>
        <w:tc>
          <w:tcPr>
            <w:tcW w:w="487" w:type="pct"/>
          </w:tcPr>
          <w:p w14:paraId="157D5CDC" w14:textId="77777777" w:rsidR="005859B6" w:rsidRPr="005859B6" w:rsidRDefault="005859B6" w:rsidP="005859B6">
            <w:pPr>
              <w:spacing w:line="480" w:lineRule="auto"/>
            </w:pPr>
            <w:r w:rsidRPr="005859B6">
              <w:t>ISPOR taskforce</w:t>
            </w:r>
            <w:r w:rsidRPr="005859B6">
              <w:fldChar w:fldCharType="begin" w:fldLock="1"/>
            </w:r>
            <w:r w:rsidRPr="005859B6">
              <w:instrText>ADDIN CSL_CITATION {"citationItems":[{"id":"ITEM-1","itemData":{"DOI":"10.1016/j.jval.2012.06.012","ISBN":"1524-4733","ISSN":"1524-4733","PMID":"22999128","abstract":"Thee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Health","id":"ITEM-1","issued":{"date-parts":[["2012"]]},"page":"804-811","title":"Conceptualizing a Model: A Report of the ISPOR-SMDM Modeling Good Research Practices Task Force-2","type":"article-journal","volume":"15"},"uris":["http://www.mendeley.com/documents/?uuid=d6058f98-c577-37fc-9309-1ea31daea085"]}],"mendeley":{"formattedCitation":"(Roberts et al., 2012)","plainTextFormattedCitation":"(Roberts et al., 2012)","previouslyFormattedCitation":"(Roberts et al., 2012)"},"properties":{"noteIndex":0},"schema":"https://github.com/citation-style-language/schema/raw/master/csl-citation.json"}</w:instrText>
            </w:r>
            <w:r w:rsidRPr="005859B6">
              <w:fldChar w:fldCharType="separate"/>
            </w:r>
            <w:r w:rsidRPr="005859B6">
              <w:rPr>
                <w:noProof/>
              </w:rPr>
              <w:t>(Roberts et al., 2012)</w:t>
            </w:r>
            <w:r w:rsidRPr="005859B6">
              <w:fldChar w:fldCharType="end"/>
            </w:r>
          </w:p>
        </w:tc>
      </w:tr>
      <w:tr w:rsidR="005859B6" w:rsidRPr="005859B6" w14:paraId="64BB6BFA" w14:textId="77777777" w:rsidTr="00C0402E">
        <w:tc>
          <w:tcPr>
            <w:tcW w:w="5000" w:type="pct"/>
            <w:gridSpan w:val="9"/>
            <w:shd w:val="clear" w:color="auto" w:fill="E7E6E6" w:themeFill="background2"/>
          </w:tcPr>
          <w:p w14:paraId="53404C49" w14:textId="77777777" w:rsidR="005859B6" w:rsidRPr="005859B6" w:rsidRDefault="005859B6" w:rsidP="005859B6">
            <w:pPr>
              <w:spacing w:line="480" w:lineRule="auto"/>
            </w:pPr>
            <w:r w:rsidRPr="005859B6">
              <w:t>Recommendations on the definition of the target population</w:t>
            </w:r>
          </w:p>
        </w:tc>
      </w:tr>
      <w:tr w:rsidR="005859B6" w:rsidRPr="005859B6" w14:paraId="1654AE09" w14:textId="77777777" w:rsidTr="00C0402E">
        <w:tc>
          <w:tcPr>
            <w:tcW w:w="938" w:type="pct"/>
          </w:tcPr>
          <w:p w14:paraId="052A3F66" w14:textId="77777777" w:rsidR="005859B6" w:rsidRPr="005859B6" w:rsidRDefault="005859B6" w:rsidP="005859B6">
            <w:pPr>
              <w:spacing w:line="480" w:lineRule="auto"/>
            </w:pPr>
            <w:r w:rsidRPr="005859B6">
              <w:lastRenderedPageBreak/>
              <w:t>Target population=people who will use technologies in practice.</w:t>
            </w:r>
          </w:p>
        </w:tc>
        <w:tc>
          <w:tcPr>
            <w:tcW w:w="532" w:type="pct"/>
            <w:vAlign w:val="center"/>
          </w:tcPr>
          <w:p w14:paraId="40CEDCE9" w14:textId="77777777" w:rsidR="005859B6" w:rsidRPr="005859B6" w:rsidRDefault="005859B6" w:rsidP="005859B6">
            <w:pPr>
              <w:spacing w:line="480" w:lineRule="auto"/>
            </w:pPr>
            <w:r w:rsidRPr="005859B6">
              <w:t>ND</w:t>
            </w:r>
          </w:p>
        </w:tc>
        <w:tc>
          <w:tcPr>
            <w:tcW w:w="475" w:type="pct"/>
            <w:vAlign w:val="center"/>
          </w:tcPr>
          <w:p w14:paraId="5AFD9A9A" w14:textId="77777777" w:rsidR="005859B6" w:rsidRPr="005859B6" w:rsidRDefault="005859B6" w:rsidP="005859B6">
            <w:pPr>
              <w:spacing w:line="480" w:lineRule="auto"/>
            </w:pPr>
            <w:r w:rsidRPr="005859B6">
              <w:t xml:space="preserve">R </w:t>
            </w:r>
          </w:p>
        </w:tc>
        <w:tc>
          <w:tcPr>
            <w:tcW w:w="590" w:type="pct"/>
            <w:vAlign w:val="center"/>
          </w:tcPr>
          <w:p w14:paraId="4E20FC7B" w14:textId="77777777" w:rsidR="005859B6" w:rsidRPr="005859B6" w:rsidRDefault="005859B6" w:rsidP="005859B6">
            <w:pPr>
              <w:spacing w:line="480" w:lineRule="auto"/>
            </w:pPr>
            <w:r w:rsidRPr="005859B6">
              <w:t xml:space="preserve">R </w:t>
            </w:r>
          </w:p>
        </w:tc>
        <w:tc>
          <w:tcPr>
            <w:tcW w:w="553" w:type="pct"/>
            <w:vAlign w:val="center"/>
          </w:tcPr>
          <w:p w14:paraId="6282E228" w14:textId="77777777" w:rsidR="005859B6" w:rsidRPr="005859B6" w:rsidRDefault="005859B6" w:rsidP="005859B6">
            <w:pPr>
              <w:spacing w:line="480" w:lineRule="auto"/>
            </w:pPr>
            <w:r w:rsidRPr="005859B6">
              <w:t>ND</w:t>
            </w:r>
          </w:p>
        </w:tc>
        <w:tc>
          <w:tcPr>
            <w:tcW w:w="475" w:type="pct"/>
            <w:vAlign w:val="center"/>
          </w:tcPr>
          <w:p w14:paraId="522B12D0" w14:textId="77777777" w:rsidR="005859B6" w:rsidRPr="005859B6" w:rsidRDefault="005859B6" w:rsidP="005859B6">
            <w:pPr>
              <w:spacing w:line="480" w:lineRule="auto"/>
            </w:pPr>
            <w:r w:rsidRPr="005859B6">
              <w:t>ND</w:t>
            </w:r>
          </w:p>
        </w:tc>
        <w:tc>
          <w:tcPr>
            <w:tcW w:w="475" w:type="pct"/>
            <w:vAlign w:val="center"/>
          </w:tcPr>
          <w:p w14:paraId="597DA02F" w14:textId="77777777" w:rsidR="005859B6" w:rsidRPr="005859B6" w:rsidRDefault="005859B6" w:rsidP="005859B6">
            <w:pPr>
              <w:spacing w:line="480" w:lineRule="auto"/>
            </w:pPr>
            <w:r w:rsidRPr="005859B6">
              <w:t>ND</w:t>
            </w:r>
          </w:p>
        </w:tc>
        <w:tc>
          <w:tcPr>
            <w:tcW w:w="475" w:type="pct"/>
            <w:vAlign w:val="center"/>
          </w:tcPr>
          <w:p w14:paraId="4377171F" w14:textId="77777777" w:rsidR="005859B6" w:rsidRPr="005859B6" w:rsidRDefault="005859B6" w:rsidP="005859B6">
            <w:pPr>
              <w:spacing w:line="480" w:lineRule="auto"/>
            </w:pPr>
            <w:r w:rsidRPr="005859B6">
              <w:t xml:space="preserve">R </w:t>
            </w:r>
          </w:p>
        </w:tc>
        <w:tc>
          <w:tcPr>
            <w:tcW w:w="487" w:type="pct"/>
            <w:vAlign w:val="center"/>
          </w:tcPr>
          <w:p w14:paraId="4ABED741" w14:textId="77777777" w:rsidR="005859B6" w:rsidRPr="005859B6" w:rsidRDefault="005859B6" w:rsidP="005859B6">
            <w:pPr>
              <w:spacing w:line="480" w:lineRule="auto"/>
            </w:pPr>
            <w:r w:rsidRPr="005859B6">
              <w:t xml:space="preserve">R </w:t>
            </w:r>
          </w:p>
        </w:tc>
      </w:tr>
      <w:tr w:rsidR="005859B6" w:rsidRPr="005859B6" w14:paraId="6465E667" w14:textId="77777777" w:rsidTr="00C0402E">
        <w:tc>
          <w:tcPr>
            <w:tcW w:w="5000" w:type="pct"/>
            <w:gridSpan w:val="9"/>
            <w:shd w:val="clear" w:color="auto" w:fill="E7E6E6" w:themeFill="background2"/>
          </w:tcPr>
          <w:p w14:paraId="49A54571" w14:textId="77777777" w:rsidR="005859B6" w:rsidRPr="005859B6" w:rsidRDefault="005859B6" w:rsidP="005859B6">
            <w:pPr>
              <w:spacing w:line="480" w:lineRule="auto"/>
            </w:pPr>
            <w:r w:rsidRPr="005859B6">
              <w:t>Recommendations on identification and selection of subpopulations</w:t>
            </w:r>
          </w:p>
        </w:tc>
      </w:tr>
      <w:tr w:rsidR="005859B6" w:rsidRPr="005859B6" w14:paraId="2CBFDC9E" w14:textId="77777777" w:rsidTr="00C0402E">
        <w:tc>
          <w:tcPr>
            <w:tcW w:w="938" w:type="pct"/>
          </w:tcPr>
          <w:p w14:paraId="3444DBE7" w14:textId="77777777" w:rsidR="005859B6" w:rsidRPr="005859B6" w:rsidRDefault="005859B6" w:rsidP="005859B6">
            <w:pPr>
              <w:spacing w:line="480" w:lineRule="auto"/>
            </w:pPr>
            <w:r w:rsidRPr="005859B6">
              <w:t>Subpopulations are relevant where health benefits and/or costs are expected to differ</w:t>
            </w:r>
          </w:p>
        </w:tc>
        <w:tc>
          <w:tcPr>
            <w:tcW w:w="532" w:type="pct"/>
            <w:vAlign w:val="center"/>
          </w:tcPr>
          <w:p w14:paraId="50B508A1" w14:textId="77777777" w:rsidR="005859B6" w:rsidRPr="005859B6" w:rsidRDefault="005859B6" w:rsidP="005859B6">
            <w:pPr>
              <w:spacing w:line="480" w:lineRule="auto"/>
            </w:pPr>
            <w:r w:rsidRPr="005859B6">
              <w:t xml:space="preserve">R </w:t>
            </w:r>
          </w:p>
        </w:tc>
        <w:tc>
          <w:tcPr>
            <w:tcW w:w="475" w:type="pct"/>
            <w:vAlign w:val="center"/>
          </w:tcPr>
          <w:p w14:paraId="4C18EEEA" w14:textId="77777777" w:rsidR="005859B6" w:rsidRPr="005859B6" w:rsidRDefault="005859B6" w:rsidP="005859B6">
            <w:pPr>
              <w:spacing w:line="480" w:lineRule="auto"/>
            </w:pPr>
            <w:r w:rsidRPr="005859B6">
              <w:t xml:space="preserve">R </w:t>
            </w:r>
          </w:p>
        </w:tc>
        <w:tc>
          <w:tcPr>
            <w:tcW w:w="590" w:type="pct"/>
            <w:vAlign w:val="center"/>
          </w:tcPr>
          <w:p w14:paraId="73926C75" w14:textId="77777777" w:rsidR="005859B6" w:rsidRPr="005859B6" w:rsidRDefault="005859B6" w:rsidP="005859B6">
            <w:pPr>
              <w:spacing w:line="480" w:lineRule="auto"/>
            </w:pPr>
            <w:r w:rsidRPr="005859B6">
              <w:t xml:space="preserve">R </w:t>
            </w:r>
          </w:p>
        </w:tc>
        <w:tc>
          <w:tcPr>
            <w:tcW w:w="553" w:type="pct"/>
            <w:vAlign w:val="center"/>
          </w:tcPr>
          <w:p w14:paraId="5357C275" w14:textId="77777777" w:rsidR="005859B6" w:rsidRPr="005859B6" w:rsidRDefault="005859B6" w:rsidP="005859B6">
            <w:pPr>
              <w:spacing w:line="480" w:lineRule="auto"/>
            </w:pPr>
            <w:r w:rsidRPr="005859B6">
              <w:t xml:space="preserve">R </w:t>
            </w:r>
          </w:p>
        </w:tc>
        <w:tc>
          <w:tcPr>
            <w:tcW w:w="475" w:type="pct"/>
            <w:vAlign w:val="center"/>
          </w:tcPr>
          <w:p w14:paraId="68CBE961" w14:textId="77777777" w:rsidR="005859B6" w:rsidRPr="005859B6" w:rsidRDefault="005859B6" w:rsidP="005859B6">
            <w:pPr>
              <w:spacing w:line="480" w:lineRule="auto"/>
            </w:pPr>
            <w:r w:rsidRPr="005859B6">
              <w:t xml:space="preserve">R </w:t>
            </w:r>
          </w:p>
        </w:tc>
        <w:tc>
          <w:tcPr>
            <w:tcW w:w="475" w:type="pct"/>
            <w:vAlign w:val="center"/>
          </w:tcPr>
          <w:p w14:paraId="71C51723" w14:textId="77777777" w:rsidR="005859B6" w:rsidRPr="005859B6" w:rsidRDefault="005859B6" w:rsidP="005859B6">
            <w:pPr>
              <w:spacing w:line="480" w:lineRule="auto"/>
            </w:pPr>
            <w:r w:rsidRPr="005859B6">
              <w:t xml:space="preserve">R </w:t>
            </w:r>
          </w:p>
        </w:tc>
        <w:tc>
          <w:tcPr>
            <w:tcW w:w="475" w:type="pct"/>
            <w:vAlign w:val="center"/>
          </w:tcPr>
          <w:p w14:paraId="31157EF2" w14:textId="77777777" w:rsidR="005859B6" w:rsidRPr="005859B6" w:rsidRDefault="005859B6" w:rsidP="005859B6">
            <w:pPr>
              <w:spacing w:line="480" w:lineRule="auto"/>
            </w:pPr>
            <w:r w:rsidRPr="005859B6">
              <w:t xml:space="preserve">R </w:t>
            </w:r>
          </w:p>
        </w:tc>
        <w:tc>
          <w:tcPr>
            <w:tcW w:w="487" w:type="pct"/>
            <w:vAlign w:val="center"/>
          </w:tcPr>
          <w:p w14:paraId="20B3CCAD" w14:textId="77777777" w:rsidR="005859B6" w:rsidRPr="005859B6" w:rsidRDefault="005859B6" w:rsidP="005859B6">
            <w:pPr>
              <w:spacing w:line="480" w:lineRule="auto"/>
            </w:pPr>
            <w:r w:rsidRPr="005859B6">
              <w:t xml:space="preserve">R </w:t>
            </w:r>
          </w:p>
        </w:tc>
      </w:tr>
      <w:tr w:rsidR="005859B6" w:rsidRPr="005859B6" w14:paraId="636602E5" w14:textId="77777777" w:rsidTr="00C0402E">
        <w:tc>
          <w:tcPr>
            <w:tcW w:w="938" w:type="pct"/>
          </w:tcPr>
          <w:p w14:paraId="577F7615" w14:textId="77777777" w:rsidR="005859B6" w:rsidRPr="005859B6" w:rsidRDefault="005859B6" w:rsidP="005859B6">
            <w:pPr>
              <w:spacing w:line="480" w:lineRule="auto"/>
            </w:pPr>
            <w:r w:rsidRPr="005859B6">
              <w:t>Justified based on clinical basis</w:t>
            </w:r>
          </w:p>
        </w:tc>
        <w:tc>
          <w:tcPr>
            <w:tcW w:w="532" w:type="pct"/>
            <w:vAlign w:val="center"/>
          </w:tcPr>
          <w:p w14:paraId="4FE1F7EB" w14:textId="77777777" w:rsidR="005859B6" w:rsidRPr="005859B6" w:rsidRDefault="005859B6" w:rsidP="005859B6">
            <w:pPr>
              <w:spacing w:line="480" w:lineRule="auto"/>
            </w:pPr>
          </w:p>
        </w:tc>
        <w:tc>
          <w:tcPr>
            <w:tcW w:w="475" w:type="pct"/>
            <w:vAlign w:val="center"/>
          </w:tcPr>
          <w:p w14:paraId="2AF0C89D" w14:textId="77777777" w:rsidR="005859B6" w:rsidRPr="005859B6" w:rsidRDefault="005859B6" w:rsidP="005859B6">
            <w:pPr>
              <w:spacing w:line="480" w:lineRule="auto"/>
            </w:pPr>
          </w:p>
        </w:tc>
        <w:tc>
          <w:tcPr>
            <w:tcW w:w="590" w:type="pct"/>
            <w:vAlign w:val="center"/>
          </w:tcPr>
          <w:p w14:paraId="724D0B7E" w14:textId="77777777" w:rsidR="005859B6" w:rsidRPr="005859B6" w:rsidRDefault="005859B6" w:rsidP="005859B6">
            <w:pPr>
              <w:spacing w:line="480" w:lineRule="auto"/>
            </w:pPr>
            <w:r w:rsidRPr="005859B6">
              <w:t>R</w:t>
            </w:r>
          </w:p>
        </w:tc>
        <w:tc>
          <w:tcPr>
            <w:tcW w:w="553" w:type="pct"/>
            <w:vAlign w:val="center"/>
          </w:tcPr>
          <w:p w14:paraId="10BEE686" w14:textId="77777777" w:rsidR="005859B6" w:rsidRPr="005859B6" w:rsidRDefault="005859B6" w:rsidP="005859B6">
            <w:pPr>
              <w:spacing w:line="480" w:lineRule="auto"/>
            </w:pPr>
            <w:r w:rsidRPr="005859B6">
              <w:t>R</w:t>
            </w:r>
          </w:p>
        </w:tc>
        <w:tc>
          <w:tcPr>
            <w:tcW w:w="475" w:type="pct"/>
            <w:vAlign w:val="center"/>
          </w:tcPr>
          <w:p w14:paraId="069E5F00" w14:textId="77777777" w:rsidR="005859B6" w:rsidRPr="005859B6" w:rsidRDefault="005859B6" w:rsidP="005859B6">
            <w:pPr>
              <w:spacing w:line="480" w:lineRule="auto"/>
            </w:pPr>
          </w:p>
        </w:tc>
        <w:tc>
          <w:tcPr>
            <w:tcW w:w="475" w:type="pct"/>
            <w:vAlign w:val="center"/>
          </w:tcPr>
          <w:p w14:paraId="04AF3EF2" w14:textId="77777777" w:rsidR="005859B6" w:rsidRPr="005859B6" w:rsidRDefault="005859B6" w:rsidP="005859B6">
            <w:pPr>
              <w:spacing w:line="480" w:lineRule="auto"/>
            </w:pPr>
          </w:p>
        </w:tc>
        <w:tc>
          <w:tcPr>
            <w:tcW w:w="475" w:type="pct"/>
            <w:vAlign w:val="center"/>
          </w:tcPr>
          <w:p w14:paraId="520E8961" w14:textId="77777777" w:rsidR="005859B6" w:rsidRPr="005859B6" w:rsidRDefault="005859B6" w:rsidP="005859B6">
            <w:pPr>
              <w:spacing w:line="480" w:lineRule="auto"/>
            </w:pPr>
          </w:p>
        </w:tc>
        <w:tc>
          <w:tcPr>
            <w:tcW w:w="487" w:type="pct"/>
            <w:vAlign w:val="center"/>
          </w:tcPr>
          <w:p w14:paraId="12B92250" w14:textId="77777777" w:rsidR="005859B6" w:rsidRPr="005859B6" w:rsidRDefault="005859B6" w:rsidP="005859B6">
            <w:pPr>
              <w:spacing w:line="480" w:lineRule="auto"/>
            </w:pPr>
          </w:p>
        </w:tc>
      </w:tr>
      <w:tr w:rsidR="005859B6" w:rsidRPr="005859B6" w14:paraId="46FC04AF" w14:textId="77777777" w:rsidTr="00C0402E">
        <w:tc>
          <w:tcPr>
            <w:tcW w:w="938" w:type="pct"/>
          </w:tcPr>
          <w:p w14:paraId="5B89EEFF" w14:textId="77777777" w:rsidR="005859B6" w:rsidRPr="005859B6" w:rsidRDefault="005859B6" w:rsidP="005859B6">
            <w:pPr>
              <w:spacing w:line="480" w:lineRule="auto"/>
            </w:pPr>
            <w:r w:rsidRPr="005859B6">
              <w:lastRenderedPageBreak/>
              <w:t>Justified based on pharmacological or biological mechanism</w:t>
            </w:r>
          </w:p>
        </w:tc>
        <w:tc>
          <w:tcPr>
            <w:tcW w:w="532" w:type="pct"/>
            <w:vAlign w:val="center"/>
          </w:tcPr>
          <w:p w14:paraId="55A28460" w14:textId="77777777" w:rsidR="005859B6" w:rsidRPr="005859B6" w:rsidRDefault="005859B6" w:rsidP="005859B6">
            <w:pPr>
              <w:spacing w:line="480" w:lineRule="auto"/>
            </w:pPr>
            <w:r w:rsidRPr="005859B6">
              <w:t>R</w:t>
            </w:r>
          </w:p>
        </w:tc>
        <w:tc>
          <w:tcPr>
            <w:tcW w:w="475" w:type="pct"/>
            <w:vAlign w:val="center"/>
          </w:tcPr>
          <w:p w14:paraId="56BD4B9D" w14:textId="77777777" w:rsidR="005859B6" w:rsidRPr="005859B6" w:rsidRDefault="005859B6" w:rsidP="005859B6">
            <w:pPr>
              <w:spacing w:line="480" w:lineRule="auto"/>
            </w:pPr>
          </w:p>
        </w:tc>
        <w:tc>
          <w:tcPr>
            <w:tcW w:w="590" w:type="pct"/>
            <w:vAlign w:val="center"/>
          </w:tcPr>
          <w:p w14:paraId="370A9FBA" w14:textId="77777777" w:rsidR="005859B6" w:rsidRPr="005859B6" w:rsidRDefault="005859B6" w:rsidP="005859B6">
            <w:pPr>
              <w:spacing w:line="480" w:lineRule="auto"/>
            </w:pPr>
            <w:r w:rsidRPr="005859B6">
              <w:t>R</w:t>
            </w:r>
          </w:p>
        </w:tc>
        <w:tc>
          <w:tcPr>
            <w:tcW w:w="553" w:type="pct"/>
            <w:vAlign w:val="center"/>
          </w:tcPr>
          <w:p w14:paraId="2D9E664F" w14:textId="77777777" w:rsidR="005859B6" w:rsidRPr="005859B6" w:rsidRDefault="005859B6" w:rsidP="005859B6">
            <w:pPr>
              <w:spacing w:line="480" w:lineRule="auto"/>
            </w:pPr>
          </w:p>
        </w:tc>
        <w:tc>
          <w:tcPr>
            <w:tcW w:w="475" w:type="pct"/>
            <w:vAlign w:val="center"/>
          </w:tcPr>
          <w:p w14:paraId="30C79FF8" w14:textId="77777777" w:rsidR="005859B6" w:rsidRPr="005859B6" w:rsidRDefault="005859B6" w:rsidP="005859B6">
            <w:pPr>
              <w:spacing w:line="480" w:lineRule="auto"/>
            </w:pPr>
          </w:p>
        </w:tc>
        <w:tc>
          <w:tcPr>
            <w:tcW w:w="475" w:type="pct"/>
            <w:vAlign w:val="center"/>
          </w:tcPr>
          <w:p w14:paraId="7550BA91" w14:textId="77777777" w:rsidR="005859B6" w:rsidRPr="005859B6" w:rsidRDefault="005859B6" w:rsidP="005859B6">
            <w:pPr>
              <w:spacing w:line="480" w:lineRule="auto"/>
            </w:pPr>
          </w:p>
        </w:tc>
        <w:tc>
          <w:tcPr>
            <w:tcW w:w="475" w:type="pct"/>
            <w:vAlign w:val="center"/>
          </w:tcPr>
          <w:p w14:paraId="351245D6" w14:textId="77777777" w:rsidR="005859B6" w:rsidRPr="005859B6" w:rsidRDefault="005859B6" w:rsidP="005859B6">
            <w:pPr>
              <w:spacing w:line="480" w:lineRule="auto"/>
            </w:pPr>
          </w:p>
        </w:tc>
        <w:tc>
          <w:tcPr>
            <w:tcW w:w="487" w:type="pct"/>
            <w:vAlign w:val="center"/>
          </w:tcPr>
          <w:p w14:paraId="190DF1A5" w14:textId="77777777" w:rsidR="005859B6" w:rsidRPr="005859B6" w:rsidRDefault="005859B6" w:rsidP="005859B6">
            <w:pPr>
              <w:spacing w:line="480" w:lineRule="auto"/>
            </w:pPr>
          </w:p>
        </w:tc>
      </w:tr>
      <w:tr w:rsidR="005859B6" w:rsidRPr="005859B6" w14:paraId="4FB33390" w14:textId="77777777" w:rsidTr="00C0402E">
        <w:tc>
          <w:tcPr>
            <w:tcW w:w="938" w:type="pct"/>
          </w:tcPr>
          <w:p w14:paraId="4D4C7AD3" w14:textId="77777777" w:rsidR="005859B6" w:rsidRPr="005859B6" w:rsidRDefault="005859B6" w:rsidP="005859B6">
            <w:pPr>
              <w:spacing w:line="480" w:lineRule="auto"/>
            </w:pPr>
            <w:r w:rsidRPr="005859B6">
              <w:t>Justified based on social characteristics</w:t>
            </w:r>
          </w:p>
        </w:tc>
        <w:tc>
          <w:tcPr>
            <w:tcW w:w="532" w:type="pct"/>
            <w:vAlign w:val="center"/>
          </w:tcPr>
          <w:p w14:paraId="0A10D4E9" w14:textId="77777777" w:rsidR="005859B6" w:rsidRPr="005859B6" w:rsidRDefault="005859B6" w:rsidP="005859B6">
            <w:pPr>
              <w:spacing w:line="480" w:lineRule="auto"/>
            </w:pPr>
            <w:r w:rsidRPr="005859B6">
              <w:t>R</w:t>
            </w:r>
          </w:p>
        </w:tc>
        <w:tc>
          <w:tcPr>
            <w:tcW w:w="475" w:type="pct"/>
            <w:vAlign w:val="center"/>
          </w:tcPr>
          <w:p w14:paraId="42C4A378" w14:textId="77777777" w:rsidR="005859B6" w:rsidRPr="005859B6" w:rsidRDefault="005859B6" w:rsidP="005859B6">
            <w:pPr>
              <w:spacing w:line="480" w:lineRule="auto"/>
            </w:pPr>
          </w:p>
        </w:tc>
        <w:tc>
          <w:tcPr>
            <w:tcW w:w="590" w:type="pct"/>
            <w:vAlign w:val="center"/>
          </w:tcPr>
          <w:p w14:paraId="0CC00E9C" w14:textId="77777777" w:rsidR="005859B6" w:rsidRPr="005859B6" w:rsidRDefault="005859B6" w:rsidP="005859B6">
            <w:pPr>
              <w:spacing w:line="480" w:lineRule="auto"/>
            </w:pPr>
          </w:p>
        </w:tc>
        <w:tc>
          <w:tcPr>
            <w:tcW w:w="553" w:type="pct"/>
            <w:vAlign w:val="center"/>
          </w:tcPr>
          <w:p w14:paraId="3EFD2C3F" w14:textId="77777777" w:rsidR="005859B6" w:rsidRPr="005859B6" w:rsidRDefault="005859B6" w:rsidP="005859B6">
            <w:pPr>
              <w:spacing w:line="480" w:lineRule="auto"/>
            </w:pPr>
          </w:p>
        </w:tc>
        <w:tc>
          <w:tcPr>
            <w:tcW w:w="475" w:type="pct"/>
            <w:vAlign w:val="center"/>
          </w:tcPr>
          <w:p w14:paraId="119741DC" w14:textId="77777777" w:rsidR="005859B6" w:rsidRPr="005859B6" w:rsidRDefault="005859B6" w:rsidP="005859B6">
            <w:pPr>
              <w:spacing w:line="480" w:lineRule="auto"/>
            </w:pPr>
          </w:p>
        </w:tc>
        <w:tc>
          <w:tcPr>
            <w:tcW w:w="475" w:type="pct"/>
            <w:vAlign w:val="center"/>
          </w:tcPr>
          <w:p w14:paraId="72C647A5" w14:textId="77777777" w:rsidR="005859B6" w:rsidRPr="005859B6" w:rsidRDefault="005859B6" w:rsidP="005859B6">
            <w:pPr>
              <w:spacing w:line="480" w:lineRule="auto"/>
            </w:pPr>
          </w:p>
        </w:tc>
        <w:tc>
          <w:tcPr>
            <w:tcW w:w="475" w:type="pct"/>
            <w:vAlign w:val="center"/>
          </w:tcPr>
          <w:p w14:paraId="3BB78405" w14:textId="77777777" w:rsidR="005859B6" w:rsidRPr="005859B6" w:rsidRDefault="005859B6" w:rsidP="005859B6">
            <w:pPr>
              <w:spacing w:line="480" w:lineRule="auto"/>
            </w:pPr>
          </w:p>
        </w:tc>
        <w:tc>
          <w:tcPr>
            <w:tcW w:w="487" w:type="pct"/>
            <w:vAlign w:val="center"/>
          </w:tcPr>
          <w:p w14:paraId="0A50900F" w14:textId="77777777" w:rsidR="005859B6" w:rsidRPr="005859B6" w:rsidRDefault="005859B6" w:rsidP="005859B6">
            <w:pPr>
              <w:spacing w:line="480" w:lineRule="auto"/>
            </w:pPr>
          </w:p>
        </w:tc>
      </w:tr>
      <w:tr w:rsidR="005859B6" w:rsidRPr="005859B6" w14:paraId="794A6EC8" w14:textId="77777777" w:rsidTr="00C0402E">
        <w:tc>
          <w:tcPr>
            <w:tcW w:w="938" w:type="pct"/>
          </w:tcPr>
          <w:p w14:paraId="28CE0A48" w14:textId="77777777" w:rsidR="005859B6" w:rsidRPr="005859B6" w:rsidRDefault="005859B6" w:rsidP="005859B6">
            <w:pPr>
              <w:spacing w:line="480" w:lineRule="auto"/>
            </w:pPr>
            <w:r w:rsidRPr="005859B6">
              <w:t>Justified based on robustness of evidence</w:t>
            </w:r>
          </w:p>
        </w:tc>
        <w:tc>
          <w:tcPr>
            <w:tcW w:w="532" w:type="pct"/>
            <w:vAlign w:val="center"/>
          </w:tcPr>
          <w:p w14:paraId="036D4660" w14:textId="77777777" w:rsidR="005859B6" w:rsidRPr="005859B6" w:rsidRDefault="005859B6" w:rsidP="005859B6">
            <w:pPr>
              <w:spacing w:line="480" w:lineRule="auto"/>
            </w:pPr>
            <w:r w:rsidRPr="005859B6">
              <w:t>R</w:t>
            </w:r>
          </w:p>
        </w:tc>
        <w:tc>
          <w:tcPr>
            <w:tcW w:w="475" w:type="pct"/>
            <w:vAlign w:val="center"/>
          </w:tcPr>
          <w:p w14:paraId="123178AA" w14:textId="77777777" w:rsidR="005859B6" w:rsidRPr="005859B6" w:rsidRDefault="005859B6" w:rsidP="005859B6">
            <w:pPr>
              <w:spacing w:line="480" w:lineRule="auto"/>
            </w:pPr>
          </w:p>
        </w:tc>
        <w:tc>
          <w:tcPr>
            <w:tcW w:w="590" w:type="pct"/>
            <w:vAlign w:val="center"/>
          </w:tcPr>
          <w:p w14:paraId="0EEED68C" w14:textId="77777777" w:rsidR="005859B6" w:rsidRPr="005859B6" w:rsidRDefault="005859B6" w:rsidP="005859B6">
            <w:pPr>
              <w:spacing w:line="480" w:lineRule="auto"/>
            </w:pPr>
            <w:r w:rsidRPr="005859B6">
              <w:t>R</w:t>
            </w:r>
          </w:p>
        </w:tc>
        <w:tc>
          <w:tcPr>
            <w:tcW w:w="553" w:type="pct"/>
            <w:vAlign w:val="center"/>
          </w:tcPr>
          <w:p w14:paraId="7BA96297" w14:textId="77777777" w:rsidR="005859B6" w:rsidRPr="005859B6" w:rsidRDefault="005859B6" w:rsidP="005859B6">
            <w:pPr>
              <w:spacing w:line="480" w:lineRule="auto"/>
            </w:pPr>
          </w:p>
        </w:tc>
        <w:tc>
          <w:tcPr>
            <w:tcW w:w="475" w:type="pct"/>
            <w:vAlign w:val="center"/>
          </w:tcPr>
          <w:p w14:paraId="2C3841BA" w14:textId="77777777" w:rsidR="005859B6" w:rsidRPr="005859B6" w:rsidRDefault="005859B6" w:rsidP="005859B6">
            <w:pPr>
              <w:spacing w:line="480" w:lineRule="auto"/>
            </w:pPr>
          </w:p>
        </w:tc>
        <w:tc>
          <w:tcPr>
            <w:tcW w:w="475" w:type="pct"/>
            <w:vAlign w:val="center"/>
          </w:tcPr>
          <w:p w14:paraId="053E549D" w14:textId="77777777" w:rsidR="005859B6" w:rsidRPr="005859B6" w:rsidRDefault="005859B6" w:rsidP="005859B6">
            <w:pPr>
              <w:spacing w:line="480" w:lineRule="auto"/>
            </w:pPr>
          </w:p>
        </w:tc>
        <w:tc>
          <w:tcPr>
            <w:tcW w:w="475" w:type="pct"/>
            <w:vAlign w:val="center"/>
          </w:tcPr>
          <w:p w14:paraId="4340CEEC" w14:textId="77777777" w:rsidR="005859B6" w:rsidRPr="005859B6" w:rsidRDefault="005859B6" w:rsidP="005859B6">
            <w:pPr>
              <w:spacing w:line="480" w:lineRule="auto"/>
            </w:pPr>
          </w:p>
        </w:tc>
        <w:tc>
          <w:tcPr>
            <w:tcW w:w="487" w:type="pct"/>
            <w:vAlign w:val="center"/>
          </w:tcPr>
          <w:p w14:paraId="284EFCF1" w14:textId="77777777" w:rsidR="005859B6" w:rsidRPr="005859B6" w:rsidRDefault="005859B6" w:rsidP="005859B6">
            <w:pPr>
              <w:spacing w:line="480" w:lineRule="auto"/>
            </w:pPr>
          </w:p>
        </w:tc>
      </w:tr>
      <w:tr w:rsidR="005859B6" w:rsidRPr="005859B6" w14:paraId="1A4ECA89" w14:textId="77777777" w:rsidTr="00C0402E">
        <w:tc>
          <w:tcPr>
            <w:tcW w:w="5000" w:type="pct"/>
            <w:gridSpan w:val="9"/>
            <w:shd w:val="clear" w:color="auto" w:fill="E7E6E6" w:themeFill="background2"/>
          </w:tcPr>
          <w:p w14:paraId="3788E891" w14:textId="77777777" w:rsidR="005859B6" w:rsidRPr="005859B6" w:rsidRDefault="005859B6" w:rsidP="005859B6">
            <w:pPr>
              <w:spacing w:line="480" w:lineRule="auto"/>
            </w:pPr>
            <w:r w:rsidRPr="005859B6">
              <w:t>Examples for potential sources of heterogeneity</w:t>
            </w:r>
          </w:p>
        </w:tc>
      </w:tr>
      <w:tr w:rsidR="005859B6" w:rsidRPr="005859B6" w14:paraId="0C899782" w14:textId="77777777" w:rsidTr="00C0402E">
        <w:tc>
          <w:tcPr>
            <w:tcW w:w="938" w:type="pct"/>
          </w:tcPr>
          <w:p w14:paraId="5BBCA4A9" w14:textId="77777777" w:rsidR="005859B6" w:rsidRPr="005859B6" w:rsidRDefault="005859B6" w:rsidP="005859B6">
            <w:pPr>
              <w:spacing w:line="480" w:lineRule="auto"/>
            </w:pPr>
            <w:r w:rsidRPr="005859B6">
              <w:t>Demographics</w:t>
            </w:r>
          </w:p>
        </w:tc>
        <w:tc>
          <w:tcPr>
            <w:tcW w:w="532" w:type="pct"/>
            <w:vAlign w:val="center"/>
          </w:tcPr>
          <w:p w14:paraId="6F05DEC1" w14:textId="77777777" w:rsidR="005859B6" w:rsidRPr="005859B6" w:rsidRDefault="005859B6" w:rsidP="005859B6">
            <w:pPr>
              <w:spacing w:line="480" w:lineRule="auto"/>
            </w:pPr>
          </w:p>
        </w:tc>
        <w:tc>
          <w:tcPr>
            <w:tcW w:w="475" w:type="pct"/>
            <w:vAlign w:val="center"/>
          </w:tcPr>
          <w:p w14:paraId="4F3F7984" w14:textId="77777777" w:rsidR="005859B6" w:rsidRPr="005859B6" w:rsidRDefault="005859B6" w:rsidP="005859B6">
            <w:pPr>
              <w:spacing w:line="480" w:lineRule="auto"/>
            </w:pPr>
            <w:r w:rsidRPr="005859B6">
              <w:t>R</w:t>
            </w:r>
          </w:p>
        </w:tc>
        <w:tc>
          <w:tcPr>
            <w:tcW w:w="590" w:type="pct"/>
            <w:vAlign w:val="center"/>
          </w:tcPr>
          <w:p w14:paraId="512589E7" w14:textId="77777777" w:rsidR="005859B6" w:rsidRPr="005859B6" w:rsidRDefault="005859B6" w:rsidP="005859B6">
            <w:pPr>
              <w:spacing w:line="480" w:lineRule="auto"/>
            </w:pPr>
          </w:p>
        </w:tc>
        <w:tc>
          <w:tcPr>
            <w:tcW w:w="553" w:type="pct"/>
            <w:vAlign w:val="center"/>
          </w:tcPr>
          <w:p w14:paraId="282851AA" w14:textId="77777777" w:rsidR="005859B6" w:rsidRPr="005859B6" w:rsidRDefault="005859B6" w:rsidP="005859B6">
            <w:pPr>
              <w:spacing w:line="480" w:lineRule="auto"/>
            </w:pPr>
          </w:p>
        </w:tc>
        <w:tc>
          <w:tcPr>
            <w:tcW w:w="475" w:type="pct"/>
            <w:vAlign w:val="center"/>
          </w:tcPr>
          <w:p w14:paraId="2DD1AC11" w14:textId="77777777" w:rsidR="005859B6" w:rsidRPr="005859B6" w:rsidRDefault="005859B6" w:rsidP="005859B6">
            <w:pPr>
              <w:spacing w:line="480" w:lineRule="auto"/>
            </w:pPr>
          </w:p>
        </w:tc>
        <w:tc>
          <w:tcPr>
            <w:tcW w:w="475" w:type="pct"/>
            <w:vAlign w:val="center"/>
          </w:tcPr>
          <w:p w14:paraId="5FC2E2B0" w14:textId="77777777" w:rsidR="005859B6" w:rsidRPr="005859B6" w:rsidRDefault="005859B6" w:rsidP="005859B6">
            <w:pPr>
              <w:spacing w:line="480" w:lineRule="auto"/>
            </w:pPr>
          </w:p>
        </w:tc>
        <w:tc>
          <w:tcPr>
            <w:tcW w:w="475" w:type="pct"/>
            <w:vAlign w:val="center"/>
          </w:tcPr>
          <w:p w14:paraId="527F63F6" w14:textId="77777777" w:rsidR="005859B6" w:rsidRPr="005859B6" w:rsidRDefault="005859B6" w:rsidP="005859B6">
            <w:pPr>
              <w:spacing w:line="480" w:lineRule="auto"/>
            </w:pPr>
          </w:p>
        </w:tc>
        <w:tc>
          <w:tcPr>
            <w:tcW w:w="487" w:type="pct"/>
            <w:vAlign w:val="center"/>
          </w:tcPr>
          <w:p w14:paraId="7C2AAF07" w14:textId="77777777" w:rsidR="005859B6" w:rsidRPr="005859B6" w:rsidRDefault="005859B6" w:rsidP="005859B6">
            <w:pPr>
              <w:spacing w:line="480" w:lineRule="auto"/>
            </w:pPr>
            <w:r w:rsidRPr="005859B6">
              <w:t>R</w:t>
            </w:r>
          </w:p>
        </w:tc>
      </w:tr>
      <w:tr w:rsidR="005859B6" w:rsidRPr="005859B6" w14:paraId="51EBAB0D" w14:textId="77777777" w:rsidTr="00C0402E">
        <w:tc>
          <w:tcPr>
            <w:tcW w:w="938" w:type="pct"/>
          </w:tcPr>
          <w:p w14:paraId="1586025D" w14:textId="77777777" w:rsidR="005859B6" w:rsidRPr="005859B6" w:rsidRDefault="005859B6" w:rsidP="005859B6">
            <w:pPr>
              <w:spacing w:line="480" w:lineRule="auto"/>
            </w:pPr>
            <w:r w:rsidRPr="005859B6">
              <w:lastRenderedPageBreak/>
              <w:t>Socio-economic characteristics</w:t>
            </w:r>
          </w:p>
        </w:tc>
        <w:tc>
          <w:tcPr>
            <w:tcW w:w="532" w:type="pct"/>
            <w:vAlign w:val="center"/>
          </w:tcPr>
          <w:p w14:paraId="51155CBC" w14:textId="77777777" w:rsidR="005859B6" w:rsidRPr="005859B6" w:rsidRDefault="005859B6" w:rsidP="005859B6">
            <w:pPr>
              <w:spacing w:line="480" w:lineRule="auto"/>
            </w:pPr>
            <w:r w:rsidRPr="005859B6">
              <w:t>NR</w:t>
            </w:r>
            <w:r w:rsidRPr="005859B6">
              <w:rPr>
                <w:vertAlign w:val="superscript"/>
              </w:rPr>
              <w:endnoteReference w:id="2"/>
            </w:r>
          </w:p>
        </w:tc>
        <w:tc>
          <w:tcPr>
            <w:tcW w:w="475" w:type="pct"/>
            <w:vAlign w:val="center"/>
          </w:tcPr>
          <w:p w14:paraId="3B9385EB" w14:textId="77777777" w:rsidR="005859B6" w:rsidRPr="005859B6" w:rsidRDefault="005859B6" w:rsidP="005859B6">
            <w:pPr>
              <w:spacing w:line="480" w:lineRule="auto"/>
            </w:pPr>
            <w:r w:rsidRPr="005859B6">
              <w:t>R</w:t>
            </w:r>
          </w:p>
        </w:tc>
        <w:tc>
          <w:tcPr>
            <w:tcW w:w="590" w:type="pct"/>
            <w:vAlign w:val="center"/>
          </w:tcPr>
          <w:p w14:paraId="2585583F" w14:textId="77777777" w:rsidR="005859B6" w:rsidRPr="005859B6" w:rsidRDefault="005859B6" w:rsidP="005859B6">
            <w:pPr>
              <w:spacing w:line="480" w:lineRule="auto"/>
            </w:pPr>
          </w:p>
        </w:tc>
        <w:tc>
          <w:tcPr>
            <w:tcW w:w="553" w:type="pct"/>
            <w:vAlign w:val="center"/>
          </w:tcPr>
          <w:p w14:paraId="0797347E" w14:textId="77777777" w:rsidR="005859B6" w:rsidRPr="005859B6" w:rsidRDefault="005859B6" w:rsidP="005859B6">
            <w:pPr>
              <w:spacing w:line="480" w:lineRule="auto"/>
            </w:pPr>
          </w:p>
        </w:tc>
        <w:tc>
          <w:tcPr>
            <w:tcW w:w="475" w:type="pct"/>
            <w:vAlign w:val="center"/>
          </w:tcPr>
          <w:p w14:paraId="4EC583D0" w14:textId="77777777" w:rsidR="005859B6" w:rsidRPr="005859B6" w:rsidRDefault="005859B6" w:rsidP="005859B6">
            <w:pPr>
              <w:spacing w:line="480" w:lineRule="auto"/>
            </w:pPr>
          </w:p>
        </w:tc>
        <w:tc>
          <w:tcPr>
            <w:tcW w:w="475" w:type="pct"/>
            <w:vAlign w:val="center"/>
          </w:tcPr>
          <w:p w14:paraId="0A5EABB1" w14:textId="77777777" w:rsidR="005859B6" w:rsidRPr="005859B6" w:rsidRDefault="005859B6" w:rsidP="005859B6">
            <w:pPr>
              <w:spacing w:line="480" w:lineRule="auto"/>
            </w:pPr>
          </w:p>
        </w:tc>
        <w:tc>
          <w:tcPr>
            <w:tcW w:w="475" w:type="pct"/>
            <w:vAlign w:val="center"/>
          </w:tcPr>
          <w:p w14:paraId="6CED52B4" w14:textId="77777777" w:rsidR="005859B6" w:rsidRPr="005859B6" w:rsidRDefault="005859B6" w:rsidP="005859B6">
            <w:pPr>
              <w:spacing w:line="480" w:lineRule="auto"/>
            </w:pPr>
            <w:r w:rsidRPr="005859B6">
              <w:t>R</w:t>
            </w:r>
          </w:p>
        </w:tc>
        <w:tc>
          <w:tcPr>
            <w:tcW w:w="487" w:type="pct"/>
            <w:vAlign w:val="center"/>
          </w:tcPr>
          <w:p w14:paraId="678AC670" w14:textId="77777777" w:rsidR="005859B6" w:rsidRPr="005859B6" w:rsidRDefault="005859B6" w:rsidP="005859B6">
            <w:pPr>
              <w:spacing w:line="480" w:lineRule="auto"/>
            </w:pPr>
          </w:p>
        </w:tc>
      </w:tr>
      <w:tr w:rsidR="005859B6" w:rsidRPr="005859B6" w14:paraId="65A1E5CE" w14:textId="77777777" w:rsidTr="00C0402E">
        <w:tc>
          <w:tcPr>
            <w:tcW w:w="938" w:type="pct"/>
          </w:tcPr>
          <w:p w14:paraId="590DEEEF" w14:textId="77777777" w:rsidR="005859B6" w:rsidRPr="005859B6" w:rsidRDefault="005859B6" w:rsidP="005859B6">
            <w:pPr>
              <w:spacing w:line="480" w:lineRule="auto"/>
            </w:pPr>
            <w:r w:rsidRPr="005859B6">
              <w:t>Preferences</w:t>
            </w:r>
          </w:p>
        </w:tc>
        <w:tc>
          <w:tcPr>
            <w:tcW w:w="532" w:type="pct"/>
            <w:vAlign w:val="center"/>
          </w:tcPr>
          <w:p w14:paraId="06941F2B" w14:textId="77777777" w:rsidR="005859B6" w:rsidRPr="005859B6" w:rsidRDefault="005859B6" w:rsidP="005859B6">
            <w:pPr>
              <w:spacing w:line="480" w:lineRule="auto"/>
            </w:pPr>
          </w:p>
        </w:tc>
        <w:tc>
          <w:tcPr>
            <w:tcW w:w="475" w:type="pct"/>
            <w:vAlign w:val="center"/>
          </w:tcPr>
          <w:p w14:paraId="7B7C6E03" w14:textId="77777777" w:rsidR="005859B6" w:rsidRPr="005859B6" w:rsidRDefault="005859B6" w:rsidP="005859B6">
            <w:pPr>
              <w:spacing w:line="480" w:lineRule="auto"/>
            </w:pPr>
          </w:p>
        </w:tc>
        <w:tc>
          <w:tcPr>
            <w:tcW w:w="590" w:type="pct"/>
            <w:vAlign w:val="center"/>
          </w:tcPr>
          <w:p w14:paraId="6F956E89" w14:textId="77777777" w:rsidR="005859B6" w:rsidRPr="005859B6" w:rsidRDefault="005859B6" w:rsidP="005859B6">
            <w:pPr>
              <w:spacing w:line="480" w:lineRule="auto"/>
            </w:pPr>
          </w:p>
        </w:tc>
        <w:tc>
          <w:tcPr>
            <w:tcW w:w="553" w:type="pct"/>
            <w:vAlign w:val="center"/>
          </w:tcPr>
          <w:p w14:paraId="52BE6AF0" w14:textId="77777777" w:rsidR="005859B6" w:rsidRPr="005859B6" w:rsidRDefault="005859B6" w:rsidP="005859B6">
            <w:pPr>
              <w:spacing w:line="480" w:lineRule="auto"/>
            </w:pPr>
          </w:p>
        </w:tc>
        <w:tc>
          <w:tcPr>
            <w:tcW w:w="475" w:type="pct"/>
            <w:vAlign w:val="center"/>
          </w:tcPr>
          <w:p w14:paraId="6E196C0D" w14:textId="77777777" w:rsidR="005859B6" w:rsidRPr="005859B6" w:rsidRDefault="005859B6" w:rsidP="005859B6">
            <w:pPr>
              <w:spacing w:line="480" w:lineRule="auto"/>
            </w:pPr>
          </w:p>
        </w:tc>
        <w:tc>
          <w:tcPr>
            <w:tcW w:w="475" w:type="pct"/>
            <w:vAlign w:val="center"/>
          </w:tcPr>
          <w:p w14:paraId="60531A05" w14:textId="77777777" w:rsidR="005859B6" w:rsidRPr="005859B6" w:rsidRDefault="005859B6" w:rsidP="005859B6">
            <w:pPr>
              <w:spacing w:line="480" w:lineRule="auto"/>
            </w:pPr>
          </w:p>
        </w:tc>
        <w:tc>
          <w:tcPr>
            <w:tcW w:w="475" w:type="pct"/>
            <w:vAlign w:val="center"/>
          </w:tcPr>
          <w:p w14:paraId="6F1A0FD9" w14:textId="77777777" w:rsidR="005859B6" w:rsidRPr="005859B6" w:rsidRDefault="005859B6" w:rsidP="005859B6">
            <w:pPr>
              <w:spacing w:line="480" w:lineRule="auto"/>
            </w:pPr>
            <w:r w:rsidRPr="005859B6">
              <w:t>R</w:t>
            </w:r>
          </w:p>
        </w:tc>
        <w:tc>
          <w:tcPr>
            <w:tcW w:w="487" w:type="pct"/>
            <w:vAlign w:val="center"/>
          </w:tcPr>
          <w:p w14:paraId="55DEF676" w14:textId="77777777" w:rsidR="005859B6" w:rsidRPr="005859B6" w:rsidRDefault="005859B6" w:rsidP="005859B6">
            <w:pPr>
              <w:spacing w:line="480" w:lineRule="auto"/>
            </w:pPr>
          </w:p>
        </w:tc>
      </w:tr>
      <w:tr w:rsidR="005859B6" w:rsidRPr="005859B6" w14:paraId="421B6DF2" w14:textId="77777777" w:rsidTr="00C0402E">
        <w:tc>
          <w:tcPr>
            <w:tcW w:w="938" w:type="pct"/>
          </w:tcPr>
          <w:p w14:paraId="0EFA00FB" w14:textId="77777777" w:rsidR="005859B6" w:rsidRPr="005859B6" w:rsidRDefault="005859B6" w:rsidP="005859B6">
            <w:pPr>
              <w:spacing w:line="480" w:lineRule="auto"/>
            </w:pPr>
            <w:r w:rsidRPr="005859B6">
              <w:t>Geographical location</w:t>
            </w:r>
          </w:p>
        </w:tc>
        <w:tc>
          <w:tcPr>
            <w:tcW w:w="532" w:type="pct"/>
            <w:vAlign w:val="center"/>
          </w:tcPr>
          <w:p w14:paraId="28045B4D" w14:textId="77777777" w:rsidR="005859B6" w:rsidRPr="005859B6" w:rsidRDefault="005859B6" w:rsidP="005859B6">
            <w:pPr>
              <w:spacing w:line="480" w:lineRule="auto"/>
            </w:pPr>
            <w:r w:rsidRPr="005859B6">
              <w:t>NR</w:t>
            </w:r>
            <w:r w:rsidRPr="005859B6">
              <w:rPr>
                <w:vertAlign w:val="superscript"/>
              </w:rPr>
              <w:t>6</w:t>
            </w:r>
          </w:p>
        </w:tc>
        <w:tc>
          <w:tcPr>
            <w:tcW w:w="475" w:type="pct"/>
            <w:vAlign w:val="center"/>
          </w:tcPr>
          <w:p w14:paraId="4A2F62B4" w14:textId="77777777" w:rsidR="005859B6" w:rsidRPr="005859B6" w:rsidRDefault="005859B6" w:rsidP="005859B6">
            <w:pPr>
              <w:spacing w:line="480" w:lineRule="auto"/>
            </w:pPr>
            <w:r w:rsidRPr="005859B6">
              <w:t>R</w:t>
            </w:r>
          </w:p>
        </w:tc>
        <w:tc>
          <w:tcPr>
            <w:tcW w:w="590" w:type="pct"/>
            <w:vAlign w:val="center"/>
          </w:tcPr>
          <w:p w14:paraId="16EA630B" w14:textId="77777777" w:rsidR="005859B6" w:rsidRPr="005859B6" w:rsidRDefault="005859B6" w:rsidP="005859B6">
            <w:pPr>
              <w:spacing w:line="480" w:lineRule="auto"/>
            </w:pPr>
          </w:p>
        </w:tc>
        <w:tc>
          <w:tcPr>
            <w:tcW w:w="553" w:type="pct"/>
            <w:vAlign w:val="center"/>
          </w:tcPr>
          <w:p w14:paraId="38E653B2" w14:textId="77777777" w:rsidR="005859B6" w:rsidRPr="005859B6" w:rsidRDefault="005859B6" w:rsidP="005859B6">
            <w:pPr>
              <w:spacing w:line="480" w:lineRule="auto"/>
            </w:pPr>
          </w:p>
        </w:tc>
        <w:tc>
          <w:tcPr>
            <w:tcW w:w="475" w:type="pct"/>
            <w:vAlign w:val="center"/>
          </w:tcPr>
          <w:p w14:paraId="77259E11" w14:textId="77777777" w:rsidR="005859B6" w:rsidRPr="005859B6" w:rsidRDefault="005859B6" w:rsidP="005859B6">
            <w:pPr>
              <w:spacing w:line="480" w:lineRule="auto"/>
            </w:pPr>
            <w:r w:rsidRPr="005859B6">
              <w:t>R</w:t>
            </w:r>
          </w:p>
        </w:tc>
        <w:tc>
          <w:tcPr>
            <w:tcW w:w="475" w:type="pct"/>
            <w:vAlign w:val="center"/>
          </w:tcPr>
          <w:p w14:paraId="792DDA2C" w14:textId="77777777" w:rsidR="005859B6" w:rsidRPr="005859B6" w:rsidRDefault="005859B6" w:rsidP="005859B6">
            <w:pPr>
              <w:spacing w:line="480" w:lineRule="auto"/>
            </w:pPr>
          </w:p>
        </w:tc>
        <w:tc>
          <w:tcPr>
            <w:tcW w:w="475" w:type="pct"/>
            <w:vAlign w:val="center"/>
          </w:tcPr>
          <w:p w14:paraId="6F17CEAE" w14:textId="77777777" w:rsidR="005859B6" w:rsidRPr="005859B6" w:rsidRDefault="005859B6" w:rsidP="005859B6">
            <w:pPr>
              <w:spacing w:line="480" w:lineRule="auto"/>
            </w:pPr>
          </w:p>
        </w:tc>
        <w:tc>
          <w:tcPr>
            <w:tcW w:w="487" w:type="pct"/>
            <w:vAlign w:val="center"/>
          </w:tcPr>
          <w:p w14:paraId="7F60DD6C" w14:textId="77777777" w:rsidR="005859B6" w:rsidRPr="005859B6" w:rsidRDefault="005859B6" w:rsidP="005859B6">
            <w:pPr>
              <w:spacing w:line="480" w:lineRule="auto"/>
            </w:pPr>
          </w:p>
        </w:tc>
      </w:tr>
      <w:tr w:rsidR="005859B6" w:rsidRPr="005859B6" w14:paraId="5A19C0CB" w14:textId="77777777" w:rsidTr="00C0402E">
        <w:tc>
          <w:tcPr>
            <w:tcW w:w="938" w:type="pct"/>
          </w:tcPr>
          <w:p w14:paraId="3155C48B" w14:textId="77777777" w:rsidR="005859B6" w:rsidRPr="005859B6" w:rsidRDefault="005859B6" w:rsidP="005859B6">
            <w:pPr>
              <w:spacing w:line="480" w:lineRule="auto"/>
            </w:pPr>
            <w:r w:rsidRPr="005859B6">
              <w:t>Risk of disease, of events, of progression</w:t>
            </w:r>
          </w:p>
        </w:tc>
        <w:tc>
          <w:tcPr>
            <w:tcW w:w="532" w:type="pct"/>
            <w:vAlign w:val="center"/>
          </w:tcPr>
          <w:p w14:paraId="4261C3FD" w14:textId="77777777" w:rsidR="005859B6" w:rsidRPr="005859B6" w:rsidRDefault="005859B6" w:rsidP="005859B6">
            <w:pPr>
              <w:spacing w:line="480" w:lineRule="auto"/>
            </w:pPr>
            <w:r w:rsidRPr="005859B6">
              <w:t>R</w:t>
            </w:r>
          </w:p>
        </w:tc>
        <w:tc>
          <w:tcPr>
            <w:tcW w:w="475" w:type="pct"/>
            <w:vAlign w:val="center"/>
          </w:tcPr>
          <w:p w14:paraId="3BA8A34B" w14:textId="77777777" w:rsidR="005859B6" w:rsidRPr="005859B6" w:rsidRDefault="005859B6" w:rsidP="005859B6">
            <w:pPr>
              <w:spacing w:line="480" w:lineRule="auto"/>
            </w:pPr>
            <w:r w:rsidRPr="005859B6">
              <w:t>R</w:t>
            </w:r>
          </w:p>
        </w:tc>
        <w:tc>
          <w:tcPr>
            <w:tcW w:w="590" w:type="pct"/>
            <w:vAlign w:val="center"/>
          </w:tcPr>
          <w:p w14:paraId="4F8D3AAE" w14:textId="77777777" w:rsidR="005859B6" w:rsidRPr="005859B6" w:rsidRDefault="005859B6" w:rsidP="005859B6">
            <w:pPr>
              <w:spacing w:line="480" w:lineRule="auto"/>
            </w:pPr>
          </w:p>
        </w:tc>
        <w:tc>
          <w:tcPr>
            <w:tcW w:w="553" w:type="pct"/>
            <w:vAlign w:val="center"/>
          </w:tcPr>
          <w:p w14:paraId="7810F528" w14:textId="77777777" w:rsidR="005859B6" w:rsidRPr="005859B6" w:rsidRDefault="005859B6" w:rsidP="005859B6">
            <w:pPr>
              <w:spacing w:line="480" w:lineRule="auto"/>
            </w:pPr>
          </w:p>
        </w:tc>
        <w:tc>
          <w:tcPr>
            <w:tcW w:w="475" w:type="pct"/>
            <w:vAlign w:val="center"/>
          </w:tcPr>
          <w:p w14:paraId="3D99F877" w14:textId="77777777" w:rsidR="005859B6" w:rsidRPr="005859B6" w:rsidRDefault="005859B6" w:rsidP="005859B6">
            <w:pPr>
              <w:spacing w:line="480" w:lineRule="auto"/>
            </w:pPr>
            <w:r w:rsidRPr="005859B6">
              <w:t>R</w:t>
            </w:r>
          </w:p>
        </w:tc>
        <w:tc>
          <w:tcPr>
            <w:tcW w:w="475" w:type="pct"/>
            <w:vAlign w:val="center"/>
          </w:tcPr>
          <w:p w14:paraId="56DDCDAA" w14:textId="77777777" w:rsidR="005859B6" w:rsidRPr="005859B6" w:rsidRDefault="005859B6" w:rsidP="005859B6">
            <w:pPr>
              <w:spacing w:line="480" w:lineRule="auto"/>
            </w:pPr>
          </w:p>
        </w:tc>
        <w:tc>
          <w:tcPr>
            <w:tcW w:w="475" w:type="pct"/>
            <w:vAlign w:val="center"/>
          </w:tcPr>
          <w:p w14:paraId="1627C3D5" w14:textId="77777777" w:rsidR="005859B6" w:rsidRPr="005859B6" w:rsidRDefault="005859B6" w:rsidP="005859B6">
            <w:pPr>
              <w:spacing w:line="480" w:lineRule="auto"/>
            </w:pPr>
            <w:r w:rsidRPr="005859B6">
              <w:t>R</w:t>
            </w:r>
          </w:p>
        </w:tc>
        <w:tc>
          <w:tcPr>
            <w:tcW w:w="487" w:type="pct"/>
            <w:vAlign w:val="center"/>
          </w:tcPr>
          <w:p w14:paraId="0E908A63" w14:textId="77777777" w:rsidR="005859B6" w:rsidRPr="005859B6" w:rsidRDefault="005859B6" w:rsidP="005859B6">
            <w:pPr>
              <w:spacing w:line="480" w:lineRule="auto"/>
            </w:pPr>
            <w:r w:rsidRPr="005859B6">
              <w:t>R</w:t>
            </w:r>
          </w:p>
        </w:tc>
      </w:tr>
      <w:tr w:rsidR="005859B6" w:rsidRPr="005859B6" w14:paraId="5A08003B" w14:textId="77777777" w:rsidTr="00C0402E">
        <w:tc>
          <w:tcPr>
            <w:tcW w:w="938" w:type="pct"/>
          </w:tcPr>
          <w:p w14:paraId="29061ADE" w14:textId="77777777" w:rsidR="005859B6" w:rsidRPr="005859B6" w:rsidRDefault="005859B6" w:rsidP="005859B6">
            <w:pPr>
              <w:spacing w:line="480" w:lineRule="auto"/>
            </w:pPr>
            <w:r w:rsidRPr="005859B6">
              <w:t>Quality of life weights</w:t>
            </w:r>
          </w:p>
        </w:tc>
        <w:tc>
          <w:tcPr>
            <w:tcW w:w="532" w:type="pct"/>
            <w:vAlign w:val="center"/>
          </w:tcPr>
          <w:p w14:paraId="6A41786F" w14:textId="77777777" w:rsidR="005859B6" w:rsidRPr="005859B6" w:rsidRDefault="005859B6" w:rsidP="005859B6">
            <w:pPr>
              <w:spacing w:line="480" w:lineRule="auto"/>
            </w:pPr>
          </w:p>
        </w:tc>
        <w:tc>
          <w:tcPr>
            <w:tcW w:w="475" w:type="pct"/>
            <w:vAlign w:val="center"/>
          </w:tcPr>
          <w:p w14:paraId="6CB62698" w14:textId="77777777" w:rsidR="005859B6" w:rsidRPr="005859B6" w:rsidRDefault="005859B6" w:rsidP="005859B6">
            <w:pPr>
              <w:spacing w:line="480" w:lineRule="auto"/>
            </w:pPr>
            <w:r w:rsidRPr="005859B6">
              <w:t>R</w:t>
            </w:r>
          </w:p>
        </w:tc>
        <w:tc>
          <w:tcPr>
            <w:tcW w:w="590" w:type="pct"/>
            <w:vAlign w:val="center"/>
          </w:tcPr>
          <w:p w14:paraId="22F3811E" w14:textId="77777777" w:rsidR="005859B6" w:rsidRPr="005859B6" w:rsidRDefault="005859B6" w:rsidP="005859B6">
            <w:pPr>
              <w:spacing w:line="480" w:lineRule="auto"/>
            </w:pPr>
          </w:p>
        </w:tc>
        <w:tc>
          <w:tcPr>
            <w:tcW w:w="553" w:type="pct"/>
            <w:vAlign w:val="center"/>
          </w:tcPr>
          <w:p w14:paraId="72AD24F3" w14:textId="77777777" w:rsidR="005859B6" w:rsidRPr="005859B6" w:rsidRDefault="005859B6" w:rsidP="005859B6">
            <w:pPr>
              <w:spacing w:line="480" w:lineRule="auto"/>
            </w:pPr>
          </w:p>
        </w:tc>
        <w:tc>
          <w:tcPr>
            <w:tcW w:w="475" w:type="pct"/>
            <w:vAlign w:val="center"/>
          </w:tcPr>
          <w:p w14:paraId="776F824C" w14:textId="77777777" w:rsidR="005859B6" w:rsidRPr="005859B6" w:rsidRDefault="005859B6" w:rsidP="005859B6">
            <w:pPr>
              <w:spacing w:line="480" w:lineRule="auto"/>
            </w:pPr>
          </w:p>
        </w:tc>
        <w:tc>
          <w:tcPr>
            <w:tcW w:w="475" w:type="pct"/>
            <w:vAlign w:val="center"/>
          </w:tcPr>
          <w:p w14:paraId="0BE69FEA" w14:textId="77777777" w:rsidR="005859B6" w:rsidRPr="005859B6" w:rsidRDefault="005859B6" w:rsidP="005859B6">
            <w:pPr>
              <w:spacing w:line="480" w:lineRule="auto"/>
            </w:pPr>
          </w:p>
        </w:tc>
        <w:tc>
          <w:tcPr>
            <w:tcW w:w="475" w:type="pct"/>
            <w:vAlign w:val="center"/>
          </w:tcPr>
          <w:p w14:paraId="299182B1" w14:textId="77777777" w:rsidR="005859B6" w:rsidRPr="005859B6" w:rsidRDefault="005859B6" w:rsidP="005859B6">
            <w:pPr>
              <w:spacing w:line="480" w:lineRule="auto"/>
            </w:pPr>
          </w:p>
        </w:tc>
        <w:tc>
          <w:tcPr>
            <w:tcW w:w="487" w:type="pct"/>
            <w:vAlign w:val="center"/>
          </w:tcPr>
          <w:p w14:paraId="4E4F79FF" w14:textId="77777777" w:rsidR="005859B6" w:rsidRPr="005859B6" w:rsidRDefault="005859B6" w:rsidP="005859B6">
            <w:pPr>
              <w:spacing w:line="480" w:lineRule="auto"/>
            </w:pPr>
          </w:p>
        </w:tc>
      </w:tr>
      <w:tr w:rsidR="005859B6" w:rsidRPr="005859B6" w14:paraId="709B6E1C" w14:textId="77777777" w:rsidTr="00C0402E">
        <w:tc>
          <w:tcPr>
            <w:tcW w:w="938" w:type="pct"/>
          </w:tcPr>
          <w:p w14:paraId="7FFDB40B" w14:textId="77777777" w:rsidR="005859B6" w:rsidRPr="005859B6" w:rsidRDefault="005859B6" w:rsidP="005859B6">
            <w:pPr>
              <w:spacing w:line="480" w:lineRule="auto"/>
            </w:pPr>
            <w:r w:rsidRPr="005859B6">
              <w:t>Treatment effect</w:t>
            </w:r>
          </w:p>
        </w:tc>
        <w:tc>
          <w:tcPr>
            <w:tcW w:w="532" w:type="pct"/>
            <w:vAlign w:val="center"/>
          </w:tcPr>
          <w:p w14:paraId="42F0F751" w14:textId="77777777" w:rsidR="005859B6" w:rsidRPr="005859B6" w:rsidRDefault="005859B6" w:rsidP="005859B6">
            <w:pPr>
              <w:spacing w:line="480" w:lineRule="auto"/>
            </w:pPr>
            <w:r w:rsidRPr="005859B6">
              <w:t>R</w:t>
            </w:r>
            <w:r w:rsidRPr="005859B6">
              <w:rPr>
                <w:vertAlign w:val="superscript"/>
              </w:rPr>
              <w:endnoteReference w:id="3"/>
            </w:r>
          </w:p>
        </w:tc>
        <w:tc>
          <w:tcPr>
            <w:tcW w:w="475" w:type="pct"/>
            <w:vAlign w:val="center"/>
          </w:tcPr>
          <w:p w14:paraId="314CB8DE" w14:textId="77777777" w:rsidR="005859B6" w:rsidRPr="005859B6" w:rsidRDefault="005859B6" w:rsidP="005859B6">
            <w:pPr>
              <w:spacing w:line="480" w:lineRule="auto"/>
            </w:pPr>
            <w:r w:rsidRPr="005859B6">
              <w:t>R</w:t>
            </w:r>
          </w:p>
        </w:tc>
        <w:tc>
          <w:tcPr>
            <w:tcW w:w="590" w:type="pct"/>
            <w:vAlign w:val="center"/>
          </w:tcPr>
          <w:p w14:paraId="675CD957" w14:textId="77777777" w:rsidR="005859B6" w:rsidRPr="005859B6" w:rsidRDefault="005859B6" w:rsidP="005859B6">
            <w:pPr>
              <w:spacing w:line="480" w:lineRule="auto"/>
            </w:pPr>
            <w:r w:rsidRPr="005859B6">
              <w:t>R</w:t>
            </w:r>
          </w:p>
        </w:tc>
        <w:tc>
          <w:tcPr>
            <w:tcW w:w="553" w:type="pct"/>
            <w:vAlign w:val="center"/>
          </w:tcPr>
          <w:p w14:paraId="700ABD63" w14:textId="77777777" w:rsidR="005859B6" w:rsidRPr="005859B6" w:rsidRDefault="005859B6" w:rsidP="005859B6">
            <w:pPr>
              <w:spacing w:line="480" w:lineRule="auto"/>
            </w:pPr>
          </w:p>
        </w:tc>
        <w:tc>
          <w:tcPr>
            <w:tcW w:w="475" w:type="pct"/>
            <w:vAlign w:val="center"/>
          </w:tcPr>
          <w:p w14:paraId="6710768C" w14:textId="77777777" w:rsidR="005859B6" w:rsidRPr="005859B6" w:rsidRDefault="005859B6" w:rsidP="005859B6">
            <w:pPr>
              <w:spacing w:line="480" w:lineRule="auto"/>
            </w:pPr>
            <w:r w:rsidRPr="005859B6">
              <w:t>R</w:t>
            </w:r>
          </w:p>
        </w:tc>
        <w:tc>
          <w:tcPr>
            <w:tcW w:w="475" w:type="pct"/>
            <w:vAlign w:val="center"/>
          </w:tcPr>
          <w:p w14:paraId="7DA0D529" w14:textId="77777777" w:rsidR="005859B6" w:rsidRPr="005859B6" w:rsidRDefault="005859B6" w:rsidP="005859B6">
            <w:pPr>
              <w:spacing w:line="480" w:lineRule="auto"/>
            </w:pPr>
            <w:r w:rsidRPr="005859B6">
              <w:t>R</w:t>
            </w:r>
          </w:p>
        </w:tc>
        <w:tc>
          <w:tcPr>
            <w:tcW w:w="475" w:type="pct"/>
            <w:vAlign w:val="center"/>
          </w:tcPr>
          <w:p w14:paraId="1E1E9336" w14:textId="77777777" w:rsidR="005859B6" w:rsidRPr="005859B6" w:rsidRDefault="005859B6" w:rsidP="005859B6">
            <w:pPr>
              <w:spacing w:line="480" w:lineRule="auto"/>
            </w:pPr>
            <w:r w:rsidRPr="005859B6">
              <w:t>R</w:t>
            </w:r>
          </w:p>
        </w:tc>
        <w:tc>
          <w:tcPr>
            <w:tcW w:w="487" w:type="pct"/>
            <w:vAlign w:val="center"/>
          </w:tcPr>
          <w:p w14:paraId="16024846" w14:textId="77777777" w:rsidR="005859B6" w:rsidRPr="005859B6" w:rsidRDefault="005859B6" w:rsidP="005859B6">
            <w:pPr>
              <w:spacing w:line="480" w:lineRule="auto"/>
            </w:pPr>
          </w:p>
        </w:tc>
      </w:tr>
      <w:tr w:rsidR="005859B6" w:rsidRPr="005859B6" w14:paraId="119F4488" w14:textId="77777777" w:rsidTr="00C0402E">
        <w:tc>
          <w:tcPr>
            <w:tcW w:w="938" w:type="pct"/>
          </w:tcPr>
          <w:p w14:paraId="15DC095B" w14:textId="77777777" w:rsidR="005859B6" w:rsidRPr="005859B6" w:rsidRDefault="005859B6" w:rsidP="005859B6">
            <w:pPr>
              <w:spacing w:line="480" w:lineRule="auto"/>
            </w:pPr>
            <w:r w:rsidRPr="005859B6">
              <w:t>Adherence to treatment</w:t>
            </w:r>
          </w:p>
        </w:tc>
        <w:tc>
          <w:tcPr>
            <w:tcW w:w="532" w:type="pct"/>
            <w:vAlign w:val="center"/>
          </w:tcPr>
          <w:p w14:paraId="355FB22A" w14:textId="77777777" w:rsidR="005859B6" w:rsidRPr="005859B6" w:rsidRDefault="005859B6" w:rsidP="005859B6">
            <w:pPr>
              <w:spacing w:line="480" w:lineRule="auto"/>
            </w:pPr>
          </w:p>
        </w:tc>
        <w:tc>
          <w:tcPr>
            <w:tcW w:w="475" w:type="pct"/>
            <w:vAlign w:val="center"/>
          </w:tcPr>
          <w:p w14:paraId="3342C163" w14:textId="77777777" w:rsidR="005859B6" w:rsidRPr="005859B6" w:rsidRDefault="005859B6" w:rsidP="005859B6">
            <w:pPr>
              <w:spacing w:line="480" w:lineRule="auto"/>
            </w:pPr>
            <w:r w:rsidRPr="005859B6">
              <w:t>R</w:t>
            </w:r>
          </w:p>
        </w:tc>
        <w:tc>
          <w:tcPr>
            <w:tcW w:w="590" w:type="pct"/>
            <w:vAlign w:val="center"/>
          </w:tcPr>
          <w:p w14:paraId="2301BB6C" w14:textId="77777777" w:rsidR="005859B6" w:rsidRPr="005859B6" w:rsidRDefault="005859B6" w:rsidP="005859B6">
            <w:pPr>
              <w:spacing w:line="480" w:lineRule="auto"/>
            </w:pPr>
          </w:p>
        </w:tc>
        <w:tc>
          <w:tcPr>
            <w:tcW w:w="553" w:type="pct"/>
            <w:vAlign w:val="center"/>
          </w:tcPr>
          <w:p w14:paraId="147FEA84" w14:textId="77777777" w:rsidR="005859B6" w:rsidRPr="005859B6" w:rsidRDefault="005859B6" w:rsidP="005859B6">
            <w:pPr>
              <w:spacing w:line="480" w:lineRule="auto"/>
            </w:pPr>
          </w:p>
        </w:tc>
        <w:tc>
          <w:tcPr>
            <w:tcW w:w="475" w:type="pct"/>
            <w:vAlign w:val="center"/>
          </w:tcPr>
          <w:p w14:paraId="0A5479FC" w14:textId="77777777" w:rsidR="005859B6" w:rsidRPr="005859B6" w:rsidRDefault="005859B6" w:rsidP="005859B6">
            <w:pPr>
              <w:spacing w:line="480" w:lineRule="auto"/>
            </w:pPr>
          </w:p>
        </w:tc>
        <w:tc>
          <w:tcPr>
            <w:tcW w:w="475" w:type="pct"/>
            <w:vAlign w:val="center"/>
          </w:tcPr>
          <w:p w14:paraId="65D87C94" w14:textId="77777777" w:rsidR="005859B6" w:rsidRPr="005859B6" w:rsidRDefault="005859B6" w:rsidP="005859B6">
            <w:pPr>
              <w:spacing w:line="480" w:lineRule="auto"/>
            </w:pPr>
          </w:p>
        </w:tc>
        <w:tc>
          <w:tcPr>
            <w:tcW w:w="475" w:type="pct"/>
            <w:vAlign w:val="center"/>
          </w:tcPr>
          <w:p w14:paraId="3D303745" w14:textId="77777777" w:rsidR="005859B6" w:rsidRPr="005859B6" w:rsidRDefault="005859B6" w:rsidP="005859B6">
            <w:pPr>
              <w:spacing w:line="480" w:lineRule="auto"/>
            </w:pPr>
          </w:p>
        </w:tc>
        <w:tc>
          <w:tcPr>
            <w:tcW w:w="487" w:type="pct"/>
            <w:vAlign w:val="center"/>
          </w:tcPr>
          <w:p w14:paraId="7DC5356B" w14:textId="77777777" w:rsidR="005859B6" w:rsidRPr="005859B6" w:rsidRDefault="005859B6" w:rsidP="005859B6">
            <w:pPr>
              <w:spacing w:line="480" w:lineRule="auto"/>
            </w:pPr>
          </w:p>
        </w:tc>
      </w:tr>
      <w:tr w:rsidR="005859B6" w:rsidRPr="005859B6" w14:paraId="2994C7A7" w14:textId="77777777" w:rsidTr="00C0402E">
        <w:tc>
          <w:tcPr>
            <w:tcW w:w="938" w:type="pct"/>
          </w:tcPr>
          <w:p w14:paraId="2614D639" w14:textId="77777777" w:rsidR="005859B6" w:rsidRPr="005859B6" w:rsidRDefault="005859B6" w:rsidP="005859B6">
            <w:pPr>
              <w:spacing w:line="480" w:lineRule="auto"/>
            </w:pPr>
            <w:r w:rsidRPr="005859B6">
              <w:lastRenderedPageBreak/>
              <w:t>Typical treatment patterns</w:t>
            </w:r>
          </w:p>
        </w:tc>
        <w:tc>
          <w:tcPr>
            <w:tcW w:w="532" w:type="pct"/>
            <w:vAlign w:val="center"/>
          </w:tcPr>
          <w:p w14:paraId="086B00C2" w14:textId="77777777" w:rsidR="005859B6" w:rsidRPr="005859B6" w:rsidRDefault="005859B6" w:rsidP="005859B6">
            <w:pPr>
              <w:spacing w:line="480" w:lineRule="auto"/>
            </w:pPr>
          </w:p>
        </w:tc>
        <w:tc>
          <w:tcPr>
            <w:tcW w:w="475" w:type="pct"/>
            <w:vAlign w:val="center"/>
          </w:tcPr>
          <w:p w14:paraId="0C08C0DC" w14:textId="77777777" w:rsidR="005859B6" w:rsidRPr="005859B6" w:rsidRDefault="005859B6" w:rsidP="005859B6">
            <w:pPr>
              <w:spacing w:line="480" w:lineRule="auto"/>
            </w:pPr>
            <w:r w:rsidRPr="005859B6">
              <w:t>R</w:t>
            </w:r>
          </w:p>
        </w:tc>
        <w:tc>
          <w:tcPr>
            <w:tcW w:w="590" w:type="pct"/>
            <w:vAlign w:val="center"/>
          </w:tcPr>
          <w:p w14:paraId="46DB7C1B" w14:textId="77777777" w:rsidR="005859B6" w:rsidRPr="005859B6" w:rsidRDefault="005859B6" w:rsidP="005859B6">
            <w:pPr>
              <w:spacing w:line="480" w:lineRule="auto"/>
            </w:pPr>
          </w:p>
        </w:tc>
        <w:tc>
          <w:tcPr>
            <w:tcW w:w="553" w:type="pct"/>
            <w:vAlign w:val="center"/>
          </w:tcPr>
          <w:p w14:paraId="6D34FCE2" w14:textId="77777777" w:rsidR="005859B6" w:rsidRPr="005859B6" w:rsidRDefault="005859B6" w:rsidP="005859B6">
            <w:pPr>
              <w:spacing w:line="480" w:lineRule="auto"/>
            </w:pPr>
          </w:p>
        </w:tc>
        <w:tc>
          <w:tcPr>
            <w:tcW w:w="475" w:type="pct"/>
            <w:vAlign w:val="center"/>
          </w:tcPr>
          <w:p w14:paraId="24D66B94" w14:textId="77777777" w:rsidR="005859B6" w:rsidRPr="005859B6" w:rsidRDefault="005859B6" w:rsidP="005859B6">
            <w:pPr>
              <w:spacing w:line="480" w:lineRule="auto"/>
            </w:pPr>
          </w:p>
        </w:tc>
        <w:tc>
          <w:tcPr>
            <w:tcW w:w="475" w:type="pct"/>
            <w:vAlign w:val="center"/>
          </w:tcPr>
          <w:p w14:paraId="50E9E1CF" w14:textId="77777777" w:rsidR="005859B6" w:rsidRPr="005859B6" w:rsidRDefault="005859B6" w:rsidP="005859B6">
            <w:pPr>
              <w:spacing w:line="480" w:lineRule="auto"/>
            </w:pPr>
          </w:p>
        </w:tc>
        <w:tc>
          <w:tcPr>
            <w:tcW w:w="475" w:type="pct"/>
            <w:vAlign w:val="center"/>
          </w:tcPr>
          <w:p w14:paraId="3788A242" w14:textId="77777777" w:rsidR="005859B6" w:rsidRPr="005859B6" w:rsidRDefault="005859B6" w:rsidP="005859B6">
            <w:pPr>
              <w:spacing w:line="480" w:lineRule="auto"/>
            </w:pPr>
          </w:p>
        </w:tc>
        <w:tc>
          <w:tcPr>
            <w:tcW w:w="487" w:type="pct"/>
            <w:vAlign w:val="center"/>
          </w:tcPr>
          <w:p w14:paraId="0FC59293" w14:textId="77777777" w:rsidR="005859B6" w:rsidRPr="005859B6" w:rsidRDefault="005859B6" w:rsidP="005859B6">
            <w:pPr>
              <w:spacing w:line="480" w:lineRule="auto"/>
            </w:pPr>
          </w:p>
        </w:tc>
      </w:tr>
      <w:tr w:rsidR="005859B6" w:rsidRPr="005859B6" w14:paraId="76D6C51B" w14:textId="77777777" w:rsidTr="00C0402E">
        <w:tc>
          <w:tcPr>
            <w:tcW w:w="938" w:type="pct"/>
          </w:tcPr>
          <w:p w14:paraId="4BBC18A0" w14:textId="77777777" w:rsidR="005859B6" w:rsidRPr="005859B6" w:rsidRDefault="005859B6" w:rsidP="005859B6">
            <w:pPr>
              <w:spacing w:line="480" w:lineRule="auto"/>
            </w:pPr>
            <w:r w:rsidRPr="005859B6">
              <w:t>Treatment setting/provision</w:t>
            </w:r>
          </w:p>
        </w:tc>
        <w:tc>
          <w:tcPr>
            <w:tcW w:w="532" w:type="pct"/>
            <w:vAlign w:val="center"/>
          </w:tcPr>
          <w:p w14:paraId="0A098C7E" w14:textId="77777777" w:rsidR="005859B6" w:rsidRPr="005859B6" w:rsidRDefault="005859B6" w:rsidP="005859B6">
            <w:pPr>
              <w:spacing w:line="480" w:lineRule="auto"/>
            </w:pPr>
          </w:p>
        </w:tc>
        <w:tc>
          <w:tcPr>
            <w:tcW w:w="475" w:type="pct"/>
            <w:vAlign w:val="center"/>
          </w:tcPr>
          <w:p w14:paraId="2B5F7380" w14:textId="77777777" w:rsidR="005859B6" w:rsidRPr="005859B6" w:rsidRDefault="005859B6" w:rsidP="005859B6">
            <w:pPr>
              <w:spacing w:line="480" w:lineRule="auto"/>
            </w:pPr>
            <w:r w:rsidRPr="005859B6">
              <w:t>R</w:t>
            </w:r>
          </w:p>
        </w:tc>
        <w:tc>
          <w:tcPr>
            <w:tcW w:w="590" w:type="pct"/>
            <w:vAlign w:val="center"/>
          </w:tcPr>
          <w:p w14:paraId="07DEB20C" w14:textId="77777777" w:rsidR="005859B6" w:rsidRPr="005859B6" w:rsidRDefault="005859B6" w:rsidP="005859B6">
            <w:pPr>
              <w:spacing w:line="480" w:lineRule="auto"/>
            </w:pPr>
          </w:p>
        </w:tc>
        <w:tc>
          <w:tcPr>
            <w:tcW w:w="553" w:type="pct"/>
            <w:vAlign w:val="center"/>
          </w:tcPr>
          <w:p w14:paraId="056120D9" w14:textId="77777777" w:rsidR="005859B6" w:rsidRPr="005859B6" w:rsidRDefault="005859B6" w:rsidP="005859B6">
            <w:pPr>
              <w:spacing w:line="480" w:lineRule="auto"/>
            </w:pPr>
          </w:p>
        </w:tc>
        <w:tc>
          <w:tcPr>
            <w:tcW w:w="475" w:type="pct"/>
            <w:vAlign w:val="center"/>
          </w:tcPr>
          <w:p w14:paraId="7A35D7EE" w14:textId="77777777" w:rsidR="005859B6" w:rsidRPr="005859B6" w:rsidRDefault="005859B6" w:rsidP="005859B6">
            <w:pPr>
              <w:spacing w:line="480" w:lineRule="auto"/>
            </w:pPr>
            <w:r w:rsidRPr="005859B6">
              <w:t>R</w:t>
            </w:r>
          </w:p>
        </w:tc>
        <w:tc>
          <w:tcPr>
            <w:tcW w:w="475" w:type="pct"/>
            <w:vAlign w:val="center"/>
          </w:tcPr>
          <w:p w14:paraId="7EA9C104" w14:textId="77777777" w:rsidR="005859B6" w:rsidRPr="005859B6" w:rsidRDefault="005859B6" w:rsidP="005859B6">
            <w:pPr>
              <w:spacing w:line="480" w:lineRule="auto"/>
            </w:pPr>
          </w:p>
        </w:tc>
        <w:tc>
          <w:tcPr>
            <w:tcW w:w="475" w:type="pct"/>
            <w:vAlign w:val="center"/>
          </w:tcPr>
          <w:p w14:paraId="515EA486" w14:textId="77777777" w:rsidR="005859B6" w:rsidRPr="005859B6" w:rsidRDefault="005859B6" w:rsidP="005859B6">
            <w:pPr>
              <w:spacing w:line="480" w:lineRule="auto"/>
            </w:pPr>
          </w:p>
        </w:tc>
        <w:tc>
          <w:tcPr>
            <w:tcW w:w="487" w:type="pct"/>
            <w:vAlign w:val="center"/>
          </w:tcPr>
          <w:p w14:paraId="36DA7C13" w14:textId="77777777" w:rsidR="005859B6" w:rsidRPr="005859B6" w:rsidRDefault="005859B6" w:rsidP="005859B6">
            <w:pPr>
              <w:spacing w:line="480" w:lineRule="auto"/>
            </w:pPr>
          </w:p>
        </w:tc>
      </w:tr>
      <w:tr w:rsidR="005859B6" w:rsidRPr="005859B6" w14:paraId="20FF5417" w14:textId="77777777" w:rsidTr="00C0402E">
        <w:tc>
          <w:tcPr>
            <w:tcW w:w="938" w:type="pct"/>
          </w:tcPr>
          <w:p w14:paraId="2854A5B4" w14:textId="77777777" w:rsidR="005859B6" w:rsidRPr="005859B6" w:rsidRDefault="005859B6" w:rsidP="005859B6">
            <w:pPr>
              <w:spacing w:line="480" w:lineRule="auto"/>
            </w:pPr>
            <w:r w:rsidRPr="005859B6">
              <w:t>Resource use and/or costs</w:t>
            </w:r>
          </w:p>
        </w:tc>
        <w:tc>
          <w:tcPr>
            <w:tcW w:w="532" w:type="pct"/>
            <w:vAlign w:val="center"/>
          </w:tcPr>
          <w:p w14:paraId="5265BED6" w14:textId="77777777" w:rsidR="005859B6" w:rsidRPr="005859B6" w:rsidRDefault="005859B6" w:rsidP="005859B6">
            <w:pPr>
              <w:spacing w:line="480" w:lineRule="auto"/>
            </w:pPr>
            <w:r w:rsidRPr="005859B6">
              <w:t>R</w:t>
            </w:r>
          </w:p>
        </w:tc>
        <w:tc>
          <w:tcPr>
            <w:tcW w:w="475" w:type="pct"/>
            <w:vAlign w:val="center"/>
          </w:tcPr>
          <w:p w14:paraId="2456E66B" w14:textId="77777777" w:rsidR="005859B6" w:rsidRPr="005859B6" w:rsidRDefault="005859B6" w:rsidP="005859B6">
            <w:pPr>
              <w:spacing w:line="480" w:lineRule="auto"/>
            </w:pPr>
            <w:r w:rsidRPr="005859B6">
              <w:t>R</w:t>
            </w:r>
          </w:p>
        </w:tc>
        <w:tc>
          <w:tcPr>
            <w:tcW w:w="590" w:type="pct"/>
            <w:vAlign w:val="center"/>
          </w:tcPr>
          <w:p w14:paraId="34D26612" w14:textId="77777777" w:rsidR="005859B6" w:rsidRPr="005859B6" w:rsidRDefault="005859B6" w:rsidP="005859B6">
            <w:pPr>
              <w:spacing w:line="480" w:lineRule="auto"/>
            </w:pPr>
          </w:p>
        </w:tc>
        <w:tc>
          <w:tcPr>
            <w:tcW w:w="553" w:type="pct"/>
            <w:vAlign w:val="center"/>
          </w:tcPr>
          <w:p w14:paraId="06A29A28" w14:textId="77777777" w:rsidR="005859B6" w:rsidRPr="005859B6" w:rsidRDefault="005859B6" w:rsidP="005859B6">
            <w:pPr>
              <w:spacing w:line="480" w:lineRule="auto"/>
            </w:pPr>
          </w:p>
        </w:tc>
        <w:tc>
          <w:tcPr>
            <w:tcW w:w="475" w:type="pct"/>
            <w:vAlign w:val="center"/>
          </w:tcPr>
          <w:p w14:paraId="2700AD4D" w14:textId="77777777" w:rsidR="005859B6" w:rsidRPr="005859B6" w:rsidRDefault="005859B6" w:rsidP="005859B6">
            <w:pPr>
              <w:spacing w:line="480" w:lineRule="auto"/>
            </w:pPr>
            <w:r w:rsidRPr="005859B6">
              <w:t>R</w:t>
            </w:r>
          </w:p>
        </w:tc>
        <w:tc>
          <w:tcPr>
            <w:tcW w:w="475" w:type="pct"/>
            <w:vAlign w:val="center"/>
          </w:tcPr>
          <w:p w14:paraId="6005225C" w14:textId="77777777" w:rsidR="005859B6" w:rsidRPr="005859B6" w:rsidRDefault="005859B6" w:rsidP="005859B6">
            <w:pPr>
              <w:spacing w:line="480" w:lineRule="auto"/>
            </w:pPr>
          </w:p>
        </w:tc>
        <w:tc>
          <w:tcPr>
            <w:tcW w:w="475" w:type="pct"/>
            <w:vAlign w:val="center"/>
          </w:tcPr>
          <w:p w14:paraId="400416E3" w14:textId="77777777" w:rsidR="005859B6" w:rsidRPr="005859B6" w:rsidRDefault="005859B6" w:rsidP="005859B6">
            <w:pPr>
              <w:spacing w:line="480" w:lineRule="auto"/>
            </w:pPr>
            <w:r w:rsidRPr="005859B6">
              <w:t>R</w:t>
            </w:r>
          </w:p>
        </w:tc>
        <w:tc>
          <w:tcPr>
            <w:tcW w:w="487" w:type="pct"/>
            <w:vAlign w:val="center"/>
          </w:tcPr>
          <w:p w14:paraId="77EED8C7" w14:textId="77777777" w:rsidR="005859B6" w:rsidRPr="005859B6" w:rsidRDefault="005859B6" w:rsidP="005859B6">
            <w:pPr>
              <w:spacing w:line="480" w:lineRule="auto"/>
            </w:pPr>
          </w:p>
        </w:tc>
      </w:tr>
      <w:tr w:rsidR="005859B6" w:rsidRPr="005859B6" w14:paraId="6B3E9F76" w14:textId="77777777" w:rsidTr="00C0402E">
        <w:tc>
          <w:tcPr>
            <w:tcW w:w="5000" w:type="pct"/>
            <w:gridSpan w:val="9"/>
            <w:shd w:val="clear" w:color="auto" w:fill="E7E6E6" w:themeFill="background2"/>
          </w:tcPr>
          <w:p w14:paraId="7E49AB54" w14:textId="77777777" w:rsidR="005859B6" w:rsidRPr="005859B6" w:rsidRDefault="005859B6" w:rsidP="005859B6">
            <w:pPr>
              <w:spacing w:line="480" w:lineRule="auto"/>
            </w:pPr>
            <w:r w:rsidRPr="005859B6">
              <w:t>Recommendations on spillover effects</w:t>
            </w:r>
          </w:p>
        </w:tc>
      </w:tr>
      <w:tr w:rsidR="005859B6" w:rsidRPr="005859B6" w14:paraId="53D950A0" w14:textId="77777777" w:rsidTr="00C0402E">
        <w:tc>
          <w:tcPr>
            <w:tcW w:w="938" w:type="pct"/>
          </w:tcPr>
          <w:p w14:paraId="5C786C13" w14:textId="77777777" w:rsidR="005859B6" w:rsidRPr="005859B6" w:rsidRDefault="005859B6" w:rsidP="005859B6">
            <w:pPr>
              <w:spacing w:line="480" w:lineRule="auto"/>
            </w:pPr>
            <w:r w:rsidRPr="005859B6">
              <w:t>Whether to include</w:t>
            </w:r>
          </w:p>
        </w:tc>
        <w:tc>
          <w:tcPr>
            <w:tcW w:w="532" w:type="pct"/>
            <w:vAlign w:val="center"/>
          </w:tcPr>
          <w:p w14:paraId="12D6F8A3" w14:textId="77777777" w:rsidR="005859B6" w:rsidRPr="005859B6" w:rsidRDefault="005859B6" w:rsidP="005859B6">
            <w:pPr>
              <w:spacing w:line="480" w:lineRule="auto"/>
            </w:pPr>
            <w:r w:rsidRPr="005859B6">
              <w:t>R</w:t>
            </w:r>
            <w:r w:rsidRPr="005859B6">
              <w:rPr>
                <w:vertAlign w:val="superscript"/>
              </w:rPr>
              <w:endnoteReference w:id="4"/>
            </w:r>
          </w:p>
        </w:tc>
        <w:tc>
          <w:tcPr>
            <w:tcW w:w="475" w:type="pct"/>
            <w:vAlign w:val="center"/>
          </w:tcPr>
          <w:p w14:paraId="5C0D2F9F" w14:textId="77777777" w:rsidR="005859B6" w:rsidRPr="005859B6" w:rsidRDefault="005859B6" w:rsidP="005859B6">
            <w:pPr>
              <w:spacing w:line="480" w:lineRule="auto"/>
            </w:pPr>
            <w:r w:rsidRPr="005859B6">
              <w:t>R</w:t>
            </w:r>
          </w:p>
        </w:tc>
        <w:tc>
          <w:tcPr>
            <w:tcW w:w="590" w:type="pct"/>
            <w:vAlign w:val="center"/>
          </w:tcPr>
          <w:p w14:paraId="00E8DFA0" w14:textId="77777777" w:rsidR="005859B6" w:rsidRPr="005859B6" w:rsidRDefault="005859B6" w:rsidP="005859B6">
            <w:pPr>
              <w:spacing w:line="480" w:lineRule="auto"/>
            </w:pPr>
            <w:r w:rsidRPr="005859B6">
              <w:t>R</w:t>
            </w:r>
          </w:p>
        </w:tc>
        <w:tc>
          <w:tcPr>
            <w:tcW w:w="553" w:type="pct"/>
            <w:vAlign w:val="center"/>
          </w:tcPr>
          <w:p w14:paraId="00D7B015" w14:textId="77777777" w:rsidR="005859B6" w:rsidRPr="005859B6" w:rsidRDefault="005859B6" w:rsidP="005859B6">
            <w:pPr>
              <w:spacing w:line="480" w:lineRule="auto"/>
            </w:pPr>
          </w:p>
        </w:tc>
        <w:tc>
          <w:tcPr>
            <w:tcW w:w="475" w:type="pct"/>
            <w:vAlign w:val="center"/>
          </w:tcPr>
          <w:p w14:paraId="6D8AB685" w14:textId="77777777" w:rsidR="005859B6" w:rsidRPr="005859B6" w:rsidRDefault="005859B6" w:rsidP="005859B6">
            <w:pPr>
              <w:spacing w:line="480" w:lineRule="auto"/>
            </w:pPr>
          </w:p>
        </w:tc>
        <w:tc>
          <w:tcPr>
            <w:tcW w:w="475" w:type="pct"/>
            <w:vAlign w:val="center"/>
          </w:tcPr>
          <w:p w14:paraId="7D890E0D" w14:textId="77777777" w:rsidR="005859B6" w:rsidRPr="005859B6" w:rsidRDefault="005859B6" w:rsidP="005859B6">
            <w:pPr>
              <w:spacing w:line="480" w:lineRule="auto"/>
            </w:pPr>
          </w:p>
        </w:tc>
        <w:tc>
          <w:tcPr>
            <w:tcW w:w="475" w:type="pct"/>
            <w:vAlign w:val="center"/>
          </w:tcPr>
          <w:p w14:paraId="0DECF273" w14:textId="77777777" w:rsidR="005859B6" w:rsidRPr="005859B6" w:rsidRDefault="005859B6" w:rsidP="005859B6">
            <w:pPr>
              <w:spacing w:line="480" w:lineRule="auto"/>
            </w:pPr>
            <w:r w:rsidRPr="005859B6">
              <w:t>R</w:t>
            </w:r>
          </w:p>
        </w:tc>
        <w:tc>
          <w:tcPr>
            <w:tcW w:w="487" w:type="pct"/>
            <w:vAlign w:val="center"/>
          </w:tcPr>
          <w:p w14:paraId="561DE4A4" w14:textId="77777777" w:rsidR="005859B6" w:rsidRPr="005859B6" w:rsidRDefault="005859B6" w:rsidP="005859B6">
            <w:pPr>
              <w:spacing w:line="480" w:lineRule="auto"/>
            </w:pPr>
            <w:r w:rsidRPr="005859B6">
              <w:t>R</w:t>
            </w:r>
          </w:p>
        </w:tc>
      </w:tr>
      <w:tr w:rsidR="005859B6" w:rsidRPr="005859B6" w14:paraId="685FE0B0" w14:textId="77777777" w:rsidTr="00C0402E">
        <w:tc>
          <w:tcPr>
            <w:tcW w:w="5000" w:type="pct"/>
            <w:gridSpan w:val="9"/>
          </w:tcPr>
          <w:p w14:paraId="52F6FD4A" w14:textId="77777777" w:rsidR="005859B6" w:rsidRPr="005859B6" w:rsidRDefault="005859B6" w:rsidP="005859B6">
            <w:pPr>
              <w:spacing w:line="480" w:lineRule="auto"/>
            </w:pPr>
            <w:r w:rsidRPr="005859B6">
              <w:t xml:space="preserve">R: Recommended; NR: not recommended. ND: not discussed. </w:t>
            </w:r>
          </w:p>
        </w:tc>
      </w:tr>
    </w:tbl>
    <w:p w14:paraId="03526703" w14:textId="0B4686C8" w:rsidR="005859B6" w:rsidRDefault="005859B6" w:rsidP="00C0402E">
      <w:pPr>
        <w:rPr>
          <w:b/>
          <w:i/>
          <w:iCs/>
        </w:rPr>
        <w:sectPr w:rsidR="005859B6" w:rsidSect="00C0402E">
          <w:footnotePr>
            <w:numFmt w:val="lowerLetter"/>
          </w:footnotePr>
          <w:pgSz w:w="16838" w:h="11906" w:orient="landscape"/>
          <w:pgMar w:top="1440" w:right="1440" w:bottom="1440" w:left="1440" w:header="708" w:footer="708" w:gutter="0"/>
          <w:cols w:space="708"/>
          <w:docGrid w:linePitch="360"/>
        </w:sectPr>
      </w:pPr>
    </w:p>
    <w:p w14:paraId="0915F7EB" w14:textId="44CCECBE" w:rsidR="00367E3D" w:rsidRPr="00642AB3" w:rsidRDefault="00367E3D" w:rsidP="00451BA3">
      <w:pPr>
        <w:pStyle w:val="Heading2"/>
      </w:pPr>
      <w:bookmarkStart w:id="7" w:name="_Toc48925885"/>
      <w:r w:rsidRPr="00642AB3">
        <w:lastRenderedPageBreak/>
        <w:t xml:space="preserve">Practical </w:t>
      </w:r>
      <w:r w:rsidR="00392021" w:rsidRPr="00642AB3">
        <w:t>Implications</w:t>
      </w:r>
      <w:bookmarkEnd w:id="7"/>
    </w:p>
    <w:p w14:paraId="3A9ACB20" w14:textId="6F282058" w:rsidR="00367E3D" w:rsidRPr="00642AB3" w:rsidRDefault="00367E3D" w:rsidP="00C0402E">
      <w:pPr>
        <w:pStyle w:val="Heading3"/>
      </w:pPr>
      <w:bookmarkStart w:id="8" w:name="_Toc48925886"/>
      <w:bookmarkStart w:id="9" w:name="_Hlk40448393"/>
      <w:r w:rsidRPr="00642AB3">
        <w:t xml:space="preserve">Who </w:t>
      </w:r>
      <w:r w:rsidR="00392021" w:rsidRPr="00642AB3">
        <w:t xml:space="preserve">Should Constitute </w:t>
      </w:r>
      <w:proofErr w:type="gramStart"/>
      <w:r w:rsidR="00392021" w:rsidRPr="00642AB3">
        <w:t>The</w:t>
      </w:r>
      <w:proofErr w:type="gramEnd"/>
      <w:r w:rsidR="00392021" w:rsidRPr="00642AB3">
        <w:t xml:space="preserve"> Target Population?</w:t>
      </w:r>
      <w:bookmarkEnd w:id="8"/>
    </w:p>
    <w:bookmarkEnd w:id="9"/>
    <w:p w14:paraId="2EC1F499" w14:textId="3D08E57B" w:rsidR="00367E3D" w:rsidRPr="00642AB3" w:rsidRDefault="00367E3D" w:rsidP="00D35786">
      <w:pPr>
        <w:spacing w:line="480" w:lineRule="auto"/>
      </w:pPr>
      <w:r w:rsidRPr="00642AB3">
        <w:t xml:space="preserve">There is consensus in the methodological guidelines that the target population is the people for whom the technology is intended. In the context of health technology assessment of new drugs, the target population typically follows from the marketing authorisation. This is usually straightforward, although there may be uncertainty when the marketing authorisation is broader than the clinical trials which underpin it. For example, the NICE guidance on rivaroxaban for preventing major cardiovascular events in people with coronary or peripheral artery disease is an example where the recommendation was restricted to the trial population due to concerns about the generalisability of trial population to the population in clinical practice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(NICE)","given":"","non-dropping-particle":"","parse-names":false,"suffix":""}],"id":"ITEM-1","issued":{"date-parts":[["2019","10","17"]]},"publisher-place":"London, Manchester","title":"Rivaroxaban for preventing atherothrombotic events in people with coronary or peripheral artery disease (TA607)","type":"report"},"uris":["http://www.mendeley.com/documents/?uuid=c47aa124-8008-3fa4-bfd2-5c98571a8133"]}],"mendeley":{"formattedCitation":"(National Institute for Health and Care Excellence (NICE), 2019)","plainTextFormattedCitation":"(National Institute for Health and Care Excellence (NICE), 2019)","previouslyFormattedCitation":"(National Institute for Health and Care Excellence (NICE), 2019)"},"properties":{"noteIndex":0},"schema":"https://github.com/citation-style-language/schema/raw/master/csl-citation.json"}</w:instrText>
      </w:r>
      <w:r w:rsidRPr="00642AB3">
        <w:fldChar w:fldCharType="separate"/>
      </w:r>
      <w:r w:rsidRPr="00642AB3">
        <w:rPr>
          <w:noProof/>
        </w:rPr>
        <w:t>(National Institute for Health and Care Excellence (NICE), 2019)</w:t>
      </w:r>
      <w:r w:rsidRPr="00642AB3">
        <w:fldChar w:fldCharType="end"/>
      </w:r>
      <w:r w:rsidRPr="00642AB3">
        <w:t xml:space="preserve">. </w:t>
      </w:r>
    </w:p>
    <w:p w14:paraId="771140B6" w14:textId="40FD62B8" w:rsidR="00367E3D" w:rsidRPr="00642AB3" w:rsidRDefault="00367E3D" w:rsidP="00D35786">
      <w:pPr>
        <w:spacing w:line="480" w:lineRule="auto"/>
      </w:pPr>
      <w:r w:rsidRPr="00642AB3">
        <w:t xml:space="preserve">Identifying the target population can be challenging when economic evaluation is applied to technologies other than drugs. Examples are economic evaluations of diagnostic tests, surgical procedures, public health, and social care technologies. For example, the NICE scope for the technology appraisal of the EOS 2D/3D X-ray system defined the patient population as children, adolescents and adults with spinal deformity, children and adolescents with leg length discrepancy and alignment, and adults with loss of sagittal and coronal balance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(NICE)","given":"","non-dropping-particle":"","parse-names":false,"suffix":""}],"id":"ITEM-1","issued":{"date-parts":[["2010"]]},"number-of-pages":"11","publisher-place":"London, Manchester","title":"Diagnostics Assessment Programme EOS 2D/3D X-ray Imaging System Final Scope (DG1)","type":"report"},"uris":["http://www.mendeley.com/documents/?uuid=119dd96b-b3ac-3583-b58e-5e0c4f484a27"]}],"mendeley":{"formattedCitation":"(National Institute for Health and Care Excellence (NICE), 2010)","plainTextFormattedCitation":"(National Institute for Health and Care Excellence (NICE), 2010)","previouslyFormattedCitation":"(National Institute for Health and Care Excellence (NICE), 2010)"},"properties":{"noteIndex":0},"schema":"https://github.com/citation-style-language/schema/raw/master/csl-citation.json"}</w:instrText>
      </w:r>
      <w:r w:rsidRPr="00642AB3">
        <w:fldChar w:fldCharType="separate"/>
      </w:r>
      <w:r w:rsidRPr="00642AB3">
        <w:rPr>
          <w:noProof/>
        </w:rPr>
        <w:t>(National Institute for Health and Care Excellence (NICE), 2010)</w:t>
      </w:r>
      <w:r w:rsidRPr="00642AB3">
        <w:fldChar w:fldCharType="end"/>
      </w:r>
      <w:r w:rsidRPr="00642AB3">
        <w:t xml:space="preserve">. So that the economic evaluation was tractable, clinical experts were asked to characterise the target population in more detail; and to understand the consequences of uncertainty on the target population, a threshold sensitivity analysis was conducted to the patient throughput that would be required for the technology to be considered cost-effective </w:t>
      </w:r>
      <w:r w:rsidRPr="00642AB3">
        <w:fldChar w:fldCharType="begin" w:fldLock="1"/>
      </w:r>
      <w:r w:rsidR="00A33BA4">
        <w:instrText>ADDIN CSL_CITATION {"citationItems":[{"id":"ITEM-1","itemData":{"DOI":"10.1016/j.ejrad.2013.02.015","ISBN":"0720-048X","ISSN":"0720048X","PMID":"23473735","abstract":"Objectives: To evaluate the cost-effectiveness of the EOS®2D/3D X-ray imaging system compared with standard X-ray for the diagnosis and monitoring of orthopaedic conditions. Materials and methods: A decision analytic model was developed to quantify the long-term costs and health outcomes, expressed as quality-adjusted life years (QALYs) from the UK health service perspective. Input parameters were obtained from medical literature, previously developed cancer models and expert advice. Threshold analysis was used to quantify the additional health benefits required, over and above those associated with radiation-induced cancers, for EOS®to be considered cost-effective. Results: Standard X-ray is associated with a maximum health loss of 0.001 QALYs, approximately 0.4 of a day in full health, while the loss with EOS®is a maximum of 0.00015 QALYs, or 0.05 of a day in full health. On a per patient basis, EOS®is more expensive than standard X-ray by between £10.66 and £224.74 depending on the assumptions employed. The results suggest that EOS®is not cost-effective for any indication. Health benefits over and above those obtained from lower radiation would need to double for EOS to be considered cost-effective. Conclusion: No evidence currently exists on whether there are health benefits associated with imaging improvements from the use of EOS®. The health benefits from radiation dose reductions are very small. Unless EOS®can generate additional health benefits as a consequence of the nature and quality of the image, comparative patient throughput with X-ray will be the major determinant of cost-effectiveness. © 2013 Elsevier Ireland Ltd.","author":[{"dropping-particle":"","family":"Faria","given":"Rita","non-dropping-particle":"","parse-names":false,"suffix":""},{"dropping-particle":"","family":"McKenna","given":"Claire","non-dropping-particle":"","parse-names":false,"suffix":""},{"dropping-particle":"","family":"Wade","given":"Ros","non-dropping-particle":"","parse-names":false,"suffix":""},{"dropping-particle":"","family":"Yang","given":"Huiqin","non-dropping-particle":"","parse-names":false,"suffix":""},{"dropping-particle":"","family":"Woolacott","given":"Nerys","non-dropping-particle":"","parse-names":false,"suffix":""},{"dropping-particle":"","family":"Sculpher","given":"Mark","non-dropping-particle":"","parse-names":false,"suffix":""}],"container-title":"European Journal of Radiology","id":"ITEM-1","issue":"8","issued":{"date-parts":[["2013"]]},"title":"The EOS 2D/3D X-ray imaging system: A cost-effectiveness analysis quantifying the health benefits from reduced radiation exposure","type":"article-journal","volume":"82"},"uris":["http://www.mendeley.com/documents/?uuid=2e50b066-d518-3244-981b-6b5c22c37298"]}],"mendeley":{"formattedCitation":"(Rita Faria et al., 2013)","plainTextFormattedCitation":"(Rita Faria et al., 2013)","previouslyFormattedCitation":"(Rita Faria et al., 2013)"},"properties":{"noteIndex":0},"schema":"https://github.com/citation-style-language/schema/raw/master/csl-citation.json"}</w:instrText>
      </w:r>
      <w:r w:rsidRPr="00642AB3">
        <w:fldChar w:fldCharType="separate"/>
      </w:r>
      <w:r w:rsidRPr="00642AB3">
        <w:rPr>
          <w:noProof/>
        </w:rPr>
        <w:t>(Rita Faria et al., 2013)</w:t>
      </w:r>
      <w:r w:rsidRPr="00642AB3">
        <w:fldChar w:fldCharType="end"/>
      </w:r>
      <w:r w:rsidRPr="00642AB3">
        <w:t xml:space="preserve">. More generally, economic evaluation can have a useful role in exploring the magnitude of uncertainty around </w:t>
      </w:r>
      <w:r w:rsidRPr="00642AB3">
        <w:lastRenderedPageBreak/>
        <w:t xml:space="preserve">decisions in wider populations that those where the evidence exists, and to help prioritise further research to inform decision-making in that population. </w:t>
      </w:r>
    </w:p>
    <w:p w14:paraId="0CC880D1" w14:textId="62D3CE37" w:rsidR="00367E3D" w:rsidRPr="00642AB3" w:rsidRDefault="00367E3D" w:rsidP="00451BA3">
      <w:pPr>
        <w:pStyle w:val="Heading3"/>
      </w:pPr>
      <w:bookmarkStart w:id="10" w:name="_Toc48925887"/>
      <w:bookmarkStart w:id="11" w:name="_Hlk40450904"/>
      <w:r w:rsidRPr="00642AB3">
        <w:t xml:space="preserve">Whether </w:t>
      </w:r>
      <w:proofErr w:type="gramStart"/>
      <w:r w:rsidR="00392021" w:rsidRPr="00642AB3">
        <w:t>And</w:t>
      </w:r>
      <w:proofErr w:type="gramEnd"/>
      <w:r w:rsidR="00392021" w:rsidRPr="00642AB3">
        <w:t xml:space="preserve"> Which Sources Of Heterogeneity To Consider?</w:t>
      </w:r>
      <w:bookmarkEnd w:id="10"/>
    </w:p>
    <w:bookmarkEnd w:id="11"/>
    <w:p w14:paraId="39489A21" w14:textId="5397E4ED" w:rsidR="00367E3D" w:rsidRPr="00642AB3" w:rsidRDefault="00367E3D" w:rsidP="00D35786">
      <w:pPr>
        <w:spacing w:line="480" w:lineRule="auto"/>
      </w:pPr>
      <w:r w:rsidRPr="00642AB3">
        <w:t>The guidelines agree that economic evaluations should consider heterogeneity in costs and health benefits, although there are differences about which sources of heterogeneity to consider. None of the texts make recommendations about how to select the sources of heterogeneity to consider for specific decision problems. Given the wide ranges of possible sources of heterogeneity, the number of subpopulations can quickly explode to a number that is difficult to parametrise, compute and interpret. For example, an economic evaluation of direct-acting antivirals for chronic hepatitis C defined subgroups according to whether patients had been previously treated or not (2 categories: yes and no), whether they were eligible for peg-interferon (2 categories: yes and no, although those who were ineligible were assumed to not be previously treated) and by viral genotype (4 categories: 1, 2, 3 and 4)</w:t>
      </w:r>
      <w:r w:rsidR="00451BA3">
        <w:t xml:space="preserve"> </w:t>
      </w:r>
      <w:r w:rsidR="00451BA3">
        <w:fldChar w:fldCharType="begin" w:fldLock="1"/>
      </w:r>
      <w:r w:rsidR="00451BA3">
        <w:instrText>ADDIN CSL_CITATION {"citationItems":[{"id":"ITEM-1","itemData":{"DOI":"10.1111/apt.13775","ISSN":"02692813","PMID":"27562233","abstract":"BACKGROUND The new direct-acting anti-virals (DAAs) for hepatitis C virus (HCV) infection offer higher cure rates, but at a much higher cost than the standard interferon-based treatments. AIM To identify the cost-effective treatment for patients with HCV infection with F3 liver fibrosis who are at high risk of progression to cirrhosis. METHODS A decision-analytic Markov model compared the health benefits and costs of all currently licensed treatments as single treatments and in sequential therapy of up to three lines. Costs were expressed in pound sterling from the perspective of the UK National Health Service. Health benefits were expressed in quality-adjusted life years. RESULTS Treatment before progression to cirrhosis always offers the most health benefits for the least costs. Sequential therapy with multiple treatment lines cures over 89% of patients across all HCV genotypes while ensuring a cost-effective use of resources. Cost-effective regimes for HCV genotype 1 patients include first-line oral therapy with sofosbuvir-ledipasvir while peginterferon continues to have a role in other genotypes. CONCLUSIONS The cost-effective treatment for HCV can be established using decision analytic modelling comparing single and sequential therapies. Sequential therapy with DAAs is effective and cost-effective in HCV patients with F3 fibrosis. This information is of significant benefit to health care providers with budget limitations and provides a sound scientific basis for drug treatment choices.","author":[{"dropping-particle":"","family":"Faria","given":"R.","non-dropping-particle":"","parse-names":false,"suffix":""},{"dropping-particle":"","family":"Woods","given":"B.","non-dropping-particle":"","parse-names":false,"suffix":""},{"dropping-particle":"","family":"Griffin","given":"S.","non-dropping-particle":"","parse-names":false,"suffix":""},{"dropping-particle":"","family":"Palmer","given":"S.","non-dropping-particle":"","parse-names":false,"suffix":""},{"dropping-particle":"","family":"Sculpher","given":"M.","non-dropping-particle":"","parse-names":false,"suffix":""},{"dropping-particle":"","family":"Ryder","given":"S. D.","non-dropping-particle":"","parse-names":false,"suffix":""}],"container-title":"Alimentary Pharmacology &amp; Therapeutics","id":"ITEM-1","issue":"8","issued":{"date-parts":[["2016","10"]]},"page":"866-876","title":"Prevention of progression to cirrhosis in hepatitis C with fibrosis: effectiveness and cost effectiveness of sequential therapy with new direct-acting anti-virals","type":"article-journal","volume":"44"},"uris":["http://www.mendeley.com/documents/?uuid=3f7ff852-d9d9-4365-8deb-78592787346a"]}],"mendeley":{"formattedCitation":"(R. Faria et al., 2016)","plainTextFormattedCitation":"(R. Faria et al., 2016)"},"properties":{"noteIndex":0},"schema":"https://github.com/citation-style-language/schema/raw/master/csl-citation.json"}</w:instrText>
      </w:r>
      <w:r w:rsidR="00451BA3">
        <w:fldChar w:fldCharType="separate"/>
      </w:r>
      <w:r w:rsidR="00451BA3" w:rsidRPr="005C7101">
        <w:rPr>
          <w:noProof/>
        </w:rPr>
        <w:t>(R. Faria et al., 2016)</w:t>
      </w:r>
      <w:r w:rsidR="00451BA3">
        <w:fldChar w:fldCharType="end"/>
      </w:r>
      <w:r w:rsidRPr="00642AB3">
        <w:t xml:space="preserve">. As a result, 14 subgroups were evaluated (= 2 x 2 x 4 - 2). Had another category been considered, say 2 age groups, the number of subpopulations would have increased to 28.   </w:t>
      </w:r>
    </w:p>
    <w:p w14:paraId="00F89A2D" w14:textId="58075895" w:rsidR="00367E3D" w:rsidRPr="00642AB3" w:rsidRDefault="00367E3D" w:rsidP="00D35786">
      <w:pPr>
        <w:spacing w:line="480" w:lineRule="auto"/>
      </w:pPr>
      <w:r w:rsidRPr="00642AB3">
        <w:t xml:space="preserve">Kohli-Lynch and Briggs suggest that clinical feasibility, statistical validity and equity should be considered when identifying subpopulations </w:t>
      </w:r>
      <w:r w:rsidRPr="00642AB3">
        <w:fldChar w:fldCharType="begin" w:fldLock="1"/>
      </w:r>
      <w:r w:rsidR="00451BA3">
        <w:instrText>ADDIN CSL_CITATION {"citationItems":[{"id":"ITEM-1","itemData":{"DOI":"10.1093/acrefore/9780190625979.013.101","author":[{"dropping-particle":"","family":"Kohli-Lynch","given":"Ciaran N.","non-dropping-particle":"","parse-names":false,"suffix":""},{"dropping-particle":"","family":"Briggs","given":"Andrew H.","non-dropping-particle":"","parse-names":false,"suffix":""}],"container-title":"Oxford Research Encyclopedia of Economics and Finance","id":"ITEM-1","issued":{"date-parts":[["2019","8","28"]]},"title":"Heterogeneity in Cost-Effectiveness Analysis","type":"chapter"},"uris":["http://www.mendeley.com/documents/?uuid=6f7a6fca-2010-3956-97d0-4697e386be21"]}],"mendeley":{"formattedCitation":"(Kohli-Lynch &amp; Briggs, 2019)","plainTextFormattedCitation":"(Kohli-Lynch &amp; Briggs, 2019)","previouslyFormattedCitation":"(Kohli-Lynch &amp; Briggs, 2019)"},"properties":{"noteIndex":0},"schema":"https://github.com/citation-style-language/schema/raw/master/csl-citation.json"}</w:instrText>
      </w:r>
      <w:r w:rsidRPr="00642AB3">
        <w:fldChar w:fldCharType="separate"/>
      </w:r>
      <w:r w:rsidR="00392021" w:rsidRPr="00392021">
        <w:rPr>
          <w:noProof/>
        </w:rPr>
        <w:t>(Kohli-Lynch &amp; Briggs, 2019)</w:t>
      </w:r>
      <w:r w:rsidRPr="00642AB3">
        <w:fldChar w:fldCharType="end"/>
      </w:r>
      <w:r w:rsidRPr="00642AB3">
        <w:t xml:space="preserve">. Clinical feasibility refers to the practicalities of implementing different decisions by subpopulation. For example, NICE, CADTH and PBAC recommended alirocumab and evolocumab in subpopulations who have low-density lipoprotein cholesterol level above a certain threshold, and in those with familial hypercholesterolaemia and/or prior history of cardiovascular disease. These are indicators for the magnitude of risk of cardiovascular disease, which are known at the time of the treatment decision </w:t>
      </w:r>
      <w:r w:rsidRPr="00642AB3">
        <w:fldChar w:fldCharType="begin" w:fldLock="1"/>
      </w:r>
      <w:r w:rsidR="00A33BA4">
        <w:instrText>ADDIN CSL_CITATION {"citationItems":[{"id":"ITEM-1","itemData":{"DOI":"10.4103/hm.hm_17_19","ISSN":"2468-6476","abstract":"Evolocumab is a proprotein convertase subtilisin/kexin type 9 inhibitor drug which has shown great treatment effects in the treatment of uncontrolled hypercholesterolemia, particularly elevated low-density lipoprotein cholesterol levels. Due to its significant costs, several health technology assessment agencies (HTA) worldwide have exercised caution in issuing its recommendation across different patient groups. This study attempts to review the processes and compare the approach adopted by the HTA agencies in England (National Institute for Care and Health Excellence [NICE]), Canada (Canadian Agency for Drugs and Technologies in Health [CADTH] Common Drug Review), and Australia (Pharmaceutical Benefits Advisory Committee [PBAC]) in the evaluation of evolocumab. Between July and August 2018, the websites of CADTH, the NICE in England, and the PBAC of the Pharmaceutical Benefits Scheme in Australia were searched for technology appraisal documents pertaining to evolocumab. The search included the initial appraisal, resubmissions, as well as the final recommendation made between 2015 and 2018. Significant variability exists between the recommendations and clinical and economic assessment processes in the evaluation of evolocumab across the three selected HTAs. More collaborative efforts may be required to align the interagency HTAs.","author":[{"dropping-particle":"","family":"Varghese","given":"Swaroop","non-dropping-particle":"","parse-names":false,"suffix":""},{"dropping-particle":"","family":"Ohlow","given":"Marc-Alexander","non-dropping-particle":"","parse-names":false,"suffix":""},{"dropping-particle":"","family":"Kumar","given":"Narendra","non-dropping-particle":"","parse-names":false,"suffix":""}],"container-title":"Heart and Mind","id":"ITEM-1","issue":"4","issued":{"date-parts":[["2019"]]},"page":"140","publisher":"Medknow","title":"Cross-country comparison in the evaluation of evolocumab by health technology assessment agencies in England, Canada, and Australia","type":"article-journal","volume":"3"},"uris":["http://www.mendeley.com/documents/?uuid=8ce6d8a6-d763-3ee4-a28c-05fe4375378d"]}],"mendeley":{"formattedCitation":"(Varghese, Ohlow, &amp; Kumar, 2019)","plainTextFormattedCitation":"(Varghese, Ohlow, &amp; Kumar, 2019)","previouslyFormattedCitation":"(Varghese, Ohlow, &amp; Kumar, 2019)"},"properties":{"noteIndex":0},"schema":"https://github.com/citation-style-language/schema/raw/master/csl-citation.json"}</w:instrText>
      </w:r>
      <w:r w:rsidRPr="00642AB3">
        <w:fldChar w:fldCharType="separate"/>
      </w:r>
      <w:r w:rsidRPr="00642AB3">
        <w:rPr>
          <w:noProof/>
        </w:rPr>
        <w:t>(Varghese, Ohlow, &amp; Kumar, 2019)</w:t>
      </w:r>
      <w:r w:rsidRPr="00642AB3">
        <w:fldChar w:fldCharType="end"/>
      </w:r>
      <w:r w:rsidRPr="00642AB3">
        <w:t xml:space="preserve">. </w:t>
      </w:r>
    </w:p>
    <w:p w14:paraId="3619E282" w14:textId="00C91FA7" w:rsidR="00367E3D" w:rsidRPr="00642AB3" w:rsidRDefault="00367E3D" w:rsidP="00D35786">
      <w:pPr>
        <w:spacing w:line="480" w:lineRule="auto"/>
      </w:pPr>
      <w:r w:rsidRPr="00642AB3">
        <w:lastRenderedPageBreak/>
        <w:t>Some of the information required to stratify patients into subpopulations may involve costs. As recommended by Kohli-Lynch and Briggs, “</w:t>
      </w:r>
      <w:r w:rsidRPr="00642AB3">
        <w:rPr>
          <w:i/>
          <w:iCs/>
        </w:rPr>
        <w:t>the additional costs incurred stratifying patients based on these characteristics must be accounted for in cost-effectiveness analyses</w:t>
      </w:r>
      <w:r w:rsidRPr="00642AB3">
        <w:t xml:space="preserve">” (p24). This is also recommended by the NICE Guideline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642AB3">
        <w:fldChar w:fldCharType="separate"/>
      </w:r>
      <w:r w:rsidRPr="00642AB3">
        <w:rPr>
          <w:noProof/>
        </w:rPr>
        <w:t>(National Institute for Health and Care Excellence (NICE), 2013)</w:t>
      </w:r>
      <w:r w:rsidRPr="00642AB3">
        <w:fldChar w:fldCharType="end"/>
      </w:r>
      <w:r w:rsidRPr="00642AB3">
        <w:t xml:space="preserve">. The stratification of patients into subpopulations may be itself uncertain, such as when it is based on the results of a test and the test is not perfect. In this situation, the stratification should be considered in terms of the relevant options and the consequences of incorrect stratification (or diagnosis) accounted for in the cost-effectiveness analysis. In its simplest form, assuming two subpopulations and two decision options, it means including the costs and outcomes of those who were correctly stratified and managed with the cost-effective option as well as those who were incorrectly stratified and managed with the cost-ineffective option. </w:t>
      </w:r>
    </w:p>
    <w:p w14:paraId="07CCAAE3" w14:textId="0BB6F0C4" w:rsidR="00367E3D" w:rsidRPr="00642AB3" w:rsidRDefault="00367E3D" w:rsidP="00D35786">
      <w:pPr>
        <w:spacing w:line="480" w:lineRule="auto"/>
      </w:pPr>
      <w:r w:rsidRPr="00642AB3">
        <w:t xml:space="preserve">Statistical validity refers to the risk of finding characteristics that vary by subpopulation by chance. In subgroup analysis of clinical trials, the standard approach is to pre-specify subgroups at the clinical trial design, and to assess consistency, biological plausibility and replicability </w:t>
      </w:r>
      <w:r w:rsidRPr="00642AB3">
        <w:fldChar w:fldCharType="begin" w:fldLock="1"/>
      </w:r>
      <w:r w:rsidR="00A33BA4">
        <w:instrText>ADDIN CSL_CITATION {"citationItems":[{"id":"ITEM-1","itemData":{"DOI":"subgroup","author":[{"dropping-particle":"","family":"Committee for Medicinal Products for Human Use (CHMP)","given":"","non-dropping-particle":"","parse-names":false,"suffix":""}],"id":"ITEM-1","issued":{"date-parts":[["2019"]]},"number-of-pages":"20","publisher-place":"London","title":"Guideline on the investigation of subgroups in confirmatory clinical trials","type":"report"},"uris":["http://www.mendeley.com/documents/?uuid=8d89af26-3ec8-3f3b-a030-f16f37a16bb1"]}],"mendeley":{"formattedCitation":"(Committee for Medicinal Products for Human Use (CHMP), 2019)","plainTextFormattedCitation":"(Committee for Medicinal Products for Human Use (CHMP), 2019)","previouslyFormattedCitation":"(Committee for Medicinal Products for Human Use (CHMP), 2019)"},"properties":{"noteIndex":0},"schema":"https://github.com/citation-style-language/schema/raw/master/csl-citation.json"}</w:instrText>
      </w:r>
      <w:r w:rsidRPr="00642AB3">
        <w:fldChar w:fldCharType="separate"/>
      </w:r>
      <w:r w:rsidRPr="00642AB3">
        <w:rPr>
          <w:noProof/>
        </w:rPr>
        <w:t>(Committee for Medicinal Products for Human Use (CHMP), 2019)</w:t>
      </w:r>
      <w:r w:rsidRPr="00642AB3">
        <w:fldChar w:fldCharType="end"/>
      </w:r>
      <w:r w:rsidRPr="00642AB3">
        <w:t xml:space="preserve">. Kohli-Lynch and Briggs suggest that economic evaluations could pre-specify subpopulations according to a clinical or economic rationale. Fletcher et al note that, without the final economic model, it may be difficult to prespecify all relevant subpopulations; hence they recommend </w:t>
      </w:r>
      <w:r w:rsidR="008008EE">
        <w:t>“</w:t>
      </w:r>
      <w:r w:rsidR="008008EE" w:rsidRPr="00C0402E">
        <w:rPr>
          <w:i/>
          <w:iCs/>
        </w:rPr>
        <w:t xml:space="preserve">a degree of </w:t>
      </w:r>
      <w:r w:rsidRPr="00C0402E">
        <w:rPr>
          <w:i/>
          <w:iCs/>
        </w:rPr>
        <w:t>flexibility</w:t>
      </w:r>
      <w:r w:rsidR="008008EE">
        <w:t>”</w:t>
      </w:r>
      <w:r w:rsidRPr="00642AB3">
        <w:t xml:space="preserve"> in defining the subpopulations, as long as the process of identification and selection is transparent and fully described </w:t>
      </w:r>
      <w:r w:rsidRPr="00642AB3">
        <w:fldChar w:fldCharType="begin" w:fldLock="1"/>
      </w:r>
      <w:r w:rsidR="00A33BA4">
        <w:instrText>ADDIN CSL_CITATION {"citationItems":[{"id":"ITEM-1","itemData":{"DOI":"10.1002/pst.1626","abstract":"'Success' in drug development is bringing to patients a new medicine that has an acceptable benefit-risk profile and that is also cost-effective. Cost-effectiveness means that the incremental clinical benefit is deemed worth paying for by a healthcare system, and it has an important role in enabling manufacturers to obtain new medicines to patients as soon as possible following regulatory approval. Subgroup analyses are increasingly being utilised by decision-makers in the determination of the cost-effectiveness of new medicines when making recommendations. This paper highlights the statistical considerations when using subgroup analyses to support cost-effectiveness for a health technology assessment. The key principles recommended for subgroup analyses supporting clinical effectiveness published by Paget et al. are evaluated with respect to subgroup analyses supporting cost-effectiveness. A health technology assessment case study is included to highlight the importance of subgroup analyses when incorporated into cost-effectiveness analyses. In summary, we recommend planning subgroup analyses for cost-effectiveness analyses early in the drug development process and adhering to good statistical principles when using subgroup analyses in this context. In particular, we consider it important to provide transparency in how subgroups are defined, be able to demonstrate the robustness of the subgroup results and be able to quantify the uncertainty in the subgroup analyses of cost-effectiveness.","author":[{"dropping-particle":"","family":"Fletcher","given":"Christine","non-dropping-particle":"","parse-names":false,"suffix":""},{"dropping-particle":"","family":"Chuang-Stein","given":"Christy","non-dropping-particle":"","parse-names":false,"suffix":""},{"dropping-particle":"","family":"Paget","given":"Marie-Ange","non-dropping-particle":"","parse-names":false,"suffix":""},{"dropping-particle":"","family":"Reid","given":"Carol","non-dropping-particle":"","parse-names":false,"suffix":""},{"dropping-particle":"","family":"Hawkins","given":"Neil","non-dropping-particle":"","parse-names":false,"suffix":""}],"id":"ITEM-1","issued":{"date-parts":[["2014"]]},"title":"Subgroup analyses in cost-effectiveness analyses to support health technology assessments","type":"article-journal"},"uris":["http://www.mendeley.com/documents/?uuid=8659d388-013c-3749-b1e9-d4f9a3ac8b44"]}],"mendeley":{"formattedCitation":"(Fletcher, Chuang-Stein, Paget, Reid, &amp; Hawkins, 2014)","plainTextFormattedCitation":"(Fletcher, Chuang-Stein, Paget, Reid, &amp; Hawkins, 2014)","previouslyFormattedCitation":"(Fletcher, Chuang-Stein, Paget, Reid, &amp; Hawkins, 2014)"},"properties":{"noteIndex":0},"schema":"https://github.com/citation-style-language/schema/raw/master/csl-citation.json"}</w:instrText>
      </w:r>
      <w:r w:rsidRPr="00642AB3">
        <w:fldChar w:fldCharType="separate"/>
      </w:r>
      <w:r w:rsidRPr="00642AB3">
        <w:rPr>
          <w:noProof/>
        </w:rPr>
        <w:t>(Fletcher, Chuang-Stein, Paget, Reid, &amp; Hawkins, 2014)</w:t>
      </w:r>
      <w:r w:rsidRPr="00642AB3">
        <w:fldChar w:fldCharType="end"/>
      </w:r>
      <w:r w:rsidRPr="00642AB3">
        <w:t xml:space="preserve">. </w:t>
      </w:r>
    </w:p>
    <w:p w14:paraId="744F0DBC" w14:textId="4AE0D01E" w:rsidR="00367E3D" w:rsidRPr="00642AB3" w:rsidRDefault="00367E3D" w:rsidP="00D35786">
      <w:pPr>
        <w:spacing w:line="480" w:lineRule="auto"/>
      </w:pPr>
      <w:r w:rsidRPr="00642AB3">
        <w:t xml:space="preserve">An additional consideration is the expected impact on the cost-effectiveness. This can be informed by previous </w:t>
      </w:r>
      <w:r w:rsidR="00451BA3">
        <w:t>economic evaluations</w:t>
      </w:r>
      <w:r w:rsidRPr="00642AB3">
        <w:t xml:space="preserve"> in the same population (and ideally the same or similar technologies) and based on consultation with stakeholders (e.g. clinicians, patients, </w:t>
      </w:r>
      <w:r w:rsidRPr="00642AB3">
        <w:lastRenderedPageBreak/>
        <w:t xml:space="preserve">healthcare managers). For example, an economic evaluation of omalizumab for severe asthma selected the sources of heterogeneity based on results of previous evaluations, which in turn were based on clinical feedback </w:t>
      </w:r>
      <w:r w:rsidRPr="00642AB3">
        <w:fldChar w:fldCharType="begin" w:fldLock="1"/>
      </w:r>
      <w:r w:rsidR="00A33BA4">
        <w:instrText>ADDIN CSL_CITATION {"citationItems":[{"id":"ITEM-1","itemData":{"DOI":"10.1016/j.jval.2014.07.009","ISBN":"1098-3015","ISSN":"15244733","PMID":"25498772","abstract":"Background There has been some controversy on whether the costs of omalizumab outweigh its benefits for severe persistent allergic asthma. Objectives This study aimed to resolve the uncertainties and limitations of previous analyses and establish the cost-effectiveness of omalizumab under the list price and Patient Access Scheme (PAS) discounted price for the UK National Health Service. Methods A decision-analytic model was developed to evaluate the long-term cost-effectiveness of omalizumab under the perspective of the National Health Service. Outcomes were expressed as quality-adjusted life-years (QALYs). Patient subgroups were defined post hoc on the basis of data collected in clinical trials: previous hospitalization, on maintenance oral corticosteroids, and three or more previous exacerbations. Results The incremental cost-effectiveness ratio varied from £30,109 to £57,557 per QALY gained depending on the population considered using the PAS price; incremental cost-effectiveness ratios were over a third higher using the list price. Omalizumab is likely to be cost-effective at the threshold of £30,000 per QALY gained in the severe subgroups if the improvement in health-related quality of life from omalizumab is mapped from an asthma-specific measure to the EuroQol five-dimensional questionnaire (vs the EuroQol five-dimensional questionnaire directly collected from patients) or asthma mortality refers to death after hospitalization from asthma (vs. asthma-mortality risk in the community). Conclusions Although the cost-effectiveness of omalizumab is more favorable under the PAS price, it represents good value for money only in severe subgroups and under optimistic assumptions regarding asthma mortality and improvement in health-related quality of life. For these reasons, omalizumab should be carefully targeted to ensure value for money.","author":[{"dropping-particle":"","family":"Faria","given":"Rita","non-dropping-particle":"","parse-names":false,"suffix":""},{"dropping-particle":"","family":"McKenna","given":"Claire","non-dropping-particle":"","parse-names":false,"suffix":""},{"dropping-particle":"","family":"Palmer","given":"Stephen","non-dropping-particle":"","parse-names":false,"suffix":""}],"container-title":"Value in Health","id":"ITEM-1","issue":"8","issued":{"date-parts":[["2014"]]},"page":"772-782","title":"Optimizing the position and use of omalizumab for severe persistent allergic asthma using cost-effectiveness analysis","type":"article-journal","volume":"17"},"uris":["http://www.mendeley.com/documents/?uuid=82608cd0-5751-33ad-8cdb-328779bc6a41"]}],"mendeley":{"formattedCitation":"(Rita Faria, McKenna, &amp; Palmer, 2014)","plainTextFormattedCitation":"(Rita Faria, McKenna, &amp; Palmer, 2014)","previouslyFormattedCitation":"(Rita Faria, McKenna, &amp; Palmer, 2014)"},"properties":{"noteIndex":0},"schema":"https://github.com/citation-style-language/schema/raw/master/csl-citation.json"}</w:instrText>
      </w:r>
      <w:r w:rsidRPr="00642AB3">
        <w:fldChar w:fldCharType="separate"/>
      </w:r>
      <w:r w:rsidRPr="00642AB3">
        <w:rPr>
          <w:noProof/>
        </w:rPr>
        <w:t>(Rita Faria, McKenna, &amp; Palmer, 2014)</w:t>
      </w:r>
      <w:r w:rsidRPr="00642AB3">
        <w:fldChar w:fldCharType="end"/>
      </w:r>
      <w:r w:rsidRPr="00642AB3">
        <w:t xml:space="preserve">. Some care is required to avoid prior errors perpetuating if basing choices on previous evaluations. Additionally, choices regarding subpopulations may involve developing a preliminary economic model </w:t>
      </w:r>
      <w:r w:rsidRPr="00642AB3">
        <w:fldChar w:fldCharType="begin" w:fldLock="1"/>
      </w:r>
      <w:r w:rsidR="00A33BA4">
        <w:instrText>ADDIN CSL_CITATION {"citationItems":[{"id":"ITEM-1","itemData":{"DOI":"10.1002/pst.1626","abstract":"'Success' in drug development is bringing to patients a new medicine that has an acceptable benefit-risk profile and that is also cost-effective. Cost-effectiveness means that the incremental clinical benefit is deemed worth paying for by a healthcare system, and it has an important role in enabling manufacturers to obtain new medicines to patients as soon as possible following regulatory approval. Subgroup analyses are increasingly being utilised by decision-makers in the determination of the cost-effectiveness of new medicines when making recommendations. This paper highlights the statistical considerations when using subgroup analyses to support cost-effectiveness for a health technology assessment. The key principles recommended for subgroup analyses supporting clinical effectiveness published by Paget et al. are evaluated with respect to subgroup analyses supporting cost-effectiveness. A health technology assessment case study is included to highlight the importance of subgroup analyses when incorporated into cost-effectiveness analyses. In summary, we recommend planning subgroup analyses for cost-effectiveness analyses early in the drug development process and adhering to good statistical principles when using subgroup analyses in this context. In particular, we consider it important to provide transparency in how subgroups are defined, be able to demonstrate the robustness of the subgroup results and be able to quantify the uncertainty in the subgroup analyses of cost-effectiveness.","author":[{"dropping-particle":"","family":"Fletcher","given":"Christine","non-dropping-particle":"","parse-names":false,"suffix":""},{"dropping-particle":"","family":"Chuang-Stein","given":"Christy","non-dropping-particle":"","parse-names":false,"suffix":""},{"dropping-particle":"","family":"Paget","given":"Marie-Ange","non-dropping-particle":"","parse-names":false,"suffix":""},{"dropping-particle":"","family":"Reid","given":"Carol","non-dropping-particle":"","parse-names":false,"suffix":""},{"dropping-particle":"","family":"Hawkins","given":"Neil","non-dropping-particle":"","parse-names":false,"suffix":""}],"id":"ITEM-1","issued":{"date-parts":[["2014"]]},"title":"Subgroup analyses in cost-effectiveness analyses to support health technology assessments","type":"article-journal"},"uris":["http://www.mendeley.com/documents/?uuid=8659d388-013c-3749-b1e9-d4f9a3ac8b44"]}],"mendeley":{"formattedCitation":"(Fletcher et al., 2014)","plainTextFormattedCitation":"(Fletcher et al., 2014)","previouslyFormattedCitation":"(Fletcher et al., 2014)"},"properties":{"noteIndex":0},"schema":"https://github.com/citation-style-language/schema/raw/master/csl-citation.json"}</w:instrText>
      </w:r>
      <w:r w:rsidRPr="00642AB3">
        <w:fldChar w:fldCharType="separate"/>
      </w:r>
      <w:r w:rsidRPr="00642AB3">
        <w:rPr>
          <w:noProof/>
        </w:rPr>
        <w:t>(Fletcher et al., 2014)</w:t>
      </w:r>
      <w:r w:rsidRPr="00642AB3">
        <w:fldChar w:fldCharType="end"/>
      </w:r>
      <w:r w:rsidRPr="00642AB3">
        <w:t xml:space="preserve"> or developing the conceptual model of economic evaluation to a sufficient detail in order to inform qualitative judgements on the expected differences in costs and effects between subpopulations.   </w:t>
      </w:r>
    </w:p>
    <w:p w14:paraId="4ABEE322" w14:textId="530AEB99" w:rsidR="00367E3D" w:rsidRPr="00642AB3" w:rsidRDefault="00367E3D" w:rsidP="00451BA3">
      <w:pPr>
        <w:pStyle w:val="Heading3"/>
      </w:pPr>
      <w:bookmarkStart w:id="12" w:name="_Toc48925888"/>
      <w:r w:rsidRPr="00642AB3">
        <w:t xml:space="preserve">When </w:t>
      </w:r>
      <w:proofErr w:type="gramStart"/>
      <w:r w:rsidR="00392021" w:rsidRPr="00642AB3">
        <w:t>And</w:t>
      </w:r>
      <w:proofErr w:type="gramEnd"/>
      <w:r w:rsidR="00392021" w:rsidRPr="00642AB3">
        <w:t xml:space="preserve"> In Whom </w:t>
      </w:r>
      <w:r w:rsidR="00392021">
        <w:t xml:space="preserve">To </w:t>
      </w:r>
      <w:r w:rsidR="00392021" w:rsidRPr="00642AB3">
        <w:t>Consider Spillovers?</w:t>
      </w:r>
      <w:bookmarkEnd w:id="12"/>
    </w:p>
    <w:p w14:paraId="5F8A391E" w14:textId="5FE77DB9" w:rsidR="00367E3D" w:rsidRPr="00642AB3" w:rsidRDefault="00367E3D" w:rsidP="00D35786">
      <w:pPr>
        <w:spacing w:line="480" w:lineRule="auto"/>
      </w:pPr>
      <w:r w:rsidRPr="00642AB3">
        <w:t>Most guidelines recommend that spillover populations should be considered when applicable, although there is little guidance how to identify and select them. The US Panel (p.24) notes “</w:t>
      </w:r>
      <w:r w:rsidRPr="00642AB3">
        <w:rPr>
          <w:i/>
          <w:iCs/>
        </w:rPr>
        <w:t>Spillover effects ripple out from every technology designed to improve health. The question is how far to follow such ripples</w:t>
      </w:r>
      <w:r w:rsidRPr="00642AB3">
        <w:t xml:space="preserve">”  and advises that deciding on whether to include spillover effects depends on their magnitude relative to the effects in the target population </w:t>
      </w:r>
      <w:r w:rsidRPr="00642AB3">
        <w:fldChar w:fldCharType="begin" w:fldLock="1"/>
      </w:r>
      <w:r w:rsidR="00A33BA4">
        <w:instrText>ADDIN CSL_CITATION {"citationItems":[{"id":"ITEM-1","itemData":{"DOI":"10.1093/acprof:oso/9780190492939.001.0001","ISBN":"9780190492939","abstract":"This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Press","publisher-place":"Oxford","title":"Designing a Cost-Effectiveness Analysis","type":"chapter"},"uris":["http://www.mendeley.com/documents/?uuid=5008afc6-8cab-3f7d-94d0-c4aadfc9796e"]}],"mendeley":{"formattedCitation":"(Owens et al., 2016)","plainTextFormattedCitation":"(Owens et al., 2016)","previouslyFormattedCitation":"(Owens et al., 2016)"},"properties":{"noteIndex":0},"schema":"https://github.com/citation-style-language/schema/raw/master/csl-citation.json"}</w:instrText>
      </w:r>
      <w:r w:rsidRPr="00642AB3">
        <w:fldChar w:fldCharType="separate"/>
      </w:r>
      <w:r w:rsidRPr="00642AB3">
        <w:rPr>
          <w:noProof/>
        </w:rPr>
        <w:t>(Owens et al., 2016)</w:t>
      </w:r>
      <w:r w:rsidRPr="00642AB3">
        <w:fldChar w:fldCharType="end"/>
      </w:r>
      <w:r w:rsidRPr="00642AB3">
        <w:t>. In another chapter, the US Panel formulates this concept as “</w:t>
      </w:r>
      <w:r w:rsidRPr="00642AB3">
        <w:rPr>
          <w:i/>
          <w:iCs/>
        </w:rPr>
        <w:t>the rule of reason</w:t>
      </w:r>
      <w:r w:rsidRPr="00642AB3">
        <w:t>” (p.13): “</w:t>
      </w:r>
      <w:r w:rsidRPr="00642AB3">
        <w:rPr>
          <w:i/>
          <w:iCs/>
        </w:rPr>
        <w:t>Consequences that are expected to be trivially small in the context of the analysis, and thus have little effect on the results, can reasonably be excluded at the analyst’s discretion. This exclusion should, however, be explicitly noted and justified</w:t>
      </w:r>
      <w:r w:rsidRPr="00642AB3">
        <w:t xml:space="preserve">” </w:t>
      </w:r>
      <w:r w:rsidRPr="00642AB3">
        <w:fldChar w:fldCharType="begin" w:fldLock="1"/>
      </w:r>
      <w:r w:rsidR="00A33BA4">
        <w:instrText>ADDIN CSL_CITATION {"citationItems":[{"id":"ITEM-1","itemData":{"DOI":"10.1093/acprof:oso/9780190492939.001.0001","ISBN":"9780190492939","abstract":"There are two distinct phases in identifying and quantifying consequences: a broad and systematic review of relevant consequences of the decision being evaluated and identification of data sources and measurement approaches for quantifying them. Cost-effectiveness analyses should identify all significant consequences related to health (survival and/or health status) and resource use in the healthcare sector, as well as consequences in other sectors. Consequences may be distinguished along various dimensions, including the sector in which they occur; groups with different degrees of proximity to the intervention (target population versus other affected groups); and different time points. The Impact Inventory provides a framework for listing all consequences of an intervention, within and outside the healthcare sector, and encouraging explicit discussion of omitted elements and their likely effect on the conclusions of an analysis.","author":[{"dropping-particle":"","family":"Salomon","given":"Joshua A.","non-dropping-particle":"","parse-names":false,"suffix":""},{"dropping-particle":"","family":"Trikalinos","given":"Thomas A.","non-dropping-particle":"","parse-names":false,"suffix":""},{"dropping-particle":"","family":"Sanders","given":"Gillian D.","non-dropping-particle":"","parse-names":false,"suffix":""},{"dropping-particle":"","family":"Mandelblatt","given":"Jeanne S.","non-dropping-particle":"","parse-names":false,"suffix":""}],"container-title":"Cost-Effectiveness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D.","non-dropping-particle":"","parse-names":false,"suffix":""},{"dropping-particle":"","family":"Siegel","given":"Joanna","non-dropping-particle":"","parse-names":false,"suffix":""}],"id":"ITEM-1","issued":{"date-parts":[["2016"]]},"page":"137-166","publisher":"Oxford University Press","publisher-place":"Oxford","title":"Identifying and Quantifying the Consequences of Interventions","type":"chapter"},"uris":["http://www.mendeley.com/documents/?uuid=d680cf3f-e865-391b-884d-c3464bbd632f"]}],"mendeley":{"formattedCitation":"(Salomon et al., 2016)","plainTextFormattedCitation":"(Salomon et al., 2016)","previouslyFormattedCitation":"(Salomon et al., 2016)"},"properties":{"noteIndex":0},"schema":"https://github.com/citation-style-language/schema/raw/master/csl-citation.json"}</w:instrText>
      </w:r>
      <w:r w:rsidRPr="00642AB3">
        <w:fldChar w:fldCharType="separate"/>
      </w:r>
      <w:r w:rsidRPr="00642AB3">
        <w:rPr>
          <w:noProof/>
        </w:rPr>
        <w:t>(Salomon et al., 2016)</w:t>
      </w:r>
      <w:r w:rsidRPr="00642AB3">
        <w:fldChar w:fldCharType="end"/>
      </w:r>
      <w:r w:rsidRPr="00642AB3">
        <w:t xml:space="preserve">. However, the US Panel offers no guidance on the practicalities of making such judgements. </w:t>
      </w:r>
    </w:p>
    <w:p w14:paraId="11380D9F" w14:textId="073BE048" w:rsidR="00367E3D" w:rsidRPr="00642AB3" w:rsidRDefault="00367E3D" w:rsidP="00D35786">
      <w:pPr>
        <w:spacing w:line="480" w:lineRule="auto"/>
      </w:pPr>
      <w:r w:rsidRPr="00642AB3">
        <w:t xml:space="preserve">There is some methodological literature on spillover effects in economic evaluation, generally related to the spillover to family members and carers. The topics include whether spillover effects should be included in an economic evaluation from a normative standpoint (see, for example, </w:t>
      </w:r>
      <w:r w:rsidRPr="00642AB3">
        <w:fldChar w:fldCharType="begin" w:fldLock="1"/>
      </w:r>
      <w:r w:rsidR="00A33BA4">
        <w:instrText>ADDIN CSL_CITATION {"citationItems":[{"id":"ITEM-1","itemData":{"DOI":"10.1016/j.jhealeco.2004.12.002","ISSN":"01676296","abstract":"Medical cost-effectiveness analyses traditionally treat patients as isolated individuals and neglect the effects of improvement in patients' health on the welfare of their family members. We use a model based on a family utility function with altruistic linkages to show that there can be direct and indirect effects on the welfare of all family members. We focus specially on a model of how the spillover effects to the spouse in a two-person family might affect choice of treatments for prostate cancer. We then test the predictions of this model by analyzing treatment choices of prostate cancer patients using the linked SEER-Medicare database. We find that our results are consistent with the model's predictions. We conclude that cost-effectiveness analyses may better reflect the full costs and benefits of medical interventions if they incorporate these family effects. However, concerns about equity present a dilemma for the practice of CEA from the societal perspective. © 2005 Elsevier B.V. All rights reserved.","author":[{"dropping-particle":"","family":"Basu","given":"Anirban","non-dropping-particle":"","parse-names":false,"suffix":""},{"dropping-particle":"","family":"Meltzer","given":"David","non-dropping-particle":"","parse-names":false,"suffix":""}],"container-title":"Journal of Health Economics","id":"ITEM-1","issue":"4","issued":{"date-parts":[["2005"]]},"page":"751-773","title":"Implications of spillover effects within the family for medical cost-effectiveness analysis","type":"article-journal","volume":"24"},"uris":["http://www.mendeley.com/documents/?uuid=30d69e2c-ac66-38c0-93ce-5d84163b54e9"]}],"mendeley":{"formattedCitation":"(Basu &amp; Meltzer, 2005)","plainTextFormattedCitation":"(Basu &amp; Meltzer, 2005)","previouslyFormattedCitation":"(Basu &amp; Meltzer, 2005)"},"properties":{"noteIndex":0},"schema":"https://github.com/citation-style-language/schema/raw/master/csl-citation.json"}</w:instrText>
      </w:r>
      <w:r w:rsidRPr="00642AB3">
        <w:fldChar w:fldCharType="separate"/>
      </w:r>
      <w:r w:rsidRPr="00642AB3">
        <w:rPr>
          <w:noProof/>
        </w:rPr>
        <w:t>(Basu &amp; Meltzer, 2005)</w:t>
      </w:r>
      <w:r w:rsidRPr="00642AB3">
        <w:fldChar w:fldCharType="end"/>
      </w:r>
      <w:r w:rsidRPr="00642AB3">
        <w:t xml:space="preserve">, </w:t>
      </w:r>
      <w:r w:rsidRPr="00642AB3">
        <w:fldChar w:fldCharType="begin" w:fldLock="1"/>
      </w:r>
      <w:r w:rsidR="00A33BA4">
        <w:instrText>ADDIN CSL_CITATION {"citationItems":[{"id":"ITEM-1","itemData":{"DOI":"10.1007/s40273-018-0730-6","ISSN":"11792027","PMID":"30328563","author":[{"dropping-particle":"","family":"Brouwer","given":"Werner B.F.","non-dropping-particle":"","parse-names":false,"suffix":""}],"container-title":"PharmacoEconomics","id":"ITEM-1","issue":"4","issued":{"date-parts":[["2019","4","1"]]},"page":"451-456","publisher":"Springer International Publishing","title":"The Inclusion of Spillover Effects in Economic Evaluations: Not an Optional Extra","type":"article","volume":"37"},"uris":["http://www.mendeley.com/documents/?uuid=03043fc6-7e1b-3576-a68d-5b9ee1f0ed67"]}],"mendeley":{"formattedCitation":"(Brouwer, 2019)","plainTextFormattedCitation":"(Brouwer, 2019)","previouslyFormattedCitation":"(Brouwer, 2019)"},"properties":{"noteIndex":0},"schema":"https://github.com/citation-style-language/schema/raw/master/csl-citation.json"}</w:instrText>
      </w:r>
      <w:r w:rsidRPr="00642AB3">
        <w:fldChar w:fldCharType="separate"/>
      </w:r>
      <w:r w:rsidRPr="00642AB3">
        <w:rPr>
          <w:noProof/>
        </w:rPr>
        <w:t>(Brouwer, 2019)</w:t>
      </w:r>
      <w:r w:rsidRPr="00642AB3">
        <w:fldChar w:fldCharType="end"/>
      </w:r>
      <w:r w:rsidRPr="00642AB3">
        <w:t xml:space="preserve">, </w:t>
      </w:r>
      <w:r w:rsidRPr="00642AB3">
        <w:fldChar w:fldCharType="begin" w:fldLock="1"/>
      </w:r>
      <w:r w:rsidR="00A33BA4">
        <w:instrText>ADDIN CSL_CITATION {"citationItems":[{"id":"ITEM-1","itemData":{"DOI":"10.1007/s40273-018-0729-z","ISSN":"11792027","PMID":"30328562","author":[{"dropping-particle":"","family":"McCabe","given":"Christopher","non-dropping-particle":"","parse-names":false,"suffix":""}],"container-title":"PharmacoEconomics","id":"ITEM-1","issue":"4","issued":{"date-parts":[["2019","4","1"]]},"page":"457-460","publisher":"Springer International Publishing","title":"Expanding the Scope of Costs and Benefits for Economic Evaluations in Health: Some Words of Caution","type":"article","volume":"37"},"uris":["http://www.mendeley.com/documents/?uuid=e56c5584-ec90-3982-b69e-633660fc4e23"]}],"mendeley":{"formattedCitation":"(McCabe, 2019)","plainTextFormattedCitation":"(McCabe, 2019)","previouslyFormattedCitation":"(McCabe, 2019)"},"properties":{"noteIndex":0},"schema":"https://github.com/citation-style-language/schema/raw/master/csl-citation.json"}</w:instrText>
      </w:r>
      <w:r w:rsidRPr="00642AB3">
        <w:fldChar w:fldCharType="separate"/>
      </w:r>
      <w:r w:rsidRPr="00642AB3">
        <w:rPr>
          <w:noProof/>
        </w:rPr>
        <w:t>(McCabe, 2019)</w:t>
      </w:r>
      <w:r w:rsidRPr="00642AB3">
        <w:fldChar w:fldCharType="end"/>
      </w:r>
      <w:r w:rsidRPr="00642AB3">
        <w:t xml:space="preserve">), how to </w:t>
      </w:r>
      <w:r w:rsidRPr="00642AB3">
        <w:lastRenderedPageBreak/>
        <w:t xml:space="preserve">measure and value such effects (e.g. </w:t>
      </w:r>
      <w:r w:rsidRPr="00642AB3">
        <w:fldChar w:fldCharType="begin" w:fldLock="1"/>
      </w:r>
      <w:r w:rsidR="00A33BA4">
        <w:instrText>ADDIN CSL_CITATION {"citationItems":[{"id":"ITEM-1","itemData":{"DOI":"10.1002/hec.3259","ISSN":"10991050","PMID":"26464311","abstract":"The health of carers and others close to the patient will often be relevant to economic evaluation, but it is very rarely considered in practice. This may reflect a lack of understanding of how the spillover effect of illness can be appropriately quantified. In this study we used three different approaches to quantify health spillovers resulting from meningitis. We conducted a survey of 1218 family networks affected by meningitis and used regression modelling to estimate spillover effects. The findings show that meningitis had long-term effects on family members' health, particularly affecting the likelihood of family members reporting anxiety and depression. These effects extended beyond a single close family member. These findings suggest that vaccinating against meningitis will bring significant health benefits not just to those that might have contracted the illness but also to their family networks. In methodological terms, different approaches for quantifying health spillovers provided broadly consistent results. The choice of method will be influenced by the ease of collecting primary data from family members in intervention contexts. © 2015 The Authors. Health Economics published by John Wiley &amp; Sons Ltd.","author":[{"dropping-particle":"","family":"Al-Janabi","given":"Hareth","non-dropping-particle":"","parse-names":false,"suffix":""},{"dropping-particle":"","family":"Exel","given":"Job","non-dropping-particle":"Van","parse-names":false,"suffix":""},{"dropping-particle":"","family":"Brouwer","given":"Werner","non-dropping-particle":"","parse-names":false,"suffix":""},{"dropping-particle":"","family":"Trotter","given":"Caroline","non-dropping-particle":"","parse-names":false,"suffix":""},{"dropping-particle":"","family":"Glennie","given":"Linda","non-dropping-particle":"","parse-names":false,"suffix":""},{"dropping-particle":"","family":"Hannigan","given":"Laurie","non-dropping-particle":"","parse-names":false,"suffix":""},{"dropping-particle":"","family":"Coast","given":"Joanna","non-dropping-particle":"","parse-names":false,"suffix":""}],"container-title":"Health Economics (United Kingdom)","id":"ITEM-1","issue":"12","issued":{"date-parts":[["2016","12","1"]]},"page":"1529-1544","publisher":"John Wiley and Sons Ltd","title":"Measuring Health Spillovers for Economic Evaluation: A Case Study in Meningitis","type":"article-journal","volume":"25"},"uris":["http://www.mendeley.com/documents/?uuid=26273e70-c76d-3512-bcc2-8c019642afd0"]},{"id":"ITEM-2","itemData":{"DOI":"10.1016/B978-0-12-375678-7.01413-9","ISBN":"9780123756787","abstract":"Informal care is the mainstay of support for many people living in the community, particularly those with long-term care needs. Informal care does not have an explicit value to reflect the resources required to provide informal care-related activities, or the benefits of doing so. Few economic evaluations value informal care. To include informal care in economic evaluations requires methods to measure and value the benefits and costs of informal care. This article reviews the methods used for measuring and valuing informal care in monetary and nonmonetary terms.","author":[{"dropping-particle":"","family":"Weatherly","given":"H.","non-dropping-particle":"","parse-names":false,"suffix":""},{"dropping-particle":"","family":"Faria","given":"R.","non-dropping-particle":"","parse-names":false,"suffix":""},{"dropping-particle":"","family":"Berg","given":"B.","non-dropping-particle":"Van den","parse-names":false,"suffix":""}],"container-title":"Encyclopedia of Health Economics","id":"ITEM-2","issued":{"date-parts":[["2014"]]},"page":"459-467","title":"Valuing Informal Care for Economic Evaluation","type":"chapter"},"uris":["http://www.mendeley.com/documents/?uuid=404d121a-e069-3d73-8965-78421ce74fcd"]},{"id":"ITEM-3","itemData":{"DOI":"10.1016/j.jhealeco.2004.12.002","ISSN":"01676296","abstract":"Medical cost-effectiveness analyses traditionally treat patients as isolated individuals and neglect the effects of improvement in patients' health on the welfare of their family members. We use a model based on a family utility function with altruistic linkages to show that there can be direct and indirect effects on the welfare of all family members. We focus specially on a model of how the spillover effects to the spouse in a two-person family might affect choice of treatments for prostate cancer. We then test the predictions of this model by analyzing treatment choices of prostate cancer patients using the linked SEER-Medicare database. We find that our results are consistent with the model's predictions. We conclude that cost-effectiveness analyses may better reflect the full costs and benefits of medical interventions if they incorporate these family effects. However, concerns about equity present a dilemma for the practice of CEA from the societal perspective. © 2005 Elsevier B.V. All rights reserved.","author":[{"dropping-particle":"","family":"Basu","given":"Anirban","non-dropping-particle":"","parse-names":false,"suffix":""},{"dropping-particle":"","family":"Meltzer","given":"David","non-dropping-particle":"","parse-names":false,"suffix":""}],"container-title":"Journal of Health Economics","id":"ITEM-3","issue":"4","issued":{"date-parts":[["2005"]]},"page":"751-773","title":"Implications of spillover effects within the family for medical cost-effectiveness analysis","type":"article-journal","volume":"24"},"uris":["http://www.mendeley.com/documents/?uuid=30d69e2c-ac66-38c0-93ce-5d84163b54e9"]},{"id":"ITEM-4","itemData":{"DOI":"10.1016/j.jval.2018.10.010","ISSN":"15244733","PMID":"31104733","abstract":"Background: Many individuals rely on family and friends to provide care outside of the formal healthcare sector. The need for caring is driven by many factors, including government policies toward health and social care, and increased prevalence of chronic and comorbid conditions. Informal care may give rise to “spillover” effects from the health of a cared-for individual to the health of carers. Spillover effects are rarely reflected in economic evaluations, in spite of growing research interest in this area, and recommendations from bodies such as the National Institute for Health and Care Excellence (NICE) and the Second Panel on Cost-Effectiveness that effects of this type be included in cost-effectiveness analysis. Objective: We explore the positive and normative issues to which the inclusion of carer spillover effects in economic evaluation may give rise and how future research might begin to address these challenges. Results: Positive challenges include the identification of causal rather than coincidental impacts on carers, selection into caring, and the measurement and treatment of spillover effects. The normative issues are related to these challenges, and particularly include impacts on equity, and spillovers that improve rather than reduce the health of carers. Conclusions: We argue that challenges including spillover effects in economic evaluation are considerable. Avenues for future research and possible solutions to these challenges include a re-orientation of analytic perspectives so that the impacts of caring on carers are accounted for where appropriate, and the design of studies to collect robust evidence to inform debate and guidance development in this area.","author":[{"dropping-particle":"","family":"Dixon","given":"Padraig","non-dropping-particle":"","parse-names":false,"suffix":""},{"dropping-particle":"","family":"Round","given":"Jeff","non-dropping-particle":"","parse-names":false,"suffix":""}],"container-title":"Value in Health","id":"ITEM-4","issue":"5","issued":{"date-parts":[["2019","5","1"]]},"page":"549-554","publisher":"Elsevier Ltd","title":"Caring for Carers: Positive and Normative Challenges for Future Research on Carer Spillover Effects in Economic Evaluation","type":"article-journal","volume":"22"},"uris":["http://www.mendeley.com/documents/?uuid=241b9468-d811-37ed-a4c7-b02fea617c8b"]}],"mendeley":{"formattedCitation":"(Al-Janabi, Van Exel, Brouwer, Trotter, et al., 2016; Basu &amp; Meltzer, 2005; Dixon &amp; Round, 2019; Weatherly, Faria, &amp; Van den Berg, 2014)","plainTextFormattedCitation":"(Al-Janabi, Van Exel, Brouwer, Trotter, et al., 2016; Basu &amp; Meltzer, 2005; Dixon &amp; Round, 2019; Weatherly, Faria, &amp; Van den Berg, 2014)","previouslyFormattedCitation":"(Al-Janabi, Van Exel, Brouwer, Trotter, et al., 2016; Basu &amp; Meltzer, 2005; Dixon &amp; Round, 2019; Weatherly, Faria, &amp; Van den Berg, 2014)"},"properties":{"noteIndex":0},"schema":"https://github.com/citation-style-language/schema/raw/master/csl-citation.json"}</w:instrText>
      </w:r>
      <w:r w:rsidRPr="00642AB3">
        <w:fldChar w:fldCharType="separate"/>
      </w:r>
      <w:r w:rsidRPr="00642AB3">
        <w:rPr>
          <w:noProof/>
        </w:rPr>
        <w:t>(Al-Janabi, Van Exel, Brouwer, Trotter, et al., 2016; Basu &amp; Meltzer, 2005; Dixon &amp; Round, 2019; Weatherly, Faria, &amp; Van den Berg, 2014)</w:t>
      </w:r>
      <w:r w:rsidRPr="00642AB3">
        <w:fldChar w:fldCharType="end"/>
      </w:r>
      <w:r w:rsidRPr="00642AB3">
        <w:t xml:space="preserve">), and how to include them in an economic evaluation (e.g. </w:t>
      </w:r>
      <w:r w:rsidRPr="00642AB3">
        <w:fldChar w:fldCharType="begin" w:fldLock="1"/>
      </w:r>
      <w:r w:rsidR="00A33BA4">
        <w:instrText>ADDIN CSL_CITATION {"citationItems":[{"id":"ITEM-1","itemData":{"DOI":"10.1177/0272989X15605094","ISSN":"1552681X","PMID":"26377370","abstract":"Health care interventions may affect the health of patients' family networks. It has been suggested that these health spillovers? should be included in economic evaluation, but there is not a systematic method for doing this. In this article, we develop a framework for including health spillovers in economic evaluation. We focus on extra-welfarist economic evaluations where the objective is to maximize health benefits from a health care budget (the health care perspective?). Our framework involves adapting the conventional cost-effectiveness decision rule to include 2 multiplier effects to internalize the spillover effects. These multiplier effects express the ratio of total health effects (for patients and their family networks) to patient health effects. One multiplier effect is specified for health benefit generated from providing a new intervention, one for health benefit displaced by funding this intervention. We show that using multiplier effects to internalize health spillovers could change the optimal funding decisions and generate additional health benefits to society.","author":[{"dropping-particle":"","family":"Al-Janabi","given":"Hareth","non-dropping-particle":"","parse-names":false,"suffix":""},{"dropping-particle":"","family":"Exel","given":"Job","non-dropping-particle":"Van","parse-names":false,"suffix":""},{"dropping-particle":"","family":"Brouwer","given":"Werner","non-dropping-particle":"","parse-names":false,"suffix":""},{"dropping-particle":"","family":"Coast","given":"Joanna","non-dropping-particle":"","parse-names":false,"suffix":""}],"container-title":"Medical Decision Making","id":"ITEM-1","issue":"2","issued":{"date-parts":[["2016","2","1"]]},"page":"176-186","publisher":"SAGE Publications Inc.","title":"A framework for including family health spillovers in economic evaluation","type":"article-journal","volume":"36"},"uris":["http://www.mendeley.com/documents/?uuid=5365bd14-6b92-3788-8a8f-21fb0fdc2408"]},{"id":"ITEM-2","itemData":{"DOI":"10.1016/j.jval.2018.10.010","ISSN":"15244733","PMID":"31104733","abstract":"Background: Many individuals rely on family and friends to provide care outside of the formal healthcare sector. The need for caring is driven by many factors, including government policies toward health and social care, and increased prevalence of chronic and comorbid conditions. Informal care may give rise to “spillover” effects from the health of a cared-for individual to the health of carers. Spillover effects are rarely reflected in economic evaluations, in spite of growing research interest in this area, and recommendations from bodies such as the National Institute for Health and Care Excellence (NICE) and the Second Panel on Cost-Effectiveness that effects of this type be included in cost-effectiveness analysis. Objective: We explore the positive and normative issues to which the inclusion of carer spillover effects in economic evaluation may give rise and how future research might begin to address these challenges. Results: Positive challenges include the identification of causal rather than coincidental impacts on carers, selection into caring, and the measurement and treatment of spillover effects. The normative issues are related to these challenges, and particularly include impacts on equity, and spillovers that improve rather than reduce the health of carers. Conclusions: We argue that challenges including spillover effects in economic evaluation are considerable. Avenues for future research and possible solutions to these challenges include a re-orientation of analytic perspectives so that the impacts of caring on carers are accounted for where appropriate, and the design of studies to collect robust evidence to inform debate and guidance development in this area.","author":[{"dropping-particle":"","family":"Dixon","given":"Padraig","non-dropping-particle":"","parse-names":false,"suffix":""},{"dropping-particle":"","family":"Round","given":"Jeff","non-dropping-particle":"","parse-names":false,"suffix":""}],"container-title":"Value in Health","id":"ITEM-2","issue":"5","issued":{"date-parts":[["2019","5","1"]]},"page":"549-554","publisher":"Elsevier Ltd","title":"Caring for Carers: Positive and Normative Challenges for Future Research on Carer Spillover Effects in Economic Evaluation","type":"article-journal","volume":"22"},"uris":["http://www.mendeley.com/documents/?uuid=241b9468-d811-37ed-a4c7-b02fea617c8b"]}],"mendeley":{"formattedCitation":"(Al-Janabi, Van Exel, Brouwer, &amp; Coast, 2016; Dixon &amp; Round, 2019)","plainTextFormattedCitation":"(Al-Janabi, Van Exel, Brouwer, &amp; Coast, 2016; Dixon &amp; Round, 2019)","previouslyFormattedCitation":"(Al-Janabi, Van Exel, Brouwer, &amp; Coast, 2016; Dixon &amp; Round, 2019)"},"properties":{"noteIndex":0},"schema":"https://github.com/citation-style-language/schema/raw/master/csl-citation.json"}</w:instrText>
      </w:r>
      <w:r w:rsidRPr="00642AB3">
        <w:fldChar w:fldCharType="separate"/>
      </w:r>
      <w:r w:rsidRPr="00642AB3">
        <w:rPr>
          <w:noProof/>
        </w:rPr>
        <w:t>(Al-Janabi, Van Exel, Brouwer, &amp; Coast, 2016; Dixon &amp; Round, 2019)</w:t>
      </w:r>
      <w:r w:rsidRPr="00642AB3">
        <w:fldChar w:fldCharType="end"/>
      </w:r>
      <w:r w:rsidRPr="00642AB3">
        <w:t>). When and in whom to consider spillover effects have been less examined, although Al-</w:t>
      </w:r>
      <w:proofErr w:type="spellStart"/>
      <w:r w:rsidRPr="00642AB3">
        <w:t>Janabi</w:t>
      </w:r>
      <w:proofErr w:type="spellEnd"/>
      <w:r w:rsidRPr="00642AB3">
        <w:t xml:space="preserve"> et al suggested that health spillover effects are likely to be more relevant when the spillover on gains diverges from the spillover on losses (via the opportunity cost) </w:t>
      </w:r>
      <w:r w:rsidRPr="00642AB3">
        <w:fldChar w:fldCharType="begin" w:fldLock="1"/>
      </w:r>
      <w:r w:rsidR="00A33BA4">
        <w:instrText>ADDIN CSL_CITATION {"citationItems":[{"id":"ITEM-1","itemData":{"DOI":"10.1177/0272989X15605094","ISSN":"1552681X","PMID":"26377370","abstract":"Health care interventions may affect the health of patients' family networks. It has been suggested that these health spillovers? should be included in economic evaluation, but there is not a systematic method for doing this. In this article, we develop a framework for including health spillovers in economic evaluation. We focus on extra-welfarist economic evaluations where the objective is to maximize health benefits from a health care budget (the health care perspective?). Our framework involves adapting the conventional cost-effectiveness decision rule to include 2 multiplier effects to internalize the spillover effects. These multiplier effects express the ratio of total health effects (for patients and their family networks) to patient health effects. One multiplier effect is specified for health benefit generated from providing a new intervention, one for health benefit displaced by funding this intervention. We show that using multiplier effects to internalize health spillovers could change the optimal funding decisions and generate additional health benefits to society.","author":[{"dropping-particle":"","family":"Al-Janabi","given":"Hareth","non-dropping-particle":"","parse-names":false,"suffix":""},{"dropping-particle":"","family":"Exel","given":"Job","non-dropping-particle":"Van","parse-names":false,"suffix":""},{"dropping-particle":"","family":"Brouwer","given":"Werner","non-dropping-particle":"","parse-names":false,"suffix":""},{"dropping-particle":"","family":"Coast","given":"Joanna","non-dropping-particle":"","parse-names":false,"suffix":""}],"container-title":"Medical Decision Making","id":"ITEM-1","issue":"2","issued":{"date-parts":[["2016","2","1"]]},"page":"176-186","publisher":"SAGE Publications Inc.","title":"A framework for including family health spillovers in economic evaluation","type":"article-journal","volume":"36"},"uris":["http://www.mendeley.com/documents/?uuid=5365bd14-6b92-3788-8a8f-21fb0fdc2408"]}],"mendeley":{"formattedCitation":"(Al-Janabi, Van Exel, Brouwer, &amp; Coast, 2016)","plainTextFormattedCitation":"(Al-Janabi, Van Exel, Brouwer, &amp; Coast, 2016)","previouslyFormattedCitation":"(Al-Janabi, Van Exel, Brouwer, &amp; Coast, 2016)"},"properties":{"noteIndex":0},"schema":"https://github.com/citation-style-language/schema/raw/master/csl-citation.json"}</w:instrText>
      </w:r>
      <w:r w:rsidRPr="00642AB3">
        <w:fldChar w:fldCharType="separate"/>
      </w:r>
      <w:r w:rsidRPr="00642AB3">
        <w:rPr>
          <w:noProof/>
        </w:rPr>
        <w:t>(Al-Janabi, Van Exel, Brouwer, &amp; Coast, 2016)</w:t>
      </w:r>
      <w:r w:rsidRPr="00642AB3">
        <w:fldChar w:fldCharType="end"/>
      </w:r>
      <w:r w:rsidRPr="00642AB3">
        <w:t xml:space="preserve">. Prosser and Wittenberg commented in an editorial to a </w:t>
      </w:r>
      <w:proofErr w:type="spellStart"/>
      <w:r w:rsidRPr="00642AB3">
        <w:t>PharmacoEconomics</w:t>
      </w:r>
      <w:proofErr w:type="spellEnd"/>
      <w:r w:rsidRPr="00642AB3">
        <w:t xml:space="preserve"> themed issue on spillover effects that this is an area where future research is needed </w:t>
      </w:r>
      <w:r w:rsidRPr="00642AB3">
        <w:fldChar w:fldCharType="begin" w:fldLock="1"/>
      </w:r>
      <w:r w:rsidR="00A33BA4">
        <w:instrText>ADDIN CSL_CITATION {"citationItems":[{"id":"ITEM-1","itemData":{"DOI":"10.1007/s40273-019-00794-5","ISSN":"11792027","PMID":"30915632","author":[{"dropping-particle":"","family":"Prosser","given":"Lisa A.","non-dropping-particle":"","parse-names":false,"suffix":""},{"dropping-particle":"","family":"Wittenberg","given":"Eve","non-dropping-particle":"","parse-names":false,"suffix":""}],"container-title":"PharmacoEconomics","id":"ITEM-1","issue":"4","issued":{"date-parts":[["2019","4","1"]]},"page":"447-450","publisher":"Springer International Publishing","title":"Advances in Methods and Novel Applications for Measuring Family Spillover Effects of Illness","type":"article","volume":"37"},"uris":["http://www.mendeley.com/documents/?uuid=1a17ebc8-982a-3947-81e7-df8e325ebfb3"]}],"mendeley":{"formattedCitation":"(Prosser &amp; Wittenberg, 2019)","plainTextFormattedCitation":"(Prosser &amp; Wittenberg, 2019)","previouslyFormattedCitation":"(Prosser &amp; Wittenberg, 2019)"},"properties":{"noteIndex":0},"schema":"https://github.com/citation-style-language/schema/raw/master/csl-citation.json"}</w:instrText>
      </w:r>
      <w:r w:rsidRPr="00642AB3">
        <w:fldChar w:fldCharType="separate"/>
      </w:r>
      <w:r w:rsidRPr="00642AB3">
        <w:rPr>
          <w:noProof/>
        </w:rPr>
        <w:t>(Prosser &amp; Wittenberg, 2019)</w:t>
      </w:r>
      <w:r w:rsidRPr="00642AB3">
        <w:fldChar w:fldCharType="end"/>
      </w:r>
      <w:r w:rsidRPr="00642AB3">
        <w:t xml:space="preserve">. </w:t>
      </w:r>
      <w:r w:rsidR="008008EE">
        <w:t>Applied economic evaluations vary in their consideration for spillover effects</w:t>
      </w:r>
      <w:r w:rsidR="00A454EB">
        <w:t>, and often it is focussed on the costs. F</w:t>
      </w:r>
      <w:r w:rsidR="008008EE">
        <w:t xml:space="preserve">or example, </w:t>
      </w:r>
      <w:r w:rsidR="00A454EB">
        <w:t>a systematic review on economic evaluations of Alzheimer’s Disease interventions found that 44/63 (70%) studies considered some spillover effects, of which 36 studies included the cost of informal carer time</w:t>
      </w:r>
      <w:r w:rsidR="008E0866">
        <w:t xml:space="preserve"> </w:t>
      </w:r>
      <w:r w:rsidR="008E0866">
        <w:fldChar w:fldCharType="begin" w:fldLock="1"/>
      </w:r>
      <w:r w:rsidR="008E0866">
        <w:instrText>ADDIN CSL_CITATION {"citationItems":[{"id":"ITEM-1","itemData":{"DOI":"10.1007/s40273-019-00788-3","author":[{"dropping-particle":"","family":"Lin","given":"Pei-Jung","non-dropping-particle":"","parse-names":false,"suffix":""},{"dropping-particle":"","family":"D’Cruz","given":"Brittany","non-dropping-particle":"","parse-names":false,"suffix":""},{"dropping-particle":"","family":"Leech","given":"Ashley A.","non-dropping-particle":"","parse-names":false,"suffix":""},{"dropping-particle":"","family":"Neumann","given":"Peter J.","non-dropping-particle":"","parse-names":false,"suffix":""},{"dropping-particle":"","family":"Sanon Aigbogun","given":"Myrlene","non-dropping-particle":"","parse-names":false,"suffix":""},{"dropping-particle":"","family":"Oberdhan","given":"Dorothee","non-dropping-particle":"","parse-names":false,"suffix":""},{"dropping-particle":"","family":"Lavelle","given":"Tara A.","non-dropping-particle":"","parse-names":false,"suffix":""}],"container-title":"PharmacoEconomics","id":"ITEM-1","issue":"4","issued":{"date-parts":[["2019","4","22"]]},"page":"597-608","publisher":"Springer International Publishing","title":"Family and Caregiver Spillover Effects in Cost-Utility Analyses of Alzheimer’s Disease Interventions","type":"article-journal","volume":"37"},"uris":["http://www.mendeley.com/documents/?uuid=d4896451-29aa-3de8-8e7b-eb42f593d251"]}],"mendeley":{"formattedCitation":"(Lin et al., 2019)","plainTextFormattedCitation":"(Lin et al., 2019)","previouslyFormattedCitation":"(Lin et al., 2019)"},"properties":{"noteIndex":0},"schema":"https://github.com/citation-style-language/schema/raw/master/csl-citation.json"}</w:instrText>
      </w:r>
      <w:r w:rsidR="008E0866">
        <w:fldChar w:fldCharType="separate"/>
      </w:r>
      <w:r w:rsidR="008E0866" w:rsidRPr="008E0866">
        <w:rPr>
          <w:noProof/>
        </w:rPr>
        <w:t>(Lin et al., 2019)</w:t>
      </w:r>
      <w:r w:rsidR="008E0866">
        <w:fldChar w:fldCharType="end"/>
      </w:r>
      <w:r w:rsidR="00A454EB">
        <w:t>, while a systematic review on economic evaluations in children found that 120/142 (85%) studies considered family spillover effects, of which 98 studies considered time costs</w:t>
      </w:r>
      <w:r w:rsidR="008E0866">
        <w:t xml:space="preserve"> </w:t>
      </w:r>
      <w:r w:rsidR="008E0866">
        <w:fldChar w:fldCharType="begin" w:fldLock="1"/>
      </w:r>
      <w:r w:rsidR="00F56021">
        <w:instrText>ADDIN CSL_CITATION {"citationItems":[{"id":"ITEM-1","itemData":{"DOI":"10.1007/s40258-018-0436-0","ISSN":"11791896","PMID":"30350218","abstract":"Background: Childhood illness can impose significant costs and health strains on family members, but these are not routinely captured by pediatric economic evaluations. This review investigated how family “spillover effects” related to costs and health outcomes are considered in pediatric cost-utility analyses (CUAs). Methods: We reviewed pediatric CUAs published between 2000 and 2015 using the Tufts Medical Center Cost-effectiveness Analysis (CEA) Registry and the Pediatric Economic Database Evaluation (PEDE) Registry. We selected studies conducted from the societal perspective and included in both registries. We investigated how frequently family spillover was incorporated into analyses, and how the inclusion of spillover health effects and costs changed CUA results. Results: We found 142 pediatric CUAs meeting inclusion criteria. Of those, 105 (72%) considered either family spillover costs (n = 98 time costs, n = 33 out-of-pocket costs, n = 2 caregiver healthcare costs) or health outcomes (n = 15). Twenty-four studies included 43 pairs of incremental cost-effectiveness ratios (ICERs) with and without spillover. In 19 pairs of ICERs, adding spillover changed the ICER enough to cross a common cost-effectiveness threshold (i.e., $50,000/QALY, $100,000/QALY, $150,000/QALY; values are in 2016 US$). Incorporating spillover generally made interventions more cost-effective (n = 18; 42%), or did not change CUA results enough to cross a threshold (n = 24; 56%). Including family spillover reduced ICERs by 31% ($40,000/QALY) on average. Conclusion: Most pediatric CUAs conducted from a societal perspective include family costs but fewer include family health effects. Inclusion of family spillover effects tends to make CUA results more favorable. Future pediatric CUAs should aim to more fully incorporate the family burden of illness.","author":[{"dropping-particle":"","family":"Lavelle","given":"Tara A.","non-dropping-particle":"","parse-names":false,"suffix":""},{"dropping-particle":"","family":"D’Cruz","given":"Brittany N.","non-dropping-particle":"","parse-names":false,"suffix":""},{"dropping-particle":"","family":"Mohit","given":"Babak","non-dropping-particle":"","parse-names":false,"suffix":""},{"dropping-particle":"","family":"Ungar","given":"Wendy J.","non-dropping-particle":"","parse-names":false,"suffix":""},{"dropping-particle":"","family":"Prosser","given":"Lisa A.","non-dropping-particle":"","parse-names":false,"suffix":""},{"dropping-particle":"","family":"Tsiplova","given":"Kate","non-dropping-particle":"","parse-names":false,"suffix":""},{"dropping-particle":"","family":"Vera-Llonch","given":"Montserrat","non-dropping-particle":"","parse-names":false,"suffix":""},{"dropping-particle":"","family":"Lin","given":"Pei Jung","non-dropping-particle":"","parse-names":false,"suffix":""}],"container-title":"Applied Health Economics and Health Policy","id":"ITEM-1","issue":"2","issued":{"date-parts":[["2019","4","10"]]},"page":"163-174","publisher":"Springer International Publishing","title":"Family Spillover Effects in Pediatric Cost-Utility Analyses","type":"article-journal","volume":"17"},"uris":["http://www.mendeley.com/documents/?uuid=a9bae442-916e-30c5-b8c7-50469d59f013"]}],"mendeley":{"formattedCitation":"(Lavelle et al., 2019)","plainTextFormattedCitation":"(Lavelle et al., 2019)","previouslyFormattedCitation":"(Lavelle et al., 2019)"},"properties":{"noteIndex":0},"schema":"https://github.com/citation-style-language/schema/raw/master/csl-citation.json"}</w:instrText>
      </w:r>
      <w:r w:rsidR="008E0866">
        <w:fldChar w:fldCharType="separate"/>
      </w:r>
      <w:r w:rsidR="008E0866" w:rsidRPr="008E0866">
        <w:rPr>
          <w:noProof/>
        </w:rPr>
        <w:t>(Lavelle et al., 2019)</w:t>
      </w:r>
      <w:r w:rsidR="008E0866">
        <w:fldChar w:fldCharType="end"/>
      </w:r>
      <w:r w:rsidR="00A454EB">
        <w:t>.</w:t>
      </w:r>
      <w:r w:rsidR="008E0866">
        <w:t xml:space="preserve"> </w:t>
      </w:r>
      <w:r w:rsidR="00A454EB">
        <w:t xml:space="preserve">In order to decide whether to consider spillover populations, </w:t>
      </w:r>
      <w:r w:rsidRPr="00642AB3">
        <w:t xml:space="preserve">and similarly to the approach for subpopulations, a practical approach is to review previous cost-effectiveness analyses, consulting stakeholders, and to lean on the conceptual model to infer the magnitude of gains and benefits in people who could be affected by the technology other than the target population. </w:t>
      </w:r>
    </w:p>
    <w:p w14:paraId="721D8467" w14:textId="303C9A1C" w:rsidR="00367E3D" w:rsidRPr="00642AB3" w:rsidRDefault="00367E3D" w:rsidP="00451BA3">
      <w:pPr>
        <w:pStyle w:val="Heading1"/>
      </w:pPr>
      <w:bookmarkStart w:id="13" w:name="_Toc48925889"/>
      <w:r w:rsidRPr="00642AB3">
        <w:t xml:space="preserve">Decision </w:t>
      </w:r>
      <w:r w:rsidR="00392021" w:rsidRPr="00642AB3">
        <w:t xml:space="preserve">Options </w:t>
      </w:r>
      <w:proofErr w:type="gramStart"/>
      <w:r w:rsidR="00392021" w:rsidRPr="00642AB3">
        <w:t>To</w:t>
      </w:r>
      <w:proofErr w:type="gramEnd"/>
      <w:r w:rsidR="00392021" w:rsidRPr="00642AB3">
        <w:t xml:space="preserve"> Evaluate</w:t>
      </w:r>
      <w:bookmarkEnd w:id="13"/>
    </w:p>
    <w:p w14:paraId="271368EC" w14:textId="0BD6DC3D" w:rsidR="00367E3D" w:rsidRPr="00642AB3" w:rsidRDefault="00367E3D" w:rsidP="00D35786">
      <w:pPr>
        <w:spacing w:line="480" w:lineRule="auto"/>
      </w:pPr>
      <w:r w:rsidRPr="00642AB3">
        <w:t xml:space="preserve">The decision options refer to the alternative courses of action that could be taken to address the problem </w:t>
      </w:r>
      <w:r w:rsidRPr="00642AB3">
        <w:fldChar w:fldCharType="begin" w:fldLock="1"/>
      </w:r>
      <w:r w:rsidR="00A33BA4">
        <w:instrText>ADDIN CSL_CITATION {"citationItems":[{"id":"ITEM-1","itemData":{"ISBN":"978-0-19-852945-3","ISSN":"1091-4358","PMID":"11967406","author":[{"dropping-particle":"","family":"Drummond","given":"M","non-dropping-particle":"","parse-names":false,"suffix":""},{"dropping-particle":"","family":"Stoddard","given":"Greg L","non-dropping-particle":"","parse-names":false,"suffix":""},{"dropping-particle":"","family":"Torrance","given":"George W","non-dropping-particle":"","parse-names":false,"suffix":""}],"container-title":"Methods for the Economic Evaluation of Health Care Programmes","id":"ITEM-1","issued":{"date-parts":[["2005"]]},"title":"Methods for the economic evaluation of health care programmes","type":"book"},"uris":["http://www.mendeley.com/documents/?uuid=8ed7fa5f-7555-4fd8-bc1e-5f76d04a37ff"]}],"mendeley":{"formattedCitation":"(M. Drummond, Stoddard, &amp; Torrance, 2005)","plainTextFormattedCitation":"(M. Drummond, Stoddard, &amp; Torrance, 2005)","previouslyFormattedCitation":"(M. Drummond, Stoddard, &amp; Torrance, 2005)"},"properties":{"noteIndex":0},"schema":"https://github.com/citation-style-language/schema/raw/master/csl-citation.json"}</w:instrText>
      </w:r>
      <w:r w:rsidRPr="00642AB3">
        <w:fldChar w:fldCharType="separate"/>
      </w:r>
      <w:r w:rsidRPr="00642AB3">
        <w:rPr>
          <w:noProof/>
        </w:rPr>
        <w:t>(M. Drummond, Stoddard, &amp; Torrance, 2005)</w:t>
      </w:r>
      <w:r w:rsidRPr="00642AB3">
        <w:fldChar w:fldCharType="end"/>
      </w:r>
      <w:r w:rsidRPr="00642AB3">
        <w:t xml:space="preserve">. As economic evaluation is comparative, the additional costs and benefits of the technology depend on the costs and </w:t>
      </w:r>
      <w:r w:rsidRPr="00642AB3">
        <w:lastRenderedPageBreak/>
        <w:t xml:space="preserve">benefits of the alternative that it is compared against. The exclusion of alternatives may affect the comparative benefits or costs of the technology, and the economic evaluations may erroneously conclude that a technology is cost-effective when that is not the case. </w:t>
      </w:r>
    </w:p>
    <w:p w14:paraId="660BA3B2" w14:textId="5A3DBB12" w:rsidR="00367E3D" w:rsidRPr="00642AB3" w:rsidRDefault="00367E3D" w:rsidP="00D35786">
      <w:pPr>
        <w:spacing w:line="480" w:lineRule="auto"/>
      </w:pPr>
      <w:r w:rsidRPr="00642AB3">
        <w:t>Decision options could be considered as simply the new technology and the standard of care in the absence of the new technology. Additionally, decision options can comprise care pathways, which may include combinations of the technology and the alternative courses of action in its absence (e.g. standard of care as first line then the new technology as second line; standard of care in combination with the new technology; the new technology at different intensities or durations; stop-and-start rules, etc.).</w:t>
      </w:r>
    </w:p>
    <w:p w14:paraId="5B31C531" w14:textId="158ABAB4" w:rsidR="00367E3D" w:rsidRPr="00642AB3" w:rsidRDefault="00367E3D" w:rsidP="00451BA3">
      <w:pPr>
        <w:pStyle w:val="Heading2"/>
      </w:pPr>
      <w:bookmarkStart w:id="14" w:name="_Toc48925890"/>
      <w:r w:rsidRPr="00642AB3">
        <w:t xml:space="preserve">Recommendations </w:t>
      </w:r>
      <w:proofErr w:type="gramStart"/>
      <w:r w:rsidR="00392021" w:rsidRPr="00642AB3">
        <w:t>In</w:t>
      </w:r>
      <w:proofErr w:type="gramEnd"/>
      <w:r w:rsidR="00392021" w:rsidRPr="00642AB3">
        <w:t xml:space="preserve"> Methodological Guidelines</w:t>
      </w:r>
      <w:bookmarkEnd w:id="14"/>
    </w:p>
    <w:p w14:paraId="07CF460C" w14:textId="294A6674" w:rsidR="00367E3D" w:rsidRDefault="00367E3D" w:rsidP="00D35786">
      <w:pPr>
        <w:spacing w:line="480" w:lineRule="auto"/>
      </w:pPr>
      <w:r w:rsidRPr="00642AB3">
        <w:t xml:space="preserve">Table 2 summarises the recommendations on how to identify and select the decision options for an economic evaluation. </w:t>
      </w:r>
    </w:p>
    <w:p w14:paraId="5FDDF7DB" w14:textId="77777777" w:rsidR="005859B6" w:rsidRDefault="005859B6" w:rsidP="00D35786">
      <w:pPr>
        <w:spacing w:line="480" w:lineRule="auto"/>
        <w:sectPr w:rsidR="005859B6" w:rsidSect="008E5E08">
          <w:footnotePr>
            <w:numFmt w:val="lowerLetter"/>
          </w:footnotePr>
          <w:pgSz w:w="11906" w:h="16838"/>
          <w:pgMar w:top="1440" w:right="1440" w:bottom="1440" w:left="1440" w:header="708" w:footer="708" w:gutter="0"/>
          <w:cols w:space="708"/>
          <w:docGrid w:linePitch="360"/>
        </w:sectPr>
      </w:pPr>
    </w:p>
    <w:p w14:paraId="26492EA2" w14:textId="608EC30F" w:rsidR="005859B6" w:rsidRPr="00642AB3" w:rsidRDefault="005859B6" w:rsidP="00C0402E"/>
    <w:p w14:paraId="186423EE" w14:textId="72479BE3" w:rsidR="005859B6" w:rsidRDefault="005859B6" w:rsidP="00A454EB">
      <w:r w:rsidRPr="00642AB3">
        <w:rPr>
          <w:i/>
          <w:iCs/>
          <w:color w:val="44546A" w:themeColor="text2"/>
        </w:rPr>
        <w:t xml:space="preserve">Table </w:t>
      </w:r>
      <w:r w:rsidRPr="00642AB3">
        <w:rPr>
          <w:i/>
          <w:iCs/>
          <w:noProof/>
          <w:color w:val="44546A" w:themeColor="text2"/>
        </w:rPr>
        <w:fldChar w:fldCharType="begin"/>
      </w:r>
      <w:r w:rsidRPr="00642AB3">
        <w:rPr>
          <w:i/>
          <w:iCs/>
          <w:noProof/>
          <w:color w:val="44546A" w:themeColor="text2"/>
        </w:rPr>
        <w:instrText xml:space="preserve"> SEQ Table \* ARABIC </w:instrText>
      </w:r>
      <w:r w:rsidRPr="00642AB3">
        <w:rPr>
          <w:i/>
          <w:iCs/>
          <w:noProof/>
          <w:color w:val="44546A" w:themeColor="text2"/>
        </w:rPr>
        <w:fldChar w:fldCharType="separate"/>
      </w:r>
      <w:r w:rsidRPr="00642AB3">
        <w:rPr>
          <w:i/>
          <w:iCs/>
          <w:noProof/>
          <w:color w:val="44546A" w:themeColor="text2"/>
        </w:rPr>
        <w:t>2</w:t>
      </w:r>
      <w:r w:rsidRPr="00642AB3">
        <w:rPr>
          <w:i/>
          <w:iCs/>
          <w:noProof/>
          <w:color w:val="44546A" w:themeColor="text2"/>
        </w:rPr>
        <w:fldChar w:fldCharType="end"/>
      </w:r>
      <w:r w:rsidRPr="00642AB3">
        <w:rPr>
          <w:i/>
          <w:iCs/>
          <w:color w:val="44546A" w:themeColor="text2"/>
        </w:rPr>
        <w:t>: Summary of recommendations on identification and selection on the options to include in the evaluation in the methodological guidelines</w:t>
      </w:r>
    </w:p>
    <w:tbl>
      <w:tblPr>
        <w:tblStyle w:val="TableGrid"/>
        <w:tblW w:w="5000" w:type="pct"/>
        <w:tblLook w:val="04A0" w:firstRow="1" w:lastRow="0" w:firstColumn="1" w:lastColumn="0" w:noHBand="0" w:noVBand="1"/>
      </w:tblPr>
      <w:tblGrid>
        <w:gridCol w:w="1801"/>
        <w:gridCol w:w="1150"/>
        <w:gridCol w:w="1362"/>
        <w:gridCol w:w="2438"/>
        <w:gridCol w:w="1941"/>
        <w:gridCol w:w="1357"/>
        <w:gridCol w:w="1197"/>
        <w:gridCol w:w="973"/>
        <w:gridCol w:w="1729"/>
      </w:tblGrid>
      <w:tr w:rsidR="005859B6" w:rsidRPr="005859B6" w14:paraId="255BC7E1" w14:textId="77777777" w:rsidTr="00C0402E">
        <w:tc>
          <w:tcPr>
            <w:tcW w:w="1320" w:type="pct"/>
            <w:vAlign w:val="center"/>
          </w:tcPr>
          <w:p w14:paraId="54C3195B" w14:textId="77777777" w:rsidR="005859B6" w:rsidRPr="005859B6" w:rsidRDefault="005859B6" w:rsidP="005859B6">
            <w:pPr>
              <w:spacing w:line="480" w:lineRule="auto"/>
            </w:pPr>
            <w:r w:rsidRPr="005859B6">
              <w:t>Recommendations</w:t>
            </w:r>
          </w:p>
        </w:tc>
        <w:tc>
          <w:tcPr>
            <w:tcW w:w="460" w:type="pct"/>
          </w:tcPr>
          <w:p w14:paraId="5BB0A53A" w14:textId="77777777" w:rsidR="005859B6" w:rsidRPr="005859B6" w:rsidRDefault="005859B6" w:rsidP="005859B6">
            <w:pPr>
              <w:spacing w:line="480" w:lineRule="auto"/>
            </w:pPr>
            <w:r w:rsidRPr="005859B6">
              <w:t xml:space="preserve">NICE Guideline </w:t>
            </w:r>
            <w:r w:rsidRPr="005859B6">
              <w:fldChar w:fldCharType="begin" w:fldLock="1"/>
            </w:r>
            <w:r w:rsidRPr="005859B6">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5859B6">
              <w:fldChar w:fldCharType="separate"/>
            </w:r>
            <w:r w:rsidRPr="005859B6">
              <w:rPr>
                <w:noProof/>
              </w:rPr>
              <w:t>(National Institute for Health and Care Excellence (NICE), 2013)</w:t>
            </w:r>
            <w:r w:rsidRPr="005859B6">
              <w:fldChar w:fldCharType="end"/>
            </w:r>
          </w:p>
        </w:tc>
        <w:tc>
          <w:tcPr>
            <w:tcW w:w="460" w:type="pct"/>
          </w:tcPr>
          <w:p w14:paraId="22BF94DD" w14:textId="77777777" w:rsidR="005859B6" w:rsidRPr="005859B6" w:rsidRDefault="005859B6" w:rsidP="005859B6">
            <w:pPr>
              <w:spacing w:line="480" w:lineRule="auto"/>
            </w:pPr>
            <w:r w:rsidRPr="005859B6">
              <w:t xml:space="preserve">CADTH Guideline </w:t>
            </w:r>
            <w:r w:rsidRPr="005859B6">
              <w:fldChar w:fldCharType="begin" w:fldLock="1"/>
            </w:r>
            <w:r w:rsidRPr="005859B6">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Canada","type":"article-journal"},"uris":["http://www.mendeley.com/documents/?uuid=c1edb1ae-e4b3-3ad4-9c48-be7c245913bf"]}],"mendeley":{"formattedCitation":"(Canadian Agency for Drugs and Technologies in Health, 2017)","plainTextFormattedCitation":"(Canadian Agency for Drugs and Technologies in Health, 2017)","previouslyFormattedCitation":"(Canadian Agency for Drugs and Technologies in Health, 2017)"},"properties":{"noteIndex":0},"schema":"https://github.com/citation-style-language/schema/raw/master/csl-citation.json"}</w:instrText>
            </w:r>
            <w:r w:rsidRPr="005859B6">
              <w:fldChar w:fldCharType="separate"/>
            </w:r>
            <w:r w:rsidRPr="005859B6">
              <w:rPr>
                <w:noProof/>
              </w:rPr>
              <w:t>(Canadian Agency for Drugs and Technologies in Health, 2017)</w:t>
            </w:r>
            <w:r w:rsidRPr="005859B6">
              <w:fldChar w:fldCharType="end"/>
            </w:r>
          </w:p>
        </w:tc>
        <w:tc>
          <w:tcPr>
            <w:tcW w:w="460" w:type="pct"/>
          </w:tcPr>
          <w:p w14:paraId="2ABEA041" w14:textId="77777777" w:rsidR="005859B6" w:rsidRPr="005859B6" w:rsidRDefault="005859B6" w:rsidP="005859B6">
            <w:pPr>
              <w:spacing w:line="480" w:lineRule="auto"/>
            </w:pPr>
            <w:r w:rsidRPr="005859B6">
              <w:t>PBAC Guideline</w:t>
            </w:r>
            <w:r w:rsidRPr="005859B6">
              <w:fldChar w:fldCharType="begin" w:fldLock="1"/>
            </w:r>
            <w:r w:rsidRPr="005859B6">
              <w:instrText>ADDIN CSL_CITATION {"citationItems":[{"id":"ITEM-1","itemData":{"ISBN":"9781741860009","abstract":"The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Committee","given":"","non-dropping-particle":"","parse-names":false,"suffix":""}],"id":"ITEM-1","issued":{"date-parts":[["2016"]]},"title":"Guidelines for preparing submissions to the Pharmaceutical Benefits Advisory Committee","type":"report"},"uris":["http://www.mendeley.com/documents/?uuid=57a65f32-3da3-380c-b9ea-2dc0de627f0c"]}],"mendeley":{"formattedCitation":"(Pharmaceutical Benefits Advisory Committee, 2016)","plainTextFormattedCitation":"(Pharmaceutical Benefits Advisory Committee, 2016)","previouslyFormattedCitation":"(Pharmaceutical Benefits Advisory Committee, 2016)"},"properties":{"noteIndex":0},"schema":"https://github.com/citation-style-language/schema/raw/master/csl-citation.json"}</w:instrText>
            </w:r>
            <w:r w:rsidRPr="005859B6">
              <w:fldChar w:fldCharType="separate"/>
            </w:r>
            <w:r w:rsidRPr="005859B6">
              <w:rPr>
                <w:noProof/>
              </w:rPr>
              <w:t>(Pharmaceutical Benefits Advisory Committee, 2016)</w:t>
            </w:r>
            <w:r w:rsidRPr="005859B6">
              <w:fldChar w:fldCharType="end"/>
            </w:r>
          </w:p>
        </w:tc>
        <w:tc>
          <w:tcPr>
            <w:tcW w:w="460" w:type="pct"/>
          </w:tcPr>
          <w:p w14:paraId="6E169967" w14:textId="77777777" w:rsidR="005859B6" w:rsidRPr="005859B6" w:rsidRDefault="005859B6" w:rsidP="005859B6">
            <w:pPr>
              <w:spacing w:line="480" w:lineRule="auto"/>
            </w:pPr>
            <w:r w:rsidRPr="005859B6">
              <w:t>EUnetHTA Guideline</w:t>
            </w:r>
            <w:r w:rsidRPr="005859B6">
              <w:fldChar w:fldCharType="begin" w:fldLock="1"/>
            </w:r>
            <w:r w:rsidRPr="005859B6">
              <w:instrText>ADDIN CSL_CITATION {"citationItems":[{"id":"ITEM-1","itemData":{"author":[{"dropping-particle":"","family":"European Network for Health Technology Assessment (EUneHTA)","given":"","non-dropping-particle":"","parse-names":false,"suffix":""}],"id":"ITEM-1","issued":{"date-parts":[["2015"]]},"number-of-pages":"100","title":"Methods for health economic evaluations -A guideline based on current practices in Europe","type":"report"},"uris":["http://www.mendeley.com/documents/?uuid=82316c6b-dca8-3243-bc63-c6556a5e0a10"]}],"mendeley":{"formattedCitation":"(European Network for Health Technology Assessment (EUneHTA), 2015)","plainTextFormattedCitation":"(European Network for Health Technology Assessment (EUneHTA), 2015)","previouslyFormattedCitation":"(European Network for Health Technology Assessment (EUneHTA), 2015)"},"properties":{"noteIndex":0},"schema":"https://github.com/citation-style-language/schema/raw/master/csl-citation.json"}</w:instrText>
            </w:r>
            <w:r w:rsidRPr="005859B6">
              <w:fldChar w:fldCharType="separate"/>
            </w:r>
            <w:r w:rsidRPr="005859B6">
              <w:rPr>
                <w:noProof/>
              </w:rPr>
              <w:t>(European Network for Health Technology Assessment (EUneHTA), 2015)</w:t>
            </w:r>
            <w:r w:rsidRPr="005859B6">
              <w:fldChar w:fldCharType="end"/>
            </w:r>
          </w:p>
        </w:tc>
        <w:tc>
          <w:tcPr>
            <w:tcW w:w="460" w:type="pct"/>
          </w:tcPr>
          <w:p w14:paraId="740802AB" w14:textId="77777777" w:rsidR="005859B6" w:rsidRPr="005859B6" w:rsidRDefault="005859B6" w:rsidP="005859B6">
            <w:pPr>
              <w:spacing w:line="480" w:lineRule="auto"/>
            </w:pPr>
            <w:r w:rsidRPr="005859B6">
              <w:t xml:space="preserve">Gates Guideline </w:t>
            </w:r>
            <w:r w:rsidRPr="005859B6">
              <w:fldChar w:fldCharType="begin" w:fldLock="1"/>
            </w:r>
            <w:r w:rsidRPr="005859B6">
              <w:instrText>ADDIN CSL_CITATION {"citationItems":[{"id":"ITEM-1","itemData":{"author":[{"dropping-particle":"","family":"NICE International","given":"","non-dropping-particle":"","parse-names":false,"suffix":""}],"container-title":"Bill and Melinda Gates Foundation Methods for Economic Evaluation Project (MEEP)","id":"ITEM-1","issue":"January","issued":{"date-parts":[["2014"]]},"number-of-pages":"30-33","title":"Methods for Economic Evaluation Project: Final Report","type":"report"},"uris":["http://www.mendeley.com/documents/?uuid=72af4fb1-6d31-3c01-bc40-a1dbae091c33"]}],"mendeley":{"formattedCitation":"(NICE International, 2014)","plainTextFormattedCitation":"(NICE International, 2014)","previouslyFormattedCitation":"(NICE International, 2014)"},"properties":{"noteIndex":0},"schema":"https://github.com/citation-style-language/schema/raw/master/csl-citation.json"}</w:instrText>
            </w:r>
            <w:r w:rsidRPr="005859B6">
              <w:fldChar w:fldCharType="separate"/>
            </w:r>
            <w:r w:rsidRPr="005859B6">
              <w:rPr>
                <w:noProof/>
              </w:rPr>
              <w:t>(NICE International, 2014)</w:t>
            </w:r>
            <w:r w:rsidRPr="005859B6">
              <w:fldChar w:fldCharType="end"/>
            </w:r>
          </w:p>
        </w:tc>
        <w:tc>
          <w:tcPr>
            <w:tcW w:w="460" w:type="pct"/>
          </w:tcPr>
          <w:p w14:paraId="725B5CDE" w14:textId="77777777" w:rsidR="005859B6" w:rsidRPr="005859B6" w:rsidRDefault="005859B6" w:rsidP="005859B6">
            <w:pPr>
              <w:spacing w:line="480" w:lineRule="auto"/>
            </w:pPr>
            <w:r w:rsidRPr="005859B6">
              <w:t xml:space="preserve">Drummond et al </w:t>
            </w:r>
            <w:r w:rsidRPr="005859B6">
              <w:fldChar w:fldCharType="begin" w:fldLock="1"/>
            </w:r>
            <w:r w:rsidRPr="005859B6">
              <w:instrText>ADDIN CSL_CITATION {"citationItems":[{"id":"ITEM-1","itemData":{"author":[{"dropping-particle":"","family":"Drummond","given":"Michael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W.","non-dropping-particle":"","parse-names":false,"suffix":""}],"edition":"4th","id":"ITEM-1","issued":{"date-parts":[["2015"]]},"number-of-pages":"464","publisher":"Oxford University Press","publisher-place":"Oxford","title":"Methods for the Economic Evaluation of Health Care Programmes","type":"book"},"uris":["http://www.mendeley.com/documents/?uuid=bfcbd1b8-6b05-4fe8-a3fd-fb1cbb802fd7"]}],"mendeley":{"formattedCitation":"(M. F. Drummond et al., 2015)","plainTextFormattedCitation":"(M. F. Drummond et al., 2015)","previouslyFormattedCitation":"(M. F. Drummond et al., 2015)"},"properties":{"noteIndex":0},"schema":"https://github.com/citation-style-language/schema/raw/master/csl-citation.json"}</w:instrText>
            </w:r>
            <w:r w:rsidRPr="005859B6">
              <w:fldChar w:fldCharType="separate"/>
            </w:r>
            <w:r w:rsidRPr="005859B6">
              <w:rPr>
                <w:noProof/>
              </w:rPr>
              <w:t>(M. F. Drummond et al., 2015)</w:t>
            </w:r>
            <w:r w:rsidRPr="005859B6">
              <w:fldChar w:fldCharType="end"/>
            </w:r>
          </w:p>
        </w:tc>
        <w:tc>
          <w:tcPr>
            <w:tcW w:w="460" w:type="pct"/>
          </w:tcPr>
          <w:p w14:paraId="3606AF81" w14:textId="77777777" w:rsidR="005859B6" w:rsidRPr="005859B6" w:rsidRDefault="005859B6" w:rsidP="005859B6">
            <w:pPr>
              <w:spacing w:line="480" w:lineRule="auto"/>
            </w:pPr>
            <w:r w:rsidRPr="005859B6">
              <w:t xml:space="preserve">US Panel </w:t>
            </w:r>
            <w:r w:rsidRPr="005859B6">
              <w:fldChar w:fldCharType="begin" w:fldLock="1"/>
            </w:r>
            <w:r w:rsidRPr="005859B6">
              <w:instrText>ADDIN CSL_CITATION {"citationItems":[{"id":"ITEM-1","itemData":{"DOI":"10.1093/acprof:oso/9780190492939.001.0001","ISBN":"9780190492939","abstract":"This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Press","publisher-place":"Oxford","title":"Designing a Cost-Effectiveness Analysis","type":"chapter"},"uris":["http://www.mendeley.com/documents/?uuid=5008afc6-8cab-3f7d-94d0-c4aadfc9796e"]},{"id":"ITEM-2","itemData":{"DOI":"10.1093/acprof:oso/9780190492939.001.0001","ISBN":"9780190492939","abstract":"There are two distinct phases in identifying and quantifying consequences: a broad and systematic review of relevant consequences of the decision being evaluated and identification of data sources and measurement approaches for quantifying them. Cost-effectiveness analyses should identify all significant consequences related to health (survival and/or health status) and resource use in the healthcare sector, as well as consequences in other sectors. Consequences may be distinguished along various dimensions, including the sector in which they occur; groups with different degrees of proximity to the intervention (target population versus other affected groups); and different time points. The Impact Inventory provides a framework for listing all consequences of an intervention, within and outside the healthcare sector, and encouraging explicit discussion of omitted elements and their likely effect on the conclusions of an analysis.","author":[{"dropping-particle":"","family":"Salomon","given":"Joshua A.","non-dropping-particle":"","parse-names":false,"suffix":""},{"dropping-particle":"","family":"Trikalinos","given":"Thomas A.","non-dropping-particle":"","parse-names":false,"suffix":""},{"dropping-particle":"","family":"Sanders","given":"Gillian D.","non-dropping-particle":"","parse-names":false,"suffix":""},{"dropping-particle":"","family":"Mandelblatt","given":"Jeanne S.","non-dropping-particle":"","parse-names":false,"suffix":""}],"container-title":"Cost-Effectiveness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D.","non-dropping-particle":"","parse-names":false,"suffix":""},{"dropping-particle":"","family":"Siegel","given":"Joanna","non-dropping-particle":"","parse-names":false,"suffix":""}],"id":"ITEM-2","issued":{"date-parts":[["2016"]]},"page":"137-166","publisher":"Oxford University Press","publisher-place":"Oxford","title":"Identifying and Quantifying the Consequences of Interventions","type":"chapter"},"uris":["http://www.mendeley.com/documents/?uuid=d680cf3f-e865-391b-884d-c3464bbd632f"]}],"mendeley":{"formattedCitation":"(Owens et al., 2016; Salomon et al., 2016)","plainTextFormattedCitation":"(Owens et al., 2016; Salomon et al., 2016)","previouslyFormattedCitation":"(Owens et al., 2016; Salomon et al., 2016)"},"properties":{"noteIndex":0},"schema":"https://github.com/citation-style-language/schema/raw/master/csl-citation.json"}</w:instrText>
            </w:r>
            <w:r w:rsidRPr="005859B6">
              <w:fldChar w:fldCharType="separate"/>
            </w:r>
            <w:r w:rsidRPr="005859B6">
              <w:rPr>
                <w:noProof/>
              </w:rPr>
              <w:t>(Owens et al., 2016; Salomon et al., 2016)</w:t>
            </w:r>
            <w:r w:rsidRPr="005859B6">
              <w:fldChar w:fldCharType="end"/>
            </w:r>
          </w:p>
        </w:tc>
        <w:tc>
          <w:tcPr>
            <w:tcW w:w="460" w:type="pct"/>
          </w:tcPr>
          <w:p w14:paraId="3987AF45" w14:textId="77777777" w:rsidR="005859B6" w:rsidRPr="005859B6" w:rsidRDefault="005859B6" w:rsidP="005859B6">
            <w:pPr>
              <w:spacing w:line="480" w:lineRule="auto"/>
            </w:pPr>
            <w:r w:rsidRPr="005859B6">
              <w:t>ISPOR taskforce</w:t>
            </w:r>
            <w:r w:rsidRPr="005859B6">
              <w:fldChar w:fldCharType="begin" w:fldLock="1"/>
            </w:r>
            <w:r w:rsidRPr="005859B6">
              <w:instrText>ADDIN CSL_CITATION {"citationItems":[{"id":"ITEM-1","itemData":{"DOI":"10.1016/j.jval.2012.06.012","ISBN":"1524-4733","ISSN":"1524-4733","PMID":"22999128","abstract":"Thee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Health","id":"ITEM-1","issued":{"date-parts":[["2012"]]},"page":"804-811","title":"Conceptualizing a Model: A Report of the ISPOR-SMDM Modeling Good Research Practices Task Force-2","type":"article-journal","volume":"15"},"uris":["http://www.mendeley.com/documents/?uuid=d6058f98-c577-37fc-9309-1ea31daea085"]}],"mendeley":{"formattedCitation":"(Roberts et al., 2012)","plainTextFormattedCitation":"(Roberts et al., 2012)","previouslyFormattedCitation":"(Roberts et al., 2012)"},"properties":{"noteIndex":0},"schema":"https://github.com/citation-style-language/schema/raw/master/csl-citation.json"}</w:instrText>
            </w:r>
            <w:r w:rsidRPr="005859B6">
              <w:fldChar w:fldCharType="separate"/>
            </w:r>
            <w:r w:rsidRPr="005859B6">
              <w:rPr>
                <w:noProof/>
              </w:rPr>
              <w:t>(Roberts et al., 2012)</w:t>
            </w:r>
            <w:r w:rsidRPr="005859B6">
              <w:fldChar w:fldCharType="end"/>
            </w:r>
          </w:p>
        </w:tc>
      </w:tr>
      <w:tr w:rsidR="005859B6" w:rsidRPr="005859B6" w14:paraId="712F923C" w14:textId="77777777" w:rsidTr="00C0402E">
        <w:tc>
          <w:tcPr>
            <w:tcW w:w="5000" w:type="pct"/>
            <w:gridSpan w:val="9"/>
            <w:shd w:val="clear" w:color="auto" w:fill="BFBFBF" w:themeFill="background1" w:themeFillShade="BF"/>
          </w:tcPr>
          <w:p w14:paraId="4D0FC619" w14:textId="77777777" w:rsidR="005859B6" w:rsidRPr="005859B6" w:rsidRDefault="005859B6" w:rsidP="005859B6">
            <w:pPr>
              <w:spacing w:line="480" w:lineRule="auto"/>
            </w:pPr>
            <w:r w:rsidRPr="005859B6">
              <w:t>General recommendations on the options to include in the evaluation in addition to the new technology</w:t>
            </w:r>
          </w:p>
        </w:tc>
      </w:tr>
      <w:tr w:rsidR="005859B6" w:rsidRPr="005859B6" w14:paraId="7B3BBA18" w14:textId="77777777" w:rsidTr="00C0402E">
        <w:tc>
          <w:tcPr>
            <w:tcW w:w="1320" w:type="pct"/>
          </w:tcPr>
          <w:p w14:paraId="4909E9E1" w14:textId="77777777" w:rsidR="005859B6" w:rsidRPr="005859B6" w:rsidRDefault="005859B6" w:rsidP="005859B6">
            <w:pPr>
              <w:spacing w:line="480" w:lineRule="auto"/>
            </w:pPr>
            <w:r w:rsidRPr="005859B6">
              <w:lastRenderedPageBreak/>
              <w:t>Standard care</w:t>
            </w:r>
          </w:p>
        </w:tc>
        <w:tc>
          <w:tcPr>
            <w:tcW w:w="460" w:type="pct"/>
            <w:vAlign w:val="center"/>
          </w:tcPr>
          <w:p w14:paraId="1C5E2DBD" w14:textId="77777777" w:rsidR="005859B6" w:rsidRPr="005859B6" w:rsidRDefault="005859B6" w:rsidP="005859B6">
            <w:pPr>
              <w:spacing w:line="480" w:lineRule="auto"/>
              <w:jc w:val="center"/>
            </w:pPr>
            <w:r w:rsidRPr="005859B6">
              <w:t>R</w:t>
            </w:r>
            <w:r w:rsidRPr="005859B6">
              <w:rPr>
                <w:vertAlign w:val="superscript"/>
              </w:rPr>
              <w:endnoteReference w:id="5"/>
            </w:r>
          </w:p>
        </w:tc>
        <w:tc>
          <w:tcPr>
            <w:tcW w:w="460" w:type="pct"/>
            <w:vAlign w:val="center"/>
          </w:tcPr>
          <w:p w14:paraId="640D6CB2" w14:textId="77777777" w:rsidR="005859B6" w:rsidRPr="005859B6" w:rsidRDefault="005859B6" w:rsidP="005859B6">
            <w:pPr>
              <w:spacing w:line="480" w:lineRule="auto"/>
            </w:pPr>
          </w:p>
        </w:tc>
        <w:tc>
          <w:tcPr>
            <w:tcW w:w="460" w:type="pct"/>
            <w:vAlign w:val="center"/>
          </w:tcPr>
          <w:p w14:paraId="720FDBFA" w14:textId="77777777" w:rsidR="005859B6" w:rsidRPr="005859B6" w:rsidRDefault="005859B6" w:rsidP="005859B6">
            <w:pPr>
              <w:spacing w:line="480" w:lineRule="auto"/>
              <w:jc w:val="center"/>
            </w:pPr>
            <w:r w:rsidRPr="005859B6">
              <w:t>R</w:t>
            </w:r>
          </w:p>
        </w:tc>
        <w:tc>
          <w:tcPr>
            <w:tcW w:w="460" w:type="pct"/>
            <w:vAlign w:val="center"/>
          </w:tcPr>
          <w:p w14:paraId="6576F490" w14:textId="77777777" w:rsidR="005859B6" w:rsidRPr="005859B6" w:rsidRDefault="005859B6" w:rsidP="005859B6">
            <w:pPr>
              <w:spacing w:line="480" w:lineRule="auto"/>
              <w:jc w:val="center"/>
            </w:pPr>
            <w:r w:rsidRPr="005859B6">
              <w:t>R</w:t>
            </w:r>
          </w:p>
        </w:tc>
        <w:tc>
          <w:tcPr>
            <w:tcW w:w="460" w:type="pct"/>
            <w:vAlign w:val="center"/>
          </w:tcPr>
          <w:p w14:paraId="1F912423" w14:textId="77777777" w:rsidR="005859B6" w:rsidRPr="005859B6" w:rsidRDefault="005859B6" w:rsidP="005859B6">
            <w:pPr>
              <w:spacing w:line="480" w:lineRule="auto"/>
              <w:jc w:val="center"/>
            </w:pPr>
          </w:p>
        </w:tc>
        <w:tc>
          <w:tcPr>
            <w:tcW w:w="460" w:type="pct"/>
            <w:vAlign w:val="center"/>
          </w:tcPr>
          <w:p w14:paraId="1E2414CE" w14:textId="77777777" w:rsidR="005859B6" w:rsidRPr="005859B6" w:rsidRDefault="005859B6" w:rsidP="005859B6">
            <w:pPr>
              <w:spacing w:line="480" w:lineRule="auto"/>
              <w:jc w:val="center"/>
            </w:pPr>
          </w:p>
        </w:tc>
        <w:tc>
          <w:tcPr>
            <w:tcW w:w="460" w:type="pct"/>
            <w:vAlign w:val="center"/>
          </w:tcPr>
          <w:p w14:paraId="693EDE40" w14:textId="77777777" w:rsidR="005859B6" w:rsidRPr="005859B6" w:rsidRDefault="005859B6" w:rsidP="005859B6">
            <w:pPr>
              <w:spacing w:line="480" w:lineRule="auto"/>
              <w:jc w:val="center"/>
            </w:pPr>
          </w:p>
        </w:tc>
        <w:tc>
          <w:tcPr>
            <w:tcW w:w="460" w:type="pct"/>
            <w:vAlign w:val="center"/>
          </w:tcPr>
          <w:p w14:paraId="2BE13F07" w14:textId="77777777" w:rsidR="005859B6" w:rsidRPr="005859B6" w:rsidRDefault="005859B6" w:rsidP="005859B6">
            <w:pPr>
              <w:spacing w:line="480" w:lineRule="auto"/>
              <w:jc w:val="center"/>
            </w:pPr>
          </w:p>
        </w:tc>
      </w:tr>
      <w:tr w:rsidR="005859B6" w:rsidRPr="005859B6" w14:paraId="2DE28278" w14:textId="77777777" w:rsidTr="00C0402E">
        <w:tc>
          <w:tcPr>
            <w:tcW w:w="1320" w:type="pct"/>
          </w:tcPr>
          <w:p w14:paraId="3D5F20A8" w14:textId="77777777" w:rsidR="005859B6" w:rsidRPr="005859B6" w:rsidRDefault="005859B6" w:rsidP="005859B6">
            <w:pPr>
              <w:spacing w:line="480" w:lineRule="auto"/>
            </w:pPr>
            <w:r w:rsidRPr="005859B6">
              <w:t xml:space="preserve">Technology most likely to be replaced </w:t>
            </w:r>
          </w:p>
        </w:tc>
        <w:tc>
          <w:tcPr>
            <w:tcW w:w="460" w:type="pct"/>
            <w:vAlign w:val="center"/>
          </w:tcPr>
          <w:p w14:paraId="0574A347" w14:textId="77777777" w:rsidR="005859B6" w:rsidRPr="005859B6" w:rsidRDefault="005859B6" w:rsidP="005859B6">
            <w:pPr>
              <w:spacing w:line="480" w:lineRule="auto"/>
              <w:jc w:val="center"/>
            </w:pPr>
          </w:p>
        </w:tc>
        <w:tc>
          <w:tcPr>
            <w:tcW w:w="460" w:type="pct"/>
            <w:vAlign w:val="center"/>
          </w:tcPr>
          <w:p w14:paraId="66A890E4" w14:textId="77777777" w:rsidR="005859B6" w:rsidRPr="005859B6" w:rsidRDefault="005859B6" w:rsidP="005859B6">
            <w:pPr>
              <w:spacing w:line="480" w:lineRule="auto"/>
              <w:jc w:val="center"/>
            </w:pPr>
            <w:r w:rsidRPr="005859B6">
              <w:t>R</w:t>
            </w:r>
            <w:r w:rsidRPr="005859B6">
              <w:rPr>
                <w:vertAlign w:val="superscript"/>
              </w:rPr>
              <w:endnoteReference w:id="6"/>
            </w:r>
          </w:p>
        </w:tc>
        <w:tc>
          <w:tcPr>
            <w:tcW w:w="460" w:type="pct"/>
            <w:vAlign w:val="center"/>
          </w:tcPr>
          <w:p w14:paraId="6BCB5A36" w14:textId="77777777" w:rsidR="005859B6" w:rsidRPr="005859B6" w:rsidRDefault="005859B6" w:rsidP="005859B6">
            <w:pPr>
              <w:spacing w:line="480" w:lineRule="auto"/>
              <w:jc w:val="center"/>
            </w:pPr>
            <w:r w:rsidRPr="005859B6">
              <w:t>R</w:t>
            </w:r>
          </w:p>
        </w:tc>
        <w:tc>
          <w:tcPr>
            <w:tcW w:w="460" w:type="pct"/>
            <w:vAlign w:val="center"/>
          </w:tcPr>
          <w:p w14:paraId="7350AC38" w14:textId="77777777" w:rsidR="005859B6" w:rsidRPr="005859B6" w:rsidRDefault="005859B6" w:rsidP="005859B6">
            <w:pPr>
              <w:spacing w:line="480" w:lineRule="auto"/>
              <w:jc w:val="center"/>
            </w:pPr>
          </w:p>
        </w:tc>
        <w:tc>
          <w:tcPr>
            <w:tcW w:w="460" w:type="pct"/>
            <w:vAlign w:val="center"/>
          </w:tcPr>
          <w:p w14:paraId="78EBE20B" w14:textId="77777777" w:rsidR="005859B6" w:rsidRPr="005859B6" w:rsidRDefault="005859B6" w:rsidP="005859B6">
            <w:pPr>
              <w:spacing w:line="480" w:lineRule="auto"/>
              <w:jc w:val="center"/>
            </w:pPr>
          </w:p>
        </w:tc>
        <w:tc>
          <w:tcPr>
            <w:tcW w:w="460" w:type="pct"/>
            <w:vAlign w:val="center"/>
          </w:tcPr>
          <w:p w14:paraId="0C4BAA06" w14:textId="77777777" w:rsidR="005859B6" w:rsidRPr="005859B6" w:rsidRDefault="005859B6" w:rsidP="005859B6">
            <w:pPr>
              <w:spacing w:line="480" w:lineRule="auto"/>
              <w:jc w:val="center"/>
            </w:pPr>
          </w:p>
        </w:tc>
        <w:tc>
          <w:tcPr>
            <w:tcW w:w="460" w:type="pct"/>
            <w:vAlign w:val="center"/>
          </w:tcPr>
          <w:p w14:paraId="4DC65C8E" w14:textId="77777777" w:rsidR="005859B6" w:rsidRPr="005859B6" w:rsidRDefault="005859B6" w:rsidP="005859B6">
            <w:pPr>
              <w:spacing w:line="480" w:lineRule="auto"/>
              <w:jc w:val="center"/>
            </w:pPr>
          </w:p>
        </w:tc>
        <w:tc>
          <w:tcPr>
            <w:tcW w:w="460" w:type="pct"/>
            <w:vAlign w:val="center"/>
          </w:tcPr>
          <w:p w14:paraId="4DD98C27" w14:textId="77777777" w:rsidR="005859B6" w:rsidRPr="005859B6" w:rsidRDefault="005859B6" w:rsidP="005859B6">
            <w:pPr>
              <w:spacing w:line="480" w:lineRule="auto"/>
              <w:jc w:val="center"/>
            </w:pPr>
          </w:p>
        </w:tc>
      </w:tr>
      <w:tr w:rsidR="005859B6" w:rsidRPr="005859B6" w14:paraId="65A7E4B6" w14:textId="77777777" w:rsidTr="00C0402E">
        <w:tc>
          <w:tcPr>
            <w:tcW w:w="1320" w:type="pct"/>
          </w:tcPr>
          <w:p w14:paraId="65B40850" w14:textId="77777777" w:rsidR="005859B6" w:rsidRPr="005859B6" w:rsidRDefault="005859B6" w:rsidP="005859B6">
            <w:pPr>
              <w:spacing w:line="480" w:lineRule="auto"/>
            </w:pPr>
            <w:r w:rsidRPr="005859B6">
              <w:t>All relevant alternatives</w:t>
            </w:r>
          </w:p>
        </w:tc>
        <w:tc>
          <w:tcPr>
            <w:tcW w:w="460" w:type="pct"/>
            <w:vAlign w:val="center"/>
          </w:tcPr>
          <w:p w14:paraId="46AFD348" w14:textId="77777777" w:rsidR="005859B6" w:rsidRPr="005859B6" w:rsidRDefault="005859B6" w:rsidP="005859B6">
            <w:pPr>
              <w:spacing w:line="480" w:lineRule="auto"/>
              <w:jc w:val="center"/>
            </w:pPr>
          </w:p>
        </w:tc>
        <w:tc>
          <w:tcPr>
            <w:tcW w:w="460" w:type="pct"/>
            <w:vAlign w:val="center"/>
          </w:tcPr>
          <w:p w14:paraId="62495269" w14:textId="77777777" w:rsidR="005859B6" w:rsidRPr="005859B6" w:rsidRDefault="005859B6" w:rsidP="005859B6">
            <w:pPr>
              <w:spacing w:line="480" w:lineRule="auto"/>
              <w:jc w:val="center"/>
            </w:pPr>
            <w:r w:rsidRPr="005859B6">
              <w:t>R</w:t>
            </w:r>
          </w:p>
        </w:tc>
        <w:tc>
          <w:tcPr>
            <w:tcW w:w="460" w:type="pct"/>
            <w:vAlign w:val="center"/>
          </w:tcPr>
          <w:p w14:paraId="31EB7D82" w14:textId="77777777" w:rsidR="005859B6" w:rsidRPr="005859B6" w:rsidRDefault="005859B6" w:rsidP="005859B6">
            <w:pPr>
              <w:spacing w:line="480" w:lineRule="auto"/>
              <w:jc w:val="center"/>
            </w:pPr>
          </w:p>
        </w:tc>
        <w:tc>
          <w:tcPr>
            <w:tcW w:w="460" w:type="pct"/>
            <w:vAlign w:val="center"/>
          </w:tcPr>
          <w:p w14:paraId="323AA544" w14:textId="77777777" w:rsidR="005859B6" w:rsidRPr="005859B6" w:rsidRDefault="005859B6" w:rsidP="005859B6">
            <w:pPr>
              <w:spacing w:line="480" w:lineRule="auto"/>
              <w:jc w:val="center"/>
            </w:pPr>
          </w:p>
        </w:tc>
        <w:tc>
          <w:tcPr>
            <w:tcW w:w="460" w:type="pct"/>
            <w:vAlign w:val="center"/>
          </w:tcPr>
          <w:p w14:paraId="0EE2EEA8" w14:textId="77777777" w:rsidR="005859B6" w:rsidRPr="005859B6" w:rsidRDefault="005859B6" w:rsidP="005859B6">
            <w:pPr>
              <w:spacing w:line="480" w:lineRule="auto"/>
              <w:jc w:val="center"/>
            </w:pPr>
            <w:r w:rsidRPr="005859B6">
              <w:t>R</w:t>
            </w:r>
          </w:p>
        </w:tc>
        <w:tc>
          <w:tcPr>
            <w:tcW w:w="460" w:type="pct"/>
            <w:vAlign w:val="center"/>
          </w:tcPr>
          <w:p w14:paraId="32EA6B6A" w14:textId="77777777" w:rsidR="005859B6" w:rsidRPr="005859B6" w:rsidRDefault="005859B6" w:rsidP="005859B6">
            <w:pPr>
              <w:spacing w:line="480" w:lineRule="auto"/>
              <w:jc w:val="center"/>
            </w:pPr>
            <w:r w:rsidRPr="005859B6">
              <w:t>R</w:t>
            </w:r>
          </w:p>
        </w:tc>
        <w:tc>
          <w:tcPr>
            <w:tcW w:w="460" w:type="pct"/>
            <w:vAlign w:val="center"/>
          </w:tcPr>
          <w:p w14:paraId="662786D1" w14:textId="77777777" w:rsidR="005859B6" w:rsidRPr="005859B6" w:rsidRDefault="005859B6" w:rsidP="005859B6">
            <w:pPr>
              <w:spacing w:line="480" w:lineRule="auto"/>
              <w:jc w:val="center"/>
            </w:pPr>
            <w:r w:rsidRPr="005859B6">
              <w:t>R</w:t>
            </w:r>
          </w:p>
        </w:tc>
        <w:tc>
          <w:tcPr>
            <w:tcW w:w="460" w:type="pct"/>
            <w:vAlign w:val="center"/>
          </w:tcPr>
          <w:p w14:paraId="156BDA71" w14:textId="77777777" w:rsidR="005859B6" w:rsidRPr="005859B6" w:rsidRDefault="005859B6" w:rsidP="005859B6">
            <w:pPr>
              <w:spacing w:line="480" w:lineRule="auto"/>
              <w:jc w:val="center"/>
            </w:pPr>
            <w:r w:rsidRPr="005859B6">
              <w:t>R</w:t>
            </w:r>
          </w:p>
        </w:tc>
      </w:tr>
      <w:tr w:rsidR="005859B6" w:rsidRPr="005859B6" w14:paraId="4DA46E41" w14:textId="77777777" w:rsidTr="00C0402E">
        <w:tc>
          <w:tcPr>
            <w:tcW w:w="5000" w:type="pct"/>
            <w:gridSpan w:val="9"/>
            <w:shd w:val="clear" w:color="auto" w:fill="BFBFBF" w:themeFill="background1" w:themeFillShade="BF"/>
          </w:tcPr>
          <w:p w14:paraId="74FDF4C7" w14:textId="77777777" w:rsidR="005859B6" w:rsidRPr="005859B6" w:rsidRDefault="005859B6" w:rsidP="005859B6">
            <w:pPr>
              <w:spacing w:line="480" w:lineRule="auto"/>
            </w:pPr>
            <w:r w:rsidRPr="005859B6">
              <w:t>Examples and specific options stated in the literature</w:t>
            </w:r>
          </w:p>
        </w:tc>
      </w:tr>
      <w:tr w:rsidR="005859B6" w:rsidRPr="005859B6" w14:paraId="5292859D" w14:textId="77777777" w:rsidTr="00C0402E">
        <w:tc>
          <w:tcPr>
            <w:tcW w:w="1320" w:type="pct"/>
          </w:tcPr>
          <w:p w14:paraId="3826861C" w14:textId="77777777" w:rsidR="005859B6" w:rsidRPr="005859B6" w:rsidRDefault="005859B6" w:rsidP="005859B6">
            <w:pPr>
              <w:spacing w:line="480" w:lineRule="auto"/>
            </w:pPr>
            <w:r w:rsidRPr="005859B6">
              <w:t>Routine or current care</w:t>
            </w:r>
          </w:p>
        </w:tc>
        <w:tc>
          <w:tcPr>
            <w:tcW w:w="460" w:type="pct"/>
            <w:vAlign w:val="center"/>
          </w:tcPr>
          <w:p w14:paraId="38F3B97D" w14:textId="77777777" w:rsidR="005859B6" w:rsidRPr="005859B6" w:rsidRDefault="005859B6" w:rsidP="005859B6">
            <w:pPr>
              <w:spacing w:line="480" w:lineRule="auto"/>
              <w:jc w:val="center"/>
            </w:pPr>
            <w:r w:rsidRPr="005859B6">
              <w:t>R</w:t>
            </w:r>
          </w:p>
        </w:tc>
        <w:tc>
          <w:tcPr>
            <w:tcW w:w="460" w:type="pct"/>
            <w:vAlign w:val="center"/>
          </w:tcPr>
          <w:p w14:paraId="791FB7AA" w14:textId="77777777" w:rsidR="005859B6" w:rsidRPr="005859B6" w:rsidRDefault="005859B6" w:rsidP="005859B6">
            <w:pPr>
              <w:spacing w:line="480" w:lineRule="auto"/>
              <w:jc w:val="center"/>
            </w:pPr>
            <w:r w:rsidRPr="005859B6">
              <w:t>R</w:t>
            </w:r>
          </w:p>
        </w:tc>
        <w:tc>
          <w:tcPr>
            <w:tcW w:w="460" w:type="pct"/>
            <w:vAlign w:val="center"/>
          </w:tcPr>
          <w:p w14:paraId="50D5EAFE" w14:textId="77777777" w:rsidR="005859B6" w:rsidRPr="005859B6" w:rsidRDefault="005859B6" w:rsidP="005859B6">
            <w:pPr>
              <w:spacing w:line="480" w:lineRule="auto"/>
              <w:jc w:val="center"/>
            </w:pPr>
            <w:r w:rsidRPr="005859B6">
              <w:t>R</w:t>
            </w:r>
          </w:p>
        </w:tc>
        <w:tc>
          <w:tcPr>
            <w:tcW w:w="460" w:type="pct"/>
            <w:vAlign w:val="center"/>
          </w:tcPr>
          <w:p w14:paraId="39A50464" w14:textId="77777777" w:rsidR="005859B6" w:rsidRPr="005859B6" w:rsidRDefault="005859B6" w:rsidP="005859B6">
            <w:pPr>
              <w:spacing w:line="480" w:lineRule="auto"/>
              <w:jc w:val="center"/>
            </w:pPr>
            <w:r w:rsidRPr="005859B6">
              <w:t>R</w:t>
            </w:r>
          </w:p>
        </w:tc>
        <w:tc>
          <w:tcPr>
            <w:tcW w:w="460" w:type="pct"/>
            <w:vAlign w:val="center"/>
          </w:tcPr>
          <w:p w14:paraId="0AA63C4F" w14:textId="77777777" w:rsidR="005859B6" w:rsidRPr="005859B6" w:rsidRDefault="005859B6" w:rsidP="005859B6">
            <w:pPr>
              <w:spacing w:line="480" w:lineRule="auto"/>
              <w:jc w:val="center"/>
            </w:pPr>
            <w:r w:rsidRPr="005859B6">
              <w:t>R</w:t>
            </w:r>
          </w:p>
        </w:tc>
        <w:tc>
          <w:tcPr>
            <w:tcW w:w="460" w:type="pct"/>
            <w:vAlign w:val="center"/>
          </w:tcPr>
          <w:p w14:paraId="26645D38" w14:textId="77777777" w:rsidR="005859B6" w:rsidRPr="005859B6" w:rsidRDefault="005859B6" w:rsidP="005859B6">
            <w:pPr>
              <w:spacing w:line="480" w:lineRule="auto"/>
              <w:jc w:val="center"/>
            </w:pPr>
          </w:p>
        </w:tc>
        <w:tc>
          <w:tcPr>
            <w:tcW w:w="460" w:type="pct"/>
            <w:vAlign w:val="center"/>
          </w:tcPr>
          <w:p w14:paraId="735901DC" w14:textId="77777777" w:rsidR="005859B6" w:rsidRPr="005859B6" w:rsidRDefault="005859B6" w:rsidP="005859B6">
            <w:pPr>
              <w:spacing w:line="480" w:lineRule="auto"/>
              <w:jc w:val="center"/>
            </w:pPr>
            <w:r w:rsidRPr="005859B6">
              <w:t>R</w:t>
            </w:r>
          </w:p>
        </w:tc>
        <w:tc>
          <w:tcPr>
            <w:tcW w:w="460" w:type="pct"/>
            <w:vAlign w:val="center"/>
          </w:tcPr>
          <w:p w14:paraId="38A950EE" w14:textId="77777777" w:rsidR="005859B6" w:rsidRPr="005859B6" w:rsidRDefault="005859B6" w:rsidP="005859B6">
            <w:pPr>
              <w:spacing w:line="480" w:lineRule="auto"/>
              <w:jc w:val="center"/>
            </w:pPr>
            <w:r w:rsidRPr="005859B6">
              <w:t>R</w:t>
            </w:r>
          </w:p>
        </w:tc>
      </w:tr>
      <w:tr w:rsidR="005859B6" w:rsidRPr="005859B6" w14:paraId="74A6DC6D" w14:textId="77777777" w:rsidTr="00C0402E">
        <w:tc>
          <w:tcPr>
            <w:tcW w:w="1320" w:type="pct"/>
          </w:tcPr>
          <w:p w14:paraId="5A1CB8FE" w14:textId="77777777" w:rsidR="005859B6" w:rsidRPr="005859B6" w:rsidRDefault="005859B6" w:rsidP="005859B6">
            <w:pPr>
              <w:spacing w:line="480" w:lineRule="auto"/>
            </w:pPr>
            <w:r w:rsidRPr="005859B6">
              <w:t>Technologies currently available</w:t>
            </w:r>
          </w:p>
        </w:tc>
        <w:tc>
          <w:tcPr>
            <w:tcW w:w="460" w:type="pct"/>
            <w:vAlign w:val="center"/>
          </w:tcPr>
          <w:p w14:paraId="1AF1C3C3" w14:textId="77777777" w:rsidR="005859B6" w:rsidRPr="005859B6" w:rsidRDefault="005859B6" w:rsidP="005859B6">
            <w:pPr>
              <w:spacing w:line="480" w:lineRule="auto"/>
              <w:jc w:val="center"/>
            </w:pPr>
            <w:r w:rsidRPr="005859B6">
              <w:t>R</w:t>
            </w:r>
          </w:p>
        </w:tc>
        <w:tc>
          <w:tcPr>
            <w:tcW w:w="460" w:type="pct"/>
            <w:vAlign w:val="center"/>
          </w:tcPr>
          <w:p w14:paraId="47EFE15D" w14:textId="77777777" w:rsidR="005859B6" w:rsidRPr="005859B6" w:rsidRDefault="005859B6" w:rsidP="005859B6">
            <w:pPr>
              <w:spacing w:line="480" w:lineRule="auto"/>
              <w:jc w:val="center"/>
            </w:pPr>
            <w:r w:rsidRPr="005859B6">
              <w:t>R</w:t>
            </w:r>
          </w:p>
        </w:tc>
        <w:tc>
          <w:tcPr>
            <w:tcW w:w="460" w:type="pct"/>
            <w:vAlign w:val="center"/>
          </w:tcPr>
          <w:p w14:paraId="58A5783D" w14:textId="77777777" w:rsidR="005859B6" w:rsidRPr="005859B6" w:rsidRDefault="005859B6" w:rsidP="005859B6">
            <w:pPr>
              <w:spacing w:line="480" w:lineRule="auto"/>
              <w:jc w:val="center"/>
            </w:pPr>
            <w:r w:rsidRPr="005859B6">
              <w:t>R</w:t>
            </w:r>
          </w:p>
        </w:tc>
        <w:tc>
          <w:tcPr>
            <w:tcW w:w="460" w:type="pct"/>
            <w:vAlign w:val="center"/>
          </w:tcPr>
          <w:p w14:paraId="5F0292A0" w14:textId="77777777" w:rsidR="005859B6" w:rsidRPr="005859B6" w:rsidRDefault="005859B6" w:rsidP="005859B6">
            <w:pPr>
              <w:spacing w:line="480" w:lineRule="auto"/>
              <w:jc w:val="center"/>
            </w:pPr>
          </w:p>
        </w:tc>
        <w:tc>
          <w:tcPr>
            <w:tcW w:w="460" w:type="pct"/>
            <w:vAlign w:val="center"/>
          </w:tcPr>
          <w:p w14:paraId="00BFF57F" w14:textId="77777777" w:rsidR="005859B6" w:rsidRPr="005859B6" w:rsidRDefault="005859B6" w:rsidP="005859B6">
            <w:pPr>
              <w:spacing w:line="480" w:lineRule="auto"/>
              <w:jc w:val="center"/>
            </w:pPr>
            <w:r w:rsidRPr="005859B6">
              <w:t>R</w:t>
            </w:r>
          </w:p>
        </w:tc>
        <w:tc>
          <w:tcPr>
            <w:tcW w:w="460" w:type="pct"/>
            <w:vAlign w:val="center"/>
          </w:tcPr>
          <w:p w14:paraId="5F39B5CB" w14:textId="77777777" w:rsidR="005859B6" w:rsidRPr="005859B6" w:rsidRDefault="005859B6" w:rsidP="005859B6">
            <w:pPr>
              <w:spacing w:line="480" w:lineRule="auto"/>
              <w:jc w:val="center"/>
            </w:pPr>
            <w:r w:rsidRPr="005859B6">
              <w:t>R</w:t>
            </w:r>
          </w:p>
        </w:tc>
        <w:tc>
          <w:tcPr>
            <w:tcW w:w="460" w:type="pct"/>
            <w:vAlign w:val="center"/>
          </w:tcPr>
          <w:p w14:paraId="4400107A" w14:textId="77777777" w:rsidR="005859B6" w:rsidRPr="005859B6" w:rsidRDefault="005859B6" w:rsidP="005859B6">
            <w:pPr>
              <w:spacing w:line="480" w:lineRule="auto"/>
              <w:jc w:val="center"/>
            </w:pPr>
            <w:r w:rsidRPr="005859B6">
              <w:t>R</w:t>
            </w:r>
          </w:p>
        </w:tc>
        <w:tc>
          <w:tcPr>
            <w:tcW w:w="460" w:type="pct"/>
            <w:vAlign w:val="center"/>
          </w:tcPr>
          <w:p w14:paraId="5184F48E" w14:textId="77777777" w:rsidR="005859B6" w:rsidRPr="005859B6" w:rsidRDefault="005859B6" w:rsidP="005859B6">
            <w:pPr>
              <w:spacing w:line="480" w:lineRule="auto"/>
              <w:jc w:val="center"/>
            </w:pPr>
          </w:p>
        </w:tc>
      </w:tr>
      <w:tr w:rsidR="005859B6" w:rsidRPr="005859B6" w14:paraId="4E5B0CF7" w14:textId="77777777" w:rsidTr="00C0402E">
        <w:tc>
          <w:tcPr>
            <w:tcW w:w="1320" w:type="pct"/>
          </w:tcPr>
          <w:p w14:paraId="40633091" w14:textId="77777777" w:rsidR="005859B6" w:rsidRPr="005859B6" w:rsidRDefault="005859B6" w:rsidP="005859B6">
            <w:pPr>
              <w:spacing w:line="480" w:lineRule="auto"/>
            </w:pPr>
            <w:r w:rsidRPr="005859B6">
              <w:lastRenderedPageBreak/>
              <w:t>The technology considered to be best practice</w:t>
            </w:r>
          </w:p>
        </w:tc>
        <w:tc>
          <w:tcPr>
            <w:tcW w:w="460" w:type="pct"/>
            <w:vAlign w:val="center"/>
          </w:tcPr>
          <w:p w14:paraId="384B04F7" w14:textId="77777777" w:rsidR="005859B6" w:rsidRPr="005859B6" w:rsidRDefault="005859B6" w:rsidP="005859B6">
            <w:pPr>
              <w:spacing w:line="480" w:lineRule="auto"/>
              <w:jc w:val="center"/>
            </w:pPr>
          </w:p>
        </w:tc>
        <w:tc>
          <w:tcPr>
            <w:tcW w:w="460" w:type="pct"/>
            <w:vAlign w:val="center"/>
          </w:tcPr>
          <w:p w14:paraId="310A4CDA" w14:textId="77777777" w:rsidR="005859B6" w:rsidRPr="005859B6" w:rsidRDefault="005859B6" w:rsidP="005859B6">
            <w:pPr>
              <w:spacing w:line="480" w:lineRule="auto"/>
              <w:jc w:val="center"/>
            </w:pPr>
          </w:p>
        </w:tc>
        <w:tc>
          <w:tcPr>
            <w:tcW w:w="460" w:type="pct"/>
            <w:vAlign w:val="center"/>
          </w:tcPr>
          <w:p w14:paraId="733307DB" w14:textId="77777777" w:rsidR="005859B6" w:rsidRPr="005859B6" w:rsidRDefault="005859B6" w:rsidP="005859B6">
            <w:pPr>
              <w:spacing w:line="480" w:lineRule="auto"/>
              <w:jc w:val="center"/>
            </w:pPr>
          </w:p>
        </w:tc>
        <w:tc>
          <w:tcPr>
            <w:tcW w:w="460" w:type="pct"/>
            <w:vAlign w:val="center"/>
          </w:tcPr>
          <w:p w14:paraId="07C15366" w14:textId="77777777" w:rsidR="005859B6" w:rsidRPr="005859B6" w:rsidRDefault="005859B6" w:rsidP="005859B6">
            <w:pPr>
              <w:spacing w:line="480" w:lineRule="auto"/>
              <w:jc w:val="center"/>
            </w:pPr>
          </w:p>
        </w:tc>
        <w:tc>
          <w:tcPr>
            <w:tcW w:w="460" w:type="pct"/>
            <w:vAlign w:val="center"/>
          </w:tcPr>
          <w:p w14:paraId="1EA926D4" w14:textId="77777777" w:rsidR="005859B6" w:rsidRPr="005859B6" w:rsidRDefault="005859B6" w:rsidP="005859B6">
            <w:pPr>
              <w:spacing w:line="480" w:lineRule="auto"/>
              <w:jc w:val="center"/>
            </w:pPr>
            <w:r w:rsidRPr="005859B6">
              <w:t>R</w:t>
            </w:r>
          </w:p>
        </w:tc>
        <w:tc>
          <w:tcPr>
            <w:tcW w:w="460" w:type="pct"/>
            <w:vAlign w:val="center"/>
          </w:tcPr>
          <w:p w14:paraId="5A436463" w14:textId="77777777" w:rsidR="005859B6" w:rsidRPr="005859B6" w:rsidRDefault="005859B6" w:rsidP="005859B6">
            <w:pPr>
              <w:spacing w:line="480" w:lineRule="auto"/>
              <w:jc w:val="center"/>
            </w:pPr>
          </w:p>
        </w:tc>
        <w:tc>
          <w:tcPr>
            <w:tcW w:w="460" w:type="pct"/>
            <w:vAlign w:val="center"/>
          </w:tcPr>
          <w:p w14:paraId="666F0DD8" w14:textId="77777777" w:rsidR="005859B6" w:rsidRPr="005859B6" w:rsidRDefault="005859B6" w:rsidP="005859B6">
            <w:pPr>
              <w:spacing w:line="480" w:lineRule="auto"/>
              <w:jc w:val="center"/>
            </w:pPr>
          </w:p>
        </w:tc>
        <w:tc>
          <w:tcPr>
            <w:tcW w:w="460" w:type="pct"/>
            <w:vAlign w:val="center"/>
          </w:tcPr>
          <w:p w14:paraId="4D72F62D" w14:textId="77777777" w:rsidR="005859B6" w:rsidRPr="005859B6" w:rsidRDefault="005859B6" w:rsidP="005859B6">
            <w:pPr>
              <w:spacing w:line="480" w:lineRule="auto"/>
              <w:jc w:val="center"/>
            </w:pPr>
          </w:p>
        </w:tc>
      </w:tr>
      <w:tr w:rsidR="005859B6" w:rsidRPr="005859B6" w14:paraId="5A9EA431" w14:textId="77777777" w:rsidTr="00C0402E">
        <w:tc>
          <w:tcPr>
            <w:tcW w:w="1320" w:type="pct"/>
          </w:tcPr>
          <w:p w14:paraId="160D39CC" w14:textId="77777777" w:rsidR="005859B6" w:rsidRPr="005859B6" w:rsidRDefault="005859B6" w:rsidP="005859B6">
            <w:pPr>
              <w:spacing w:line="480" w:lineRule="auto"/>
            </w:pPr>
            <w:r w:rsidRPr="005859B6">
              <w:t>The technology most likely to be replaced</w:t>
            </w:r>
          </w:p>
        </w:tc>
        <w:tc>
          <w:tcPr>
            <w:tcW w:w="460" w:type="pct"/>
            <w:vAlign w:val="center"/>
          </w:tcPr>
          <w:p w14:paraId="146F0753" w14:textId="77777777" w:rsidR="005859B6" w:rsidRPr="005859B6" w:rsidRDefault="005859B6" w:rsidP="005859B6">
            <w:pPr>
              <w:spacing w:line="480" w:lineRule="auto"/>
              <w:jc w:val="center"/>
            </w:pPr>
          </w:p>
        </w:tc>
        <w:tc>
          <w:tcPr>
            <w:tcW w:w="460" w:type="pct"/>
            <w:vAlign w:val="center"/>
          </w:tcPr>
          <w:p w14:paraId="0278C82F" w14:textId="77777777" w:rsidR="005859B6" w:rsidRPr="005859B6" w:rsidRDefault="005859B6" w:rsidP="005859B6">
            <w:pPr>
              <w:spacing w:line="480" w:lineRule="auto"/>
              <w:jc w:val="center"/>
            </w:pPr>
            <w:r w:rsidRPr="005859B6">
              <w:t>R</w:t>
            </w:r>
          </w:p>
        </w:tc>
        <w:tc>
          <w:tcPr>
            <w:tcW w:w="460" w:type="pct"/>
            <w:vAlign w:val="center"/>
          </w:tcPr>
          <w:p w14:paraId="6EA45C0F" w14:textId="77777777" w:rsidR="005859B6" w:rsidRPr="005859B6" w:rsidRDefault="005859B6" w:rsidP="005859B6">
            <w:pPr>
              <w:spacing w:line="480" w:lineRule="auto"/>
              <w:jc w:val="center"/>
            </w:pPr>
            <w:r w:rsidRPr="005859B6">
              <w:t>R</w:t>
            </w:r>
          </w:p>
        </w:tc>
        <w:tc>
          <w:tcPr>
            <w:tcW w:w="460" w:type="pct"/>
            <w:vAlign w:val="center"/>
          </w:tcPr>
          <w:p w14:paraId="326C9301" w14:textId="77777777" w:rsidR="005859B6" w:rsidRPr="005859B6" w:rsidRDefault="005859B6" w:rsidP="005859B6">
            <w:pPr>
              <w:spacing w:line="480" w:lineRule="auto"/>
              <w:jc w:val="center"/>
            </w:pPr>
          </w:p>
        </w:tc>
        <w:tc>
          <w:tcPr>
            <w:tcW w:w="460" w:type="pct"/>
            <w:vAlign w:val="center"/>
          </w:tcPr>
          <w:p w14:paraId="0A5058F8" w14:textId="77777777" w:rsidR="005859B6" w:rsidRPr="005859B6" w:rsidRDefault="005859B6" w:rsidP="005859B6">
            <w:pPr>
              <w:spacing w:line="480" w:lineRule="auto"/>
              <w:jc w:val="center"/>
            </w:pPr>
            <w:r w:rsidRPr="005859B6">
              <w:t>R</w:t>
            </w:r>
          </w:p>
        </w:tc>
        <w:tc>
          <w:tcPr>
            <w:tcW w:w="460" w:type="pct"/>
            <w:vAlign w:val="center"/>
          </w:tcPr>
          <w:p w14:paraId="4771E022" w14:textId="77777777" w:rsidR="005859B6" w:rsidRPr="005859B6" w:rsidRDefault="005859B6" w:rsidP="005859B6">
            <w:pPr>
              <w:spacing w:line="480" w:lineRule="auto"/>
              <w:jc w:val="center"/>
            </w:pPr>
          </w:p>
        </w:tc>
        <w:tc>
          <w:tcPr>
            <w:tcW w:w="460" w:type="pct"/>
            <w:vAlign w:val="center"/>
          </w:tcPr>
          <w:p w14:paraId="76B06179" w14:textId="77777777" w:rsidR="005859B6" w:rsidRPr="005859B6" w:rsidRDefault="005859B6" w:rsidP="005859B6">
            <w:pPr>
              <w:spacing w:line="480" w:lineRule="auto"/>
              <w:jc w:val="center"/>
            </w:pPr>
          </w:p>
        </w:tc>
        <w:tc>
          <w:tcPr>
            <w:tcW w:w="460" w:type="pct"/>
            <w:vAlign w:val="center"/>
          </w:tcPr>
          <w:p w14:paraId="67985917" w14:textId="77777777" w:rsidR="005859B6" w:rsidRPr="005859B6" w:rsidRDefault="005859B6" w:rsidP="005859B6">
            <w:pPr>
              <w:spacing w:line="480" w:lineRule="auto"/>
              <w:jc w:val="center"/>
            </w:pPr>
          </w:p>
        </w:tc>
      </w:tr>
      <w:tr w:rsidR="005859B6" w:rsidRPr="005859B6" w14:paraId="2E6BC697" w14:textId="77777777" w:rsidTr="00C0402E">
        <w:tc>
          <w:tcPr>
            <w:tcW w:w="1320" w:type="pct"/>
          </w:tcPr>
          <w:p w14:paraId="130DC7AA" w14:textId="77777777" w:rsidR="005859B6" w:rsidRPr="005859B6" w:rsidRDefault="005859B6" w:rsidP="005859B6">
            <w:pPr>
              <w:spacing w:line="480" w:lineRule="auto"/>
            </w:pPr>
            <w:r w:rsidRPr="005859B6">
              <w:t>Technologies available in the near future</w:t>
            </w:r>
          </w:p>
        </w:tc>
        <w:tc>
          <w:tcPr>
            <w:tcW w:w="460" w:type="pct"/>
            <w:vAlign w:val="center"/>
          </w:tcPr>
          <w:p w14:paraId="12B192C3" w14:textId="77777777" w:rsidR="005859B6" w:rsidRPr="005859B6" w:rsidRDefault="005859B6" w:rsidP="005859B6">
            <w:pPr>
              <w:spacing w:line="480" w:lineRule="auto"/>
              <w:jc w:val="center"/>
            </w:pPr>
          </w:p>
        </w:tc>
        <w:tc>
          <w:tcPr>
            <w:tcW w:w="460" w:type="pct"/>
            <w:vAlign w:val="center"/>
          </w:tcPr>
          <w:p w14:paraId="4157F9B0" w14:textId="77777777" w:rsidR="005859B6" w:rsidRPr="005859B6" w:rsidRDefault="005859B6" w:rsidP="005859B6">
            <w:pPr>
              <w:spacing w:line="480" w:lineRule="auto"/>
              <w:jc w:val="center"/>
            </w:pPr>
            <w:r w:rsidRPr="005859B6">
              <w:t>R</w:t>
            </w:r>
          </w:p>
        </w:tc>
        <w:tc>
          <w:tcPr>
            <w:tcW w:w="460" w:type="pct"/>
            <w:vAlign w:val="center"/>
          </w:tcPr>
          <w:p w14:paraId="6712AD47" w14:textId="77777777" w:rsidR="005859B6" w:rsidRPr="005859B6" w:rsidRDefault="005859B6" w:rsidP="005859B6">
            <w:pPr>
              <w:spacing w:line="480" w:lineRule="auto"/>
              <w:jc w:val="center"/>
            </w:pPr>
          </w:p>
        </w:tc>
        <w:tc>
          <w:tcPr>
            <w:tcW w:w="460" w:type="pct"/>
            <w:vAlign w:val="center"/>
          </w:tcPr>
          <w:p w14:paraId="528E5C8D" w14:textId="77777777" w:rsidR="005859B6" w:rsidRPr="005859B6" w:rsidRDefault="005859B6" w:rsidP="005859B6">
            <w:pPr>
              <w:spacing w:line="480" w:lineRule="auto"/>
              <w:jc w:val="center"/>
            </w:pPr>
          </w:p>
        </w:tc>
        <w:tc>
          <w:tcPr>
            <w:tcW w:w="460" w:type="pct"/>
            <w:vAlign w:val="center"/>
          </w:tcPr>
          <w:p w14:paraId="3A816C4F" w14:textId="77777777" w:rsidR="005859B6" w:rsidRPr="005859B6" w:rsidRDefault="005859B6" w:rsidP="005859B6">
            <w:pPr>
              <w:spacing w:line="480" w:lineRule="auto"/>
              <w:jc w:val="center"/>
            </w:pPr>
          </w:p>
        </w:tc>
        <w:tc>
          <w:tcPr>
            <w:tcW w:w="460" w:type="pct"/>
            <w:vAlign w:val="center"/>
          </w:tcPr>
          <w:p w14:paraId="1224D96F" w14:textId="77777777" w:rsidR="005859B6" w:rsidRPr="005859B6" w:rsidRDefault="005859B6" w:rsidP="005859B6">
            <w:pPr>
              <w:spacing w:line="480" w:lineRule="auto"/>
              <w:jc w:val="center"/>
            </w:pPr>
          </w:p>
        </w:tc>
        <w:tc>
          <w:tcPr>
            <w:tcW w:w="460" w:type="pct"/>
            <w:vAlign w:val="center"/>
          </w:tcPr>
          <w:p w14:paraId="2AB63CC9" w14:textId="77777777" w:rsidR="005859B6" w:rsidRPr="005859B6" w:rsidRDefault="005859B6" w:rsidP="005859B6">
            <w:pPr>
              <w:spacing w:line="480" w:lineRule="auto"/>
              <w:jc w:val="center"/>
            </w:pPr>
          </w:p>
        </w:tc>
        <w:tc>
          <w:tcPr>
            <w:tcW w:w="460" w:type="pct"/>
            <w:vAlign w:val="center"/>
          </w:tcPr>
          <w:p w14:paraId="2C46AD1C" w14:textId="77777777" w:rsidR="005859B6" w:rsidRPr="005859B6" w:rsidRDefault="005859B6" w:rsidP="005859B6">
            <w:pPr>
              <w:spacing w:line="480" w:lineRule="auto"/>
              <w:jc w:val="center"/>
            </w:pPr>
          </w:p>
        </w:tc>
      </w:tr>
      <w:tr w:rsidR="005859B6" w:rsidRPr="005859B6" w14:paraId="0AC63686" w14:textId="77777777" w:rsidTr="00C0402E">
        <w:tc>
          <w:tcPr>
            <w:tcW w:w="1320" w:type="pct"/>
          </w:tcPr>
          <w:p w14:paraId="77AE6A44" w14:textId="77777777" w:rsidR="005859B6" w:rsidRPr="005859B6" w:rsidRDefault="005859B6" w:rsidP="005859B6">
            <w:pPr>
              <w:spacing w:line="480" w:lineRule="auto"/>
            </w:pPr>
            <w:r w:rsidRPr="005859B6">
              <w:t>Technologies available but unlicensed</w:t>
            </w:r>
          </w:p>
        </w:tc>
        <w:tc>
          <w:tcPr>
            <w:tcW w:w="460" w:type="pct"/>
          </w:tcPr>
          <w:p w14:paraId="792FA39E" w14:textId="77777777" w:rsidR="005859B6" w:rsidRPr="005859B6" w:rsidRDefault="005859B6" w:rsidP="005859B6">
            <w:pPr>
              <w:spacing w:line="480" w:lineRule="auto"/>
              <w:jc w:val="center"/>
            </w:pPr>
            <w:r w:rsidRPr="005859B6">
              <w:t>R</w:t>
            </w:r>
            <w:r w:rsidRPr="005859B6">
              <w:rPr>
                <w:vertAlign w:val="superscript"/>
              </w:rPr>
              <w:endnoteReference w:id="7"/>
            </w:r>
          </w:p>
        </w:tc>
        <w:tc>
          <w:tcPr>
            <w:tcW w:w="460" w:type="pct"/>
          </w:tcPr>
          <w:p w14:paraId="33A4DA69" w14:textId="77777777" w:rsidR="005859B6" w:rsidRPr="005859B6" w:rsidRDefault="005859B6" w:rsidP="005859B6">
            <w:pPr>
              <w:spacing w:line="480" w:lineRule="auto"/>
              <w:jc w:val="center"/>
            </w:pPr>
          </w:p>
        </w:tc>
        <w:tc>
          <w:tcPr>
            <w:tcW w:w="460" w:type="pct"/>
          </w:tcPr>
          <w:p w14:paraId="565BCB48" w14:textId="77777777" w:rsidR="005859B6" w:rsidRPr="005859B6" w:rsidRDefault="005859B6" w:rsidP="005859B6">
            <w:pPr>
              <w:spacing w:line="480" w:lineRule="auto"/>
              <w:jc w:val="center"/>
            </w:pPr>
          </w:p>
        </w:tc>
        <w:tc>
          <w:tcPr>
            <w:tcW w:w="460" w:type="pct"/>
          </w:tcPr>
          <w:p w14:paraId="1A925A88" w14:textId="77777777" w:rsidR="005859B6" w:rsidRPr="005859B6" w:rsidRDefault="005859B6" w:rsidP="005859B6">
            <w:pPr>
              <w:spacing w:line="480" w:lineRule="auto"/>
              <w:jc w:val="center"/>
            </w:pPr>
          </w:p>
        </w:tc>
        <w:tc>
          <w:tcPr>
            <w:tcW w:w="460" w:type="pct"/>
          </w:tcPr>
          <w:p w14:paraId="7BA7D0EB" w14:textId="77777777" w:rsidR="005859B6" w:rsidRPr="005859B6" w:rsidRDefault="005859B6" w:rsidP="005859B6">
            <w:pPr>
              <w:spacing w:line="480" w:lineRule="auto"/>
              <w:jc w:val="center"/>
            </w:pPr>
          </w:p>
        </w:tc>
        <w:tc>
          <w:tcPr>
            <w:tcW w:w="460" w:type="pct"/>
          </w:tcPr>
          <w:p w14:paraId="7006CC71" w14:textId="77777777" w:rsidR="005859B6" w:rsidRPr="005859B6" w:rsidRDefault="005859B6" w:rsidP="005859B6">
            <w:pPr>
              <w:spacing w:line="480" w:lineRule="auto"/>
              <w:jc w:val="center"/>
            </w:pPr>
          </w:p>
        </w:tc>
        <w:tc>
          <w:tcPr>
            <w:tcW w:w="460" w:type="pct"/>
          </w:tcPr>
          <w:p w14:paraId="4FDDFBAB" w14:textId="77777777" w:rsidR="005859B6" w:rsidRPr="005859B6" w:rsidRDefault="005859B6" w:rsidP="005859B6">
            <w:pPr>
              <w:spacing w:line="480" w:lineRule="auto"/>
              <w:jc w:val="center"/>
            </w:pPr>
          </w:p>
        </w:tc>
        <w:tc>
          <w:tcPr>
            <w:tcW w:w="460" w:type="pct"/>
          </w:tcPr>
          <w:p w14:paraId="120CA943" w14:textId="77777777" w:rsidR="005859B6" w:rsidRPr="005859B6" w:rsidRDefault="005859B6" w:rsidP="005859B6">
            <w:pPr>
              <w:spacing w:line="480" w:lineRule="auto"/>
              <w:jc w:val="center"/>
            </w:pPr>
          </w:p>
        </w:tc>
      </w:tr>
      <w:tr w:rsidR="005859B6" w:rsidRPr="005859B6" w14:paraId="322D7688" w14:textId="77777777" w:rsidTr="00C0402E">
        <w:tc>
          <w:tcPr>
            <w:tcW w:w="1320" w:type="pct"/>
          </w:tcPr>
          <w:p w14:paraId="71267B95" w14:textId="77777777" w:rsidR="005859B6" w:rsidRPr="005859B6" w:rsidRDefault="005859B6" w:rsidP="005859B6">
            <w:pPr>
              <w:spacing w:line="480" w:lineRule="auto"/>
            </w:pPr>
            <w:r w:rsidRPr="005859B6">
              <w:t>Technologies in different intensities</w:t>
            </w:r>
          </w:p>
        </w:tc>
        <w:tc>
          <w:tcPr>
            <w:tcW w:w="460" w:type="pct"/>
          </w:tcPr>
          <w:p w14:paraId="6C5FF937" w14:textId="77777777" w:rsidR="005859B6" w:rsidRPr="005859B6" w:rsidRDefault="005859B6" w:rsidP="005859B6">
            <w:pPr>
              <w:spacing w:line="480" w:lineRule="auto"/>
              <w:jc w:val="center"/>
            </w:pPr>
          </w:p>
        </w:tc>
        <w:tc>
          <w:tcPr>
            <w:tcW w:w="460" w:type="pct"/>
          </w:tcPr>
          <w:p w14:paraId="38E89703" w14:textId="77777777" w:rsidR="005859B6" w:rsidRPr="005859B6" w:rsidRDefault="005859B6" w:rsidP="005859B6">
            <w:pPr>
              <w:spacing w:line="480" w:lineRule="auto"/>
              <w:jc w:val="center"/>
            </w:pPr>
          </w:p>
        </w:tc>
        <w:tc>
          <w:tcPr>
            <w:tcW w:w="460" w:type="pct"/>
          </w:tcPr>
          <w:p w14:paraId="4DF61472" w14:textId="77777777" w:rsidR="005859B6" w:rsidRPr="005859B6" w:rsidRDefault="005859B6" w:rsidP="005859B6">
            <w:pPr>
              <w:spacing w:line="480" w:lineRule="auto"/>
              <w:jc w:val="center"/>
            </w:pPr>
          </w:p>
        </w:tc>
        <w:tc>
          <w:tcPr>
            <w:tcW w:w="460" w:type="pct"/>
            <w:vAlign w:val="center"/>
          </w:tcPr>
          <w:p w14:paraId="747B48C1" w14:textId="77777777" w:rsidR="005859B6" w:rsidRPr="005859B6" w:rsidRDefault="005859B6" w:rsidP="005859B6">
            <w:pPr>
              <w:spacing w:line="480" w:lineRule="auto"/>
              <w:jc w:val="center"/>
            </w:pPr>
          </w:p>
        </w:tc>
        <w:tc>
          <w:tcPr>
            <w:tcW w:w="460" w:type="pct"/>
            <w:vAlign w:val="center"/>
          </w:tcPr>
          <w:p w14:paraId="38A3112B" w14:textId="77777777" w:rsidR="005859B6" w:rsidRPr="005859B6" w:rsidRDefault="005859B6" w:rsidP="005859B6">
            <w:pPr>
              <w:spacing w:line="480" w:lineRule="auto"/>
              <w:jc w:val="center"/>
            </w:pPr>
            <w:r w:rsidRPr="005859B6">
              <w:t>R</w:t>
            </w:r>
          </w:p>
        </w:tc>
        <w:tc>
          <w:tcPr>
            <w:tcW w:w="460" w:type="pct"/>
            <w:vAlign w:val="center"/>
          </w:tcPr>
          <w:p w14:paraId="62D67E9A" w14:textId="77777777" w:rsidR="005859B6" w:rsidRPr="005859B6" w:rsidRDefault="005859B6" w:rsidP="005859B6">
            <w:pPr>
              <w:spacing w:line="480" w:lineRule="auto"/>
              <w:jc w:val="center"/>
            </w:pPr>
            <w:r w:rsidRPr="005859B6">
              <w:t>R</w:t>
            </w:r>
          </w:p>
        </w:tc>
        <w:tc>
          <w:tcPr>
            <w:tcW w:w="460" w:type="pct"/>
            <w:vAlign w:val="center"/>
          </w:tcPr>
          <w:p w14:paraId="59C3CDEF" w14:textId="77777777" w:rsidR="005859B6" w:rsidRPr="005859B6" w:rsidRDefault="005859B6" w:rsidP="005859B6">
            <w:pPr>
              <w:spacing w:line="480" w:lineRule="auto"/>
              <w:jc w:val="center"/>
            </w:pPr>
            <w:r w:rsidRPr="005859B6">
              <w:t>R</w:t>
            </w:r>
          </w:p>
        </w:tc>
        <w:tc>
          <w:tcPr>
            <w:tcW w:w="460" w:type="pct"/>
            <w:vAlign w:val="center"/>
          </w:tcPr>
          <w:p w14:paraId="47C02A8E" w14:textId="77777777" w:rsidR="005859B6" w:rsidRPr="005859B6" w:rsidRDefault="005859B6" w:rsidP="005859B6">
            <w:pPr>
              <w:spacing w:line="480" w:lineRule="auto"/>
              <w:jc w:val="center"/>
            </w:pPr>
          </w:p>
        </w:tc>
      </w:tr>
      <w:tr w:rsidR="005859B6" w:rsidRPr="005859B6" w14:paraId="067F321D" w14:textId="77777777" w:rsidTr="00C0402E">
        <w:tc>
          <w:tcPr>
            <w:tcW w:w="1320" w:type="pct"/>
          </w:tcPr>
          <w:p w14:paraId="15291D4B" w14:textId="77777777" w:rsidR="005859B6" w:rsidRPr="005859B6" w:rsidRDefault="005859B6" w:rsidP="005859B6">
            <w:pPr>
              <w:spacing w:line="480" w:lineRule="auto"/>
            </w:pPr>
            <w:r w:rsidRPr="005859B6">
              <w:lastRenderedPageBreak/>
              <w:t>Treatment continuation rules</w:t>
            </w:r>
          </w:p>
        </w:tc>
        <w:tc>
          <w:tcPr>
            <w:tcW w:w="460" w:type="pct"/>
            <w:vAlign w:val="center"/>
          </w:tcPr>
          <w:p w14:paraId="65559093" w14:textId="77777777" w:rsidR="005859B6" w:rsidRPr="005859B6" w:rsidRDefault="005859B6" w:rsidP="005859B6">
            <w:pPr>
              <w:spacing w:line="480" w:lineRule="auto"/>
              <w:jc w:val="center"/>
            </w:pPr>
            <w:r w:rsidRPr="005859B6">
              <w:t>R</w:t>
            </w:r>
          </w:p>
        </w:tc>
        <w:tc>
          <w:tcPr>
            <w:tcW w:w="460" w:type="pct"/>
            <w:vAlign w:val="center"/>
          </w:tcPr>
          <w:p w14:paraId="1E983870" w14:textId="77777777" w:rsidR="005859B6" w:rsidRPr="005859B6" w:rsidRDefault="005859B6" w:rsidP="005859B6">
            <w:pPr>
              <w:spacing w:line="480" w:lineRule="auto"/>
              <w:jc w:val="center"/>
            </w:pPr>
          </w:p>
        </w:tc>
        <w:tc>
          <w:tcPr>
            <w:tcW w:w="460" w:type="pct"/>
            <w:vAlign w:val="center"/>
          </w:tcPr>
          <w:p w14:paraId="50B9DCC8" w14:textId="77777777" w:rsidR="005859B6" w:rsidRPr="005859B6" w:rsidRDefault="005859B6" w:rsidP="005859B6">
            <w:pPr>
              <w:spacing w:line="480" w:lineRule="auto"/>
              <w:jc w:val="center"/>
            </w:pPr>
          </w:p>
        </w:tc>
        <w:tc>
          <w:tcPr>
            <w:tcW w:w="460" w:type="pct"/>
            <w:vAlign w:val="center"/>
          </w:tcPr>
          <w:p w14:paraId="0557B210" w14:textId="77777777" w:rsidR="005859B6" w:rsidRPr="005859B6" w:rsidRDefault="005859B6" w:rsidP="005859B6">
            <w:pPr>
              <w:spacing w:line="480" w:lineRule="auto"/>
              <w:jc w:val="center"/>
            </w:pPr>
          </w:p>
        </w:tc>
        <w:tc>
          <w:tcPr>
            <w:tcW w:w="460" w:type="pct"/>
            <w:vAlign w:val="center"/>
          </w:tcPr>
          <w:p w14:paraId="1056B548" w14:textId="77777777" w:rsidR="005859B6" w:rsidRPr="005859B6" w:rsidRDefault="005859B6" w:rsidP="005859B6">
            <w:pPr>
              <w:spacing w:line="480" w:lineRule="auto"/>
              <w:jc w:val="center"/>
            </w:pPr>
          </w:p>
        </w:tc>
        <w:tc>
          <w:tcPr>
            <w:tcW w:w="460" w:type="pct"/>
            <w:vAlign w:val="center"/>
          </w:tcPr>
          <w:p w14:paraId="697537BD" w14:textId="77777777" w:rsidR="005859B6" w:rsidRPr="005859B6" w:rsidRDefault="005859B6" w:rsidP="005859B6">
            <w:pPr>
              <w:spacing w:line="480" w:lineRule="auto"/>
              <w:jc w:val="center"/>
            </w:pPr>
            <w:r w:rsidRPr="005859B6">
              <w:t>R</w:t>
            </w:r>
          </w:p>
        </w:tc>
        <w:tc>
          <w:tcPr>
            <w:tcW w:w="460" w:type="pct"/>
            <w:vAlign w:val="center"/>
          </w:tcPr>
          <w:p w14:paraId="50E82A6C" w14:textId="77777777" w:rsidR="005859B6" w:rsidRPr="005859B6" w:rsidRDefault="005859B6" w:rsidP="005859B6">
            <w:pPr>
              <w:spacing w:line="480" w:lineRule="auto"/>
              <w:jc w:val="center"/>
            </w:pPr>
            <w:r w:rsidRPr="005859B6">
              <w:t>R</w:t>
            </w:r>
          </w:p>
        </w:tc>
        <w:tc>
          <w:tcPr>
            <w:tcW w:w="460" w:type="pct"/>
            <w:vAlign w:val="center"/>
          </w:tcPr>
          <w:p w14:paraId="75B04620" w14:textId="77777777" w:rsidR="005859B6" w:rsidRPr="005859B6" w:rsidRDefault="005859B6" w:rsidP="005859B6">
            <w:pPr>
              <w:spacing w:line="480" w:lineRule="auto"/>
              <w:jc w:val="center"/>
            </w:pPr>
          </w:p>
        </w:tc>
      </w:tr>
      <w:tr w:rsidR="005859B6" w:rsidRPr="005859B6" w14:paraId="6D8E4686" w14:textId="77777777" w:rsidTr="00C0402E">
        <w:tc>
          <w:tcPr>
            <w:tcW w:w="1320" w:type="pct"/>
          </w:tcPr>
          <w:p w14:paraId="58B23902" w14:textId="77777777" w:rsidR="005859B6" w:rsidRPr="005859B6" w:rsidRDefault="005859B6" w:rsidP="005859B6">
            <w:pPr>
              <w:spacing w:line="480" w:lineRule="auto"/>
            </w:pPr>
            <w:r w:rsidRPr="005859B6">
              <w:t>Technologies in sequences</w:t>
            </w:r>
          </w:p>
        </w:tc>
        <w:tc>
          <w:tcPr>
            <w:tcW w:w="460" w:type="pct"/>
            <w:vAlign w:val="center"/>
          </w:tcPr>
          <w:p w14:paraId="4841DD97" w14:textId="77777777" w:rsidR="005859B6" w:rsidRPr="005859B6" w:rsidRDefault="005859B6" w:rsidP="005859B6">
            <w:pPr>
              <w:spacing w:line="480" w:lineRule="auto"/>
              <w:jc w:val="center"/>
            </w:pPr>
            <w:r w:rsidRPr="005859B6">
              <w:t>R</w:t>
            </w:r>
          </w:p>
        </w:tc>
        <w:tc>
          <w:tcPr>
            <w:tcW w:w="460" w:type="pct"/>
            <w:vAlign w:val="center"/>
          </w:tcPr>
          <w:p w14:paraId="21DEB7DC" w14:textId="77777777" w:rsidR="005859B6" w:rsidRPr="005859B6" w:rsidRDefault="005859B6" w:rsidP="005859B6">
            <w:pPr>
              <w:spacing w:line="480" w:lineRule="auto"/>
              <w:jc w:val="center"/>
            </w:pPr>
            <w:r w:rsidRPr="005859B6">
              <w:t>R</w:t>
            </w:r>
          </w:p>
        </w:tc>
        <w:tc>
          <w:tcPr>
            <w:tcW w:w="460" w:type="pct"/>
            <w:vAlign w:val="center"/>
          </w:tcPr>
          <w:p w14:paraId="784029C4" w14:textId="77777777" w:rsidR="005859B6" w:rsidRPr="005859B6" w:rsidRDefault="005859B6" w:rsidP="005859B6">
            <w:pPr>
              <w:spacing w:line="480" w:lineRule="auto"/>
              <w:jc w:val="center"/>
            </w:pPr>
          </w:p>
        </w:tc>
        <w:tc>
          <w:tcPr>
            <w:tcW w:w="460" w:type="pct"/>
            <w:vAlign w:val="center"/>
          </w:tcPr>
          <w:p w14:paraId="508F42E8" w14:textId="77777777" w:rsidR="005859B6" w:rsidRPr="005859B6" w:rsidRDefault="005859B6" w:rsidP="005859B6">
            <w:pPr>
              <w:spacing w:line="480" w:lineRule="auto"/>
              <w:jc w:val="center"/>
            </w:pPr>
          </w:p>
        </w:tc>
        <w:tc>
          <w:tcPr>
            <w:tcW w:w="460" w:type="pct"/>
            <w:vAlign w:val="center"/>
          </w:tcPr>
          <w:p w14:paraId="23069E1E" w14:textId="77777777" w:rsidR="005859B6" w:rsidRPr="005859B6" w:rsidRDefault="005859B6" w:rsidP="005859B6">
            <w:pPr>
              <w:spacing w:line="480" w:lineRule="auto"/>
              <w:jc w:val="center"/>
            </w:pPr>
            <w:r w:rsidRPr="005859B6">
              <w:t>R</w:t>
            </w:r>
          </w:p>
        </w:tc>
        <w:tc>
          <w:tcPr>
            <w:tcW w:w="460" w:type="pct"/>
            <w:vAlign w:val="center"/>
          </w:tcPr>
          <w:p w14:paraId="4FECA496" w14:textId="77777777" w:rsidR="005859B6" w:rsidRPr="005859B6" w:rsidRDefault="005859B6" w:rsidP="005859B6">
            <w:pPr>
              <w:spacing w:line="480" w:lineRule="auto"/>
              <w:jc w:val="center"/>
            </w:pPr>
            <w:r w:rsidRPr="005859B6">
              <w:t>R</w:t>
            </w:r>
          </w:p>
        </w:tc>
        <w:tc>
          <w:tcPr>
            <w:tcW w:w="460" w:type="pct"/>
            <w:vAlign w:val="center"/>
          </w:tcPr>
          <w:p w14:paraId="4472F777" w14:textId="77777777" w:rsidR="005859B6" w:rsidRPr="005859B6" w:rsidRDefault="005859B6" w:rsidP="005859B6">
            <w:pPr>
              <w:spacing w:line="480" w:lineRule="auto"/>
              <w:jc w:val="center"/>
            </w:pPr>
            <w:r w:rsidRPr="005859B6">
              <w:t>R</w:t>
            </w:r>
          </w:p>
        </w:tc>
        <w:tc>
          <w:tcPr>
            <w:tcW w:w="460" w:type="pct"/>
            <w:vAlign w:val="center"/>
          </w:tcPr>
          <w:p w14:paraId="098C7C6E" w14:textId="77777777" w:rsidR="005859B6" w:rsidRPr="005859B6" w:rsidRDefault="005859B6" w:rsidP="005859B6">
            <w:pPr>
              <w:spacing w:line="480" w:lineRule="auto"/>
              <w:jc w:val="center"/>
            </w:pPr>
          </w:p>
        </w:tc>
      </w:tr>
      <w:tr w:rsidR="005859B6" w:rsidRPr="005859B6" w14:paraId="069A8C7C" w14:textId="77777777" w:rsidTr="00C0402E">
        <w:tc>
          <w:tcPr>
            <w:tcW w:w="1320" w:type="pct"/>
          </w:tcPr>
          <w:p w14:paraId="06347639" w14:textId="77777777" w:rsidR="005859B6" w:rsidRPr="005859B6" w:rsidRDefault="005859B6" w:rsidP="005859B6">
            <w:pPr>
              <w:spacing w:line="480" w:lineRule="auto"/>
            </w:pPr>
            <w:r w:rsidRPr="005859B6">
              <w:t>Co-dependent technologies</w:t>
            </w:r>
          </w:p>
        </w:tc>
        <w:tc>
          <w:tcPr>
            <w:tcW w:w="460" w:type="pct"/>
            <w:vAlign w:val="center"/>
          </w:tcPr>
          <w:p w14:paraId="25A81FC8" w14:textId="77777777" w:rsidR="005859B6" w:rsidRPr="005859B6" w:rsidRDefault="005859B6" w:rsidP="005859B6">
            <w:pPr>
              <w:spacing w:line="480" w:lineRule="auto"/>
              <w:jc w:val="center"/>
            </w:pPr>
          </w:p>
        </w:tc>
        <w:tc>
          <w:tcPr>
            <w:tcW w:w="460" w:type="pct"/>
            <w:vAlign w:val="center"/>
          </w:tcPr>
          <w:p w14:paraId="3DD8028A" w14:textId="77777777" w:rsidR="005859B6" w:rsidRPr="005859B6" w:rsidRDefault="005859B6" w:rsidP="005859B6">
            <w:pPr>
              <w:spacing w:line="480" w:lineRule="auto"/>
              <w:jc w:val="center"/>
            </w:pPr>
            <w:r w:rsidRPr="005859B6">
              <w:t>R</w:t>
            </w:r>
          </w:p>
        </w:tc>
        <w:tc>
          <w:tcPr>
            <w:tcW w:w="460" w:type="pct"/>
            <w:vAlign w:val="center"/>
          </w:tcPr>
          <w:p w14:paraId="22E63B88" w14:textId="77777777" w:rsidR="005859B6" w:rsidRPr="005859B6" w:rsidRDefault="005859B6" w:rsidP="005859B6">
            <w:pPr>
              <w:spacing w:line="480" w:lineRule="auto"/>
              <w:jc w:val="center"/>
            </w:pPr>
          </w:p>
        </w:tc>
        <w:tc>
          <w:tcPr>
            <w:tcW w:w="460" w:type="pct"/>
            <w:vAlign w:val="center"/>
          </w:tcPr>
          <w:p w14:paraId="75868A3F" w14:textId="77777777" w:rsidR="005859B6" w:rsidRPr="005859B6" w:rsidRDefault="005859B6" w:rsidP="005859B6">
            <w:pPr>
              <w:spacing w:line="480" w:lineRule="auto"/>
              <w:jc w:val="center"/>
            </w:pPr>
          </w:p>
        </w:tc>
        <w:tc>
          <w:tcPr>
            <w:tcW w:w="460" w:type="pct"/>
            <w:vAlign w:val="center"/>
          </w:tcPr>
          <w:p w14:paraId="45729BC8" w14:textId="77777777" w:rsidR="005859B6" w:rsidRPr="005859B6" w:rsidRDefault="005859B6" w:rsidP="005859B6">
            <w:pPr>
              <w:spacing w:line="480" w:lineRule="auto"/>
              <w:jc w:val="center"/>
            </w:pPr>
          </w:p>
        </w:tc>
        <w:tc>
          <w:tcPr>
            <w:tcW w:w="460" w:type="pct"/>
            <w:vAlign w:val="center"/>
          </w:tcPr>
          <w:p w14:paraId="58CF1C19" w14:textId="77777777" w:rsidR="005859B6" w:rsidRPr="005859B6" w:rsidRDefault="005859B6" w:rsidP="005859B6">
            <w:pPr>
              <w:spacing w:line="480" w:lineRule="auto"/>
              <w:jc w:val="center"/>
            </w:pPr>
          </w:p>
        </w:tc>
        <w:tc>
          <w:tcPr>
            <w:tcW w:w="460" w:type="pct"/>
            <w:vAlign w:val="center"/>
          </w:tcPr>
          <w:p w14:paraId="1C75E01F" w14:textId="77777777" w:rsidR="005859B6" w:rsidRPr="005859B6" w:rsidRDefault="005859B6" w:rsidP="005859B6">
            <w:pPr>
              <w:spacing w:line="480" w:lineRule="auto"/>
              <w:jc w:val="center"/>
            </w:pPr>
          </w:p>
        </w:tc>
        <w:tc>
          <w:tcPr>
            <w:tcW w:w="460" w:type="pct"/>
            <w:vAlign w:val="center"/>
          </w:tcPr>
          <w:p w14:paraId="7123D475" w14:textId="77777777" w:rsidR="005859B6" w:rsidRPr="005859B6" w:rsidRDefault="005859B6" w:rsidP="005859B6">
            <w:pPr>
              <w:spacing w:line="480" w:lineRule="auto"/>
              <w:jc w:val="center"/>
            </w:pPr>
          </w:p>
        </w:tc>
      </w:tr>
      <w:tr w:rsidR="005859B6" w:rsidRPr="005859B6" w14:paraId="54941EE7" w14:textId="77777777" w:rsidTr="00C0402E">
        <w:tc>
          <w:tcPr>
            <w:tcW w:w="1320" w:type="pct"/>
          </w:tcPr>
          <w:p w14:paraId="720C2DD0" w14:textId="77777777" w:rsidR="005859B6" w:rsidRPr="005859B6" w:rsidRDefault="005859B6" w:rsidP="005859B6">
            <w:pPr>
              <w:spacing w:line="480" w:lineRule="auto"/>
            </w:pPr>
            <w:r w:rsidRPr="005859B6">
              <w:t>Technologies in combination</w:t>
            </w:r>
          </w:p>
        </w:tc>
        <w:tc>
          <w:tcPr>
            <w:tcW w:w="460" w:type="pct"/>
            <w:vAlign w:val="center"/>
          </w:tcPr>
          <w:p w14:paraId="58466A50" w14:textId="77777777" w:rsidR="005859B6" w:rsidRPr="005859B6" w:rsidRDefault="005859B6" w:rsidP="005859B6">
            <w:pPr>
              <w:spacing w:line="480" w:lineRule="auto"/>
              <w:jc w:val="center"/>
            </w:pPr>
          </w:p>
        </w:tc>
        <w:tc>
          <w:tcPr>
            <w:tcW w:w="460" w:type="pct"/>
            <w:vAlign w:val="center"/>
          </w:tcPr>
          <w:p w14:paraId="206972AE" w14:textId="77777777" w:rsidR="005859B6" w:rsidRPr="005859B6" w:rsidRDefault="005859B6" w:rsidP="005859B6">
            <w:pPr>
              <w:spacing w:line="480" w:lineRule="auto"/>
              <w:jc w:val="center"/>
            </w:pPr>
            <w:r w:rsidRPr="005859B6">
              <w:t>R</w:t>
            </w:r>
          </w:p>
        </w:tc>
        <w:tc>
          <w:tcPr>
            <w:tcW w:w="460" w:type="pct"/>
            <w:vAlign w:val="center"/>
          </w:tcPr>
          <w:p w14:paraId="08613B1B" w14:textId="77777777" w:rsidR="005859B6" w:rsidRPr="005859B6" w:rsidRDefault="005859B6" w:rsidP="005859B6">
            <w:pPr>
              <w:spacing w:line="480" w:lineRule="auto"/>
              <w:jc w:val="center"/>
            </w:pPr>
          </w:p>
        </w:tc>
        <w:tc>
          <w:tcPr>
            <w:tcW w:w="460" w:type="pct"/>
            <w:vAlign w:val="center"/>
          </w:tcPr>
          <w:p w14:paraId="15252FA3" w14:textId="77777777" w:rsidR="005859B6" w:rsidRPr="005859B6" w:rsidRDefault="005859B6" w:rsidP="005859B6">
            <w:pPr>
              <w:spacing w:line="480" w:lineRule="auto"/>
              <w:jc w:val="center"/>
            </w:pPr>
          </w:p>
        </w:tc>
        <w:tc>
          <w:tcPr>
            <w:tcW w:w="460" w:type="pct"/>
            <w:vAlign w:val="center"/>
          </w:tcPr>
          <w:p w14:paraId="4EA135DD" w14:textId="77777777" w:rsidR="005859B6" w:rsidRPr="005859B6" w:rsidRDefault="005859B6" w:rsidP="005859B6">
            <w:pPr>
              <w:spacing w:line="480" w:lineRule="auto"/>
              <w:jc w:val="center"/>
            </w:pPr>
          </w:p>
        </w:tc>
        <w:tc>
          <w:tcPr>
            <w:tcW w:w="460" w:type="pct"/>
            <w:vAlign w:val="center"/>
          </w:tcPr>
          <w:p w14:paraId="199C3B3A" w14:textId="77777777" w:rsidR="005859B6" w:rsidRPr="005859B6" w:rsidRDefault="005859B6" w:rsidP="005859B6">
            <w:pPr>
              <w:spacing w:line="480" w:lineRule="auto"/>
              <w:jc w:val="center"/>
            </w:pPr>
          </w:p>
        </w:tc>
        <w:tc>
          <w:tcPr>
            <w:tcW w:w="460" w:type="pct"/>
            <w:vAlign w:val="center"/>
          </w:tcPr>
          <w:p w14:paraId="1998CEAE" w14:textId="77777777" w:rsidR="005859B6" w:rsidRPr="005859B6" w:rsidRDefault="005859B6" w:rsidP="005859B6">
            <w:pPr>
              <w:spacing w:line="480" w:lineRule="auto"/>
              <w:jc w:val="center"/>
            </w:pPr>
          </w:p>
        </w:tc>
        <w:tc>
          <w:tcPr>
            <w:tcW w:w="460" w:type="pct"/>
            <w:vAlign w:val="center"/>
          </w:tcPr>
          <w:p w14:paraId="163D9BF1" w14:textId="77777777" w:rsidR="005859B6" w:rsidRPr="005859B6" w:rsidRDefault="005859B6" w:rsidP="005859B6">
            <w:pPr>
              <w:spacing w:line="480" w:lineRule="auto"/>
              <w:jc w:val="center"/>
            </w:pPr>
          </w:p>
        </w:tc>
      </w:tr>
      <w:tr w:rsidR="005859B6" w:rsidRPr="005859B6" w14:paraId="60F0DB9D" w14:textId="77777777" w:rsidTr="00C0402E">
        <w:tc>
          <w:tcPr>
            <w:tcW w:w="1320" w:type="pct"/>
          </w:tcPr>
          <w:p w14:paraId="51726027" w14:textId="77777777" w:rsidR="005859B6" w:rsidRPr="005859B6" w:rsidRDefault="005859B6" w:rsidP="005859B6">
            <w:pPr>
              <w:spacing w:line="480" w:lineRule="auto"/>
            </w:pPr>
            <w:r w:rsidRPr="005859B6">
              <w:t>Technologies as a class</w:t>
            </w:r>
          </w:p>
        </w:tc>
        <w:tc>
          <w:tcPr>
            <w:tcW w:w="460" w:type="pct"/>
          </w:tcPr>
          <w:p w14:paraId="2BDFA903" w14:textId="77777777" w:rsidR="005859B6" w:rsidRPr="005859B6" w:rsidRDefault="005859B6" w:rsidP="005859B6">
            <w:pPr>
              <w:spacing w:line="480" w:lineRule="auto"/>
              <w:jc w:val="center"/>
            </w:pPr>
            <w:r w:rsidRPr="005859B6">
              <w:t>R</w:t>
            </w:r>
            <w:r w:rsidRPr="005859B6">
              <w:rPr>
                <w:vertAlign w:val="superscript"/>
              </w:rPr>
              <w:endnoteReference w:id="8"/>
            </w:r>
          </w:p>
        </w:tc>
        <w:tc>
          <w:tcPr>
            <w:tcW w:w="460" w:type="pct"/>
          </w:tcPr>
          <w:p w14:paraId="3E63A0B2" w14:textId="77777777" w:rsidR="005859B6" w:rsidRPr="005859B6" w:rsidRDefault="005859B6" w:rsidP="005859B6">
            <w:pPr>
              <w:spacing w:line="480" w:lineRule="auto"/>
              <w:jc w:val="center"/>
            </w:pPr>
          </w:p>
        </w:tc>
        <w:tc>
          <w:tcPr>
            <w:tcW w:w="460" w:type="pct"/>
          </w:tcPr>
          <w:p w14:paraId="0F18A6E2" w14:textId="77777777" w:rsidR="005859B6" w:rsidRPr="005859B6" w:rsidRDefault="005859B6" w:rsidP="005859B6">
            <w:pPr>
              <w:spacing w:line="480" w:lineRule="auto"/>
              <w:jc w:val="center"/>
            </w:pPr>
          </w:p>
        </w:tc>
        <w:tc>
          <w:tcPr>
            <w:tcW w:w="460" w:type="pct"/>
          </w:tcPr>
          <w:p w14:paraId="3FC6D3E4" w14:textId="77777777" w:rsidR="005859B6" w:rsidRPr="005859B6" w:rsidRDefault="005859B6" w:rsidP="005859B6">
            <w:pPr>
              <w:spacing w:line="480" w:lineRule="auto"/>
              <w:jc w:val="center"/>
            </w:pPr>
          </w:p>
        </w:tc>
        <w:tc>
          <w:tcPr>
            <w:tcW w:w="460" w:type="pct"/>
          </w:tcPr>
          <w:p w14:paraId="49BB969D" w14:textId="77777777" w:rsidR="005859B6" w:rsidRPr="005859B6" w:rsidRDefault="005859B6" w:rsidP="005859B6">
            <w:pPr>
              <w:spacing w:line="480" w:lineRule="auto"/>
              <w:jc w:val="center"/>
            </w:pPr>
          </w:p>
        </w:tc>
        <w:tc>
          <w:tcPr>
            <w:tcW w:w="460" w:type="pct"/>
          </w:tcPr>
          <w:p w14:paraId="3C8DD522" w14:textId="77777777" w:rsidR="005859B6" w:rsidRPr="005859B6" w:rsidRDefault="005859B6" w:rsidP="005859B6">
            <w:pPr>
              <w:spacing w:line="480" w:lineRule="auto"/>
              <w:jc w:val="center"/>
            </w:pPr>
          </w:p>
        </w:tc>
        <w:tc>
          <w:tcPr>
            <w:tcW w:w="460" w:type="pct"/>
          </w:tcPr>
          <w:p w14:paraId="283659DC" w14:textId="77777777" w:rsidR="005859B6" w:rsidRPr="005859B6" w:rsidRDefault="005859B6" w:rsidP="005859B6">
            <w:pPr>
              <w:spacing w:line="480" w:lineRule="auto"/>
              <w:jc w:val="center"/>
            </w:pPr>
          </w:p>
        </w:tc>
        <w:tc>
          <w:tcPr>
            <w:tcW w:w="460" w:type="pct"/>
          </w:tcPr>
          <w:p w14:paraId="482224F6" w14:textId="77777777" w:rsidR="005859B6" w:rsidRPr="005859B6" w:rsidRDefault="005859B6" w:rsidP="005859B6">
            <w:pPr>
              <w:spacing w:line="480" w:lineRule="auto"/>
              <w:jc w:val="center"/>
            </w:pPr>
          </w:p>
        </w:tc>
      </w:tr>
      <w:tr w:rsidR="005859B6" w:rsidRPr="005859B6" w14:paraId="43AF16FF" w14:textId="77777777" w:rsidTr="00C0402E">
        <w:tc>
          <w:tcPr>
            <w:tcW w:w="1320" w:type="pct"/>
          </w:tcPr>
          <w:p w14:paraId="1326059B" w14:textId="77777777" w:rsidR="005859B6" w:rsidRPr="005859B6" w:rsidRDefault="005859B6" w:rsidP="005859B6">
            <w:pPr>
              <w:spacing w:line="480" w:lineRule="auto"/>
            </w:pPr>
            <w:r w:rsidRPr="005859B6">
              <w:t>Do nothing or best supportive care</w:t>
            </w:r>
          </w:p>
        </w:tc>
        <w:tc>
          <w:tcPr>
            <w:tcW w:w="460" w:type="pct"/>
            <w:vAlign w:val="center"/>
          </w:tcPr>
          <w:p w14:paraId="34B1D08B" w14:textId="77777777" w:rsidR="005859B6" w:rsidRPr="005859B6" w:rsidRDefault="005859B6" w:rsidP="005859B6">
            <w:pPr>
              <w:spacing w:line="480" w:lineRule="auto"/>
              <w:jc w:val="center"/>
            </w:pPr>
            <w:r w:rsidRPr="005859B6">
              <w:t>R</w:t>
            </w:r>
          </w:p>
        </w:tc>
        <w:tc>
          <w:tcPr>
            <w:tcW w:w="460" w:type="pct"/>
            <w:vAlign w:val="center"/>
          </w:tcPr>
          <w:p w14:paraId="249A380B" w14:textId="77777777" w:rsidR="005859B6" w:rsidRPr="005859B6" w:rsidRDefault="005859B6" w:rsidP="005859B6">
            <w:pPr>
              <w:spacing w:line="480" w:lineRule="auto"/>
              <w:jc w:val="center"/>
            </w:pPr>
            <w:r w:rsidRPr="005859B6">
              <w:t>R</w:t>
            </w:r>
          </w:p>
        </w:tc>
        <w:tc>
          <w:tcPr>
            <w:tcW w:w="460" w:type="pct"/>
            <w:vAlign w:val="center"/>
          </w:tcPr>
          <w:p w14:paraId="4B64C5C7" w14:textId="77777777" w:rsidR="005859B6" w:rsidRPr="005859B6" w:rsidRDefault="005859B6" w:rsidP="005859B6">
            <w:pPr>
              <w:spacing w:line="480" w:lineRule="auto"/>
              <w:jc w:val="center"/>
            </w:pPr>
            <w:r w:rsidRPr="005859B6">
              <w:t>R</w:t>
            </w:r>
          </w:p>
        </w:tc>
        <w:tc>
          <w:tcPr>
            <w:tcW w:w="460" w:type="pct"/>
            <w:vAlign w:val="center"/>
          </w:tcPr>
          <w:p w14:paraId="74043D94" w14:textId="77777777" w:rsidR="005859B6" w:rsidRPr="005859B6" w:rsidRDefault="005859B6" w:rsidP="005859B6">
            <w:pPr>
              <w:spacing w:line="480" w:lineRule="auto"/>
              <w:jc w:val="center"/>
            </w:pPr>
          </w:p>
        </w:tc>
        <w:tc>
          <w:tcPr>
            <w:tcW w:w="460" w:type="pct"/>
            <w:vAlign w:val="center"/>
          </w:tcPr>
          <w:p w14:paraId="61BB523F" w14:textId="77777777" w:rsidR="005859B6" w:rsidRPr="005859B6" w:rsidRDefault="005859B6" w:rsidP="005859B6">
            <w:pPr>
              <w:spacing w:line="480" w:lineRule="auto"/>
              <w:jc w:val="center"/>
            </w:pPr>
            <w:r w:rsidRPr="005859B6">
              <w:t>R</w:t>
            </w:r>
          </w:p>
        </w:tc>
        <w:tc>
          <w:tcPr>
            <w:tcW w:w="460" w:type="pct"/>
            <w:vAlign w:val="center"/>
          </w:tcPr>
          <w:p w14:paraId="6A4F21E9" w14:textId="77777777" w:rsidR="005859B6" w:rsidRPr="005859B6" w:rsidRDefault="005859B6" w:rsidP="005859B6">
            <w:pPr>
              <w:spacing w:line="480" w:lineRule="auto"/>
              <w:jc w:val="center"/>
            </w:pPr>
            <w:r w:rsidRPr="005859B6">
              <w:t>R</w:t>
            </w:r>
          </w:p>
        </w:tc>
        <w:tc>
          <w:tcPr>
            <w:tcW w:w="460" w:type="pct"/>
            <w:vAlign w:val="center"/>
          </w:tcPr>
          <w:p w14:paraId="78D4DE7A" w14:textId="77777777" w:rsidR="005859B6" w:rsidRPr="005859B6" w:rsidRDefault="005859B6" w:rsidP="005859B6">
            <w:pPr>
              <w:spacing w:line="480" w:lineRule="auto"/>
              <w:jc w:val="center"/>
            </w:pPr>
            <w:r w:rsidRPr="005859B6">
              <w:t>R</w:t>
            </w:r>
          </w:p>
        </w:tc>
        <w:tc>
          <w:tcPr>
            <w:tcW w:w="460" w:type="pct"/>
            <w:vAlign w:val="center"/>
          </w:tcPr>
          <w:p w14:paraId="1967F1AC" w14:textId="77777777" w:rsidR="005859B6" w:rsidRPr="005859B6" w:rsidRDefault="005859B6" w:rsidP="005859B6">
            <w:pPr>
              <w:spacing w:line="480" w:lineRule="auto"/>
              <w:jc w:val="center"/>
            </w:pPr>
            <w:r w:rsidRPr="005859B6">
              <w:t>R</w:t>
            </w:r>
          </w:p>
        </w:tc>
      </w:tr>
      <w:tr w:rsidR="005859B6" w:rsidRPr="005859B6" w14:paraId="60CB269F" w14:textId="77777777" w:rsidTr="00C0402E">
        <w:tc>
          <w:tcPr>
            <w:tcW w:w="5000" w:type="pct"/>
            <w:gridSpan w:val="9"/>
          </w:tcPr>
          <w:p w14:paraId="2F12015D" w14:textId="77777777" w:rsidR="005859B6" w:rsidRPr="005859B6" w:rsidRDefault="005859B6" w:rsidP="005859B6">
            <w:pPr>
              <w:spacing w:line="480" w:lineRule="auto"/>
            </w:pPr>
            <w:r w:rsidRPr="005859B6">
              <w:lastRenderedPageBreak/>
              <w:t xml:space="preserve">R: Recommended; NR: not recommended. ND: not discussed. </w:t>
            </w:r>
          </w:p>
        </w:tc>
      </w:tr>
    </w:tbl>
    <w:p w14:paraId="307A9FEF" w14:textId="225B01E3" w:rsidR="005859B6" w:rsidRDefault="005859B6" w:rsidP="00C0402E">
      <w:pPr>
        <w:sectPr w:rsidR="005859B6" w:rsidSect="00C0402E">
          <w:footnotePr>
            <w:numFmt w:val="lowerLetter"/>
          </w:footnotePr>
          <w:pgSz w:w="16838" w:h="11906" w:orient="landscape"/>
          <w:pgMar w:top="1440" w:right="1440" w:bottom="1440" w:left="1440" w:header="708" w:footer="708" w:gutter="0"/>
          <w:cols w:space="708"/>
          <w:docGrid w:linePitch="360"/>
        </w:sectPr>
      </w:pPr>
    </w:p>
    <w:p w14:paraId="59FF4C44" w14:textId="48A9337E" w:rsidR="00367E3D" w:rsidRPr="00642AB3" w:rsidRDefault="00367E3D" w:rsidP="00C0402E">
      <w:pPr>
        <w:pStyle w:val="Heading3"/>
      </w:pPr>
      <w:bookmarkStart w:id="15" w:name="_Toc48925891"/>
      <w:r w:rsidRPr="00642AB3">
        <w:lastRenderedPageBreak/>
        <w:t xml:space="preserve">Identification </w:t>
      </w:r>
      <w:proofErr w:type="gramStart"/>
      <w:r w:rsidR="00392021" w:rsidRPr="00642AB3">
        <w:t>Of</w:t>
      </w:r>
      <w:proofErr w:type="gramEnd"/>
      <w:r w:rsidR="00392021" w:rsidRPr="00642AB3">
        <w:t xml:space="preserve"> Decision Options</w:t>
      </w:r>
      <w:bookmarkEnd w:id="15"/>
    </w:p>
    <w:p w14:paraId="43AD82EA" w14:textId="1107AF33" w:rsidR="00367E3D" w:rsidRPr="00642AB3" w:rsidRDefault="00367E3D" w:rsidP="00D35786">
      <w:pPr>
        <w:spacing w:line="480" w:lineRule="auto"/>
      </w:pPr>
      <w:r w:rsidRPr="00642AB3">
        <w:t xml:space="preserve">There is no consensus on which decision options should be compared in an economic evaluation. Some guidelines recommend that the new technology is compared against the alternative considered to be standard care </w:t>
      </w:r>
      <w:r w:rsidRPr="00642AB3">
        <w:fldChar w:fldCharType="begin" w:fldLock="1"/>
      </w:r>
      <w:r w:rsidR="00A33BA4">
        <w:instrText>ADDIN CSL_CITATION {"citationItems":[{"id":"ITEM-1","itemData":{"ISBN":"9781741860009","abstract":"The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Committee","given":"","non-dropping-particle":"","parse-names":false,"suffix":""}],"id":"ITEM-1","issued":{"date-parts":[["2016"]]},"title":"Guidelines for preparing submissions to the Pharmaceutical Benefits Advisory Committee","type":"report"},"uris":["http://www.mendeley.com/documents/?uuid=57a65f32-3da3-380c-b9ea-2dc0de627f0c"]}],"mendeley":{"formattedCitation":"(Pharmaceutical Benefits Advisory Committee, 2016)","plainTextFormattedCitation":"(Pharmaceutical Benefits Advisory Committee, 2016)","previouslyFormattedCitation":"(Pharmaceutical Benefits Advisory Committee, 2016)"},"properties":{"noteIndex":0},"schema":"https://github.com/citation-style-language/schema/raw/master/csl-citation.json"}</w:instrText>
      </w:r>
      <w:r w:rsidRPr="00642AB3">
        <w:fldChar w:fldCharType="separate"/>
      </w:r>
      <w:r w:rsidRPr="00642AB3">
        <w:rPr>
          <w:noProof/>
        </w:rPr>
        <w:t>(Pharmaceutical Benefits Advisory Committee, 2016)</w:t>
      </w:r>
      <w:r w:rsidRPr="00642AB3">
        <w:fldChar w:fldCharType="end"/>
      </w:r>
      <w:r w:rsidRPr="00642AB3">
        <w:t xml:space="preserve"> </w:t>
      </w:r>
      <w:r w:rsidRPr="00642AB3">
        <w:fldChar w:fldCharType="begin" w:fldLock="1"/>
      </w:r>
      <w:r w:rsidR="00A33BA4">
        <w:instrText>ADDIN CSL_CITATION {"citationItems":[{"id":"ITEM-1","itemData":{"author":[{"dropping-particle":"","family":"European Network for Health Technology Assessment (EUneHTA)","given":"","non-dropping-particle":"","parse-names":false,"suffix":""}],"id":"ITEM-1","issued":{"date-parts":[["2015"]]},"number-of-pages":"100","title":"Methods for health economic evaluations -A guideline based on current practices in Europe","type":"report"},"uris":["http://www.mendeley.com/documents/?uuid=82316c6b-dca8-3243-bc63-c6556a5e0a10"]}],"mendeley":{"formattedCitation":"(European Network for Health Technology Assessment (EUneHTA), 2015)","plainTextFormattedCitation":"(European Network for Health Technology Assessment (EUneHTA), 2015)","previouslyFormattedCitation":"(European Network for Health Technology Assessment (EUneHTA), 2015)"},"properties":{"noteIndex":0},"schema":"https://github.com/citation-style-language/schema/raw/master/csl-citation.json"}</w:instrText>
      </w:r>
      <w:r w:rsidRPr="00642AB3">
        <w:fldChar w:fldCharType="separate"/>
      </w:r>
      <w:r w:rsidRPr="00642AB3">
        <w:rPr>
          <w:noProof/>
        </w:rPr>
        <w:t>(European Network for Health Technology Assessment (EUneHTA), 2015)</w:t>
      </w:r>
      <w:r w:rsidRPr="00642AB3">
        <w:fldChar w:fldCharType="end"/>
      </w:r>
      <w:r w:rsidRPr="00642AB3">
        <w:t xml:space="preserve">. Others recommend that the new technology is compared against all alternatives for the condition </w:t>
      </w:r>
      <w:r w:rsidRPr="00642AB3">
        <w:fldChar w:fldCharType="begin" w:fldLock="1"/>
      </w:r>
      <w:r w:rsidR="00A33BA4">
        <w:instrText>ADDIN CSL_CITATION {"citationItems":[{"id":"ITEM-1","itemData":{"author":[{"dropping-particle":"","family":"NICE International","given":"","non-dropping-particle":"","parse-names":false,"suffix":""}],"container-title":"Bill and Melinda Gates Foundation Methods for Economic Evaluation Project (MEEP)","id":"ITEM-1","issue":"January","issued":{"date-parts":[["2014"]]},"number-of-pages":"30-33","title":"Methods for Economic Evaluation Project: Final Report","type":"report"},"uris":["http://www.mendeley.com/documents/?uuid=72af4fb1-6d31-3c01-bc40-a1dbae091c33"]}],"mendeley":{"formattedCitation":"(NICE International, 2014)","plainTextFormattedCitation":"(NICE International, 2014)","previouslyFormattedCitation":"(NICE International, 2014)"},"properties":{"noteIndex":0},"schema":"https://github.com/citation-style-language/schema/raw/master/csl-citation.json"}</w:instrText>
      </w:r>
      <w:r w:rsidRPr="00642AB3">
        <w:fldChar w:fldCharType="separate"/>
      </w:r>
      <w:r w:rsidRPr="00642AB3">
        <w:rPr>
          <w:noProof/>
        </w:rPr>
        <w:t>(NICE International, 2014)</w:t>
      </w:r>
      <w:r w:rsidRPr="00642AB3">
        <w:fldChar w:fldCharType="end"/>
      </w:r>
      <w:r w:rsidRPr="00642AB3">
        <w:t xml:space="preserve"> </w:t>
      </w:r>
      <w:r w:rsidRPr="00642AB3">
        <w:fldChar w:fldCharType="begin" w:fldLock="1"/>
      </w:r>
      <w:r w:rsidR="00A33BA4">
        <w:instrText>ADDIN CSL_CITATION {"citationItems":[{"id":"ITEM-1","itemData":{"ISBN":"978-0-19-852945-3","ISSN":"1091-4358","PMID":"11967406","author":[{"dropping-particle":"","family":"Drummond","given":"M","non-dropping-particle":"","parse-names":false,"suffix":""},{"dropping-particle":"","family":"Stoddard","given":"Greg L","non-dropping-particle":"","parse-names":false,"suffix":""},{"dropping-particle":"","family":"Torrance","given":"George W","non-dropping-particle":"","parse-names":false,"suffix":""}],"container-title":"Methods for the Economic Evaluation of Health Care Programmes","id":"ITEM-1","issued":{"date-parts":[["2005"]]},"title":"Methods for the economic evaluation of health care programmes","type":"book"},"uris":["http://www.mendeley.com/documents/?uuid=8ed7fa5f-7555-4fd8-bc1e-5f76d04a37ff"]}],"mendeley":{"formattedCitation":"(M. Drummond et al., 2005)","plainTextFormattedCitation":"(M. Drummond et al., 2005)","previouslyFormattedCitation":"(M. Drummond et al., 2005)"},"properties":{"noteIndex":0},"schema":"https://github.com/citation-style-language/schema/raw/master/csl-citation.json"}</w:instrText>
      </w:r>
      <w:r w:rsidRPr="00642AB3">
        <w:fldChar w:fldCharType="separate"/>
      </w:r>
      <w:r w:rsidRPr="00642AB3">
        <w:rPr>
          <w:noProof/>
        </w:rPr>
        <w:t>(M. Drummond et al., 2005)</w:t>
      </w:r>
      <w:r w:rsidRPr="00642AB3">
        <w:fldChar w:fldCharType="end"/>
      </w:r>
      <w:r w:rsidRPr="00642AB3">
        <w:t xml:space="preserve"> </w:t>
      </w:r>
      <w:r w:rsidRPr="00642AB3">
        <w:fldChar w:fldCharType="begin" w:fldLock="1"/>
      </w:r>
      <w:r w:rsidR="00A33BA4">
        <w:instrText>ADDIN CSL_CITATION {"citationItems":[{"id":"ITEM-1","itemData":{"DOI":"10.1093/acprof:oso/9780190492939.001.0001","ISBN":"9780190492939","abstract":"This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Press","publisher-place":"Oxford","title":"Designing a Cost-Effectiveness Analysis","type":"chapter"},"uris":["http://www.mendeley.com/documents/?uuid=5008afc6-8cab-3f7d-94d0-c4aadfc9796e"]}],"mendeley":{"formattedCitation":"(Owens et al., 2016)","plainTextFormattedCitation":"(Owens et al., 2016)","previouslyFormattedCitation":"(Owens et al., 2016)"},"properties":{"noteIndex":0},"schema":"https://github.com/citation-style-language/schema/raw/master/csl-citation.json"}</w:instrText>
      </w:r>
      <w:r w:rsidRPr="00642AB3">
        <w:fldChar w:fldCharType="separate"/>
      </w:r>
      <w:r w:rsidRPr="00642AB3">
        <w:rPr>
          <w:noProof/>
        </w:rPr>
        <w:t>(Owens et al., 2016)</w:t>
      </w:r>
      <w:r w:rsidRPr="00642AB3">
        <w:fldChar w:fldCharType="end"/>
      </w:r>
      <w:r w:rsidRPr="00642AB3">
        <w:t xml:space="preserve"> </w:t>
      </w:r>
      <w:r w:rsidRPr="00642AB3">
        <w:fldChar w:fldCharType="begin" w:fldLock="1"/>
      </w:r>
      <w:r w:rsidR="00A33BA4">
        <w:instrText>ADDIN CSL_CITATION {"citationItems":[{"id":"ITEM-1","itemData":{"DOI":"10.1016/j.jval.2012.06.012","ISBN":"1524-4733","ISSN":"1524-4733","PMID":"22999128","abstract":"Thee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Health","id":"ITEM-1","issued":{"date-parts":[["2012"]]},"page":"804-811","title":"Conceptualizing a Model: A Report of the ISPOR-SMDM Modeling Good Research Practices Task Force-2","type":"article-journal","volume":"15"},"uris":["http://www.mendeley.com/documents/?uuid=d6058f98-c577-37fc-9309-1ea31daea085"]}],"mendeley":{"formattedCitation":"(Roberts et al., 2012)","plainTextFormattedCitation":"(Roberts et al., 2012)","previouslyFormattedCitation":"(Roberts et al., 2012)"},"properties":{"noteIndex":0},"schema":"https://github.com/citation-style-language/schema/raw/master/csl-citation.json"}</w:instrText>
      </w:r>
      <w:r w:rsidRPr="00642AB3">
        <w:fldChar w:fldCharType="separate"/>
      </w:r>
      <w:r w:rsidRPr="00642AB3">
        <w:rPr>
          <w:noProof/>
        </w:rPr>
        <w:t>(Roberts et al., 2012)</w:t>
      </w:r>
      <w:r w:rsidRPr="00642AB3">
        <w:fldChar w:fldCharType="end"/>
      </w:r>
      <w:r w:rsidRPr="00642AB3">
        <w:t xml:space="preserve">. The NICE Guideline recommends that all potentially relevant options to the technology (termed ‘comparators’) should be identified at the scoping stage, and taken forward to the analysis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642AB3">
        <w:fldChar w:fldCharType="separate"/>
      </w:r>
      <w:r w:rsidRPr="00642AB3">
        <w:rPr>
          <w:noProof/>
        </w:rPr>
        <w:t>(National Institute for Health and Care Excellence (NICE), 2013)</w:t>
      </w:r>
      <w:r w:rsidRPr="00642AB3">
        <w:fldChar w:fldCharType="end"/>
      </w:r>
      <w:r w:rsidRPr="00642AB3">
        <w:t xml:space="preserve">. The CADTH Guideline distinguishes the situation where a new technology is under evaluation for a reimbursement decision, where the other decision options are the technologies that could be replaced, from the situation where the objective is to identify the most efficient way of managing a condition, where all decision options should be included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Canada","type":"article-journal"},"uris":["http://www.mendeley.com/documents/?uuid=c1edb1ae-e4b3-3ad4-9c48-be7c245913bf"]}],"mendeley":{"formattedCitation":"(Canadian Agency for Drugs and Technologies in Health, 2017)","plainTextFormattedCitation":"(Canadian Agency for Drugs and Technologies in Health, 2017)","previouslyFormattedCitation":"(Canadian Agency for Drugs and Technologies in Health, 2017)"},"properties":{"noteIndex":0},"schema":"https://github.com/citation-style-language/schema/raw/master/csl-citation.json"}</w:instrText>
      </w:r>
      <w:r w:rsidRPr="00642AB3">
        <w:fldChar w:fldCharType="separate"/>
      </w:r>
      <w:r w:rsidRPr="00642AB3">
        <w:rPr>
          <w:noProof/>
        </w:rPr>
        <w:t>(Canadian Agency for Drugs and Technologies in Health, 2017)</w:t>
      </w:r>
      <w:r w:rsidRPr="00642AB3">
        <w:fldChar w:fldCharType="end"/>
      </w:r>
      <w:r w:rsidRPr="00642AB3">
        <w:t xml:space="preserve">. </w:t>
      </w:r>
    </w:p>
    <w:p w14:paraId="028C522A" w14:textId="6B368A7A" w:rsidR="00367E3D" w:rsidRPr="00642AB3" w:rsidRDefault="00367E3D" w:rsidP="00D35786">
      <w:pPr>
        <w:spacing w:line="480" w:lineRule="auto"/>
      </w:pPr>
      <w:r w:rsidRPr="00642AB3">
        <w:t xml:space="preserve">All guidelines recommend that </w:t>
      </w:r>
      <w:r w:rsidR="00451BA3">
        <w:t>“</w:t>
      </w:r>
      <w:r w:rsidRPr="00642AB3">
        <w:t>do</w:t>
      </w:r>
      <w:r w:rsidR="00451BA3">
        <w:t>-</w:t>
      </w:r>
      <w:r w:rsidRPr="00642AB3">
        <w:t>nothing</w:t>
      </w:r>
      <w:r w:rsidR="00451BA3">
        <w:t>”</w:t>
      </w:r>
      <w:r w:rsidRPr="00642AB3">
        <w:t xml:space="preserve"> approaches (also referred as best supportive care) should be included. Most guidelines specify routine care and the technologies available</w:t>
      </w:r>
      <w:r w:rsidR="00702DD9">
        <w:t xml:space="preserve"> at the time of the economic evaluation</w:t>
      </w:r>
      <w:r w:rsidRPr="00642AB3">
        <w:t xml:space="preserve">. Other decision options suggested by one or more documents are: technologies in sequences, the technology most likely to be replaced, technologies in different intensities, treatment continuation rules, the technology considered best practice, technologies available in the near future, co-dependent technologies (e.g. new technology with companion diagnostic test in a subpopulation or without companion diagnostic test in a broader population), and technologies in combination. </w:t>
      </w:r>
    </w:p>
    <w:p w14:paraId="51BD338E" w14:textId="12FA1F7D" w:rsidR="00367E3D" w:rsidRPr="00642AB3" w:rsidRDefault="00367E3D" w:rsidP="00D35786">
      <w:pPr>
        <w:spacing w:line="480" w:lineRule="auto"/>
      </w:pPr>
      <w:r w:rsidRPr="00642AB3">
        <w:lastRenderedPageBreak/>
        <w:t>The EUnetHTA Guideline recommends standard care as the alternative to the new technology. To inform this recommendation, a review of the guidelines in the EUnetHTA members was conducted. This review found some variation: five countries recommend that all options in the efficiency frontier should be compared (Belgium, France, Germany, Norway if standard care is not cost-effective, Slovenia), seven countries recommend that the new technology should be compared against all alternatives in routine use (Croatia, Czech Republic, England, Ireland, Italy, Russia, Scotland), three countries also consider alternatives recommended by the HTA process or in the reimbursement list (Czech Republic, England, Russia), three countries recommend that the new technology is recommended against one single alternative considered to be best practice or the most effective (Croatia, Finland, and Spain), ten countries recommend that the new technology is compared against one single alternative considered to be standard care (Estonia &amp; Latvia, Ireland, Norway, The Netherlands, Poland, Portugal, Slovakia, Sweden, Switzerland).</w:t>
      </w:r>
    </w:p>
    <w:p w14:paraId="6D5ECD60" w14:textId="12C46298" w:rsidR="00367E3D" w:rsidRPr="00642AB3" w:rsidRDefault="00367E3D" w:rsidP="00451BA3">
      <w:pPr>
        <w:pStyle w:val="Heading3"/>
      </w:pPr>
      <w:bookmarkStart w:id="16" w:name="_Toc48925892"/>
      <w:r w:rsidRPr="00642AB3">
        <w:t xml:space="preserve">Selection </w:t>
      </w:r>
      <w:proofErr w:type="gramStart"/>
      <w:r w:rsidR="00392021" w:rsidRPr="00642AB3">
        <w:t>Of</w:t>
      </w:r>
      <w:proofErr w:type="gramEnd"/>
      <w:r w:rsidR="00392021" w:rsidRPr="00642AB3">
        <w:t xml:space="preserve"> Decision Options</w:t>
      </w:r>
      <w:bookmarkEnd w:id="16"/>
    </w:p>
    <w:p w14:paraId="4B1AE5D2" w14:textId="10E2835F" w:rsidR="00367E3D" w:rsidRPr="00642AB3" w:rsidRDefault="00367E3D" w:rsidP="00D35786">
      <w:pPr>
        <w:spacing w:line="480" w:lineRule="auto"/>
      </w:pPr>
      <w:r w:rsidRPr="00642AB3">
        <w:t>Six guidelines recommend that analysts first identify all alternatives to address the decision problem, then to select the relevant options to be evaluated</w:t>
      </w:r>
      <w:r w:rsidR="00451BA3">
        <w:t xml:space="preserve">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Canada","type":"article-journal"},"uris":["http://www.mendeley.com/documents/?uuid=c1edb1ae-e4b3-3ad4-9c48-be7c245913bf"]},{"id":"ITEM-2","itemData":{"author":[{"dropping-particle":"","family":"European Network for Health Technology Assessment (EUneHTA)","given":"","non-dropping-particle":"","parse-names":false,"suffix":""}],"id":"ITEM-2","issued":{"date-parts":[["2015"]]},"number-of-pages":"100","title":"Methods for health economic evaluations -A guideline based on current practices in Europe","type":"report"},"uris":["http://www.mendeley.com/documents/?uuid=82316c6b-dca8-3243-bc63-c6556a5e0a10"]},{"id":"ITEM-3","itemData":{"author":[{"dropping-particle":"","family":"Drummond","given":"Michael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W.","non-dropping-particle":"","parse-names":false,"suffix":""}],"edition":"4th","id":"ITEM-3","issued":{"date-parts":[["2015"]]},"number-of-pages":"464","publisher":"Oxford University Press","publisher-place":"Oxford","title":"Methods for the Economic Evaluation of Health Care Programmes","type":"book"},"uris":["http://www.mendeley.com/documents/?uuid=bfcbd1b8-6b05-4fe8-a3fd-fb1cbb802fd7"]},{"id":"ITEM-4","itemData":{"DOI":"10.1093/acprof:oso/9780190492939.001.0001","ISBN":"9780190492939","abstract":"This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D","non-dropping-particle":"","parse-names":false,"suffix":""}],"id":"ITEM-4","issued":{"date-parts":[["2016"]]},"publisher":"Oxford University Press","publisher-place":"Oxford","title":"Designing a Cost-Effectiveness Analysis","type":"chapter"},"uris":["http://www.mendeley.com/documents/?uuid=5008afc6-8cab-3f7d-94d0-c4aadfc9796e"]},{"id":"ITEM-5","itemData":{"DOI":"10.1016/j.jval.2012.06.012","ISBN":"1524-4733","ISSN":"1524-4733","PMID":"22999128","abstract":"Thee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Health","id":"ITEM-5","issued":{"date-parts":[["2012"]]},"page":"804-811","title":"Conceptualizing a Model: A Report of the ISPOR-SMDM Modeling Good Research Practices Task Force-2","type":"article-journal","volume":"15"},"uris":["http://www.mendeley.com/documents/?uuid=d6058f98-c577-37fc-9309-1ea31daea085"]}],"mendeley":{"formattedCitation":"(Canadian Agency for Drugs and Technologies in Health, 2017; M. F. Drummond et al., 2015; European Network for Health Technology Assessment (EUneHTA), 2015; Owens et al., 2016; Roberts et al., 2012)","plainTextFormattedCitation":"(Canadian Agency for Drugs and Technologies in Health, 2017; M. F. Drummond et al., 2015; European Network for Health Technology Assessment (EUneHTA), 2015; Owens et al., 2016; Roberts et al., 2012)","previouslyFormattedCitation":"(Canadian Agency for Drugs and Technologies in Health, 2017; M. F. Drummond et al., 2015; European Network for Health Technology Assessment (EUneHTA), 2015; Owens et al., 2016; Roberts et al., 2012)"},"properties":{"noteIndex":0},"schema":"https://github.com/citation-style-language/schema/raw/master/csl-citation.json"}</w:instrText>
      </w:r>
      <w:r w:rsidRPr="00642AB3">
        <w:fldChar w:fldCharType="separate"/>
      </w:r>
      <w:r w:rsidRPr="00642AB3">
        <w:rPr>
          <w:noProof/>
        </w:rPr>
        <w:t>(Canadian Agency for Drugs and Technologies in Health, 2017; M. F. Drummond et al., 2015; European Network for Health Technology Assessment (EUneHTA), 2015; Owens et al., 2016; Roberts et al., 2012)</w:t>
      </w:r>
      <w:r w:rsidRPr="00642AB3">
        <w:fldChar w:fldCharType="end"/>
      </w:r>
      <w:r w:rsidRPr="00642AB3">
        <w:t xml:space="preserve">. In the NICE process, the committee has the role of selecting the most appropriate decision options to compare to the new technology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642AB3">
        <w:fldChar w:fldCharType="separate"/>
      </w:r>
      <w:r w:rsidRPr="00642AB3">
        <w:rPr>
          <w:noProof/>
        </w:rPr>
        <w:t>(National Institute for Health and Care Excellence (NICE), 2013)</w:t>
      </w:r>
      <w:r w:rsidRPr="00642AB3">
        <w:fldChar w:fldCharType="end"/>
      </w:r>
      <w:r w:rsidRPr="00642AB3">
        <w:t>. Across the guidelines</w:t>
      </w:r>
      <w:r w:rsidR="00F2724D">
        <w:t>,</w:t>
      </w:r>
      <w:r w:rsidRPr="00642AB3">
        <w:t xml:space="preserve"> the criteria for selection include relevance to clinical practice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642AB3">
        <w:fldChar w:fldCharType="separate"/>
      </w:r>
      <w:r w:rsidRPr="00642AB3">
        <w:rPr>
          <w:noProof/>
        </w:rPr>
        <w:t>(National Institute for Health and Care Excellence (NICE), 2013)</w:t>
      </w:r>
      <w:r w:rsidRPr="00642AB3">
        <w:fldChar w:fldCharType="end"/>
      </w:r>
      <w:r w:rsidRPr="00642AB3">
        <w:t xml:space="preserve">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Canada","type":"article-journal"},"uris":["http://www.mendeley.com/documents/?uuid=c1edb1ae-e4b3-3ad4-9c48-be7c245913bf"]}],"mendeley":{"formattedCitation":"(Canadian Agency for Drugs and Technologies in Health, 2017)","plainTextFormattedCitation":"(Canadian Agency for Drugs and Technologies in Health, 2017)","previouslyFormattedCitation":"(Canadian Agency for Drugs and Technologies in Health, 2017)"},"properties":{"noteIndex":0},"schema":"https://github.com/citation-style-language/schema/raw/master/csl-citation.json"}</w:instrText>
      </w:r>
      <w:r w:rsidRPr="00642AB3">
        <w:fldChar w:fldCharType="separate"/>
      </w:r>
      <w:r w:rsidRPr="00642AB3">
        <w:rPr>
          <w:noProof/>
        </w:rPr>
        <w:t>(Canadian Agency for Drugs and Technologies in Health, 2017)</w:t>
      </w:r>
      <w:r w:rsidRPr="00642AB3">
        <w:fldChar w:fldCharType="end"/>
      </w:r>
      <w:r w:rsidRPr="00642AB3">
        <w:t xml:space="preserve"> </w:t>
      </w:r>
      <w:r w:rsidRPr="00642AB3">
        <w:fldChar w:fldCharType="begin" w:fldLock="1"/>
      </w:r>
      <w:r w:rsidR="00A33BA4">
        <w:instrText>ADDIN CSL_CITATION {"citationItems":[{"id":"ITEM-1","itemData":{"author":[{"dropping-particle":"","family":"European Network for Health Technology Assessment (EUneHTA)","given":"","non-dropping-particle":"","parse-names":false,"suffix":""}],"id":"ITEM-1","issued":{"date-parts":[["2015"]]},"number-of-pages":"100","title":"Methods for health economic evaluations -A guideline based on current practices in Europe","type":"report"},"uris":["http://www.mendeley.com/documents/?uuid=82316c6b-dca8-3243-bc63-c6556a5e0a10"]}],"mendeley":{"formattedCitation":"(European Network for Health Technology Assessment (EUneHTA), 2015)","plainTextFormattedCitation":"(European Network for Health Technology Assessment (EUneHTA), 2015)","previouslyFormattedCitation":"(European Network for Health Technology Assessment (EUneHTA), 2015)"},"properties":{"noteIndex":0},"schema":"https://github.com/citation-style-language/schema/raw/master/csl-citation.json"}</w:instrText>
      </w:r>
      <w:r w:rsidRPr="00642AB3">
        <w:fldChar w:fldCharType="separate"/>
      </w:r>
      <w:r w:rsidRPr="00642AB3">
        <w:rPr>
          <w:noProof/>
        </w:rPr>
        <w:t>(European Network for Health Technology Assessment (EUneHTA), 2015)</w:t>
      </w:r>
      <w:r w:rsidRPr="00642AB3">
        <w:fldChar w:fldCharType="end"/>
      </w:r>
      <w:r w:rsidRPr="00642AB3">
        <w:t xml:space="preserve">, which technologies are likely to be displaced by the new technology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Canada","type":"article-journal"},"uris":["http://www.mendeley.com/documents/?uuid=c1edb1ae-e4b3-3ad4-9c48-be7c245913bf"]},{"id":"ITEM-2","itemData":{"ISBN":"9781741860009","abstract":"The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Committee","given":"","non-dropping-particle":"","parse-names":false,"suffix":""}],"id":"ITEM-2","issued":{"date-parts":[["2016"]]},"title":"Guidelines for preparing submissions to the Pharmaceutical Benefits Advisory Committee","type":"report"},"uris":["http://www.mendeley.com/documents/?uuid=57a65f32-3da3-380c-b9ea-2dc0de627f0c"]}],"mendeley":{"formattedCitation":"(Canadian Agency for Drugs and Technologies in Health, 2017; Pharmaceutical Benefits Advisory Committee, 2016)","plainTextFormattedCitation":"(Canadian Agency for Drugs and Technologies in Health, 2017; Pharmaceutical Benefits Advisory Committee, 2016)","previouslyFormattedCitation":"(Canadian Agency for Drugs and Technologies in Health, 2017; Pharmaceutical Benefits Advisory Committee, 2016)"},"properties":{"noteIndex":0},"schema":"https://github.com/citation-style-language/schema/raw/master/csl-citation.json"}</w:instrText>
      </w:r>
      <w:r w:rsidRPr="00642AB3">
        <w:fldChar w:fldCharType="separate"/>
      </w:r>
      <w:r w:rsidRPr="00642AB3">
        <w:rPr>
          <w:noProof/>
        </w:rPr>
        <w:t xml:space="preserve">(Canadian Agency for Drugs and Technologies in Health, 2017; Pharmaceutical </w:t>
      </w:r>
      <w:r w:rsidRPr="00642AB3">
        <w:rPr>
          <w:noProof/>
        </w:rPr>
        <w:lastRenderedPageBreak/>
        <w:t>Benefits Advisory Committee, 2016)</w:t>
      </w:r>
      <w:r w:rsidRPr="00642AB3">
        <w:fldChar w:fldCharType="end"/>
      </w:r>
      <w:r w:rsidRPr="00642AB3">
        <w:t xml:space="preserve">, natural history of the condition without suitable treatment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642AB3">
        <w:fldChar w:fldCharType="separate"/>
      </w:r>
      <w:r w:rsidRPr="00642AB3">
        <w:rPr>
          <w:noProof/>
        </w:rPr>
        <w:t>(National Institute for Health and Care Excellence (NICE), 2013)</w:t>
      </w:r>
      <w:r w:rsidRPr="00642AB3">
        <w:fldChar w:fldCharType="end"/>
      </w:r>
      <w:r w:rsidRPr="00642AB3">
        <w:t xml:space="preserve">, existing guidance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642AB3">
        <w:fldChar w:fldCharType="separate"/>
      </w:r>
      <w:r w:rsidRPr="00642AB3">
        <w:rPr>
          <w:noProof/>
        </w:rPr>
        <w:t>(National Institute for Health and Care Excellence (NICE), 2013)</w:t>
      </w:r>
      <w:r w:rsidRPr="00642AB3">
        <w:fldChar w:fldCharType="end"/>
      </w:r>
      <w:r w:rsidRPr="00642AB3">
        <w:t>, the licensing status</w:t>
      </w:r>
      <w:r w:rsidR="00F2724D">
        <w:t xml:space="preserve"> of the technologies</w:t>
      </w:r>
      <w:r w:rsidRPr="00642AB3">
        <w:t xml:space="preserve">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642AB3">
        <w:fldChar w:fldCharType="separate"/>
      </w:r>
      <w:r w:rsidRPr="00642AB3">
        <w:rPr>
          <w:noProof/>
        </w:rPr>
        <w:t>(National Institute for Health and Care Excellence (NICE), 2013)</w:t>
      </w:r>
      <w:r w:rsidRPr="00642AB3">
        <w:fldChar w:fldCharType="end"/>
      </w:r>
      <w:r w:rsidRPr="00642AB3">
        <w:t xml:space="preserve">, the resources for the economic evaluation </w:t>
      </w:r>
      <w:r w:rsidRPr="00642AB3">
        <w:fldChar w:fldCharType="begin" w:fldLock="1"/>
      </w:r>
      <w:r w:rsidR="00A33BA4">
        <w:instrText>ADDIN CSL_CITATION {"citationItems":[{"id":"ITEM-1","itemData":{"DOI":"10.1093/acprof:oso/9780190492939.001.0001","ISBN":"9780190492939","abstract":"This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Press","publisher-place":"Oxford","title":"Designing a Cost-Effectiveness Analysis","type":"chapter"},"uris":["http://www.mendeley.com/documents/?uuid=5008afc6-8cab-3f7d-94d0-c4aadfc9796e"]}],"mendeley":{"formattedCitation":"(Owens et al., 2016)","plainTextFormattedCitation":"(Owens et al., 2016)","previouslyFormattedCitation":"(Owens et al., 2016)"},"properties":{"noteIndex":0},"schema":"https://github.com/citation-style-language/schema/raw/master/csl-citation.json"}</w:instrText>
      </w:r>
      <w:r w:rsidRPr="00642AB3">
        <w:fldChar w:fldCharType="separate"/>
      </w:r>
      <w:r w:rsidRPr="00642AB3">
        <w:rPr>
          <w:noProof/>
        </w:rPr>
        <w:t>(Owens et al., 2016)</w:t>
      </w:r>
      <w:r w:rsidRPr="00642AB3">
        <w:fldChar w:fldCharType="end"/>
      </w:r>
      <w:r w:rsidRPr="00642AB3">
        <w:t xml:space="preserve">, the feasibility of the alternatives being used in practice </w:t>
      </w:r>
      <w:r w:rsidRPr="00642AB3">
        <w:fldChar w:fldCharType="begin" w:fldLock="1"/>
      </w:r>
      <w:r w:rsidR="00A33BA4">
        <w:instrText>ADDIN CSL_CITATION {"citationItems":[{"id":"ITEM-1","itemData":{"DOI":"10.1093/acprof:oso/9780190492939.001.0001","ISBN":"9780190492939","abstract":"This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Press","publisher-place":"Oxford","title":"Designing a Cost-Effectiveness Analysis","type":"chapter"},"uris":["http://www.mendeley.com/documents/?uuid=5008afc6-8cab-3f7d-94d0-c4aadfc9796e"]}],"mendeley":{"formattedCitation":"(Owens et al., 2016)","plainTextFormattedCitation":"(Owens et al., 2016)","previouslyFormattedCitation":"(Owens et al., 2016)"},"properties":{"noteIndex":0},"schema":"https://github.com/citation-style-language/schema/raw/master/csl-citation.json"}</w:instrText>
      </w:r>
      <w:r w:rsidRPr="00642AB3">
        <w:fldChar w:fldCharType="separate"/>
      </w:r>
      <w:r w:rsidRPr="00642AB3">
        <w:rPr>
          <w:noProof/>
        </w:rPr>
        <w:t>(Owens et al., 2016)</w:t>
      </w:r>
      <w:r w:rsidRPr="00642AB3">
        <w:fldChar w:fldCharType="end"/>
      </w:r>
      <w:r w:rsidRPr="00642AB3">
        <w:t xml:space="preserve">, the likelihood that the alternatives will be considered by decision-makers </w:t>
      </w:r>
      <w:r w:rsidRPr="00642AB3">
        <w:fldChar w:fldCharType="begin" w:fldLock="1"/>
      </w:r>
      <w:r w:rsidR="00A33BA4">
        <w:instrText>ADDIN CSL_CITATION {"citationItems":[{"id":"ITEM-1","itemData":{"DOI":"10.1093/acprof:oso/9780190492939.001.0001","ISBN":"9780190492939","abstract":"This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Press","publisher-place":"Oxford","title":"Designing a Cost-Effectiveness Analysis","type":"chapter"},"uris":["http://www.mendeley.com/documents/?uuid=5008afc6-8cab-3f7d-94d0-c4aadfc9796e"]}],"mendeley":{"formattedCitation":"(Owens et al., 2016)","plainTextFormattedCitation":"(Owens et al., 2016)","previouslyFormattedCitation":"(Owens et al., 2016)"},"properties":{"noteIndex":0},"schema":"https://github.com/citation-style-language/schema/raw/master/csl-citation.json"}</w:instrText>
      </w:r>
      <w:r w:rsidRPr="00642AB3">
        <w:fldChar w:fldCharType="separate"/>
      </w:r>
      <w:r w:rsidRPr="00642AB3">
        <w:rPr>
          <w:noProof/>
        </w:rPr>
        <w:t>(Owens et al., 2016)</w:t>
      </w:r>
      <w:r w:rsidRPr="00642AB3">
        <w:fldChar w:fldCharType="end"/>
      </w:r>
      <w:r w:rsidRPr="00642AB3">
        <w:t xml:space="preserve">, and likelihood that the alternative is cost-effective </w:t>
      </w:r>
      <w:r w:rsidRPr="00642AB3">
        <w:fldChar w:fldCharType="begin" w:fldLock="1"/>
      </w:r>
      <w:r w:rsidR="00A33BA4">
        <w:instrText>ADDIN CSL_CITATION {"citationItems":[{"id":"ITEM-1","itemData":{"author":[{"dropping-particle":"","family":"Drummond","given":"Michael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W.","non-dropping-particle":"","parse-names":false,"suffix":""}],"edition":"4th","id":"ITEM-1","issued":{"date-parts":[["2015"]]},"number-of-pages":"464","publisher":"Oxford University Press","publisher-place":"Oxford","title":"Methods for the Economic Evaluation of Health Care Programmes","type":"book"},"uris":["http://www.mendeley.com/documents/?uuid=bfcbd1b8-6b05-4fe8-a3fd-fb1cbb802fd7"]}],"mendeley":{"formattedCitation":"(M. F. Drummond et al., 2015)","plainTextFormattedCitation":"(M. F. Drummond et al., 2015)","previouslyFormattedCitation":"(M. F. Drummond et al., 2015)"},"properties":{"noteIndex":0},"schema":"https://github.com/citation-style-language/schema/raw/master/csl-citation.json"}</w:instrText>
      </w:r>
      <w:r w:rsidRPr="00642AB3">
        <w:fldChar w:fldCharType="separate"/>
      </w:r>
      <w:r w:rsidRPr="00642AB3">
        <w:rPr>
          <w:noProof/>
        </w:rPr>
        <w:t>(M. F. Drummond et al., 2015)</w:t>
      </w:r>
      <w:r w:rsidRPr="00642AB3">
        <w:fldChar w:fldCharType="end"/>
      </w:r>
      <w:r w:rsidRPr="00642AB3">
        <w:t>.</w:t>
      </w:r>
    </w:p>
    <w:p w14:paraId="1FC4FDAB" w14:textId="331188BC" w:rsidR="00367E3D" w:rsidRPr="00642AB3" w:rsidRDefault="00367E3D" w:rsidP="00451BA3">
      <w:pPr>
        <w:pStyle w:val="Heading2"/>
      </w:pPr>
      <w:bookmarkStart w:id="17" w:name="_Toc48925893"/>
      <w:r w:rsidRPr="00642AB3">
        <w:t xml:space="preserve">Practical </w:t>
      </w:r>
      <w:r w:rsidR="00392021" w:rsidRPr="00642AB3">
        <w:t>Implications</w:t>
      </w:r>
      <w:bookmarkEnd w:id="17"/>
      <w:r w:rsidR="00392021" w:rsidRPr="00642AB3">
        <w:t xml:space="preserve"> </w:t>
      </w:r>
    </w:p>
    <w:p w14:paraId="19D1F463" w14:textId="0EFF2416" w:rsidR="00367E3D" w:rsidRPr="00642AB3" w:rsidRDefault="00367E3D" w:rsidP="00C0402E">
      <w:pPr>
        <w:pStyle w:val="Heading3"/>
      </w:pPr>
      <w:bookmarkStart w:id="18" w:name="_Toc48925894"/>
      <w:r w:rsidRPr="00642AB3">
        <w:t xml:space="preserve">Should </w:t>
      </w:r>
      <w:r w:rsidR="00392021" w:rsidRPr="00642AB3">
        <w:t xml:space="preserve">Economic Evaluations Compare </w:t>
      </w:r>
      <w:proofErr w:type="gramStart"/>
      <w:r w:rsidR="00392021" w:rsidRPr="00642AB3">
        <w:t>The</w:t>
      </w:r>
      <w:proofErr w:type="gramEnd"/>
      <w:r w:rsidR="00392021" w:rsidRPr="00642AB3">
        <w:t xml:space="preserve"> New Technology Only To Standard Care?</w:t>
      </w:r>
      <w:bookmarkEnd w:id="18"/>
    </w:p>
    <w:p w14:paraId="63A4696E" w14:textId="3410F779" w:rsidR="00367E3D" w:rsidRPr="00642AB3" w:rsidRDefault="00367E3D" w:rsidP="00D35786">
      <w:pPr>
        <w:spacing w:line="480" w:lineRule="auto"/>
      </w:pPr>
      <w:r w:rsidRPr="00642AB3">
        <w:t xml:space="preserve">Some guidelines recommend that the new technology is only compared against the alternative considered to be standard care </w:t>
      </w:r>
      <w:r w:rsidRPr="00642AB3">
        <w:fldChar w:fldCharType="begin" w:fldLock="1"/>
      </w:r>
      <w:r w:rsidR="00A33BA4">
        <w:instrText>ADDIN CSL_CITATION {"citationItems":[{"id":"ITEM-1","itemData":{"ISBN":"9781741860009","abstract":"The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Committee","given":"","non-dropping-particle":"","parse-names":false,"suffix":""}],"id":"ITEM-1","issued":{"date-parts":[["2016"]]},"title":"Guidelines for preparing submissions to the Pharmaceutical Benefits Advisory Committee","type":"report"},"uris":["http://www.mendeley.com/documents/?uuid=57a65f32-3da3-380c-b9ea-2dc0de627f0c"]}],"mendeley":{"formattedCitation":"(Pharmaceutical Benefits Advisory Committee, 2016)","plainTextFormattedCitation":"(Pharmaceutical Benefits Advisory Committee, 2016)","previouslyFormattedCitation":"(Pharmaceutical Benefits Advisory Committee, 2016)"},"properties":{"noteIndex":0},"schema":"https://github.com/citation-style-language/schema/raw/master/csl-citation.json"}</w:instrText>
      </w:r>
      <w:r w:rsidRPr="00642AB3">
        <w:fldChar w:fldCharType="separate"/>
      </w:r>
      <w:r w:rsidRPr="00642AB3">
        <w:rPr>
          <w:noProof/>
        </w:rPr>
        <w:t>(Pharmaceutical Benefits Advisory Committee, 2016)</w:t>
      </w:r>
      <w:r w:rsidRPr="00642AB3">
        <w:fldChar w:fldCharType="end"/>
      </w:r>
      <w:r w:rsidRPr="00642AB3">
        <w:t xml:space="preserve"> </w:t>
      </w:r>
      <w:r w:rsidRPr="00642AB3">
        <w:fldChar w:fldCharType="begin" w:fldLock="1"/>
      </w:r>
      <w:r w:rsidR="00A33BA4">
        <w:instrText>ADDIN CSL_CITATION {"citationItems":[{"id":"ITEM-1","itemData":{"author":[{"dropping-particle":"","family":"European Network for Health Technology Assessment (EUneHTA)","given":"","non-dropping-particle":"","parse-names":false,"suffix":""}],"id":"ITEM-1","issued":{"date-parts":[["2015"]]},"number-of-pages":"100","title":"Methods for health economic evaluations -A guideline based on current practices in Europe","type":"report"},"uris":["http://www.mendeley.com/documents/?uuid=82316c6b-dca8-3243-bc63-c6556a5e0a10"]}],"mendeley":{"formattedCitation":"(European Network for Health Technology Assessment (EUneHTA), 2015)","plainTextFormattedCitation":"(European Network for Health Technology Assessment (EUneHTA), 2015)","previouslyFormattedCitation":"(European Network for Health Technology Assessment (EUneHTA), 2015)"},"properties":{"noteIndex":0},"schema":"https://github.com/citation-style-language/schema/raw/master/csl-citation.json"}</w:instrText>
      </w:r>
      <w:r w:rsidRPr="00642AB3">
        <w:fldChar w:fldCharType="separate"/>
      </w:r>
      <w:r w:rsidRPr="00642AB3">
        <w:rPr>
          <w:noProof/>
        </w:rPr>
        <w:t>(European Network for Health Technology Assessment (EUneHTA), 2015)</w:t>
      </w:r>
      <w:r w:rsidRPr="00642AB3">
        <w:fldChar w:fldCharType="end"/>
      </w:r>
      <w:r w:rsidRPr="00642AB3">
        <w:t xml:space="preserve">. Comparing the new technology against standard care has the advantage of directly informing the decision of whether to replace standard care by the new technology and simplifies the economic evaluation. However, comparing the new technology against standard care may lead to biased results if standard care does not consist of the cost-effective course of action in the absence of the new technology. </w:t>
      </w:r>
    </w:p>
    <w:p w14:paraId="1BCCDEBB" w14:textId="136CF344" w:rsidR="00367E3D" w:rsidRPr="00642AB3" w:rsidRDefault="00367E3D" w:rsidP="00D35786">
      <w:pPr>
        <w:spacing w:line="480" w:lineRule="auto"/>
      </w:pPr>
      <w:r w:rsidRPr="00642AB3">
        <w:t xml:space="preserve">Standard care may not be cost-effective if the intervention used as standard care is not the cost-effective option among those available, or if standard care includes the use of a variety of options. In this situation, some economic evaluations define a hypothetical decision option that comprises the outcomes and costs of each option, weighted by their use – this is known as a blended comparator. A blended comparator is appropriate only if it can be assumed that the options in the blended comparator will be displaced in the same proportion as their </w:t>
      </w:r>
      <w:r w:rsidRPr="00642AB3">
        <w:lastRenderedPageBreak/>
        <w:t xml:space="preserve">current use </w:t>
      </w:r>
      <w:r w:rsidRPr="00642AB3">
        <w:fldChar w:fldCharType="begin" w:fldLock="1"/>
      </w:r>
      <w:r w:rsidR="00A33BA4">
        <w:instrText>ADDIN CSL_CITATION {"citationItems":[{"id":"ITEM-1","itemData":{"author":[{"dropping-particle":"","family":"Wailoo","given":"Allan","non-dropping-particle":"","parse-names":false,"suffix":""},{"dropping-particle":"","family":"Trowman","given":"Rebecca","non-dropping-particle":"","parse-names":false,"suffix":""},{"dropping-particle":"","family":"Stevens","given":"Andrew","non-dropping-particle":"","parse-names":false,"suffix":""}],"id":"ITEM-1","issued":{"date-parts":[["0"]]},"title":"Briefing paper for methods review working party on choosing comparators","type":"report"},"uris":["http://www.mendeley.com/documents/?uuid=f300079c-1381-33bb-bb9d-ba258d983424"]}],"mendeley":{"formattedCitation":"(Wailoo, Trowman, &amp; Stevens, n.d.)","plainTextFormattedCitation":"(Wailoo, Trowman, &amp; Stevens, n.d.)","previouslyFormattedCitation":"(Wailoo, Trowman, &amp; Stevens, n.d.)"},"properties":{"noteIndex":0},"schema":"https://github.com/citation-style-language/schema/raw/master/csl-citation.json"}</w:instrText>
      </w:r>
      <w:r w:rsidRPr="00642AB3">
        <w:fldChar w:fldCharType="separate"/>
      </w:r>
      <w:r w:rsidRPr="00642AB3">
        <w:rPr>
          <w:noProof/>
        </w:rPr>
        <w:t>(Wailoo, Trowman, &amp; Stevens, n.d.)</w:t>
      </w:r>
      <w:r w:rsidRPr="00642AB3">
        <w:fldChar w:fldCharType="end"/>
      </w:r>
      <w:r w:rsidRPr="00642AB3">
        <w:t xml:space="preserve">. If this is not the case, a blended comparator may lead to biased results as it is necessarily not cost-effective compared to the cost-effective option in its blend. </w:t>
      </w:r>
    </w:p>
    <w:p w14:paraId="2D0D5E7A" w14:textId="241C1DD1" w:rsidR="00367E3D" w:rsidRPr="00642AB3" w:rsidRDefault="00367E3D" w:rsidP="00D35786">
      <w:pPr>
        <w:spacing w:line="480" w:lineRule="auto"/>
      </w:pPr>
      <w:r w:rsidRPr="00642AB3">
        <w:t xml:space="preserve">Another issue of comparing a new technology only with the standard care is that standard care may be in flux as new technologies are adopted into practice. If the economic evaluations only consider the technologies available at the time, their relevance may be short-lived. Furthermore, by not comparing technologies directly, the technology which entered the market first may benefit from a positive recommendation even if it is not cost-effective compared to technologies that entered the market subsequently. To avoid this limitation, Canada’s Guideline recommends including technologies likely to be available in the near future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Canada","type":"article-journal"},"uris":["http://www.mendeley.com/documents/?uuid=c1edb1ae-e4b3-3ad4-9c48-be7c245913bf"]}],"mendeley":{"formattedCitation":"(Canadian Agency for Drugs and Technologies in Health, 2017)","plainTextFormattedCitation":"(Canadian Agency for Drugs and Technologies in Health, 2017)","previouslyFormattedCitation":"(Canadian Agency for Drugs and Technologies in Health, 2017)"},"properties":{"noteIndex":0},"schema":"https://github.com/citation-style-language/schema/raw/master/csl-citation.json"}</w:instrText>
      </w:r>
      <w:r w:rsidRPr="00642AB3">
        <w:fldChar w:fldCharType="separate"/>
      </w:r>
      <w:r w:rsidRPr="00642AB3">
        <w:rPr>
          <w:noProof/>
        </w:rPr>
        <w:t>(Canadian Agency for Drugs and Technologies in Health, 2017)</w:t>
      </w:r>
      <w:r w:rsidRPr="00642AB3">
        <w:fldChar w:fldCharType="end"/>
      </w:r>
      <w:r w:rsidRPr="00642AB3">
        <w:t xml:space="preserve">. The challenge is that effectiveness studies may not have reported yet or their results are not available to analysts. </w:t>
      </w:r>
    </w:p>
    <w:p w14:paraId="10ABBF73" w14:textId="50D599BD" w:rsidR="00367E3D" w:rsidRPr="00642AB3" w:rsidRDefault="00367E3D" w:rsidP="00451BA3">
      <w:pPr>
        <w:pStyle w:val="Heading3"/>
      </w:pPr>
      <w:bookmarkStart w:id="19" w:name="_Toc48925895"/>
      <w:r w:rsidRPr="00642AB3">
        <w:t xml:space="preserve">How </w:t>
      </w:r>
      <w:proofErr w:type="gramStart"/>
      <w:r w:rsidR="00392021" w:rsidRPr="00642AB3">
        <w:t>To</w:t>
      </w:r>
      <w:proofErr w:type="gramEnd"/>
      <w:r w:rsidR="00392021" w:rsidRPr="00642AB3">
        <w:t xml:space="preserve"> Identify And Select The Relevant Decision Options?</w:t>
      </w:r>
      <w:bookmarkEnd w:id="19"/>
    </w:p>
    <w:p w14:paraId="03E7EB46" w14:textId="2F56CF51" w:rsidR="00367E3D" w:rsidRPr="00642AB3" w:rsidRDefault="00367E3D" w:rsidP="00D35786">
      <w:pPr>
        <w:spacing w:line="480" w:lineRule="auto"/>
      </w:pPr>
      <w:r w:rsidRPr="00642AB3">
        <w:t xml:space="preserve">To know which option is cost-effective, that is, the decision option which offers the most benefits net of the benefits forgone due to the opportunity cost, one would ideally compare all relevant options. Applying this principle in practice can be challenging. The first challenge is how to identify all options, given that there may be many possible ways of using the new technology. The types of options mentioned in the guidance documents provide a starting point: standard care, the technologies currently available, the technologies available in the near future, technologies in sequences, co-dependent technologies, technologies in combination, do nothing approaches, technologies in different intensities and different treatment continuation rules. </w:t>
      </w:r>
    </w:p>
    <w:p w14:paraId="5CFE36AA" w14:textId="2CAB75EE" w:rsidR="00367E3D" w:rsidRPr="00642AB3" w:rsidRDefault="00367E3D" w:rsidP="00D35786">
      <w:pPr>
        <w:spacing w:line="480" w:lineRule="auto"/>
      </w:pPr>
      <w:r w:rsidRPr="00642AB3">
        <w:t xml:space="preserve">The second challenge is in selecting the relevant decision options for inclusion in the evaluation once all options were identified. Apart from excluding options on the basis of </w:t>
      </w:r>
      <w:r w:rsidRPr="00642AB3">
        <w:lastRenderedPageBreak/>
        <w:t xml:space="preserve">prior evidence that such options are not cost-effective, all other criteria may result in a cost-effective option being excluded from the economic evaluation. Conversely, including all possible options may be unfeasible within the resource constraints of the evaluation. </w:t>
      </w:r>
    </w:p>
    <w:p w14:paraId="61ADC93F" w14:textId="2180FEE6" w:rsidR="00367E3D" w:rsidRPr="00642AB3" w:rsidRDefault="00367E3D" w:rsidP="00D35786">
      <w:pPr>
        <w:spacing w:line="480" w:lineRule="auto"/>
      </w:pPr>
      <w:r w:rsidRPr="00642AB3">
        <w:t xml:space="preserve">The next challenge is analytical. A consequence of aiming to include all relevant options is that it may lead to a large number of options being compared, which increases the demands on parameterisation and model programming. </w:t>
      </w:r>
      <w:r w:rsidR="00ED1D0C">
        <w:t xml:space="preserve">The results of an economic evaluation with a large number of options are harder to interpret and validate by analysts, as well as by stakeholders and decision-makers. </w:t>
      </w:r>
    </w:p>
    <w:p w14:paraId="606CAB38" w14:textId="062B7211" w:rsidR="00367E3D" w:rsidRPr="00642AB3" w:rsidRDefault="00367E3D" w:rsidP="00D35786">
      <w:pPr>
        <w:spacing w:line="480" w:lineRule="auto"/>
      </w:pPr>
      <w:r w:rsidRPr="00642AB3">
        <w:t>The downside of not comparing all relevant options is the risk of biasing the results of the economic evaluation. In the economic evaluation of direct acting antivirals for hepatitis C, the net benefit of the cost-effective single line option for people with chronic hepatitis C viral genotype 4 was 10.20</w:t>
      </w:r>
      <w:r w:rsidR="00ED1D0C">
        <w:t xml:space="preserve"> quality-adjusted life years</w:t>
      </w:r>
      <w:r w:rsidRPr="00642AB3">
        <w:t xml:space="preserve"> (</w:t>
      </w:r>
      <w:r w:rsidR="00ED1D0C">
        <w:t xml:space="preserve">QALYs, </w:t>
      </w:r>
      <w:r w:rsidRPr="00642AB3">
        <w:t xml:space="preserve">at a cost-effectiveness threshold of £20,000/QALY and using list prices) </w:t>
      </w:r>
      <w:r w:rsidRPr="00642AB3">
        <w:fldChar w:fldCharType="begin" w:fldLock="1"/>
      </w:r>
      <w:r w:rsidR="00A33BA4">
        <w:instrText>ADDIN CSL_CITATION {"citationItems":[{"id":"ITEM-1","itemData":{"DOI":"10.1111/apt.13775","ISSN":"02692813","PMID":"27562233","abstract":"BACKGROUND The new direct-acting anti-virals (DAAs) for hepatitis C virus (HCV) infection offer higher cure rates, but at a much higher cost than the standard interferon-based treatments. AIM To identify the cost-effective treatment for patients with HCV infection with F3 liver fibrosis who are at high risk of progression to cirrhosis. METHODS A decision-analytic Markov model compared the health benefits and costs of all currently licensed treatments as single treatments and in sequential therapy of up to three lines. Costs were expressed in pound sterling from the perspective of the UK National Health Service. Health benefits were expressed in quality-adjusted life years. RESULTS Treatment before progression to cirrhosis always offers the most health benefits for the least costs. Sequential therapy with multiple treatment lines cures over 89% of patients across all HCV genotypes while ensuring a cost-effective use of resources. Cost-effective regimes for HCV genotype 1 patients include first-line oral therapy with sofosbuvir-ledipasvir while peginterferon continues to have a role in other genotypes. CONCLUSIONS The cost-effective treatment for HCV can be established using decision analytic modelling comparing single and sequential therapies. Sequential therapy with DAAs is effective and cost-effective in HCV patients with F3 fibrosis. This information is of significant benefit to health care providers with budget limitations and provides a sound scientific basis for drug treatment choices.","author":[{"dropping-particle":"","family":"Faria","given":"R.","non-dropping-particle":"","parse-names":false,"suffix":""},{"dropping-particle":"","family":"Woods","given":"B.","non-dropping-particle":"","parse-names":false,"suffix":""},{"dropping-particle":"","family":"Griffin","given":"S.","non-dropping-particle":"","parse-names":false,"suffix":""},{"dropping-particle":"","family":"Palmer","given":"S.","non-dropping-particle":"","parse-names":false,"suffix":""},{"dropping-particle":"","family":"Sculpher","given":"M.","non-dropping-particle":"","parse-names":false,"suffix":""},{"dropping-particle":"","family":"Ryder","given":"S. D.","non-dropping-particle":"","parse-names":false,"suffix":""}],"container-title":"Alimentary Pharmacology &amp; Therapeutics","id":"ITEM-1","issue":"8","issued":{"date-parts":[["2016","10"]]},"page":"866-876","title":"Prevention of progression to cirrhosis in hepatitis C with fibrosis: effectiveness and cost effectiveness of sequential therapy with new direct-acting anti-virals","type":"article-journal","volume":"44"},"uris":["http://www.mendeley.com/documents/?uuid=3f7ff852-d9d9-4365-8deb-78592787346a"]}],"mendeley":{"formattedCitation":"(R. Faria et al., 2016)","plainTextFormattedCitation":"(R. Faria et al., 2016)","previouslyFormattedCitation":"(R. Faria et al., 2016)"},"properties":{"noteIndex":0},"schema":"https://github.com/citation-style-language/schema/raw/master/csl-citation.json"}</w:instrText>
      </w:r>
      <w:r w:rsidRPr="00642AB3">
        <w:fldChar w:fldCharType="separate"/>
      </w:r>
      <w:r w:rsidRPr="00642AB3">
        <w:rPr>
          <w:noProof/>
        </w:rPr>
        <w:t>(R. Faria et al., 2016)</w:t>
      </w:r>
      <w:r w:rsidRPr="00642AB3">
        <w:fldChar w:fldCharType="end"/>
      </w:r>
      <w:r w:rsidRPr="00642AB3">
        <w:t>. Including treatment sequences, the cost-effective option was instead a treatment sequence with an expected net benefit of 10.31</w:t>
      </w:r>
      <w:r w:rsidR="00ED1D0C">
        <w:t xml:space="preserve"> QALYs</w:t>
      </w:r>
      <w:r w:rsidRPr="00642AB3">
        <w:t>. The difference, at 0.11</w:t>
      </w:r>
      <w:r w:rsidR="00ED1D0C">
        <w:t xml:space="preserve"> QALYs</w:t>
      </w:r>
      <w:r w:rsidRPr="00642AB3">
        <w:t xml:space="preserve"> per patient treated, represents the loss in health from restricting the options in this specific evaluation. </w:t>
      </w:r>
    </w:p>
    <w:p w14:paraId="7EDFD38A" w14:textId="2E7A64BC" w:rsidR="00367E3D" w:rsidRPr="00642AB3" w:rsidRDefault="00367E3D" w:rsidP="00451BA3">
      <w:pPr>
        <w:pStyle w:val="Heading3"/>
      </w:pPr>
      <w:bookmarkStart w:id="20" w:name="_Toc48925896"/>
      <w:r w:rsidRPr="00642AB3">
        <w:t xml:space="preserve">When </w:t>
      </w:r>
      <w:proofErr w:type="gramStart"/>
      <w:r w:rsidR="00392021" w:rsidRPr="00642AB3">
        <w:t>To</w:t>
      </w:r>
      <w:proofErr w:type="gramEnd"/>
      <w:r w:rsidR="00392021" w:rsidRPr="00642AB3">
        <w:t xml:space="preserve"> Consider Sequences Of Treatments </w:t>
      </w:r>
      <w:proofErr w:type="spellStart"/>
      <w:r w:rsidR="00392021" w:rsidRPr="00642AB3">
        <w:t>And/Or</w:t>
      </w:r>
      <w:proofErr w:type="spellEnd"/>
      <w:r w:rsidR="00392021" w:rsidRPr="00642AB3">
        <w:t xml:space="preserve"> Of Tests?</w:t>
      </w:r>
      <w:bookmarkEnd w:id="20"/>
    </w:p>
    <w:p w14:paraId="1FDC2E03" w14:textId="0024967F" w:rsidR="00367E3D" w:rsidRPr="00642AB3" w:rsidRDefault="00367E3D" w:rsidP="00D35786">
      <w:pPr>
        <w:spacing w:line="480" w:lineRule="auto"/>
      </w:pPr>
      <w:r w:rsidRPr="00642AB3">
        <w:t xml:space="preserve">Sequences of treatments refer to options that a number of treatments in a specific order. Treatment switches can occur due to clinical reasons, such as loss of effect, disease progression, side effects, etc. Zheng et al recommend that sequences of treatments should be included as options if the selection, effectiveness and/or the cost of subsequent treatments are affected by the earlier choices; or if the decision problem relates to the optimal positioning of a specific treatment in a treatment pathway </w:t>
      </w:r>
      <w:r w:rsidRPr="00642AB3">
        <w:fldChar w:fldCharType="begin" w:fldLock="1"/>
      </w:r>
      <w:r w:rsidR="00A33BA4">
        <w:instrText>ADDIN CSL_CITATION {"citationItems":[{"id":"ITEM-1","itemData":{"DOI":"10.1007/s40273-016-0455-3","ISBN":"1179-2027","ISSN":"11792027","abstract":"As the number of interventions available in a therapeutic area increases, the relevant decision questions in health technology assessment (HTA) expand to compare treatment sequences instead of discrete treatments and identify optimal sequences or position for a particular treatment in a sequence. The objective of this work was to review approaches used to model treatment sequences and provide practical guidance on conceptualizing whether and how to model sequences in health economic models. Economic models including treatment sequencing assessed by the National Institute for Health and Care Excellence were reviewed, as these assessments generally provide both policy relevance and comprehensive model detail. We identified 40 treatment-sequence models in the following disease areas: oncology (13), autoimmune (7), cardiovascular (6), neurology/mental health (4), infectious disease (2), diabetes (2), and other (6). Modeling techniques included discrete event simulation (6), individual state-transition (3), decision tree (3) and, most commonly, cohort state-transition with tracking states (28). In most cases, treatment sequencing had been incorporated to reflect either clinical practice or clinical trial design. In other cases, it was used to assess where in a treatment sequence a new treatment should be placed, or to evaluate the addition of more efficacious treatment options to a current treatment sequence. Important considerations for determining how to best model sequences include the number of treatment options, patient heterogeneity, key outcomes, and event risk (time-varying or constant). The biggest challenge is the scarcity of clinical data, as clinical trials do not commonly evaluate different treatment sequences.","author":[{"dropping-particle":"","family":"Zheng","given":"Ying","non-dropping-particle":"","parse-names":false,"suffix":""},{"dropping-particle":"","family":"Pan","given":"Feng","non-dropping-particle":"","parse-names":false,"suffix":""},{"dropping-particle":"","family":"Sorensen","given":"Sonja","non-dropping-particle":"","parse-names":false,"suffix":""}],"container-title":"PharmacoEconomics","id":"ITEM-1","issue":"1","issued":{"date-parts":[["2017","1","8"]]},"page":"15-24","publisher":"Springer International Publishing","title":"Modeling Treatment Sequences in Pharmacoeconomic Models","type":"article-journal","volume":"35"},"uris":["http://www.mendeley.com/documents/?uuid=d6a61ee3-2e26-3a7e-abe0-848ad3a91aa7"]}],"mendeley":{"formattedCitation":"(Zheng, Pan, &amp; Sorensen, 2017)","plainTextFormattedCitation":"(Zheng, Pan, &amp; Sorensen, 2017)","previouslyFormattedCitation":"(Zheng, Pan, &amp; Sorensen, 2017)"},"properties":{"noteIndex":0},"schema":"https://github.com/citation-style-language/schema/raw/master/csl-citation.json"}</w:instrText>
      </w:r>
      <w:r w:rsidRPr="00642AB3">
        <w:fldChar w:fldCharType="separate"/>
      </w:r>
      <w:r w:rsidRPr="00642AB3">
        <w:rPr>
          <w:noProof/>
        </w:rPr>
        <w:t>(Zheng, Pan, &amp; Sorensen, 2017)</w:t>
      </w:r>
      <w:r w:rsidRPr="00642AB3">
        <w:fldChar w:fldCharType="end"/>
      </w:r>
      <w:r w:rsidRPr="00642AB3">
        <w:t xml:space="preserve">. </w:t>
      </w:r>
      <w:r w:rsidR="00ED1D0C">
        <w:t xml:space="preserve">Whether to </w:t>
      </w:r>
      <w:r w:rsidR="00ED1D0C">
        <w:lastRenderedPageBreak/>
        <w:t xml:space="preserve">include treatment sequences may be restricted by a drug’s marketing authorisation if </w:t>
      </w:r>
      <w:r w:rsidR="00F2724D">
        <w:t xml:space="preserve">it specifies </w:t>
      </w:r>
      <w:r w:rsidR="00ED1D0C">
        <w:t xml:space="preserve">where the drug fits within a treatment sequence. </w:t>
      </w:r>
    </w:p>
    <w:p w14:paraId="769A3FDC" w14:textId="5ED378AF" w:rsidR="00367E3D" w:rsidRPr="00642AB3" w:rsidRDefault="00367E3D" w:rsidP="00D35786">
      <w:pPr>
        <w:spacing w:line="480" w:lineRule="auto"/>
      </w:pPr>
      <w:r w:rsidRPr="00642AB3">
        <w:t xml:space="preserve">Sequencing of tests refers to having a number of tests in a specific order and following a specific result. Depending on the accuracy and costs of the tests, tests can be combined in sequences to improve their combined accuracy at a lower cost. For example, template mapping biopsy is considered to be a perfect test to diagnose prostate cancer, but it is costly and too resource intensive for routine use. Transrectal-ultrasound guided biopsy and magnetic resonance imaging are imperfect but less costly. By combining these two imperfect tests in a sequence, the diagnostic pathway can achieve higher accuracy than by using the imperfect tests alone and at a fraction of the costs of the perfect test </w:t>
      </w:r>
      <w:r w:rsidRPr="00642AB3">
        <w:fldChar w:fldCharType="begin" w:fldLock="1"/>
      </w:r>
      <w:r w:rsidR="00A33BA4">
        <w:instrText>ADDIN CSL_CITATION {"citationItems":[{"id":"ITEM-1","itemData":{"DOI":"10.1016/j.eururo.2017.08.018","ISSN":"18737560","PMID":"28935163","abstract":"Background The current recommendation of using transrectal ultrasound-guided biopsy (TRUSB) to diagnose prostate cancer misses clinically significant (CS) cancers. More sensitive biopsies (eg, template prostate mapping biopsy [TPMB]) are too resource intensive for routine use, and there is little evidence on multiparametric magnetic resonance imaging (MPMRI). Objective To identify the most effective and cost-effective way of using these tests to detect CS prostate cancer. Design, setting, and participants Cost-effectiveness modelling of health outcomes and costs of men referred to secondary care with a suspicion of prostate cancer prior to any biopsy in the UK National Health Service using information from the diagnostic Prostate MR Imaging Study (PROMIS). Intervention Combinations of MPMRI, TRUSB, and TPMB, using different definitions and diagnostic cut-offs for CS cancer. Outcome measurements and statistical analysis Strategies that detect the most CS cancers given testing costs, and incremental cost-effectiveness ratios (ICERs) in quality-adjusted life years (QALYs) given long-term costs. Results and limitations The use of MPMRI first and then up to two MRI-targeted TRUSBs detects more CS cancers per pound spent than a strategy using TRUSB first (sensitivity = 0.95 [95% confidence interval {CI} 0.92–0.98] vs 0.91 [95% CI 0.86–0.94]) and is cost effective (ICER = £7,076 [€8350/QALY gained]). The limitations stem from the evidence base in the accuracy of MRI-targeted biopsy and the long-term outcomes of men with CS prostate cancer. Conclusions An MPMRI-first strategy is effective and cost effective for the diagnosis of CS prostate cancer. These findings are sensitive to the test costs, sensitivity of MRI-targeted TRUSB, and long-term outcomes of men with cancer, which warrant more empirical research. This analysis can inform the development of clinical guidelines. Patient summary We found that, under certain assumptions, the use of multiparametric magnetic resonance imaging first and then up to two transrectal ultrasound-guided biopsy is better than the current clinical standard and is good value for money. The use of multiparametric magnetic resonance imaging before transrectal ultrasound-guided biopsy can detect more clinically significant prostate cancer and be cost effective compared with the use of imaging post-biopsy.","author":[{"dropping-particle":"","family":"Faria","given":"Rita","non-dropping-particle":"","parse-names":false,"suffix":""},{"dropping-particle":"","family":"Soares","given":"Marta O.","non-dropping-particle":"","parse-names":false,"suffix":""},{"dropping-particle":"","family":"Spackman","given":"Eldon","non-dropping-particle":"","parse-names":false,"suffix":""},{"dropping-particle":"","family":"Ahmed","given":"Hashim U.","non-dropping-particle":"","parse-names":false,"suffix":""},{"dropping-particle":"","family":"Brown","given":"Louise C.","non-dropping-particle":"","parse-names":false,"suffix":""},{"dropping-particle":"","family":"Kaplan","given":"Richard","non-dropping-particle":"","parse-names":false,"suffix":""},{"dropping-particle":"","family":"Emberton","given":"Mark","non-dropping-particle":"","parse-names":false,"suffix":""},{"dropping-particle":"","family":"Sculpher","given":"Mark J.","non-dropping-particle":"","parse-names":false,"suffix":""}],"container-title":"European Urology","id":"ITEM-1","issue":"1","issued":{"date-parts":[["2018"]]},"page":"23-30","title":"Optimising the Diagnosis of Prostate Cancer in the Era of Multiparametric Magnetic Resonance Imaging: A Cost-effectiveness Analysis Based on the Prostate MR Imaging Study (PROMIS)","type":"article-journal","volume":"73"},"uris":["http://www.mendeley.com/documents/?uuid=577448fd-0cd2-3d1b-b75c-eb7d002e7697"]}],"mendeley":{"formattedCitation":"(Rita Faria et al., 2018)","plainTextFormattedCitation":"(Rita Faria et al., 2018)","previouslyFormattedCitation":"(Rita Faria et al., 2018)"},"properties":{"noteIndex":0},"schema":"https://github.com/citation-style-language/schema/raw/master/csl-citation.json"}</w:instrText>
      </w:r>
      <w:r w:rsidRPr="00642AB3">
        <w:fldChar w:fldCharType="separate"/>
      </w:r>
      <w:r w:rsidRPr="00642AB3">
        <w:rPr>
          <w:noProof/>
        </w:rPr>
        <w:t>(Rita Faria et al., 2018)</w:t>
      </w:r>
      <w:r w:rsidRPr="00642AB3">
        <w:fldChar w:fldCharType="end"/>
      </w:r>
      <w:r w:rsidRPr="00642AB3">
        <w:t xml:space="preserve">.  </w:t>
      </w:r>
    </w:p>
    <w:p w14:paraId="251DB0B8" w14:textId="0A13FBF0" w:rsidR="00367E3D" w:rsidRPr="00642AB3" w:rsidRDefault="00367E3D" w:rsidP="00D35786">
      <w:pPr>
        <w:spacing w:line="480" w:lineRule="auto"/>
      </w:pPr>
      <w:r w:rsidRPr="00642AB3">
        <w:t xml:space="preserve">As individual treatments and/or tests are added to the options, the number of sequences increases. For example, an economic evaluation of treatments for psoriasis which identified 13,699 sequences from 7 unique drugs </w:t>
      </w:r>
      <w:r w:rsidRPr="00642AB3">
        <w:fldChar w:fldCharType="begin" w:fldLock="1"/>
      </w:r>
      <w:r w:rsidR="00A33BA4">
        <w:instrText>ADDIN CSL_CITATION {"citationItems":[{"id":"ITEM-1","itemData":{"DOI":"10.3310/hta10460","ISSN":"1366-5278","abstract":"Objectives: To evaluate the clinical effectiveness, safety, tolerability and cost-effectiveness of etanercept and efalizumab for the treatment of moderate to severe chronic plaque psoriasis. Data sources: Major electronic databases and several Internet resources were searched up to April 2004. Review methods: Systematic reviews were undertaken of the efficacy, safety and economic reviews of etanercept and efalizumab. An existing systematic review of the efficacy and safety of other treatments was also updated. Economic models supplied by the manufacturers of etanercept and efalizumab were critiqued. An economic model was then developed of etanercept and efalizumab in the treatment of moderate to severe chronic plaque psoriasis. Results: The review of the clinical evidence identified a total of 39 published and three unpublished studies: eight randomised controlled trials (RCTs) of the efficacy of etanercept (three trials) and efalizumab (five); 10 studies of the adverse effects of the interventions; and 24 RCTs of the efficacy of the other treatments for moderate to severe psoriasis. The trials of the efficacy of the interventions were all double-blind and placebo-controlled trials and generally of good quality, but three of the five efalizumab trials were poorly reported. A total of 1347 patients were included in the etanercept trials and 2963 in the efalizumab trials. Data on the efficacy of etanercept 25 mg twice a week for 12 weeks were available from three RCTs. On average, active treatment resulted in 62{%} of patients achieving a Psoriasis Area and Severity Index (PASI) 50, 33{%} achieving a PASI 75, 11{%} achieving a PASI 90 and 40{%} were assessed as clear or almost clear. These figures are not adjusted for changes relative to placebo. Improvement in quality of life as assessed by mean percentage change in Dermatology Life Quality Index (DLQI) was around 59{%} with etanercept 25 mg twice a week compared with 9{%} with placebo, and all mean differences that could be calculated were statistically significantly in favour of etanercept. Data on the efficacy of etanercept 50 mg twice a week for 12 weeks were available from two RCTs. Across the two trials, the proportion of patients achieving PASI 50, 75 and 90 was 76, 49 and 21{%}, respectively; the pooled relative risks were all statistically significantly in favour of etanercept. The findings for mean PASI after treatment, mean percentage change in PASI from baseline and mean percentage change in …","author":[{"dropping-particle":"","family":"Woolacott","given":"Nerys","non-dropping-particle":"","parse-names":false,"suffix":""},{"dropping-particle":"","family":"Hawkins","given":"Neil","non-dropping-particle":"","parse-names":false,"suffix":""},{"dropping-particle":"","family":"Mason","given":"Ann","non-dropping-particle":"","parse-names":false,"suffix":""},{"dropping-particle":"","family":"Kainth","given":"A","non-dropping-particle":"","parse-names":false,"suffix":""},{"dropping-particle":"","family":"Khadjesari","given":"Z","non-dropping-particle":"","parse-names":false,"suffix":""},{"dropping-particle":"","family":"Bravo Vergel","given":"Y","non-dropping-particle":"","parse-names":false,"suffix":""},{"dropping-particle":"","family":"Misso","given":"K","non-dropping-particle":"","parse-names":false,"suffix":""},{"dropping-particle":"","family":"Light","given":"K","non-dropping-particle":"","parse-names":false,"suffix":""},{"dropping-particle":"","family":"Chalmers","given":"R","non-dropping-particle":"","parse-names":false,"suffix":""},{"dropping-particle":"","family":"Sculpher","given":"M","non-dropping-particle":"","parse-names":false,"suffix":""},{"dropping-particle":"","family":"Riemsma","given":"R","non-dropping-particle":"","parse-names":false,"suffix":""}],"container-title":"Technology appraisal guidance TA103","id":"ITEM-1","issue":"46","issued":{"date-parts":[["2006"]]},"page":"38","title":"Etanercept and efalizumab for the treatment of adults with psoriasis","type":"article-journal","volume":"10"},"uris":["http://www.mendeley.com/documents/?uuid=4e2c4339-971c-4b65-938e-c3fa4c712dd8"]}],"mendeley":{"formattedCitation":"(Woolacott et al., 2006)","plainTextFormattedCitation":"(Woolacott et al., 2006)","previouslyFormattedCitation":"(Woolacott et al., 2006)"},"properties":{"noteIndex":0},"schema":"https://github.com/citation-style-language/schema/raw/master/csl-citation.json"}</w:instrText>
      </w:r>
      <w:r w:rsidRPr="00642AB3">
        <w:fldChar w:fldCharType="separate"/>
      </w:r>
      <w:r w:rsidRPr="00642AB3">
        <w:rPr>
          <w:noProof/>
        </w:rPr>
        <w:t>(Woolacott et al., 2006)</w:t>
      </w:r>
      <w:r w:rsidRPr="00642AB3">
        <w:fldChar w:fldCharType="end"/>
      </w:r>
      <w:r w:rsidRPr="00642AB3">
        <w:t xml:space="preserve">. By assuming that the treatments did not alter disease progression and that effectiveness was independent from treatment history, the economic evaluation calculated the expected net benefit per unit of time. If these assumptions do not apply, such as in evaluations where the treatments alter the risk of progression or of events, or where the diagnostic performance of the subsequent test depends on the first test, the sequences will need to be evaluated separately. Parameterisation may be an issue, given that there may not be direct evidence on the effectiveness (for treatments) </w:t>
      </w:r>
      <w:r w:rsidRPr="00642AB3">
        <w:fldChar w:fldCharType="begin" w:fldLock="1"/>
      </w:r>
      <w:r w:rsidR="00A33BA4">
        <w:instrText>ADDIN CSL_CITATION {"citationItems":[{"id":"ITEM-1","itemData":{"DOI":"10.1007/s40273-016-0455-3","ISBN":"1179-2027","ISSN":"11792027","abstract":"As the number of interventions available in a therapeutic area increases, the relevant decision questions in health technology assessment (HTA) expand to compare treatment sequences instead of discrete treatments and identify optimal sequences or position for a particular treatment in a sequence. The objective of this work was to review approaches used to model treatment sequences and provide practical guidance on conceptualizing whether and how to model sequences in health economic models. Economic models including treatment sequencing assessed by the National Institute for Health and Care Excellence were reviewed, as these assessments generally provide both policy relevance and comprehensive model detail. We identified 40 treatment-sequence models in the following disease areas: oncology (13), autoimmune (7), cardiovascular (6), neurology/mental health (4), infectious disease (2), diabetes (2), and other (6). Modeling techniques included discrete event simulation (6), individual state-transition (3), decision tree (3) and, most commonly, cohort state-transition with tracking states (28). In most cases, treatment sequencing had been incorporated to reflect either clinical practice or clinical trial design. In other cases, it was used to assess where in a treatment sequence a new treatment should be placed, or to evaluate the addition of more efficacious treatment options to a current treatment sequence. Important considerations for determining how to best model sequences include the number of treatment options, patient heterogeneity, key outcomes, and event risk (time-varying or constant). The biggest challenge is the scarcity of clinical data, as clinical trials do not commonly evaluate different treatment sequences.","author":[{"dropping-particle":"","family":"Zheng","given":"Ying","non-dropping-particle":"","parse-names":false,"suffix":""},{"dropping-particle":"","family":"Pan","given":"Feng","non-dropping-particle":"","parse-names":false,"suffix":""},{"dropping-particle":"","family":"Sorensen","given":"Sonja","non-dropping-particle":"","parse-names":false,"suffix":""}],"container-title":"PharmacoEconomics","id":"ITEM-1","issue":"1","issued":{"date-parts":[["2017","1","8"]]},"page":"15-24","publisher":"Springer International Publishing","title":"Modeling Treatment Sequences in Pharmacoeconomic Models","type":"article-journal","volume":"35"},"uris":["http://www.mendeley.com/documents/?uuid=d6a61ee3-2e26-3a7e-abe0-848ad3a91aa7"]}],"mendeley":{"formattedCitation":"(Zheng et al., 2017)","plainTextFormattedCitation":"(Zheng et al., 2017)","previouslyFormattedCitation":"(Zheng et al., 2017)"},"properties":{"noteIndex":0},"schema":"https://github.com/citation-style-language/schema/raw/master/csl-citation.json"}</w:instrText>
      </w:r>
      <w:r w:rsidRPr="00642AB3">
        <w:fldChar w:fldCharType="separate"/>
      </w:r>
      <w:r w:rsidRPr="00642AB3">
        <w:rPr>
          <w:noProof/>
        </w:rPr>
        <w:t>(Zheng et al., 2017)</w:t>
      </w:r>
      <w:r w:rsidRPr="00642AB3">
        <w:fldChar w:fldCharType="end"/>
      </w:r>
      <w:r w:rsidRPr="00642AB3">
        <w:t xml:space="preserve"> or diagnostic accuracy (for tests) in all positions of the sequence </w:t>
      </w:r>
      <w:r w:rsidRPr="00642AB3">
        <w:fldChar w:fldCharType="begin" w:fldLock="1"/>
      </w:r>
      <w:r w:rsidR="00A33BA4">
        <w:instrText>ADDIN CSL_CITATION {"citationItems":[{"id":"ITEM-1","itemData":{"DOI":"10.1016/j.jval.2013.02.007","abstract":"Objectives: It is standard practice for diagnostic tests to be evaluated against gold standards in isolation. In routine clinical practice, however, it is commonplace for multiple tests to be used before making definitive diagnoses. This article describes a meta-analytic modeling framework developed to estimate the accuracy of the combination of two diagnostic tests, accounting for the likely nonindependence of the tests. Methods: A novel multicomponent framework was developed to synthesize information available on different parameters in the model. This allows data to be included from studies evaluating single tests or both tests. Different likelihoods were specified for the different sources of data and linked by means of common parameters. The framework was applied to evaluate the diagnostic accuracy of the Ddimer test and the Wells score for deep vein thrombosis, and the results were compared with those of a model in which independence of tests was assumed. All models were evaluated by using Bayesian Markov chain Monte Carlo simulation methods. Results: The results showed the importance of allowing for the (likely) nonindependence of tests in the meta-analysis model when evaluating a combination of diagnostic tests. The analysis also highlighted the relatively limited impact of those studies that evaluated only one of the two tests of interest. Conclusions: The models developed allowed the assumption of independence between diagnostic tests to be relaxed while combining a broad array of relevant information from disparate studies. The framework also raises questions regarding the utility of studies limited to the evaluation of single diagnostic tests.","author":[{"dropping-particle":"","family":"Novielli","given":"Nicola","non-dropping-particle":"","parse-names":false,"suffix":""},{"dropping-particle":"","family":"Sutton","given":"Alexander J","non-dropping-particle":"","parse-names":false,"suffix":""},{"dropping-particle":"","family":"Cooper","given":"Nicola J","non-dropping-particle":"","parse-names":false,"suffix":""}],"container-title":"Value in Health","id":"ITEM-1","issued":{"date-parts":[["2013"]]},"page":"619-628","title":"Meta-Analysis of the Accuracy of Two Diagnostic Tests Used in Combination: Application to the Ddimer Test and the Wells Score for the Diagnosis of Deep Vein Thrombosis","type":"article-journal","volume":"16"},"uris":["http://www.mendeley.com/documents/?uuid=652404d8-5ad8-3b38-a575-241b4287ab93"]}],"mendeley":{"formattedCitation":"(Novielli, Sutton, &amp; Cooper, 2013)","plainTextFormattedCitation":"(Novielli, Sutton, &amp; Cooper, 2013)","previouslyFormattedCitation":"(Novielli, Sutton, &amp; Cooper, 2013)"},"properties":{"noteIndex":0},"schema":"https://github.com/citation-style-language/schema/raw/master/csl-citation.json"}</w:instrText>
      </w:r>
      <w:r w:rsidRPr="00642AB3">
        <w:fldChar w:fldCharType="separate"/>
      </w:r>
      <w:r w:rsidRPr="00642AB3">
        <w:rPr>
          <w:noProof/>
        </w:rPr>
        <w:t>(Novielli, Sutton, &amp; Cooper, 2013)</w:t>
      </w:r>
      <w:r w:rsidRPr="00642AB3">
        <w:fldChar w:fldCharType="end"/>
      </w:r>
      <w:r w:rsidRPr="00642AB3">
        <w:t xml:space="preserve">. </w:t>
      </w:r>
    </w:p>
    <w:p w14:paraId="46C4840F" w14:textId="2B7D6DA4" w:rsidR="00367E3D" w:rsidRPr="00642AB3" w:rsidRDefault="00367E3D" w:rsidP="00451BA3">
      <w:pPr>
        <w:pStyle w:val="Heading3"/>
      </w:pPr>
      <w:bookmarkStart w:id="21" w:name="_Toc48925897"/>
      <w:r w:rsidRPr="00642AB3">
        <w:t xml:space="preserve">What </w:t>
      </w:r>
      <w:r w:rsidR="00392021" w:rsidRPr="00642AB3">
        <w:t>Does A “Do-Nothing” Option Represent?</w:t>
      </w:r>
      <w:bookmarkEnd w:id="21"/>
    </w:p>
    <w:p w14:paraId="07171508" w14:textId="300E12F2" w:rsidR="00367E3D" w:rsidRPr="00642AB3" w:rsidRDefault="00367E3D" w:rsidP="00D35786">
      <w:pPr>
        <w:spacing w:line="480" w:lineRule="auto"/>
      </w:pPr>
      <w:r w:rsidRPr="00642AB3">
        <w:t xml:space="preserve">All but the EUnetHTA Guideline recommend that </w:t>
      </w:r>
      <w:r w:rsidR="00ED1D0C">
        <w:t>“</w:t>
      </w:r>
      <w:r w:rsidRPr="00C0402E">
        <w:rPr>
          <w:i/>
          <w:iCs/>
        </w:rPr>
        <w:t>do</w:t>
      </w:r>
      <w:r w:rsidR="00F2724D">
        <w:rPr>
          <w:i/>
          <w:iCs/>
        </w:rPr>
        <w:t>-</w:t>
      </w:r>
      <w:r w:rsidRPr="00C0402E">
        <w:rPr>
          <w:i/>
          <w:iCs/>
        </w:rPr>
        <w:t>nothing</w:t>
      </w:r>
      <w:r w:rsidR="00ED1D0C">
        <w:t>”</w:t>
      </w:r>
      <w:r w:rsidRPr="00642AB3">
        <w:t xml:space="preserve"> is considered as an option for the economic evaluation, although there is variation of what the “do-nothing” option should </w:t>
      </w:r>
      <w:r w:rsidRPr="00642AB3">
        <w:lastRenderedPageBreak/>
        <w:t xml:space="preserve">represent. Some define it as “best supportive care”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642AB3">
        <w:fldChar w:fldCharType="separate"/>
      </w:r>
      <w:r w:rsidRPr="00642AB3">
        <w:rPr>
          <w:noProof/>
        </w:rPr>
        <w:t>(National Institute for Health and Care Excellence (NICE), 2013)</w:t>
      </w:r>
      <w:r w:rsidRPr="00642AB3">
        <w:fldChar w:fldCharType="end"/>
      </w:r>
      <w:r w:rsidRPr="00642AB3">
        <w:t xml:space="preserve">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Canada","type":"article-journal"},"uris":["http://www.mendeley.com/documents/?uuid=c1edb1ae-e4b3-3ad4-9c48-be7c245913bf"]}],"mendeley":{"formattedCitation":"(Canadian Agency for Drugs and Technologies in Health, 2017)","plainTextFormattedCitation":"(Canadian Agency for Drugs and Technologies in Health, 2017)","previouslyFormattedCitation":"(Canadian Agency for Drugs and Technologies in Health, 2017)"},"properties":{"noteIndex":0},"schema":"https://github.com/citation-style-language/schema/raw/master/csl-citation.json"}</w:instrText>
      </w:r>
      <w:r w:rsidRPr="00642AB3">
        <w:fldChar w:fldCharType="separate"/>
      </w:r>
      <w:r w:rsidRPr="00642AB3">
        <w:rPr>
          <w:noProof/>
        </w:rPr>
        <w:t>(Canadian Agency for Drugs and Technologies in Health, 2017)</w:t>
      </w:r>
      <w:r w:rsidRPr="00642AB3">
        <w:fldChar w:fldCharType="end"/>
      </w:r>
      <w:r w:rsidRPr="00642AB3">
        <w:t xml:space="preserve"> </w:t>
      </w:r>
      <w:r w:rsidRPr="00642AB3">
        <w:fldChar w:fldCharType="begin" w:fldLock="1"/>
      </w:r>
      <w:r w:rsidR="00A33BA4">
        <w:instrText>ADDIN CSL_CITATION {"citationItems":[{"id":"ITEM-1","itemData":{"ISBN":"9781741860009","abstract":"The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Committee","given":"","non-dropping-particle":"","parse-names":false,"suffix":""}],"id":"ITEM-1","issued":{"date-parts":[["2016"]]},"title":"Guidelines for preparing submissions to the Pharmaceutical Benefits Advisory Committee","type":"report"},"uris":["http://www.mendeley.com/documents/?uuid=57a65f32-3da3-380c-b9ea-2dc0de627f0c"]}],"mendeley":{"formattedCitation":"(Pharmaceutical Benefits Advisory Committee, 2016)","plainTextFormattedCitation":"(Pharmaceutical Benefits Advisory Committee, 2016)","previouslyFormattedCitation":"(Pharmaceutical Benefits Advisory Committee, 2016)"},"properties":{"noteIndex":0},"schema":"https://github.com/citation-style-language/schema/raw/master/csl-citation.json"}</w:instrText>
      </w:r>
      <w:r w:rsidRPr="00642AB3">
        <w:fldChar w:fldCharType="separate"/>
      </w:r>
      <w:r w:rsidRPr="00642AB3">
        <w:rPr>
          <w:noProof/>
        </w:rPr>
        <w:t>(Pharmaceutical Benefits Advisory Committee, 2016)</w:t>
      </w:r>
      <w:r w:rsidRPr="00642AB3">
        <w:fldChar w:fldCharType="end"/>
      </w:r>
      <w:r w:rsidRPr="00642AB3">
        <w:t xml:space="preserve"> </w:t>
      </w:r>
      <w:r w:rsidRPr="00642AB3">
        <w:fldChar w:fldCharType="begin" w:fldLock="1"/>
      </w:r>
      <w:r w:rsidR="00A33BA4">
        <w:instrText>ADDIN CSL_CITATION {"citationItems":[{"id":"ITEM-1","itemData":{"author":[{"dropping-particle":"","family":"NICE International","given":"","non-dropping-particle":"","parse-names":false,"suffix":""}],"container-title":"Bill and Melinda Gates Foundation Methods for Economic Evaluation Project (MEEP)","id":"ITEM-1","issue":"January","issued":{"date-parts":[["2014"]]},"number-of-pages":"30-33","title":"Methods for Economic Evaluation Project: Final Report","type":"report"},"uris":["http://www.mendeley.com/documents/?uuid=72af4fb1-6d31-3c01-bc40-a1dbae091c33"]}],"mendeley":{"formattedCitation":"(NICE International, 2014)","plainTextFormattedCitation":"(NICE International, 2014)","previouslyFormattedCitation":"(NICE International, 2014)"},"properties":{"noteIndex":0},"schema":"https://github.com/citation-style-language/schema/raw/master/csl-citation.json"}</w:instrText>
      </w:r>
      <w:r w:rsidRPr="00642AB3">
        <w:fldChar w:fldCharType="separate"/>
      </w:r>
      <w:r w:rsidRPr="00642AB3">
        <w:rPr>
          <w:noProof/>
        </w:rPr>
        <w:t>(NICE International, 2014)</w:t>
      </w:r>
      <w:r w:rsidRPr="00642AB3">
        <w:fldChar w:fldCharType="end"/>
      </w:r>
      <w:r w:rsidRPr="00642AB3">
        <w:t xml:space="preserve">; the PBAC Guideline also uses the term “conservative management” </w:t>
      </w:r>
      <w:r w:rsidRPr="00642AB3">
        <w:fldChar w:fldCharType="begin" w:fldLock="1"/>
      </w:r>
      <w:r w:rsidR="00A33BA4">
        <w:instrText>ADDIN CSL_CITATION {"citationItems":[{"id":"ITEM-1","itemData":{"ISBN":"9781741860009","abstract":"The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Committee","given":"","non-dropping-particle":"","parse-names":false,"suffix":""}],"id":"ITEM-1","issued":{"date-parts":[["2016"]]},"title":"Guidelines for preparing submissions to the Pharmaceutical Benefits Advisory Committee","type":"report"},"uris":["http://www.mendeley.com/documents/?uuid=57a65f32-3da3-380c-b9ea-2dc0de627f0c"]}],"mendeley":{"formattedCitation":"(Pharmaceutical Benefits Advisory Committee, 2016)","plainTextFormattedCitation":"(Pharmaceutical Benefits Advisory Committee, 2016)","previouslyFormattedCitation":"(Pharmaceutical Benefits Advisory Committee, 2016)"},"properties":{"noteIndex":0},"schema":"https://github.com/citation-style-language/schema/raw/master/csl-citation.json"}</w:instrText>
      </w:r>
      <w:r w:rsidRPr="00642AB3">
        <w:fldChar w:fldCharType="separate"/>
      </w:r>
      <w:r w:rsidRPr="00642AB3">
        <w:rPr>
          <w:noProof/>
        </w:rPr>
        <w:t>(Pharmaceutical Benefits Advisory Committee, 2016)</w:t>
      </w:r>
      <w:r w:rsidRPr="00642AB3">
        <w:fldChar w:fldCharType="end"/>
      </w:r>
      <w:r w:rsidRPr="00642AB3">
        <w:t xml:space="preserve">; the ISPOR taskforce mentions the “natural” disease course </w:t>
      </w:r>
      <w:r w:rsidRPr="00642AB3">
        <w:fldChar w:fldCharType="begin" w:fldLock="1"/>
      </w:r>
      <w:r w:rsidR="00A33BA4">
        <w:instrText>ADDIN CSL_CITATION {"citationItems":[{"id":"ITEM-1","itemData":{"DOI":"10.1016/j.jval.2012.06.012","ISBN":"1524-4733","ISSN":"1524-4733","PMID":"22999128","abstract":"Thee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Health","id":"ITEM-1","issued":{"date-parts":[["2012"]]},"page":"804-811","title":"Conceptualizing a Model: A Report of the ISPOR-SMDM Modeling Good Research Practices Task Force-2","type":"article-journal","volume":"15"},"uris":["http://www.mendeley.com/documents/?uuid=d6058f98-c577-37fc-9309-1ea31daea085"]}],"mendeley":{"formattedCitation":"(Roberts et al., 2012)","plainTextFormattedCitation":"(Roberts et al., 2012)","previouslyFormattedCitation":"(Roberts et al., 2012)"},"properties":{"noteIndex":0},"schema":"https://github.com/citation-style-language/schema/raw/master/csl-citation.json"}</w:instrText>
      </w:r>
      <w:r w:rsidRPr="00642AB3">
        <w:fldChar w:fldCharType="separate"/>
      </w:r>
      <w:r w:rsidRPr="00642AB3">
        <w:rPr>
          <w:noProof/>
        </w:rPr>
        <w:t>(Roberts et al., 2012)</w:t>
      </w:r>
      <w:r w:rsidRPr="00642AB3">
        <w:fldChar w:fldCharType="end"/>
      </w:r>
      <w:r w:rsidRPr="00642AB3">
        <w:t xml:space="preserve">; whereas the US panel and Drummond et al do not define what is “do-nothing” </w:t>
      </w:r>
      <w:r w:rsidRPr="00642AB3">
        <w:fldChar w:fldCharType="begin" w:fldLock="1"/>
      </w:r>
      <w:r w:rsidR="00A33BA4">
        <w:instrText>ADDIN CSL_CITATION {"citationItems":[{"id":"ITEM-1","itemData":{"DOI":"10.1093/acprof:oso/9780190492939.001.0001","ISBN":"9780190492939","abstract":"This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Press","publisher-place":"Oxford","title":"Designing a Cost-Effectiveness Analysis","type":"chapter"},"uris":["http://www.mendeley.com/documents/?uuid=5008afc6-8cab-3f7d-94d0-c4aadfc9796e"]},{"id":"ITEM-2","itemData":{"author":[{"dropping-particle":"","family":"Drummond","given":"Michael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W.","non-dropping-particle":"","parse-names":false,"suffix":""}],"edition":"4th","id":"ITEM-2","issued":{"date-parts":[["2015"]]},"number-of-pages":"464","publisher":"Oxford University Press","publisher-place":"Oxford","title":"Methods for the Economic Evaluation of Health Care Programmes","type":"book"},"uris":["http://www.mendeley.com/documents/?uuid=bfcbd1b8-6b05-4fe8-a3fd-fb1cbb802fd7"]}],"mendeley":{"formattedCitation":"(M. F. Drummond et al., 2015; Owens et al., 2016)","plainTextFormattedCitation":"(M. F. Drummond et al., 2015; Owens et al., 2016)","previouslyFormattedCitation":"(M. F. Drummond et al., 2015; Owens et al., 2016)"},"properties":{"noteIndex":0},"schema":"https://github.com/citation-style-language/schema/raw/master/csl-citation.json"}</w:instrText>
      </w:r>
      <w:r w:rsidRPr="00642AB3">
        <w:fldChar w:fldCharType="separate"/>
      </w:r>
      <w:r w:rsidRPr="00642AB3">
        <w:rPr>
          <w:noProof/>
        </w:rPr>
        <w:t>(M. F. Drummond et al., 2015; Owens et al., 2016)</w:t>
      </w:r>
      <w:r w:rsidRPr="00642AB3">
        <w:fldChar w:fldCharType="end"/>
      </w:r>
      <w:r w:rsidRPr="00642AB3">
        <w:t xml:space="preserve">. The interpretation of what “do-nothing” represents can have implications to the costs and health benefits of a new technology depending on the costs and health effects of subsequent management. If do-nothing is interpreted as complete absence of treatment until a severe event occurs, and the probability of a severe event is relatively high, </w:t>
      </w:r>
      <w:r w:rsidR="00F2724D">
        <w:t>“</w:t>
      </w:r>
      <w:r w:rsidRPr="00642AB3">
        <w:t>do-nothing</w:t>
      </w:r>
      <w:r w:rsidR="00F2724D">
        <w:t>”</w:t>
      </w:r>
      <w:r w:rsidRPr="00642AB3">
        <w:t xml:space="preserve"> may result in low quality-adjusted life expectancy. Alternatively, </w:t>
      </w:r>
      <w:r w:rsidR="00F2724D">
        <w:t>“</w:t>
      </w:r>
      <w:r w:rsidRPr="00642AB3">
        <w:t>do-nothing</w:t>
      </w:r>
      <w:r w:rsidR="00F2724D">
        <w:t>”</w:t>
      </w:r>
      <w:r w:rsidRPr="00642AB3">
        <w:t xml:space="preserve"> could be interpreted as watchful waiting with </w:t>
      </w:r>
      <w:r w:rsidR="00DE4DB5">
        <w:t xml:space="preserve">some </w:t>
      </w:r>
      <w:r w:rsidRPr="00642AB3">
        <w:t xml:space="preserve">technology </w:t>
      </w:r>
      <w:r w:rsidR="00DE4DB5">
        <w:t xml:space="preserve">being given </w:t>
      </w:r>
      <w:r w:rsidRPr="00642AB3">
        <w:t xml:space="preserve">as soon as disease progresses. The cost-effectiveness of a new drug compared to the more ‘laisse-faire’ </w:t>
      </w:r>
      <w:r w:rsidR="00F2724D">
        <w:t>“</w:t>
      </w:r>
      <w:r w:rsidRPr="00642AB3">
        <w:t>do-nothing</w:t>
      </w:r>
      <w:r w:rsidR="00F2724D">
        <w:t>”</w:t>
      </w:r>
      <w:r w:rsidRPr="00642AB3">
        <w:t xml:space="preserve"> is more likely to be more favourable rather than a watchful waiting </w:t>
      </w:r>
      <w:r w:rsidR="00F2724D">
        <w:t>“</w:t>
      </w:r>
      <w:r w:rsidRPr="00642AB3">
        <w:t>do-nothing</w:t>
      </w:r>
      <w:r w:rsidR="00F2724D">
        <w:t>”</w:t>
      </w:r>
      <w:r w:rsidRPr="00642AB3">
        <w:t xml:space="preserve"> approach. </w:t>
      </w:r>
    </w:p>
    <w:p w14:paraId="11305A9B" w14:textId="4B1F9EEB" w:rsidR="00367E3D" w:rsidRPr="00642AB3" w:rsidRDefault="00367E3D" w:rsidP="00451BA3">
      <w:pPr>
        <w:pStyle w:val="Heading1"/>
      </w:pPr>
      <w:bookmarkStart w:id="22" w:name="_Toc48925898"/>
      <w:r w:rsidRPr="00642AB3">
        <w:t xml:space="preserve">Conceptual </w:t>
      </w:r>
      <w:r w:rsidR="00392021" w:rsidRPr="00642AB3">
        <w:t xml:space="preserve">Model </w:t>
      </w:r>
      <w:proofErr w:type="gramStart"/>
      <w:r w:rsidR="00392021" w:rsidRPr="00642AB3">
        <w:t>Of</w:t>
      </w:r>
      <w:proofErr w:type="gramEnd"/>
      <w:r w:rsidR="00392021" w:rsidRPr="00642AB3">
        <w:t xml:space="preserve"> The Evaluation</w:t>
      </w:r>
      <w:bookmarkEnd w:id="22"/>
    </w:p>
    <w:p w14:paraId="77837247" w14:textId="330C9DED" w:rsidR="00367E3D" w:rsidRPr="00642AB3" w:rsidRDefault="00367E3D" w:rsidP="00D35786">
      <w:pPr>
        <w:spacing w:line="480" w:lineRule="auto"/>
      </w:pPr>
      <w:r w:rsidRPr="00642AB3">
        <w:t xml:space="preserve">All economic evaluations are underpinned by a conceptual model of how the decision options affect the target population in their costs and outcomes. </w:t>
      </w:r>
      <w:r w:rsidR="00ED1D0C">
        <w:t>T</w:t>
      </w:r>
      <w:r w:rsidR="00ED1D0C" w:rsidRPr="00642AB3">
        <w:t xml:space="preserve">he conceptual model of the evaluation </w:t>
      </w:r>
      <w:r w:rsidR="00ED1D0C">
        <w:t>refers</w:t>
      </w:r>
      <w:r w:rsidR="00ED1D0C" w:rsidRPr="00642AB3">
        <w:t xml:space="preserve"> to the relationships between the effects of the decision options to the outcomes of interest (i.e. health outcomes and costs) in the target population (and, if relevant, subpopulations and spillover populations) under each decision option.</w:t>
      </w:r>
      <w:r w:rsidR="00F2724D">
        <w:t xml:space="preserve"> </w:t>
      </w:r>
      <w:r w:rsidRPr="00642AB3">
        <w:t xml:space="preserve">In a within-trial economic evaluation, the randomised controlled trial (or other source of individual-level data, such as an observational study) is the vehicle for the economic evaluation. Therefore, the conceptual model of the evaluation assumes that the trial includes all relevant options, was </w:t>
      </w:r>
      <w:r w:rsidRPr="00642AB3">
        <w:lastRenderedPageBreak/>
        <w:t xml:space="preserve">conducted in the target population, with a follow-up which represents the time horizon of interest, and that it comprises all available evidence to inform the decision – as these are the conditions for a within-trial evaluation to be an appropriate design for an economic evaluation </w:t>
      </w:r>
      <w:r w:rsidRPr="00642AB3">
        <w:fldChar w:fldCharType="begin" w:fldLock="1"/>
      </w:r>
      <w:r w:rsidR="00A33BA4">
        <w:instrText>ADDIN CSL_CITATION {"citationItems":[{"id":"ITEM-1","itemData":{"DOI":"10.1002/hec.1093","ISBN":"1057-9230 (Print)\\n1057-9230 (Linking)","ISSN":"10579230","PMID":"16491461","abstract":"The randomised controlled trial (RCT) has developed a central role in applied cost-effectiveness studies in health care as the vehicle for analysis. This paper considers the role of trial-based economic evaluation in this era of explicit decision making. It is argued that any framework for economic analysis can only be judged insofar as it can inform two key decisions and be consistent with the objectives of a health care system subject to its resource constraints. The two decisions are, firstly, whether to adopt a health technology given existing evidence and, secondly, an assessment of whether more evidence is required to support this decision in the future. It is argued that a framework of economic analysis is needed which can estimate costs and effects, based on all the available evidence, relating to the full range of possible alternative interventions and clinical strategies, over an appropriate time horizon and for specific patient groups. It must also enable the accumulated evidence to be synthesised in an explicit and transparent way in order to fully represent the decision uncertainty. These requirements suggest that, in most circumstances, the use of a single RCT as a vehicle for economic analysis will be an inadequate and partial basis for decision making. It is argued that RCT evidence, with or without economic content, should be viewed as simply one of the sources of evidence, which must be placed in a broader framework of evidence synthesis and decision analysis.","author":[{"dropping-particle":"","family":"Sculpher","given":"Mark J.","non-dropping-particle":"","parse-names":false,"suffix":""},{"dropping-particle":"","family":"Claxton","given":"Karl","non-dropping-particle":"","parse-names":false,"suffix":""},{"dropping-particle":"","family":"Drummond","given":"Mike","non-dropping-particle":"","parse-names":false,"suffix":""},{"dropping-particle":"","family":"McCabe","given":"Chris","non-dropping-particle":"","parse-names":false,"suffix":""}],"container-title":"Health Economics","id":"ITEM-1","issue":"7","issued":{"date-parts":[["2006","7","1"]]},"page":"677-687","publisher":"Wiley-Blackwell","title":"Whither trial-based economic evaluation for health care decision making?","type":"article-journal","volume":"15"},"uris":["http://www.mendeley.com/documents/?uuid=c726c87d-5f90-342a-a4a7-57eb4bff962d"]}],"mendeley":{"formattedCitation":"(M. J. Sculpher, Claxton, Drummond, &amp; McCabe, 2006)","plainTextFormattedCitation":"(M. J. Sculpher, Claxton, Drummond, &amp; McCabe, 2006)","previouslyFormattedCitation":"(M. J. Sculpher, Claxton, Drummond, &amp; McCabe, 2006)"},"properties":{"noteIndex":0},"schema":"https://github.com/citation-style-language/schema/raw/master/csl-citation.json"}</w:instrText>
      </w:r>
      <w:r w:rsidRPr="00642AB3">
        <w:fldChar w:fldCharType="separate"/>
      </w:r>
      <w:r w:rsidRPr="00642AB3">
        <w:rPr>
          <w:noProof/>
        </w:rPr>
        <w:t>(M. J. Sculpher, Claxton, Drummond, &amp; McCabe, 2006)</w:t>
      </w:r>
      <w:r w:rsidRPr="00642AB3">
        <w:fldChar w:fldCharType="end"/>
      </w:r>
      <w:r w:rsidRPr="00642AB3">
        <w:t xml:space="preserve">. In a model-based economic evaluation, the decision model calculates the costs and outcomes of the target population, for each decision option, based on a set of inputs and how they are thought to affect costs and outcomes. Therefore, in the context of a model-based economic evaluation, the conceptual model of the evaluation also includes the relevant inputs and their relationships to costs and outcomes. This conceptual model underpins the structure of the decision model, which is ultimately implemented. </w:t>
      </w:r>
    </w:p>
    <w:p w14:paraId="75116D09" w14:textId="65013F50" w:rsidR="00367E3D" w:rsidRPr="00642AB3" w:rsidRDefault="00367E3D" w:rsidP="00451BA3">
      <w:pPr>
        <w:pStyle w:val="Heading2"/>
      </w:pPr>
      <w:bookmarkStart w:id="23" w:name="_Toc48925899"/>
      <w:r w:rsidRPr="00642AB3">
        <w:t xml:space="preserve">Recommendations </w:t>
      </w:r>
      <w:proofErr w:type="gramStart"/>
      <w:r w:rsidR="00392021" w:rsidRPr="00642AB3">
        <w:t>In</w:t>
      </w:r>
      <w:proofErr w:type="gramEnd"/>
      <w:r w:rsidR="00392021" w:rsidRPr="00642AB3">
        <w:t xml:space="preserve"> Methodological Guidelines</w:t>
      </w:r>
      <w:bookmarkEnd w:id="23"/>
    </w:p>
    <w:p w14:paraId="417BA85D" w14:textId="3C3557FD" w:rsidR="00367E3D" w:rsidRPr="00642AB3" w:rsidRDefault="00367E3D" w:rsidP="00C0402E">
      <w:pPr>
        <w:pStyle w:val="Heading3"/>
      </w:pPr>
      <w:bookmarkStart w:id="24" w:name="_Toc48925900"/>
      <w:r w:rsidRPr="00642AB3">
        <w:t>Terminology</w:t>
      </w:r>
      <w:bookmarkEnd w:id="24"/>
    </w:p>
    <w:p w14:paraId="1FD90E60" w14:textId="6F019702" w:rsidR="00367E3D" w:rsidRPr="00642AB3" w:rsidRDefault="00367E3D" w:rsidP="00D35786">
      <w:pPr>
        <w:spacing w:line="480" w:lineRule="auto"/>
      </w:pPr>
      <w:r w:rsidRPr="00642AB3">
        <w:t>The guidelines vary in the terminology</w:t>
      </w:r>
      <w:r w:rsidR="00F2724D">
        <w:t xml:space="preserve"> relating to conceptual modelling</w:t>
      </w:r>
      <w:r w:rsidRPr="00642AB3">
        <w:t>. The NICE Guideline and the PBAC Guideline do not use the term “</w:t>
      </w:r>
      <w:r w:rsidRPr="00642AB3">
        <w:rPr>
          <w:i/>
          <w:iCs/>
        </w:rPr>
        <w:t>conceptual model</w:t>
      </w:r>
      <w:r w:rsidRPr="00642AB3">
        <w:t xml:space="preserve">” or related terms, although there are some recommendations on model structure and structural assumptions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2013","type":"report"},"uris":["http://www.mendeley.com/documents/?uuid=63ed8dfc-b348-31dc-aeaa-c7d1757d8e1c"]},{"id":"ITEM-2","itemData":{"ISBN":"9781741860009","abstract":"The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Committee","given":"","non-dropping-particle":"","parse-names":false,"suffix":""}],"id":"ITEM-2","issued":{"date-parts":[["2016"]]},"title":"Guidelines for preparing submissions to the Pharmaceutical Benefits Advisory Committee","type":"report"},"uris":["http://www.mendeley.com/documents/?uuid=57a65f32-3da3-380c-b9ea-2dc0de627f0c"]}],"mendeley":{"formattedCitation":"(National Institute for Health and Care Excellence (NICE), 2013; Pharmaceutical Benefits Advisory Committee, 2016)","plainTextFormattedCitation":"(National Institute for Health and Care Excellence (NICE), 2013; Pharmaceutical Benefits Advisory Committee, 2016)","previouslyFormattedCitation":"(National Institute for Health and Care Excellence (NICE), 2013; Pharmaceutical Benefits Advisory Committee, 2016)"},"properties":{"noteIndex":0},"schema":"https://github.com/citation-style-language/schema/raw/master/csl-citation.json"}</w:instrText>
      </w:r>
      <w:r w:rsidRPr="00642AB3">
        <w:fldChar w:fldCharType="separate"/>
      </w:r>
      <w:r w:rsidRPr="00642AB3">
        <w:rPr>
          <w:noProof/>
        </w:rPr>
        <w:t>(National Institute for Health and Care Excellence (NICE), 2013; Pharmaceutical Benefits Advisory Committee, 2016)</w:t>
      </w:r>
      <w:r w:rsidRPr="00642AB3">
        <w:fldChar w:fldCharType="end"/>
      </w:r>
      <w:r w:rsidRPr="00642AB3">
        <w:t>. The NICE DSU TSD13 uses the term ‘conceptual modelling’ interchangeably with ‘model structuring’. It defines conceptual modelling as: “</w:t>
      </w:r>
      <w:r w:rsidRPr="00642AB3">
        <w:rPr>
          <w:i/>
          <w:iCs/>
        </w:rPr>
        <w:t>activity related to translating the understanding of the decision problem towards a mathematical model-based solution</w:t>
      </w:r>
      <w:r w:rsidRPr="00642AB3">
        <w:t xml:space="preserve">” (p18) </w:t>
      </w:r>
      <w:r w:rsidRPr="00642AB3">
        <w:fldChar w:fldCharType="begin" w:fldLock="1"/>
      </w:r>
      <w:r w:rsidR="00A33BA4">
        <w:instrText>ADDIN CSL_CITATION {"citationItems":[{"id":"ITEM-1","itemData":{"DOI":"10.1016/j.jval.2014.12.014","ISBN":"1099-1727","ISSN":"15244733","PMID":"26091606","author":[{"dropping-particle":"","family":"Kaltenhalter","given":"Eva","non-dropping-particle":"","parse-names":false,"suffix":""},{"dropping-particle":"","family":"Tappenden","given":"Paul","non-dropping-particle":"","parse-names":false,"suffix":""},{"dropping-particle":"","family":"Paisley","given":"Suzy","non-dropping-particle":"","parse-names":false,"suffix":""},{"dropping-particle":"","family":"Squires","given":"Hazel","non-dropping-particle":"","parse-names":false,"suffix":""}],"container-title":"NICE Decision Support Unit","id":"ITEM-1","issue":"13","issued":{"date-parts":[["2011"]]},"title":"NICE DSU Technical Support Document 13: Identifying and reviewing evidence to inform the conceptualisation and population of cost-effectiveness models","type":"report"},"uris":["http://www.mendeley.com/documents/?uuid=dc3d7923-fb75-362d-8bae-bb6146215190"]}],"mendeley":{"formattedCitation":"(Kaltenhalter, Tappenden, Paisley, &amp; Squires, 2011)","plainTextFormattedCitation":"(Kaltenhalter, Tappenden, Paisley, &amp; Squires, 2011)","previouslyFormattedCitation":"(Kaltenhalter, Tappenden, Paisley, &amp; Squires, 2011)"},"properties":{"noteIndex":0},"schema":"https://github.com/citation-style-language/schema/raw/master/csl-citation.json"}</w:instrText>
      </w:r>
      <w:r w:rsidRPr="00642AB3">
        <w:fldChar w:fldCharType="separate"/>
      </w:r>
      <w:r w:rsidRPr="00642AB3">
        <w:rPr>
          <w:noProof/>
        </w:rPr>
        <w:t>(Kaltenhalter, Tappenden, Paisley, &amp; Squires, 2011)</w:t>
      </w:r>
      <w:r w:rsidRPr="00642AB3">
        <w:fldChar w:fldCharType="end"/>
      </w:r>
      <w:r w:rsidRPr="00642AB3">
        <w:t xml:space="preserve">. In the NICE </w:t>
      </w:r>
      <w:r w:rsidR="00F2724D">
        <w:t>Decision Support Unit (DSU) Technical Support Document</w:t>
      </w:r>
      <w:r w:rsidR="00F2724D" w:rsidRPr="00642AB3">
        <w:t xml:space="preserve"> </w:t>
      </w:r>
      <w:r w:rsidR="00F2724D">
        <w:t>(</w:t>
      </w:r>
      <w:r w:rsidRPr="00642AB3">
        <w:t>TSD</w:t>
      </w:r>
      <w:r w:rsidR="00F2724D">
        <w:t xml:space="preserve">) </w:t>
      </w:r>
      <w:r w:rsidRPr="00642AB3">
        <w:t>13, conceptual modelling is placed after the stage of “</w:t>
      </w:r>
      <w:r w:rsidRPr="00642AB3">
        <w:rPr>
          <w:i/>
          <w:iCs/>
        </w:rPr>
        <w:t>understanding the decision problem</w:t>
      </w:r>
      <w:r w:rsidRPr="00642AB3">
        <w:t xml:space="preserve">” and before the implementation of the model within a software platform, as per Chilcott et al </w:t>
      </w:r>
      <w:r w:rsidRPr="00642AB3">
        <w:fldChar w:fldCharType="begin" w:fldLock="1"/>
      </w:r>
      <w:r w:rsidR="00A33BA4">
        <w:instrText>ADDIN CSL_CITATION {"citationItems":[{"id":"ITEM-1","itemData":{"DOI":"10.3310/hta14250","ISBN":"2046-4924 (Electronic)\\r1366-5278 (Linking)","ISSN":"13665278","PMID":"20501062","abstract":"BACKGROUND: Health policy decisions must be relevant, evidence-based and transparent. Decision-analytic modelling supports this process but its role is reliant on its credibility. Errors in mathematical decision models or simulation exercises are unavoidable but little attention has been paid to processes in model development. Numerous error avoidance/identification strategies could be adopted but it is difficult to evaluate the merits of strategies for improving the credibility of models without first developing an understanding of error types and causes.\\n\\nOBJECTIVES: The study aims to describe the current comprehension of errors in the HTA modelling community and generate a taxonomy of model errors. Four primary objectives are to: (1) describe the current understanding of errors in HTA modelling; (2) understand current processes applied by the technology assessment community for avoiding errors in development, debugging and critically appraising models for errors; (3) use HTA modellers' perceptions of model errors with the wider non-HTA literature to develop a taxonomy of model errors; and (4) explore potential methods and procedures to reduce the occurrence of errors in models. It also describes the model development process as perceived by practitioners working within the HTA community.\\n\\nDATA SOURCES: A methodological review was undertaken using an iterative search methodology. Exploratory searches informed the scope of interviews; later searches focused on issues arising from the interviews. Searches were undertaken in February 2008 and January 2009. In-depth qualitative interviews were performed with 12 HTA modellers from academic and commercial modelling sectors.\\n\\nREVIEW METHODS: All qualitative data were analysed using the Framework approach. Descriptive and explanatory accounts were used to interrogate the data within and across themes and subthemes: organisation, roles and communication; the model development process; definition of error; types of model error; strategies for avoiding errors; strategies for identifying errors; and barriers and facilitators.\\n\\nRESULTS: There was no common language in the discussion of modelling errors and there was inconsistency in the perceived boundaries of what constitutes an error. Asked about the definition of model error, there was a tendency for interviewees to exclude matters of judgement from being errors and focus on 'slips' and 'lapses', but discussion of slips and lapses comprised less than 20…","author":[{"dropping-particle":"","family":"Chilcott","given":"J.","non-dropping-particle":"","parse-names":false,"suffix":""},{"dropping-particle":"","family":"Tappenden","given":"P.","non-dropping-particle":"","parse-names":false,"suffix":""},{"dropping-particle":"","family":"Rawdin","given":"A.","non-dropping-particle":"","parse-names":false,"suffix":""},{"dropping-particle":"","family":"Johnson","given":"M.","non-dropping-particle":"","parse-names":false,"suffix":""},{"dropping-particle":"","family":"Kaltenthaler","given":"E.","non-dropping-particle":"","parse-names":false,"suffix":""},{"dropping-particle":"","family":"Paisley","given":"S.","non-dropping-particle":"","parse-names":false,"suffix":""},{"dropping-particle":"","family":"Papaioannou","given":"D.","non-dropping-particle":"","parse-names":false,"suffix":""},{"dropping-particle":"","family":"Shippam","given":"A.","non-dropping-particle":"","parse-names":false,"suffix":""}],"container-title":"Health Technology Assessment","id":"ITEM-1","issue":"25","issued":{"date-parts":[["2010"]]},"title":"Avoiding and identifying errors in health technology assessment models: Qualitative study and methodological review","type":"article-journal","volume":"14"},"uris":["http://www.mendeley.com/documents/?uuid=57828736-d630-470a-86e1-21f8dd58a2e9"]}],"mendeley":{"formattedCitation":"(Chilcott et al., 2010)","plainTextFormattedCitation":"(Chilcott et al., 2010)","previouslyFormattedCitation":"(Chilcott et al., 2010)"},"properties":{"noteIndex":0},"schema":"https://github.com/citation-style-language/schema/raw/master/csl-citation.json"}</w:instrText>
      </w:r>
      <w:r w:rsidRPr="00642AB3">
        <w:fldChar w:fldCharType="separate"/>
      </w:r>
      <w:r w:rsidRPr="00642AB3">
        <w:rPr>
          <w:noProof/>
        </w:rPr>
        <w:t>(Chilcott et al., 2010)</w:t>
      </w:r>
      <w:r w:rsidRPr="00642AB3">
        <w:fldChar w:fldCharType="end"/>
      </w:r>
      <w:r w:rsidRPr="00642AB3">
        <w:t>. Understanding the decision problem includes “</w:t>
      </w:r>
      <w:r w:rsidRPr="00642AB3">
        <w:rPr>
          <w:i/>
          <w:iCs/>
        </w:rPr>
        <w:t xml:space="preserve">activities including immersion in </w:t>
      </w:r>
      <w:r w:rsidRPr="00642AB3">
        <w:rPr>
          <w:i/>
          <w:iCs/>
        </w:rPr>
        <w:lastRenderedPageBreak/>
        <w:t xml:space="preserve">research evidence, defining the research question, engaging with clinicians, decision-makers and methodologists, and understanding what is feasible” </w:t>
      </w:r>
      <w:r w:rsidRPr="00642AB3">
        <w:t xml:space="preserve">(p.18). </w:t>
      </w:r>
    </w:p>
    <w:p w14:paraId="04FC6C29" w14:textId="6B9C8B4D" w:rsidR="00367E3D" w:rsidRPr="00642AB3" w:rsidRDefault="00367E3D" w:rsidP="00D35786">
      <w:pPr>
        <w:spacing w:line="480" w:lineRule="auto"/>
      </w:pPr>
      <w:r w:rsidRPr="00642AB3">
        <w:t>The CADTH Guideline uses a similar terminology to the NICE DSU TSD13, describing model conceptualisation as “</w:t>
      </w:r>
      <w:r w:rsidRPr="00642AB3">
        <w:rPr>
          <w:i/>
          <w:iCs/>
        </w:rPr>
        <w:t>(…)  the development of a model structure that is defined by specific states or events and the relationships among them that together constitute the clinical or care pathway for the condition of interest and the technologies being compared</w:t>
      </w:r>
      <w:r w:rsidRPr="00642AB3">
        <w:t xml:space="preserve">” (p.33)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Canada","type":"article-journal"},"uris":["http://www.mendeley.com/documents/?uuid=c1edb1ae-e4b3-3ad4-9c48-be7c245913bf"]}],"mendeley":{"formattedCitation":"(Canadian Agency for Drugs and Technologies in Health, 2017)","plainTextFormattedCitation":"(Canadian Agency for Drugs and Technologies in Health, 2017)","previouslyFormattedCitation":"(Canadian Agency for Drugs and Technologies in Health, 2017)"},"properties":{"noteIndex":0},"schema":"https://github.com/citation-style-language/schema/raw/master/csl-citation.json"}</w:instrText>
      </w:r>
      <w:r w:rsidRPr="00642AB3">
        <w:fldChar w:fldCharType="separate"/>
      </w:r>
      <w:r w:rsidRPr="00642AB3">
        <w:rPr>
          <w:noProof/>
        </w:rPr>
        <w:t>(Canadian Agency for Drugs and Technologies in Health, 2017)</w:t>
      </w:r>
      <w:r w:rsidRPr="00642AB3">
        <w:fldChar w:fldCharType="end"/>
      </w:r>
      <w:r w:rsidRPr="00642AB3">
        <w:t xml:space="preserve">. </w:t>
      </w:r>
    </w:p>
    <w:p w14:paraId="5C5BFD4A" w14:textId="5117C3FC" w:rsidR="00367E3D" w:rsidRPr="00642AB3" w:rsidRDefault="00367E3D" w:rsidP="00D35786">
      <w:pPr>
        <w:spacing w:line="480" w:lineRule="auto"/>
      </w:pPr>
      <w:r w:rsidRPr="00642AB3">
        <w:t>Drummond et al also uses the term “</w:t>
      </w:r>
      <w:r w:rsidRPr="00642AB3">
        <w:rPr>
          <w:i/>
          <w:iCs/>
        </w:rPr>
        <w:t>conceptualising a decision model</w:t>
      </w:r>
      <w:r w:rsidRPr="00642AB3">
        <w:t xml:space="preserve">” for the process of deciding the model structure – this is the third stage in model development </w:t>
      </w:r>
      <w:r w:rsidRPr="00642AB3">
        <w:fldChar w:fldCharType="begin" w:fldLock="1"/>
      </w:r>
      <w:r w:rsidR="00A33BA4">
        <w:instrText>ADDIN CSL_CITATION {"citationItems":[{"id":"ITEM-1","itemData":{"author":[{"dropping-particle":"","family":"Drummond","given":"Michael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W.","non-dropping-particle":"","parse-names":false,"suffix":""}],"edition":"4th","id":"ITEM-1","issued":{"date-parts":[["2015"]]},"number-of-pages":"464","publisher":"Oxford University Press","publisher-place":"Oxford","title":"Methods for the Economic Evaluation of Health Care Programmes","type":"book"},"uris":["http://www.mendeley.com/documents/?uuid=bfcbd1b8-6b05-4fe8-a3fd-fb1cbb802fd7"]}],"mendeley":{"formattedCitation":"(M. F. Drummond et al., 2015)","plainTextFormattedCitation":"(M. F. Drummond et al., 2015)","previouslyFormattedCitation":"(M. F. Drummond et al., 2015)"},"properties":{"noteIndex":0},"schema":"https://github.com/citation-style-language/schema/raw/master/csl-citation.json"}</w:instrText>
      </w:r>
      <w:r w:rsidRPr="00642AB3">
        <w:fldChar w:fldCharType="separate"/>
      </w:r>
      <w:r w:rsidRPr="00642AB3">
        <w:rPr>
          <w:noProof/>
        </w:rPr>
        <w:t>(M. F. Drummond et al., 2015)</w:t>
      </w:r>
      <w:r w:rsidRPr="00642AB3">
        <w:fldChar w:fldCharType="end"/>
      </w:r>
      <w:r w:rsidRPr="00642AB3">
        <w:t xml:space="preserve">. For Drummond et al, the first stage in the development of a model is to define the decision problem, i.e. specifying the research question in terms of the target population and relevant options. The second stage is defining the boundaries of the model, which include the perspective, the outcomes, time horizon, effects to consider and whether to include spillover populations.  </w:t>
      </w:r>
    </w:p>
    <w:p w14:paraId="6A81F67F" w14:textId="3CF6CE5F" w:rsidR="00367E3D" w:rsidRPr="00642AB3" w:rsidRDefault="00367E3D" w:rsidP="00D35786">
      <w:pPr>
        <w:spacing w:line="480" w:lineRule="auto"/>
      </w:pPr>
      <w:r w:rsidRPr="00642AB3">
        <w:t>The US Panel uses the term “</w:t>
      </w:r>
      <w:r w:rsidRPr="00642AB3">
        <w:rPr>
          <w:i/>
          <w:iCs/>
        </w:rPr>
        <w:t>conceptualisation</w:t>
      </w:r>
      <w:r w:rsidRPr="00642AB3">
        <w:t xml:space="preserve">” in two ways. In Owens et al, </w:t>
      </w:r>
      <w:r w:rsidR="00F2724D">
        <w:t xml:space="preserve">the </w:t>
      </w:r>
      <w:r w:rsidRPr="00642AB3">
        <w:t xml:space="preserve">conceptual model refers to the analysts’ understanding of the sequence of events from the use of each option to the outcomes of interest </w:t>
      </w:r>
      <w:r w:rsidRPr="00642AB3">
        <w:fldChar w:fldCharType="begin" w:fldLock="1"/>
      </w:r>
      <w:r w:rsidR="00A33BA4">
        <w:instrText>ADDIN CSL_CITATION {"citationItems":[{"id":"ITEM-1","itemData":{"DOI":"10.1093/acprof:oso/9780190492939.001.0001","ISBN":"9780190492939","abstract":"This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Press","publisher-place":"Oxford","title":"Designing a Cost-Effectiveness Analysis","type":"chapter"},"uris":["http://www.mendeley.com/documents/?uuid=5008afc6-8cab-3f7d-94d0-c4aadfc9796e"]}],"mendeley":{"formattedCitation":"(Owens et al., 2016)","plainTextFormattedCitation":"(Owens et al., 2016)","previouslyFormattedCitation":"(Owens et al., 2016)"},"properties":{"noteIndex":0},"schema":"https://github.com/citation-style-language/schema/raw/master/csl-citation.json"}</w:instrText>
      </w:r>
      <w:r w:rsidRPr="00642AB3">
        <w:fldChar w:fldCharType="separate"/>
      </w:r>
      <w:r w:rsidRPr="00642AB3">
        <w:rPr>
          <w:noProof/>
        </w:rPr>
        <w:t>(Owens et al., 2016)</w:t>
      </w:r>
      <w:r w:rsidRPr="00642AB3">
        <w:fldChar w:fldCharType="end"/>
      </w:r>
      <w:r w:rsidRPr="00642AB3">
        <w:t>. Kuntz et al uses the term “</w:t>
      </w:r>
      <w:r w:rsidRPr="00642AB3">
        <w:rPr>
          <w:i/>
          <w:iCs/>
        </w:rPr>
        <w:t xml:space="preserve">conceptualisation” </w:t>
      </w:r>
      <w:r w:rsidRPr="00642AB3">
        <w:t>in the context of</w:t>
      </w:r>
      <w:r w:rsidRPr="00642AB3">
        <w:rPr>
          <w:i/>
          <w:iCs/>
        </w:rPr>
        <w:t xml:space="preserve"> “conceptualisation of the decision problem</w:t>
      </w:r>
      <w:r w:rsidRPr="00642AB3">
        <w:t xml:space="preserve">” </w:t>
      </w:r>
      <w:r w:rsidRPr="00642AB3">
        <w:fldChar w:fldCharType="begin" w:fldLock="1"/>
      </w:r>
      <w:r w:rsidR="00A33BA4">
        <w:instrText>ADDIN CSL_CITATION {"citationItems":[{"id":"ITEM-1","itemData":{"DOI":"10.1093/acprof:oso/9780190492939.001.0001","ISBN":"9780190492939","abstract":"This is a new chapter and underscores recent advances in the field. Analysts typically face situations in which the data available about the costs and effects of different interventions come from disparate sources and often from studies for which analysts do not have access to primary data. Models fill in the gaps and help to structure analysts’ thinking. They provide a framework for synthesizing data from disparate sources, allowing extrapolations beyond the time horizons of available data and to population subgroups and strategies not observed in studies. This chapter reviews the different types of decision models and their relative advantages and disadvantages. It also provides recommendations for model structure, output, evaluation of uncertainty, and validation.","author":[{"dropping-particle":"","family":"Kuntz","given":"Karen M.","non-dropping-particle":"","parse-names":false,"suffix":""},{"dropping-particle":"","family":"Russell","given":"Louise B","non-dropping-particle":"","parse-names":false,"suffix":""},{"dropping-particle":"","family":"Owens","given":"Douglas K","non-dropping-particle":"","parse-names":false,"suffix":""},{"dropping-particle":"","family":"Sanders","given":"Gillian D.","non-dropping-particle":"","parse-names":false,"suffix":""},{"dropping-particle":"","family":"Trikalinos","given":"Thomas A.","non-dropping-particle":"","parse-names":false,"suffix":""},{"dropping-particle":"","family":"Salomon","given":"Joshua A.","non-dropping-particle":"","parse-names":false,"suffix":""}],"container-title":"Cost 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Press","publisher-place":"Oxford","title":"Decision Models in Cost-Effectiveness Analysis","type":"chapter"},"uris":["http://www.mendeley.com/documents/?uuid=130c09eb-d67f-39a2-b765-379137b2b6bd"]}],"mendeley":{"formattedCitation":"(Kuntz et al., 2016)","plainTextFormattedCitation":"(Kuntz et al., 2016)","previouslyFormattedCitation":"(Kuntz et al., 2016)"},"properties":{"noteIndex":0},"schema":"https://github.com/citation-style-language/schema/raw/master/csl-citation.json"}</w:instrText>
      </w:r>
      <w:r w:rsidRPr="00642AB3">
        <w:fldChar w:fldCharType="separate"/>
      </w:r>
      <w:r w:rsidRPr="00642AB3">
        <w:rPr>
          <w:noProof/>
        </w:rPr>
        <w:t>(Kuntz et al., 2016)</w:t>
      </w:r>
      <w:r w:rsidRPr="00642AB3">
        <w:fldChar w:fldCharType="end"/>
      </w:r>
      <w:r w:rsidRPr="00642AB3">
        <w:t xml:space="preserve">. This stage generally corresponds to what the NICE DSU TSD13 classifies as the stage of understanding of the decision problem </w:t>
      </w:r>
      <w:r w:rsidRPr="00642AB3">
        <w:fldChar w:fldCharType="begin" w:fldLock="1"/>
      </w:r>
      <w:r w:rsidR="00A33BA4">
        <w:instrText>ADDIN CSL_CITATION {"citationItems":[{"id":"ITEM-1","itemData":{"DOI":"10.1016/j.jval.2014.12.014","ISBN":"1099-1727","ISSN":"15244733","PMID":"26091606","author":[{"dropping-particle":"","family":"Kaltenhalter","given":"Eva","non-dropping-particle":"","parse-names":false,"suffix":""},{"dropping-particle":"","family":"Tappenden","given":"Paul","non-dropping-particle":"","parse-names":false,"suffix":""},{"dropping-particle":"","family":"Paisley","given":"Suzy","non-dropping-particle":"","parse-names":false,"suffix":""},{"dropping-particle":"","family":"Squires","given":"Hazel","non-dropping-particle":"","parse-names":false,"suffix":""}],"container-title":"NICE Decision Support Unit","id":"ITEM-1","issue":"13","issued":{"date-parts":[["2011"]]},"title":"NICE DSU Technical Support Document 13: Identifying and reviewing evidence to inform the conceptualisation and population of cost-effectiveness models","type":"report"},"uris":["http://www.mendeley.com/documents/?uuid=dc3d7923-fb75-362d-8bae-bb6146215190"]}],"mendeley":{"formattedCitation":"(Kaltenhalter et al., 2011)","plainTextFormattedCitation":"(Kaltenhalter et al., 2011)","previouslyFormattedCitation":"(Kaltenhalter et al., 2011)"},"properties":{"noteIndex":0},"schema":"https://github.com/citation-style-language/schema/raw/master/csl-citation.json"}</w:instrText>
      </w:r>
      <w:r w:rsidRPr="00642AB3">
        <w:fldChar w:fldCharType="separate"/>
      </w:r>
      <w:r w:rsidRPr="00642AB3">
        <w:rPr>
          <w:noProof/>
        </w:rPr>
        <w:t>(Kaltenhalter et al., 2011)</w:t>
      </w:r>
      <w:r w:rsidRPr="00642AB3">
        <w:fldChar w:fldCharType="end"/>
      </w:r>
      <w:r w:rsidRPr="00642AB3">
        <w:t xml:space="preserve">, and to the first two stages by Drummond et al of defining the decision problem and defining the boundaries of the model </w:t>
      </w:r>
      <w:r w:rsidRPr="00642AB3">
        <w:fldChar w:fldCharType="begin" w:fldLock="1"/>
      </w:r>
      <w:r w:rsidR="00A33BA4">
        <w:instrText>ADDIN CSL_CITATION {"citationItems":[{"id":"ITEM-1","itemData":{"author":[{"dropping-particle":"","family":"Drummond","given":"Michael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W.","non-dropping-particle":"","parse-names":false,"suffix":""}],"edition":"4th","id":"ITEM-1","issued":{"date-parts":[["2015"]]},"number-of-pages":"464","publisher":"Oxford University Press","publisher-place":"Oxford","title":"Methods for the Economic Evaluation of Health Care Programmes","type":"book"},"uris":["http://www.mendeley.com/documents/?uuid=bfcbd1b8-6b05-4fe8-a3fd-fb1cbb802fd7"]}],"mendeley":{"formattedCitation":"(M. F. Drummond et al., 2015)","plainTextFormattedCitation":"(M. F. Drummond et al., 2015)","previouslyFormattedCitation":"(M. F. Drummond et al., 2015)"},"properties":{"noteIndex":0},"schema":"https://github.com/citation-style-language/schema/raw/master/csl-citation.json"}</w:instrText>
      </w:r>
      <w:r w:rsidRPr="00642AB3">
        <w:fldChar w:fldCharType="separate"/>
      </w:r>
      <w:r w:rsidRPr="00642AB3">
        <w:rPr>
          <w:noProof/>
        </w:rPr>
        <w:t>(M. F. Drummond et al., 2015)</w:t>
      </w:r>
      <w:r w:rsidRPr="00642AB3">
        <w:fldChar w:fldCharType="end"/>
      </w:r>
      <w:r w:rsidRPr="00642AB3">
        <w:t xml:space="preserve">. </w:t>
      </w:r>
    </w:p>
    <w:p w14:paraId="3947BDD4" w14:textId="18C63128" w:rsidR="00367E3D" w:rsidRPr="00642AB3" w:rsidRDefault="00367E3D" w:rsidP="00D35786">
      <w:pPr>
        <w:spacing w:line="480" w:lineRule="auto"/>
      </w:pPr>
      <w:r w:rsidRPr="00642AB3">
        <w:t>The ISPOR Taskforce uses the terms “</w:t>
      </w:r>
      <w:r w:rsidRPr="00642AB3">
        <w:rPr>
          <w:i/>
          <w:iCs/>
        </w:rPr>
        <w:t>problem conceptualisation</w:t>
      </w:r>
      <w:r w:rsidRPr="00642AB3">
        <w:t>” and “</w:t>
      </w:r>
      <w:r w:rsidRPr="00642AB3">
        <w:rPr>
          <w:i/>
          <w:iCs/>
        </w:rPr>
        <w:t>model conceptualisation</w:t>
      </w:r>
      <w:r w:rsidRPr="00642AB3">
        <w:t xml:space="preserve">” </w:t>
      </w:r>
      <w:r w:rsidRPr="00642AB3">
        <w:fldChar w:fldCharType="begin" w:fldLock="1"/>
      </w:r>
      <w:r w:rsidR="00A33BA4">
        <w:instrText>ADDIN CSL_CITATION {"citationItems":[{"id":"ITEM-1","itemData":{"DOI":"10.1016/j.jval.2012.06.012","ISBN":"1524-4733","ISSN":"1524-4733","PMID":"22999128","abstract":"Thee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Health","id":"ITEM-1","issued":{"date-parts":[["2012"]]},"page":"804-811","title":"Conceptualizing a Model: A Report of the ISPOR-SMDM Modeling Good Research Practices Task Force-2","type":"article-journal","volume":"15"},"uris":["http://www.mendeley.com/documents/?uuid=d6058f98-c577-37fc-9309-1ea31daea085"]}],"mendeley":{"formattedCitation":"(Roberts et al., 2012)","plainTextFormattedCitation":"(Roberts et al., 2012)","previouslyFormattedCitation":"(Roberts et al., 2012)"},"properties":{"noteIndex":0},"schema":"https://github.com/citation-style-language/schema/raw/master/csl-citation.json"}</w:instrText>
      </w:r>
      <w:r w:rsidRPr="00642AB3">
        <w:fldChar w:fldCharType="separate"/>
      </w:r>
      <w:r w:rsidRPr="00642AB3">
        <w:rPr>
          <w:noProof/>
        </w:rPr>
        <w:t>(Roberts et al., 2012)</w:t>
      </w:r>
      <w:r w:rsidRPr="00642AB3">
        <w:fldChar w:fldCharType="end"/>
      </w:r>
      <w:r w:rsidRPr="00642AB3">
        <w:t xml:space="preserve">. Problem conceptualisation is the process of </w:t>
      </w:r>
      <w:r w:rsidRPr="00642AB3">
        <w:lastRenderedPageBreak/>
        <w:t xml:space="preserve">understanding the decision problem </w:t>
      </w:r>
      <w:r w:rsidRPr="00642AB3">
        <w:fldChar w:fldCharType="begin" w:fldLock="1"/>
      </w:r>
      <w:r w:rsidR="00A33BA4">
        <w:instrText>ADDIN CSL_CITATION {"citationItems":[{"id":"ITEM-1","itemData":{"DOI":"10.1016/j.jval.2012.06.012","ISBN":"1524-4733","ISSN":"1524-4733","PMID":"22999128","abstract":"Thee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Health","id":"ITEM-1","issued":{"date-parts":[["2012"]]},"page":"804-811","title":"Conceptualizing a Model: A Report of the ISPOR-SMDM Modeling Good Research Practices Task Force-2","type":"article-journal","volume":"15"},"uris":["http://www.mendeley.com/documents/?uuid=d6058f98-c577-37fc-9309-1ea31daea085"]}],"mendeley":{"formattedCitation":"(Roberts et al., 2012)","plainTextFormattedCitation":"(Roberts et al., 2012)","previouslyFormattedCitation":"(Roberts et al., 2012)"},"properties":{"noteIndex":0},"schema":"https://github.com/citation-style-language/schema/raw/master/csl-citation.json"}</w:instrText>
      </w:r>
      <w:r w:rsidRPr="00642AB3">
        <w:fldChar w:fldCharType="separate"/>
      </w:r>
      <w:r w:rsidRPr="00642AB3">
        <w:rPr>
          <w:noProof/>
        </w:rPr>
        <w:t>(Roberts et al., 2012)</w:t>
      </w:r>
      <w:r w:rsidRPr="00642AB3">
        <w:fldChar w:fldCharType="end"/>
      </w:r>
      <w:r w:rsidRPr="00642AB3">
        <w:t xml:space="preserve">; this refers to the similar stage as the NICE DSU TSD13 </w:t>
      </w:r>
      <w:r w:rsidRPr="00642AB3">
        <w:fldChar w:fldCharType="begin" w:fldLock="1"/>
      </w:r>
      <w:r w:rsidR="00A33BA4">
        <w:instrText>ADDIN CSL_CITATION {"citationItems":[{"id":"ITEM-1","itemData":{"DOI":"10.1016/j.jval.2014.12.014","ISBN":"1099-1727","ISSN":"15244733","PMID":"26091606","author":[{"dropping-particle":"","family":"Kaltenhalter","given":"Eva","non-dropping-particle":"","parse-names":false,"suffix":""},{"dropping-particle":"","family":"Tappenden","given":"Paul","non-dropping-particle":"","parse-names":false,"suffix":""},{"dropping-particle":"","family":"Paisley","given":"Suzy","non-dropping-particle":"","parse-names":false,"suffix":""},{"dropping-particle":"","family":"Squires","given":"Hazel","non-dropping-particle":"","parse-names":false,"suffix":""}],"container-title":"NICE Decision Support Unit","id":"ITEM-1","issue":"13","issued":{"date-parts":[["2011"]]},"title":"NICE DSU Technical Support Document 13: Identifying and reviewing evidence to inform the conceptualisation and population of cost-effectiveness models","type":"report"},"uris":["http://www.mendeley.com/documents/?uuid=dc3d7923-fb75-362d-8bae-bb6146215190"]}],"mendeley":{"formattedCitation":"(Kaltenhalter et al., 2011)","plainTextFormattedCitation":"(Kaltenhalter et al., 2011)","previouslyFormattedCitation":"(Kaltenhalter et al., 2011)"},"properties":{"noteIndex":0},"schema":"https://github.com/citation-style-language/schema/raw/master/csl-citation.json"}</w:instrText>
      </w:r>
      <w:r w:rsidRPr="00642AB3">
        <w:fldChar w:fldCharType="separate"/>
      </w:r>
      <w:r w:rsidRPr="00642AB3">
        <w:rPr>
          <w:noProof/>
        </w:rPr>
        <w:t>(Kaltenhalter et al., 2011)</w:t>
      </w:r>
      <w:r w:rsidRPr="00642AB3">
        <w:fldChar w:fldCharType="end"/>
      </w:r>
      <w:r w:rsidRPr="00642AB3">
        <w:t xml:space="preserve"> and Drummond et </w:t>
      </w:r>
      <w:proofErr w:type="spellStart"/>
      <w:r w:rsidRPr="00642AB3">
        <w:t>al’s</w:t>
      </w:r>
      <w:proofErr w:type="spellEnd"/>
      <w:r w:rsidRPr="00642AB3">
        <w:t xml:space="preserve"> ‘</w:t>
      </w:r>
      <w:r w:rsidRPr="00642AB3">
        <w:rPr>
          <w:i/>
          <w:iCs/>
        </w:rPr>
        <w:t>defining the decision problem</w:t>
      </w:r>
      <w:r w:rsidRPr="00642AB3">
        <w:t>’ and ‘</w:t>
      </w:r>
      <w:r w:rsidRPr="00642AB3">
        <w:rPr>
          <w:i/>
          <w:iCs/>
        </w:rPr>
        <w:t>defining the boundaries of the model</w:t>
      </w:r>
      <w:r w:rsidRPr="00642AB3">
        <w:t xml:space="preserve">’ </w:t>
      </w:r>
      <w:r w:rsidRPr="00642AB3">
        <w:fldChar w:fldCharType="begin" w:fldLock="1"/>
      </w:r>
      <w:r w:rsidR="00A33BA4">
        <w:instrText>ADDIN CSL_CITATION {"citationItems":[{"id":"ITEM-1","itemData":{"author":[{"dropping-particle":"","family":"Drummond","given":"Michael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W.","non-dropping-particle":"","parse-names":false,"suffix":""}],"edition":"4th","id":"ITEM-1","issued":{"date-parts":[["2015"]]},"number-of-pages":"464","publisher":"Oxford University Press","publisher-place":"Oxford","title":"Methods for the Economic Evaluation of Health Care Programmes","type":"book"},"uris":["http://www.mendeley.com/documents/?uuid=bfcbd1b8-6b05-4fe8-a3fd-fb1cbb802fd7"]}],"mendeley":{"formattedCitation":"(M. F. Drummond et al., 2015)","plainTextFormattedCitation":"(M. F. Drummond et al., 2015)","previouslyFormattedCitation":"(M. F. Drummond et al., 2015)"},"properties":{"noteIndex":0},"schema":"https://github.com/citation-style-language/schema/raw/master/csl-citation.json"}</w:instrText>
      </w:r>
      <w:r w:rsidRPr="00642AB3">
        <w:fldChar w:fldCharType="separate"/>
      </w:r>
      <w:r w:rsidRPr="00642AB3">
        <w:rPr>
          <w:noProof/>
        </w:rPr>
        <w:t>(M. F. Drummond et al., 2015)</w:t>
      </w:r>
      <w:r w:rsidRPr="00642AB3">
        <w:fldChar w:fldCharType="end"/>
      </w:r>
      <w:r w:rsidRPr="00642AB3">
        <w:t xml:space="preserve">. According to the ISPOR Taskforce, model conceptualisation is the process by which the components of the problem are represented using a specific modelling approach </w:t>
      </w:r>
      <w:r w:rsidRPr="00642AB3">
        <w:fldChar w:fldCharType="begin" w:fldLock="1"/>
      </w:r>
      <w:r w:rsidR="00A33BA4">
        <w:instrText>ADDIN CSL_CITATION {"citationItems":[{"id":"ITEM-1","itemData":{"DOI":"10.1016/j.jval.2012.06.012","ISBN":"1524-4733","ISSN":"1524-4733","PMID":"22999128","abstract":"Thee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Health","id":"ITEM-1","issued":{"date-parts":[["2012"]]},"page":"804-811","title":"Conceptualizing a Model: A Report of the ISPOR-SMDM Modeling Good Research Practices Task Force-2","type":"article-journal","volume":"15"},"uris":["http://www.mendeley.com/documents/?uuid=d6058f98-c577-37fc-9309-1ea31daea085"]}],"mendeley":{"formattedCitation":"(Roberts et al., 2012)","plainTextFormattedCitation":"(Roberts et al., 2012)","previouslyFormattedCitation":"(Roberts et al., 2012)"},"properties":{"noteIndex":0},"schema":"https://github.com/citation-style-language/schema/raw/master/csl-citation.json"}</w:instrText>
      </w:r>
      <w:r w:rsidRPr="00642AB3">
        <w:fldChar w:fldCharType="separate"/>
      </w:r>
      <w:r w:rsidRPr="00642AB3">
        <w:rPr>
          <w:noProof/>
        </w:rPr>
        <w:t>(Roberts et al., 2012)</w:t>
      </w:r>
      <w:r w:rsidRPr="00642AB3">
        <w:fldChar w:fldCharType="end"/>
      </w:r>
      <w:r w:rsidRPr="00642AB3">
        <w:t>. Hence it includes the process of designing the model structure to planning its implementation using a specific technique.</w:t>
      </w:r>
    </w:p>
    <w:p w14:paraId="4453C8E6" w14:textId="007B117C" w:rsidR="00367E3D" w:rsidRPr="00642AB3" w:rsidRDefault="00367E3D" w:rsidP="00451BA3">
      <w:pPr>
        <w:pStyle w:val="Heading3"/>
      </w:pPr>
      <w:bookmarkStart w:id="25" w:name="_Toc48925901"/>
      <w:r w:rsidRPr="00642AB3">
        <w:t xml:space="preserve">Recommendations </w:t>
      </w:r>
      <w:proofErr w:type="gramStart"/>
      <w:r w:rsidR="00392021" w:rsidRPr="00642AB3">
        <w:t>On</w:t>
      </w:r>
      <w:proofErr w:type="gramEnd"/>
      <w:r w:rsidR="00392021" w:rsidRPr="00642AB3">
        <w:t xml:space="preserve"> Conceptual Model </w:t>
      </w:r>
      <w:proofErr w:type="spellStart"/>
      <w:r w:rsidR="00392021" w:rsidRPr="00642AB3">
        <w:t>And/Or</w:t>
      </w:r>
      <w:proofErr w:type="spellEnd"/>
      <w:r w:rsidR="00392021" w:rsidRPr="00642AB3">
        <w:t xml:space="preserve"> Model Structuring</w:t>
      </w:r>
      <w:bookmarkEnd w:id="25"/>
    </w:p>
    <w:p w14:paraId="3DECB8BB" w14:textId="1F9DDE1B" w:rsidR="00367E3D" w:rsidRPr="00642AB3" w:rsidRDefault="00367E3D" w:rsidP="00D35786">
      <w:pPr>
        <w:spacing w:line="480" w:lineRule="auto"/>
      </w:pPr>
      <w:bookmarkStart w:id="26" w:name="_Hlk28705671"/>
      <w:r w:rsidRPr="00642AB3">
        <w:t xml:space="preserve">Table 3 summarises the types of recommendations on conceptual modelling and/or model structuring. All the guidelines offer recommendations on modelling bar the Gates Guideline </w:t>
      </w:r>
      <w:r w:rsidRPr="00642AB3">
        <w:fldChar w:fldCharType="begin" w:fldLock="1"/>
      </w:r>
      <w:r w:rsidR="00A33BA4">
        <w:instrText>ADDIN CSL_CITATION {"citationItems":[{"id":"ITEM-1","itemData":{"author":[{"dropping-particle":"","family":"NICE International","given":"","non-dropping-particle":"","parse-names":false,"suffix":""}],"container-title":"Bill and Melinda Gates Foundation Methods for Economic Evaluation Project (MEEP)","id":"ITEM-1","issue":"January","issued":{"date-parts":[["2014"]]},"number-of-pages":"30-33","title":"Methods for Economic Evaluation Project: Final Report","type":"report"},"uris":["http://www.mendeley.com/documents/?uuid=72af4fb1-6d31-3c01-bc40-a1dbae091c33"]}],"mendeley":{"formattedCitation":"(NICE International, 2014)","plainTextFormattedCitation":"(NICE International, 2014)","previouslyFormattedCitation":"(NICE International, 2014)"},"properties":{"noteIndex":0},"schema":"https://github.com/citation-style-language/schema/raw/master/csl-citation.json"}</w:instrText>
      </w:r>
      <w:r w:rsidRPr="00642AB3">
        <w:fldChar w:fldCharType="separate"/>
      </w:r>
      <w:r w:rsidRPr="00642AB3">
        <w:rPr>
          <w:noProof/>
        </w:rPr>
        <w:t>(NICE International, 2014)</w:t>
      </w:r>
      <w:r w:rsidRPr="00642AB3">
        <w:fldChar w:fldCharType="end"/>
      </w:r>
      <w:r w:rsidRPr="00642AB3">
        <w:t xml:space="preserve">. The topics covered include the situations where modelling is likely to be required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2013","type":"report"},"uris":["http://www.mendeley.com/documents/?uuid=63ed8dfc-b348-31dc-aeaa-c7d1757d8e1c"]},{"id":"ITEM-2","itemData":{"ISBN":"9781741860009","abstract":"The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Committee","given":"","non-dropping-particle":"","parse-names":false,"suffix":""}],"id":"ITEM-2","issued":{"date-parts":[["2016"]]},"title":"Guidelines for preparing submissions to the Pharmaceutical Benefits Advisory Committee","type":"report"},"uris":["http://www.mendeley.com/documents/?uuid=57a65f32-3da3-380c-b9ea-2dc0de627f0c"]},{"id":"ITEM-3","itemData":{"author":[{"dropping-particle":"","family":"Drummond","given":"Michael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W.","non-dropping-particle":"","parse-names":false,"suffix":""}],"edition":"4th","id":"ITEM-3","issued":{"date-parts":[["2015"]]},"number-of-pages":"464","publisher":"Oxford University Press","publisher-place":"Oxford","title":"Methods for the Economic Evaluation of Health Care Programmes","type":"book"},"uris":["http://www.mendeley.com/documents/?uuid=bfcbd1b8-6b05-4fe8-a3fd-fb1cbb802fd7"]},{"id":"ITEM-4","itemData":{"DOI":"10.1093/acprof:oso/9780190492939.001.0001","ISBN":"9780190492939","abstract":"This is a new chapter and underscores recent advances in the field. Analysts typically face situations in which the data available about the costs and effects of different interventions come from disparate sources and often from studies for which analysts do not have access to primary data. Models fill in the gaps and help to structure analysts’ thinking. They provide a framework for synthesizing data from disparate sources, allowing extrapolations beyond the time horizons of available data and to population subgroups and strategies not observed in studies. This chapter reviews the different types of decision models and their relative advantages and disadvantages. It also provides recommendations for model structure, output, evaluation of uncertainty, and validation.","author":[{"dropping-particle":"","family":"Kuntz","given":"Karen M.","non-dropping-particle":"","parse-names":false,"suffix":""},{"dropping-particle":"","family":"Russell","given":"Louise B","non-dropping-particle":"","parse-names":false,"suffix":""},{"dropping-particle":"","family":"Owens","given":"Douglas K","non-dropping-particle":"","parse-names":false,"suffix":""},{"dropping-particle":"","family":"Sanders","given":"Gillian D.","non-dropping-particle":"","parse-names":false,"suffix":""},{"dropping-particle":"","family":"Trikalinos","given":"Thomas A.","non-dropping-particle":"","parse-names":false,"suffix":""},{"dropping-particle":"","family":"Salomon","given":"Joshua A.","non-dropping-particle":"","parse-names":false,"suffix":""}],"container-title":"Cost 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D","non-dropping-particle":"","parse-names":false,"suffix":""}],"id":"ITEM-4","issued":{"date-parts":[["2016"]]},"publisher":"Oxford University Press","publisher-place":"Oxford","title":"Decision Models in Cost-Effectiveness Analysis","type":"chapter"},"uris":["http://www.mendeley.com/documents/?uuid=130c09eb-d67f-39a2-b765-379137b2b6bd"]}],"mendeley":{"formattedCitation":"(M. F. Drummond et al., 2015; Kuntz et al., 2016; National Institute for Health and Care Excellence (NICE), 2013; Pharmaceutical Benefits Advisory Committee, 2016)","plainTextFormattedCitation":"(M. F. Drummond et al., 2015; Kuntz et al., 2016; National Institute for Health and Care Excellence (NICE), 2013; Pharmaceutical Benefits Advisory Committee, 2016)","previouslyFormattedCitation":"(M. F. Drummond et al., 2015; Kuntz et al., 2016; National Institute for Health and Care Excellence (NICE), 2013; Pharmaceutical Benefits Advisory Committee, 2016)"},"properties":{"noteIndex":0},"schema":"https://github.com/citation-style-language/schema/raw/master/csl-citation.json"}</w:instrText>
      </w:r>
      <w:r w:rsidRPr="00642AB3">
        <w:fldChar w:fldCharType="separate"/>
      </w:r>
      <w:r w:rsidRPr="00642AB3">
        <w:rPr>
          <w:noProof/>
        </w:rPr>
        <w:t>(M. F. Drummond et al., 2015; Kuntz et al., 2016; National Institute for Health and Care Excellence (NICE), 2013; Pharmaceutical Benefits Advisory Committee, 2016)</w:t>
      </w:r>
      <w:r w:rsidRPr="00642AB3">
        <w:fldChar w:fldCharType="end"/>
      </w:r>
      <w:r w:rsidRPr="00642AB3">
        <w:t xml:space="preserve">, the process of model development </w:t>
      </w:r>
      <w:r w:rsidRPr="00642AB3">
        <w:fldChar w:fldCharType="begin" w:fldLock="1"/>
      </w:r>
      <w:r w:rsidR="00A33BA4">
        <w:instrText>ADDIN CSL_CITATION {"citationItems":[{"id":"ITEM-1","itemData":{"DOI":"10.1016/j.jval.2014.12.014","ISBN":"1099-1727","ISSN":"15244733","PMID":"26091606","author":[{"dropping-particle":"","family":"Kaltenhalter","given":"Eva","non-dropping-particle":"","parse-names":false,"suffix":""},{"dropping-particle":"","family":"Tappenden","given":"Paul","non-dropping-particle":"","parse-names":false,"suffix":""},{"dropping-particle":"","family":"Paisley","given":"Suzy","non-dropping-particle":"","parse-names":false,"suffix":""},{"dropping-particle":"","family":"Squires","given":"Hazel","non-dropping-particle":"","parse-names":false,"suffix":""}],"container-title":"NICE Decision Support Unit","id":"ITEM-1","issue":"13","issued":{"date-parts":[["2011"]]},"title":"NICE DSU Technical Support Document 13: Identifying and reviewing evidence to inform the conceptualisation and population of cost-effectiveness models","type":"report"},"uris":["http://www.mendeley.com/documents/?uuid=dc3d7923-fb75-362d-8bae-bb6146215190"]},{"id":"ITEM-2","itemData":{"ISBN":"1897257082","abstract":"Cite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Health","given":"","non-dropping-particle":"","parse-names":false,"suffix":""}],"id":"ITEM-2","issue":"March","issued":{"date-parts":[["2017"]]},"page":"1-76","title":"Guidelines for the Economic Evaluation of Health Technologies: Canada","type":"article-journal"},"uris":["http://www.mendeley.com/documents/?uuid=c1edb1ae-e4b3-3ad4-9c48-be7c245913bf"]},{"id":"ITEM-3","itemData":{"ISBN":"9781741860009","abstract":"The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Committee","given":"","non-dropping-particle":"","parse-names":false,"suffix":""}],"id":"ITEM-3","issued":{"date-parts":[["2016"]]},"title":"Guidelines for preparing submissions to the Pharmaceutical Benefits Advisory Committee","type":"report"},"uris":["http://www.mendeley.com/documents/?uuid=57a65f32-3da3-380c-b9ea-2dc0de627f0c"]},{"id":"ITEM-4","itemData":{"author":[{"dropping-particle":"","family":"Drummond","given":"Michael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W.","non-dropping-particle":"","parse-names":false,"suffix":""}],"edition":"4th","id":"ITEM-4","issued":{"date-parts":[["2015"]]},"number-of-pages":"464","publisher":"Oxford University Press","publisher-place":"Oxford","title":"Methods for the Economic Evaluation of Health Care Programmes","type":"book"},"uris":["http://www.mendeley.com/documents/?uuid=bfcbd1b8-6b05-4fe8-a3fd-fb1cbb802fd7"]},{"id":"ITEM-5","itemData":{"DOI":"10.1093/acprof:oso/9780190492939.001.0001","ISBN":"9780190492939","abstract":"This is a new chapter and underscores recent advances in the field. Analysts typically face situations in which the data available about the costs and effects of different interventions come from disparate sources and often from studies for which analysts do not have access to primary data. Models fill in the gaps and help to structure analysts’ thinking. They provide a framework for synthesizing data from disparate sources, allowing extrapolations beyond the time horizons of available data and to population subgroups and strategies not observed in studies. This chapter reviews the different types of decision models and their relative advantages and disadvantages. It also provides recommendations for model structure, output, evaluation of uncertainty, and validation.","author":[{"dropping-particle":"","family":"Kuntz","given":"Karen M.","non-dropping-particle":"","parse-names":false,"suffix":""},{"dropping-particle":"","family":"Russell","given":"Louise B","non-dropping-particle":"","parse-names":false,"suffix":""},{"dropping-particle":"","family":"Owens","given":"Douglas K","non-dropping-particle":"","parse-names":false,"suffix":""},{"dropping-particle":"","family":"Sanders","given":"Gillian D.","non-dropping-particle":"","parse-names":false,"suffix":""},{"dropping-particle":"","family":"Trikalinos","given":"Thomas A.","non-dropping-particle":"","parse-names":false,"suffix":""},{"dropping-particle":"","family":"Salomon","given":"Joshua A.","non-dropping-particle":"","parse-names":false,"suffix":""}],"container-title":"Cost 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D","non-dropping-particle":"","parse-names":false,"suffix":""}],"id":"ITEM-5","issued":{"date-parts":[["2016"]]},"publisher":"Oxford University Press","publisher-place":"Oxford","title":"Decision Models in Cost-Effectiveness Analysis","type":"chapter"},"uris":["http://www.mendeley.com/documents/?uuid=130c09eb-d67f-39a2-b765-379137b2b6bd"]},{"id":"ITEM-6","itemData":{"DOI":"10.1016/j.jval.2012.06.012","ISBN":"1524-4733","ISSN":"1524-4733","PMID":"22999128","abstract":"Thee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Health","id":"ITEM-6","issued":{"date-parts":[["2012"]]},"page":"804-811","title":"Conceptualizing a Model: A Report of the ISPOR-SMDM Modeling Good Research Practices Task Force-2","type":"article-journal","volume":"15"},"uris":["http://www.mendeley.com/documents/?uuid=d6058f98-c577-37fc-9309-1ea31daea085"]}],"mendeley":{"formattedCitation":"(Canadian Agency for Drugs and Technologies in Health, 2017; M. F. Drummond et al., 2015; Kaltenhalter et al., 2011; Kuntz et al., 2016; Pharmaceutical Benefits Advisory Committee, 2016; Roberts et al., 2012)","plainTextFormattedCitation":"(Canadian Agency for Drugs and Technologies in Health, 2017; M. F. Drummond et al., 2015; Kaltenhalter et al., 2011; Kuntz et al., 2016; Pharmaceutical Benefits Advisory Committee, 2016; Roberts et al., 2012)","previouslyFormattedCitation":"(Canadian Agency for Drugs and Technologies in Health, 2017; M. F. Drummond et al., 2015; Kaltenhalter et al., 2011; Kuntz et al., 2016; Pharmaceutical Benefits Advisory Committee, 2016; Roberts et al., 2012)"},"properties":{"noteIndex":0},"schema":"https://github.com/citation-style-language/schema/raw/master/csl-citation.json"}</w:instrText>
      </w:r>
      <w:r w:rsidRPr="00642AB3">
        <w:fldChar w:fldCharType="separate"/>
      </w:r>
      <w:r w:rsidRPr="00642AB3">
        <w:rPr>
          <w:noProof/>
        </w:rPr>
        <w:t>(Canadian Agency for Drugs and Technologies in Health, 2017; M. F. Drummond et al., 2015; Kaltenhalter et al., 2011; Kuntz et al., 2016; Pharmaceutical Benefits Advisory Committee, 2016; Roberts et al., 2012)</w:t>
      </w:r>
      <w:r w:rsidRPr="00642AB3">
        <w:fldChar w:fldCharType="end"/>
      </w:r>
      <w:r w:rsidRPr="00642AB3">
        <w:t xml:space="preserve">, standards for the model structure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2013","type":"report"},"uris":["http://www.mendeley.com/documents/?uuid=63ed8dfc-b348-31dc-aeaa-c7d1757d8e1c"]},{"id":"ITEM-2","itemData":{"ISBN":"1897257082","abstract":"Cite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Health","given":"","non-dropping-particle":"","parse-names":false,"suffix":""}],"id":"ITEM-2","issue":"March","issued":{"date-parts":[["2017"]]},"page":"1-76","title":"Guidelines for the Economic Evaluation of Health Technologies: Canada","type":"article-journal"},"uris":["http://www.mendeley.com/documents/?uuid=c1edb1ae-e4b3-3ad4-9c48-be7c245913bf"]},{"id":"ITEM-3","itemData":{"ISBN":"9781741860009","abstract":"The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Committee","given":"","non-dropping-particle":"","parse-names":false,"suffix":""}],"id":"ITEM-3","issued":{"date-parts":[["2016"]]},"title":"Guidelines for preparing submissions to the Pharmaceutical Benefits Advisory Committee","type":"report"},"uris":["http://www.mendeley.com/documents/?uuid=57a65f32-3da3-380c-b9ea-2dc0de627f0c"]},{"id":"ITEM-4","itemData":{"author":[{"dropping-particle":"","family":"Drummond","given":"Michael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W.","non-dropping-particle":"","parse-names":false,"suffix":""}],"edition":"4th","id":"ITEM-4","issued":{"date-parts":[["2015"]]},"number-of-pages":"464","publisher":"Oxford University Press","publisher-place":"Oxford","title":"Methods for the Economic Evaluation of Health Care Programmes","type":"book"},"uris":["http://www.mendeley.com/documents/?uuid=bfcbd1b8-6b05-4fe8-a3fd-fb1cbb802fd7"]},{"id":"ITEM-5","itemData":{"DOI":"10.1177/02789X02022003004","ISBN":"0202200310","ISSN":"0272989X","PMID":"12058779","abstract":"An important assumption made when constructing a Markov model is that all persons residing in a health state are identical. Failure to adjust for population heterogeneity caused by unobserved variables can therefore cause bias in model results. The authors used a simple model to evaluate the potential impact of heterogeneity bias, defined as the percentage change in the life expectancy gain with an intervention predicted by a model that does not adjust for heterogeneity (unadjusted model) compared to one that does (adjusted model). The life expectancy gains were consistently greater in the unadjusted model compared to the adjusted model (positive bias). For an annual probability of developing disease of 1%, the heterogeneity bias exceeded 50% when the relative risk of disease with the heterogeneity factor versus without the factor was greater than 15 and the prevalence of the heterogeneity factor was between 5% and 25%. When constructing decision-analytic models, analysts need to be cognizant of unobserved factors that introduce heterogeneity into the cohort. This analysis provides a general framework to determine when issues of heterogeneity may be important.","author":[{"dropping-particle":"","family":"Kuntz","given":"Karen M","non-dropping-particle":"","parse-names":false,"suffix":""},{"dropping-particle":"","family":"Goldie","given":"Sue J","non-dropping-particle":"","parse-names":false,"suffix":""}],"container-title":"Medical Decision Making","id":"ITEM-5","issue":"3","issued":{"date-parts":[["2002"]]},"page":"218-227","title":"Assessing the sensitivity of decision-analytic results to unobserved markers of risk: Defining the effects of heterogeneity bias","type":"article-journal","volume":"22"},"uris":["http://www.mendeley.com/documents/?uuid=29c5ae4c-0a44-3570-828d-9ae00deb1ec2"]},{"id":"ITEM-6","itemData":{"DOI":"10.1016/j.jval.2012.06.012","ISBN":"1524-4733","ISSN":"1524-4733","PMID":"22999128","abstract":"Thee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Health","id":"ITEM-6","issued":{"date-parts":[["2012"]]},"page":"804-811","title":"Conceptualizing a Model: A Report of the ISPOR-SMDM Modeling Good Research Practices Task Force-2","type":"article-journal","volume":"15"},"uris":["http://www.mendeley.com/documents/?uuid=d6058f98-c577-37fc-9309-1ea31daea085"]}],"mendeley":{"formattedCitation":"(Canadian Agency for Drugs and Technologies in Health, 2017; M. F. Drummond et al., 2015; Kuntz &amp; Goldie, 2002; National Institute for Health and Care Excellence (NICE), 2013; Pharmaceutical Benefits Advisory Committee, 2016; Roberts et al., 2012)","plainTextFormattedCitation":"(Canadian Agency for Drugs and Technologies in Health, 2017; M. F. Drummond et al., 2015; Kuntz &amp; Goldie, 2002; National Institute for Health and Care Excellence (NICE), 2013; Pharmaceutical Benefits Advisory Committee, 2016; Roberts et al., 2012)","previouslyFormattedCitation":"(Canadian Agency for Drugs and Technologies in Health, 2017; M. F. Drummond et al., 2015; Kuntz &amp; Goldie, 2002; National Institute for Health and Care Excellence (NICE), 2013; Pharmaceutical Benefits Advisory Committee, 2016; Roberts et al., 2012)"},"properties":{"noteIndex":0},"schema":"https://github.com/citation-style-language/schema/raw/master/csl-citation.json"}</w:instrText>
      </w:r>
      <w:r w:rsidRPr="00642AB3">
        <w:fldChar w:fldCharType="separate"/>
      </w:r>
      <w:r w:rsidRPr="00642AB3">
        <w:rPr>
          <w:noProof/>
        </w:rPr>
        <w:t>(Canadian Agency for Drugs and Technologies in Health, 2017; M. F. Drummond et al., 2015; Kuntz &amp; Goldie, 2002; National Institute for Health and Care Excellence (NICE), 2013; Pharmaceutical Benefits Advisory Committee, 2016; Roberts et al., 2012)</w:t>
      </w:r>
      <w:r w:rsidRPr="00642AB3">
        <w:fldChar w:fldCharType="end"/>
      </w:r>
      <w:r w:rsidRPr="00642AB3">
        <w:t xml:space="preserve">, on the issues for consideration when developing a model </w:t>
      </w:r>
      <w:r w:rsidRPr="00642AB3">
        <w:fldChar w:fldCharType="begin" w:fldLock="1"/>
      </w:r>
      <w:r w:rsidR="00A33BA4">
        <w:instrText>ADDIN CSL_CITATION {"citationItems":[{"id":"ITEM-1","itemData":{"DOI":"10.1016/j.jval.2014.12.014","ISBN":"1099-1727","ISSN":"15244733","PMID":"26091606","author":[{"dropping-particle":"","family":"Kaltenhalter","given":"Eva","non-dropping-particle":"","parse-names":false,"suffix":""},{"dropping-particle":"","family":"Tappenden","given":"Paul","non-dropping-particle":"","parse-names":false,"suffix":""},{"dropping-particle":"","family":"Paisley","given":"Suzy","non-dropping-particle":"","parse-names":false,"suffix":""},{"dropping-particle":"","family":"Squires","given":"Hazel","non-dropping-particle":"","parse-names":false,"suffix":""}],"container-title":"NICE Decision Support Unit","id":"ITEM-1","issue":"13","issued":{"date-parts":[["2011"]]},"title":"NICE DSU Technical Support Document 13: Identifying and reviewing evidence to inform the conceptualisation and population of cost-effectiveness models","type":"report"},"uris":["http://www.mendeley.com/documents/?uuid=dc3d7923-fb75-362d-8bae-bb6146215190"]},{"id":"ITEM-2","itemData":{"ISBN":"9781741860009","abstract":"The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Committee","given":"","non-dropping-particle":"","parse-names":false,"suffix":""}],"id":"ITEM-2","issued":{"date-parts":[["2016"]]},"title":"Guidelines for preparing submissions to the Pharmaceutical Benefits Advisory Committee","type":"report"},"uris":["http://www.mendeley.com/documents/?uuid=57a65f32-3da3-380c-b9ea-2dc0de627f0c"]},{"id":"ITEM-3","itemData":{"author":[{"dropping-particle":"","family":"Drummond","given":"Michael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W.","non-dropping-particle":"","parse-names":false,"suffix":""}],"edition":"4th","id":"ITEM-3","issued":{"date-parts":[["2015"]]},"number-of-pages":"464","publisher":"Oxford University Press","publisher-place":"Oxford","title":"Methods for the Economic Evaluation of Health Care Programmes","type":"book"},"uris":["http://www.mendeley.com/documents/?uuid=bfcbd1b8-6b05-4fe8-a3fd-fb1cbb802fd7"]},{"id":"ITEM-4","itemData":{"DOI":"10.1093/acprof:oso/9780190492939.001.0001","ISBN":"9780190492939","abstract":"This is a new chapter and underscores recent advances in the field. Analysts typically face situations in which the data available about the costs and effects of different interventions come from disparate sources and often from studies for which analysts do not have access to primary data. Models fill in the gaps and help to structure analysts’ thinking. They provide a framework for synthesizing data from disparate sources, allowing extrapolations beyond the time horizons of available data and to population subgroups and strategies not observed in studies. This chapter reviews the different types of decision models and their relative advantages and disadvantages. It also provides recommendations for model structure, output, evaluation of uncertainty, and validation.","author":[{"dropping-particle":"","family":"Kuntz","given":"Karen M.","non-dropping-particle":"","parse-names":false,"suffix":""},{"dropping-particle":"","family":"Russell","given":"Louise B","non-dropping-particle":"","parse-names":false,"suffix":""},{"dropping-particle":"","family":"Owens","given":"Douglas K","non-dropping-particle":"","parse-names":false,"suffix":""},{"dropping-particle":"","family":"Sanders","given":"Gillian D.","non-dropping-particle":"","parse-names":false,"suffix":""},{"dropping-particle":"","family":"Trikalinos","given":"Thomas A.","non-dropping-particle":"","parse-names":false,"suffix":""},{"dropping-particle":"","family":"Salomon","given":"Joshua A.","non-dropping-particle":"","parse-names":false,"suffix":""}],"container-title":"Cost 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D","non-dropping-particle":"","parse-names":false,"suffix":""}],"id":"ITEM-4","issued":{"date-parts":[["2016"]]},"publisher":"Oxford University Press","publisher-place":"Oxford","title":"Decision Models in Cost-Effectiveness Analysis","type":"chapter"},"uris":["http://www.mendeley.com/documents/?uuid=130c09eb-d67f-39a2-b765-379137b2b6bd"]},{"id":"ITEM-5","itemData":{"DOI":"10.1016/j.jval.2012.06.012","ISBN":"1524-4733","ISSN":"1524-4733","PMID":"22999128","abstract":"Thee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Health","id":"ITEM-5","issued":{"date-parts":[["2012"]]},"page":"804-811","title":"Conceptualizing a Model: A Report of the ISPOR-SMDM Modeling Good Research Practices Task Force-2","type":"article-journal","volume":"15"},"uris":["http://www.mendeley.com/documents/?uuid=d6058f98-c577-37fc-9309-1ea31daea085"]}],"mendeley":{"formattedCitation":"(M. F. Drummond et al., 2015; Kaltenhalter et al., 2011; Kuntz et al., 2016; Pharmaceutical Benefits Advisory Committee, 2016; Roberts et al., 2012)","plainTextFormattedCitation":"(M. F. Drummond et al., 2015; Kaltenhalter et al., 2011; Kuntz et al., 2016; Pharmaceutical Benefits Advisory Committee, 2016; Roberts et al., 2012)","previouslyFormattedCitation":"(M. F. Drummond et al., 2015; Kaltenhalter et al., 2011; Kuntz et al., 2016; Pharmaceutical Benefits Advisory Committee, 2016; Roberts et al., 2012)"},"properties":{"noteIndex":0},"schema":"https://github.com/citation-style-language/schema/raw/master/csl-citation.json"}</w:instrText>
      </w:r>
      <w:r w:rsidRPr="00642AB3">
        <w:fldChar w:fldCharType="separate"/>
      </w:r>
      <w:r w:rsidRPr="00642AB3">
        <w:rPr>
          <w:noProof/>
        </w:rPr>
        <w:t>(M. F. Drummond et al., 2015; Kaltenhalter et al., 2011; Kuntz et al., 2016; Pharmaceutical Benefits Advisory Committee, 2016; Roberts et al., 2012)</w:t>
      </w:r>
      <w:r w:rsidRPr="00642AB3">
        <w:fldChar w:fldCharType="end"/>
      </w:r>
      <w:r w:rsidRPr="00642AB3">
        <w:t xml:space="preserve">, and on the impact of the model design on the decision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642AB3">
        <w:fldChar w:fldCharType="separate"/>
      </w:r>
      <w:r w:rsidRPr="00642AB3">
        <w:rPr>
          <w:noProof/>
        </w:rPr>
        <w:t>(National Institute for Health and Care Excellence (NICE), 2013)</w:t>
      </w:r>
      <w:r w:rsidRPr="00642AB3">
        <w:fldChar w:fldCharType="end"/>
      </w:r>
      <w:r w:rsidRPr="00642AB3">
        <w:t>.</w:t>
      </w:r>
    </w:p>
    <w:p w14:paraId="1C293D2F" w14:textId="2591FAEB" w:rsidR="00367E3D" w:rsidRPr="00642AB3" w:rsidRDefault="00367E3D" w:rsidP="00D35786">
      <w:pPr>
        <w:spacing w:line="480" w:lineRule="auto"/>
      </w:pPr>
      <w:r w:rsidRPr="00642AB3">
        <w:lastRenderedPageBreak/>
        <w:t xml:space="preserve">Regarding when modelling is likely to be required, the situations most often mentioned are: when the trial collected data on intermediate outcomes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2013","type":"report"},"uris":["http://www.mendeley.com/documents/?uuid=63ed8dfc-b348-31dc-aeaa-c7d1757d8e1c"]},{"id":"ITEM-2","itemData":{"ISBN":"9781741860009","abstract":"The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Committee","given":"","non-dropping-particle":"","parse-names":false,"suffix":""}],"id":"ITEM-2","issued":{"date-parts":[["2016"]]},"title":"Guidelines for preparing submissions to the Pharmaceutical Benefits Advisory Committee","type":"report"},"uris":["http://www.mendeley.com/documents/?uuid=57a65f32-3da3-380c-b9ea-2dc0de627f0c"]},{"id":"ITEM-3","itemData":{"author":[{"dropping-particle":"","family":"Drummond","given":"Michael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W.","non-dropping-particle":"","parse-names":false,"suffix":""}],"edition":"4th","id":"ITEM-3","issued":{"date-parts":[["2015"]]},"number-of-pages":"464","publisher":"Oxford University Press","publisher-place":"Oxford","title":"Methods for the Economic Evaluation of Health Care Programmes","type":"book"},"uris":["http://www.mendeley.com/documents/?uuid=bfcbd1b8-6b05-4fe8-a3fd-fb1cbb802fd7"]},{"id":"ITEM-4","itemData":{"DOI":"10.1093/acprof:oso/9780190492939.001.0001","ISBN":"9780190492939","abstract":"This is a new chapter and underscores recent advances in the field. Analysts typically face situations in which the data available about the costs and effects of different interventions come from disparate sources and often from studies for which analysts do not have access to primary data. Models fill in the gaps and help to structure analysts’ thinking. They provide a framework for synthesizing data from disparate sources, allowing extrapolations beyond the time horizons of available data and to population subgroups and strategies not observed in studies. This chapter reviews the different types of decision models and their relative advantages and disadvantages. It also provides recommendations for model structure, output, evaluation of uncertainty, and validation.","author":[{"dropping-particle":"","family":"Kuntz","given":"Karen M.","non-dropping-particle":"","parse-names":false,"suffix":""},{"dropping-particle":"","family":"Russell","given":"Louise B","non-dropping-particle":"","parse-names":false,"suffix":""},{"dropping-particle":"","family":"Owens","given":"Douglas K","non-dropping-particle":"","parse-names":false,"suffix":""},{"dropping-particle":"","family":"Sanders","given":"Gillian D.","non-dropping-particle":"","parse-names":false,"suffix":""},{"dropping-particle":"","family":"Trikalinos","given":"Thomas A.","non-dropping-particle":"","parse-names":false,"suffix":""},{"dropping-particle":"","family":"Salomon","given":"Joshua A.","non-dropping-particle":"","parse-names":false,"suffix":""}],"container-title":"Cost 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D","non-dropping-particle":"","parse-names":false,"suffix":""}],"id":"ITEM-4","issued":{"date-parts":[["2016"]]},"publisher":"Oxford University Press","publisher-place":"Oxford","title":"Decision Models in Cost-Effectiveness Analysis","type":"chapter"},"uris":["http://www.mendeley.com/documents/?uuid=130c09eb-d67f-39a2-b765-379137b2b6bd"]}],"mendeley":{"formattedCitation":"(M. F. Drummond et al., 2015; Kuntz et al., 2016; National Institute for Health and Care Excellence (NICE), 2013; Pharmaceutical Benefits Advisory Committee, 2016)","plainTextFormattedCitation":"(M. F. Drummond et al., 2015; Kuntz et al., 2016; National Institute for Health and Care Excellence (NICE), 2013; Pharmaceutical Benefits Advisory Committee, 2016)","previouslyFormattedCitation":"(M. F. Drummond et al., 2015; Kuntz et al., 2016; National Institute for Health and Care Excellence (NICE), 2013; Pharmaceutical Benefits Advisory Committee, 2016)"},"properties":{"noteIndex":0},"schema":"https://github.com/citation-style-language/schema/raw/master/csl-citation.json"}</w:instrText>
      </w:r>
      <w:r w:rsidRPr="00642AB3">
        <w:fldChar w:fldCharType="separate"/>
      </w:r>
      <w:r w:rsidRPr="00642AB3">
        <w:rPr>
          <w:noProof/>
        </w:rPr>
        <w:t>(M. F. Drummond et al., 2015; Kuntz et al., 2016; National Institute for Health and Care Excellence (NICE), 2013; Pharmaceutical Benefits Advisory Committee, 2016)</w:t>
      </w:r>
      <w:r w:rsidRPr="00642AB3">
        <w:fldChar w:fldCharType="end"/>
      </w:r>
      <w:r w:rsidRPr="00642AB3">
        <w:t xml:space="preserve">, when the costs and/or benefits of the options under comparison extend beyond the trial follow-up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2013","type":"report"},"uris":["http://www.mendeley.com/documents/?uuid=63ed8dfc-b348-31dc-aeaa-c7d1757d8e1c"]},{"id":"ITEM-2","itemData":{"ISBN":"9781741860009","abstract":"The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Committee","given":"","non-dropping-particle":"","parse-names":false,"suffix":""}],"id":"ITEM-2","issued":{"date-parts":[["2016"]]},"title":"Guidelines for preparing submissions to the Pharmaceutical Benefits Advisory Committee","type":"report"},"uris":["http://www.mendeley.com/documents/?uuid=57a65f32-3da3-380c-b9ea-2dc0de627f0c"]},{"id":"ITEM-3","itemData":{"author":[{"dropping-particle":"","family":"Drummond","given":"Michael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W.","non-dropping-particle":"","parse-names":false,"suffix":""}],"edition":"4th","id":"ITEM-3","issued":{"date-parts":[["2015"]]},"number-of-pages":"464","publisher":"Oxford University Press","publisher-place":"Oxford","title":"Methods for the Economic Evaluation of Health Care Programmes","type":"book"},"uris":["http://www.mendeley.com/documents/?uuid=bfcbd1b8-6b05-4fe8-a3fd-fb1cbb802fd7"]},{"id":"ITEM-4","itemData":{"DOI":"10.1093/acprof:oso/9780190492939.001.0001","ISBN":"9780190492939","abstract":"This is a new chapter and underscores recent advances in the field. Analysts typically face situations in which the data available about the costs and effects of different interventions come from disparate sources and often from studies for which analysts do not have access to primary data. Models fill in the gaps and help to structure analysts’ thinking. They provide a framework for synthesizing data from disparate sources, allowing extrapolations beyond the time horizons of available data and to population subgroups and strategies not observed in studies. This chapter reviews the different types of decision models and their relative advantages and disadvantages. It also provides recommendations for model structure, output, evaluation of uncertainty, and validation.","author":[{"dropping-particle":"","family":"Kuntz","given":"Karen M.","non-dropping-particle":"","parse-names":false,"suffix":""},{"dropping-particle":"","family":"Russell","given":"Louise B","non-dropping-particle":"","parse-names":false,"suffix":""},{"dropping-particle":"","family":"Owens","given":"Douglas K","non-dropping-particle":"","parse-names":false,"suffix":""},{"dropping-particle":"","family":"Sanders","given":"Gillian D.","non-dropping-particle":"","parse-names":false,"suffix":""},{"dropping-particle":"","family":"Trikalinos","given":"Thomas A.","non-dropping-particle":"","parse-names":false,"suffix":""},{"dropping-particle":"","family":"Salomon","given":"Joshua A.","non-dropping-particle":"","parse-names":false,"suffix":""}],"container-title":"Cost 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D","non-dropping-particle":"","parse-names":false,"suffix":""}],"id":"ITEM-4","issued":{"date-parts":[["2016"]]},"publisher":"Oxford University Press","publisher-place":"Oxford","title":"Decision Models in Cost-Effectiveness Analysis","type":"chapter"},"uris":["http://www.mendeley.com/documents/?uuid=130c09eb-d67f-39a2-b765-379137b2b6bd"]}],"mendeley":{"formattedCitation":"(M. F. Drummond et al., 2015; Kuntz et al., 2016; National Institute for Health and Care Excellence (NICE), 2013; Pharmaceutical Benefits Advisory Committee, 2016)","plainTextFormattedCitation":"(M. F. Drummond et al., 2015; Kuntz et al., 2016; National Institute for Health and Care Excellence (NICE), 2013; Pharmaceutical Benefits Advisory Committee, 2016)","previouslyFormattedCitation":"(M. F. Drummond et al., 2015; Kuntz et al., 2016; National Institute for Health and Care Excellence (NICE), 2013; Pharmaceutical Benefits Advisory Committee, 2016)"},"properties":{"noteIndex":0},"schema":"https://github.com/citation-style-language/schema/raw/master/csl-citation.json"}</w:instrText>
      </w:r>
      <w:r w:rsidRPr="00642AB3">
        <w:fldChar w:fldCharType="separate"/>
      </w:r>
      <w:r w:rsidRPr="00642AB3">
        <w:rPr>
          <w:noProof/>
        </w:rPr>
        <w:t>(M. F. Drummond et al., 2015; Kuntz et al., 2016; National Institute for Health and Care Excellence (NICE), 2013; Pharmaceutical Benefits Advisory Committee, 2016)</w:t>
      </w:r>
      <w:r w:rsidRPr="00642AB3">
        <w:fldChar w:fldCharType="end"/>
      </w:r>
      <w:r w:rsidRPr="00642AB3">
        <w:t xml:space="preserve">,  when all the relevant options are not compared in a single trial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2013","type":"report"},"uris":["http://www.mendeley.com/documents/?uuid=63ed8dfc-b348-31dc-aeaa-c7d1757d8e1c"]},{"id":"ITEM-2","itemData":{"author":[{"dropping-particle":"","family":"Drummond","given":"Michael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W.","non-dropping-particle":"","parse-names":false,"suffix":""}],"edition":"4th","id":"ITEM-2","issued":{"date-parts":[["2015"]]},"number-of-pages":"464","publisher":"Oxford University Press","publisher-place":"Oxford","title":"Methods for the Economic Evaluation of Health Care Programmes","type":"book"},"uris":["http://www.mendeley.com/documents/?uuid=bfcbd1b8-6b05-4fe8-a3fd-fb1cbb802fd7"]},{"id":"ITEM-3","itemData":{"DOI":"10.1093/acprof:oso/9780190492939.001.0001","ISBN":"9780190492939","abstract":"This is a new chapter and underscores recent advances in the field. Analysts typically face situations in which the data available about the costs and effects of different interventions come from disparate sources and often from studies for which analysts do not have access to primary data. Models fill in the gaps and help to structure analysts’ thinking. They provide a framework for synthesizing data from disparate sources, allowing extrapolations beyond the time horizons of available data and to population subgroups and strategies not observed in studies. This chapter reviews the different types of decision models and their relative advantages and disadvantages. It also provides recommendations for model structure, output, evaluation of uncertainty, and validation.","author":[{"dropping-particle":"","family":"Kuntz","given":"Karen M.","non-dropping-particle":"","parse-names":false,"suffix":""},{"dropping-particle":"","family":"Russell","given":"Louise B","non-dropping-particle":"","parse-names":false,"suffix":""},{"dropping-particle":"","family":"Owens","given":"Douglas K","non-dropping-particle":"","parse-names":false,"suffix":""},{"dropping-particle":"","family":"Sanders","given":"Gillian D.","non-dropping-particle":"","parse-names":false,"suffix":""},{"dropping-particle":"","family":"Trikalinos","given":"Thomas A.","non-dropping-particle":"","parse-names":false,"suffix":""},{"dropping-particle":"","family":"Salomon","given":"Joshua A.","non-dropping-particle":"","parse-names":false,"suffix":""}],"container-title":"Cost 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D","non-dropping-particle":"","parse-names":false,"suffix":""}],"id":"ITEM-3","issued":{"date-parts":[["2016"]]},"publisher":"Oxford University Press","publisher-place":"Oxford","title":"Decision Models in Cost-Effectiveness Analysis","type":"chapter"},"uris":["http://www.mendeley.com/documents/?uuid=130c09eb-d67f-39a2-b765-379137b2b6bd"]}],"mendeley":{"formattedCitation":"(M. F. Drummond et al., 2015; Kuntz et al., 2016; National Institute for Health and Care Excellence (NICE), 2013)","plainTextFormattedCitation":"(M. F. Drummond et al., 2015; Kuntz et al., 2016; National Institute for Health and Care Excellence (NICE), 2013)","previouslyFormattedCitation":"(M. F. Drummond et al., 2015; Kuntz et al., 2016; National Institute for Health and Care Excellence (NICE), 2013)"},"properties":{"noteIndex":0},"schema":"https://github.com/citation-style-language/schema/raw/master/csl-citation.json"}</w:instrText>
      </w:r>
      <w:r w:rsidRPr="00642AB3">
        <w:fldChar w:fldCharType="separate"/>
      </w:r>
      <w:r w:rsidRPr="00642AB3">
        <w:rPr>
          <w:noProof/>
        </w:rPr>
        <w:t>(M. F. Drummond et al., 2015; Kuntz et al., 2016; National Institute for Health and Care Excellence (NICE), 2013)</w:t>
      </w:r>
      <w:r w:rsidRPr="00642AB3">
        <w:fldChar w:fldCharType="end"/>
      </w:r>
      <w:r w:rsidRPr="00642AB3">
        <w:t xml:space="preserve">, and when the trial population is not generalisable to the decision setting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2013","type":"report"},"uris":["http://www.mendeley.com/documents/?uuid=63ed8dfc-b348-31dc-aeaa-c7d1757d8e1c"]},{"id":"ITEM-2","itemData":{"ISBN":"9781741860009","abstract":"The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Committee","given":"","non-dropping-particle":"","parse-names":false,"suffix":""}],"id":"ITEM-2","issued":{"date-parts":[["2016"]]},"title":"Guidelines for preparing submissions to the Pharmaceutical Benefits Advisory Committee","type":"report"},"uris":["http://www.mendeley.com/documents/?uuid=57a65f32-3da3-380c-b9ea-2dc0de627f0c"]},{"id":"ITEM-3","itemData":{"author":[{"dropping-particle":"","family":"Drummond","given":"Michael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W.","non-dropping-particle":"","parse-names":false,"suffix":""}],"edition":"4th","id":"ITEM-3","issued":{"date-parts":[["2015"]]},"number-of-pages":"464","publisher":"Oxford University Press","publisher-place":"Oxford","title":"Methods for the Economic Evaluation of Health Care Programmes","type":"book"},"uris":["http://www.mendeley.com/documents/?uuid=bfcbd1b8-6b05-4fe8-a3fd-fb1cbb802fd7"]}],"mendeley":{"formattedCitation":"(M. F. Drummond et al., 2015; National Institute for Health and Care Excellence (NICE), 2013; Pharmaceutical Benefits Advisory Committee, 2016)","plainTextFormattedCitation":"(M. F. Drummond et al., 2015; National Institute for Health and Care Excellence (NICE), 2013; Pharmaceutical Benefits Advisory Committee, 2016)","previouslyFormattedCitation":"(M. F. Drummond et al., 2015; National Institute for Health and Care Excellence (NICE), 2013; Pharmaceutical Benefits Advisory Committee, 2016)"},"properties":{"noteIndex":0},"schema":"https://github.com/citation-style-language/schema/raw/master/csl-citation.json"}</w:instrText>
      </w:r>
      <w:r w:rsidRPr="00642AB3">
        <w:fldChar w:fldCharType="separate"/>
      </w:r>
      <w:r w:rsidRPr="00642AB3">
        <w:rPr>
          <w:noProof/>
        </w:rPr>
        <w:t>(M. F. Drummond et al., 2015; National Institute for Health and Care Excellence (NICE), 2013; Pharmaceutical Benefits Advisory Committee, 2016)</w:t>
      </w:r>
      <w:r w:rsidRPr="00642AB3">
        <w:fldChar w:fldCharType="end"/>
      </w:r>
      <w:r w:rsidRPr="00642AB3">
        <w:t xml:space="preserve">. The NICE Guideline adds when there was crossover in the trial which would not occur in clinical practice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642AB3">
        <w:fldChar w:fldCharType="separate"/>
      </w:r>
      <w:r w:rsidRPr="00642AB3">
        <w:rPr>
          <w:noProof/>
        </w:rPr>
        <w:t>(National Institute for Health and Care Excellence (NICE), 2013)</w:t>
      </w:r>
      <w:r w:rsidRPr="00642AB3">
        <w:fldChar w:fldCharType="end"/>
      </w:r>
      <w:r w:rsidRPr="00642AB3">
        <w:t xml:space="preserve">. Drummond et al also recommend modelling when the way that the outcomes were measured in the trial differs from clinical practice or when there is relevant evidence beyond a single trial </w:t>
      </w:r>
      <w:r w:rsidRPr="00642AB3">
        <w:fldChar w:fldCharType="begin" w:fldLock="1"/>
      </w:r>
      <w:r w:rsidR="00A33BA4">
        <w:instrText>ADDIN CSL_CITATION {"citationItems":[{"id":"ITEM-1","itemData":{"author":[{"dropping-particle":"","family":"Drummond","given":"Michael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W.","non-dropping-particle":"","parse-names":false,"suffix":""}],"edition":"4th","id":"ITEM-1","issued":{"date-parts":[["2015"]]},"number-of-pages":"464","publisher":"Oxford University Press","publisher-place":"Oxford","title":"Methods for the Economic Evaluation of Health Care Programmes","type":"book"},"uris":["http://www.mendeley.com/documents/?uuid=bfcbd1b8-6b05-4fe8-a3fd-fb1cbb802fd7"]}],"mendeley":{"formattedCitation":"(M. F. Drummond et al., 2015)","plainTextFormattedCitation":"(M. F. Drummond et al., 2015)","previouslyFormattedCitation":"(M. F. Drummond et al., 2015)"},"properties":{"noteIndex":0},"schema":"https://github.com/citation-style-language/schema/raw/master/csl-citation.json"}</w:instrText>
      </w:r>
      <w:r w:rsidRPr="00642AB3">
        <w:fldChar w:fldCharType="separate"/>
      </w:r>
      <w:r w:rsidRPr="00642AB3">
        <w:rPr>
          <w:noProof/>
        </w:rPr>
        <w:t>(M. F. Drummond et al., 2015)</w:t>
      </w:r>
      <w:r w:rsidRPr="00642AB3">
        <w:fldChar w:fldCharType="end"/>
      </w:r>
      <w:r w:rsidRPr="00642AB3">
        <w:t>. The US Panel recommend modelling for when the decision problem require</w:t>
      </w:r>
      <w:r w:rsidR="00F2724D">
        <w:t>s</w:t>
      </w:r>
      <w:r w:rsidRPr="00642AB3">
        <w:t xml:space="preserve"> extrapolation; extrapolation refers to not only extrapolation beyond the trial follow-up or from intermediate to final outcomes, but also to other subpopulations not observed in the primary studies, from diagnostic outcomes to long-term outcomes and to other options not compared in the trial </w:t>
      </w:r>
      <w:r w:rsidRPr="00642AB3">
        <w:fldChar w:fldCharType="begin" w:fldLock="1"/>
      </w:r>
      <w:r w:rsidR="00A33BA4">
        <w:instrText>ADDIN CSL_CITATION {"citationItems":[{"id":"ITEM-1","itemData":{"DOI":"10.1093/acprof:oso/9780190492939.001.0001","ISBN":"9780190492939","abstract":"This is a new chapter and underscores recent advances in the field. Analysts typically face situations in which the data available about the costs and effects of different interventions come from disparate sources and often from studies for which analysts do not have access to primary data. Models fill in the gaps and help to structure analysts’ thinking. They provide a framework for synthesizing data from disparate sources, allowing extrapolations beyond the time horizons of available data and to population subgroups and strategies not observed in studies. This chapter reviews the different types of decision models and their relative advantages and disadvantages. It also provides recommendations for model structure, output, evaluation of uncertainty, and validation.","author":[{"dropping-particle":"","family":"Kuntz","given":"Karen M.","non-dropping-particle":"","parse-names":false,"suffix":""},{"dropping-particle":"","family":"Russell","given":"Louise B","non-dropping-particle":"","parse-names":false,"suffix":""},{"dropping-particle":"","family":"Owens","given":"Douglas K","non-dropping-particle":"","parse-names":false,"suffix":""},{"dropping-particle":"","family":"Sanders","given":"Gillian D.","non-dropping-particle":"","parse-names":false,"suffix":""},{"dropping-particle":"","family":"Trikalinos","given":"Thomas A.","non-dropping-particle":"","parse-names":false,"suffix":""},{"dropping-particle":"","family":"Salomon","given":"Joshua A.","non-dropping-particle":"","parse-names":false,"suffix":""}],"container-title":"Cost 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Press","publisher-place":"Oxford","title":"Decision Models in Cost-Effectiveness Analysis","type":"chapter"},"uris":["http://www.mendeley.com/documents/?uuid=130c09eb-d67f-39a2-b765-379137b2b6bd"]}],"mendeley":{"formattedCitation":"(Kuntz et al., 2016)","plainTextFormattedCitation":"(Kuntz et al., 2016)","previouslyFormattedCitation":"(Kuntz et al., 2016)"},"properties":{"noteIndex":0},"schema":"https://github.com/citation-style-language/schema/raw/master/csl-citation.json"}</w:instrText>
      </w:r>
      <w:r w:rsidRPr="00642AB3">
        <w:fldChar w:fldCharType="separate"/>
      </w:r>
      <w:r w:rsidRPr="00642AB3">
        <w:rPr>
          <w:noProof/>
        </w:rPr>
        <w:t>(Kuntz et al., 2016)</w:t>
      </w:r>
      <w:r w:rsidRPr="00642AB3">
        <w:fldChar w:fldCharType="end"/>
      </w:r>
      <w:r w:rsidRPr="00642AB3">
        <w:t xml:space="preserve">. Furthermore, the US Panel al recommend modelling to assess the implications of uncertainty </w:t>
      </w:r>
      <w:r w:rsidRPr="00642AB3">
        <w:fldChar w:fldCharType="begin" w:fldLock="1"/>
      </w:r>
      <w:r w:rsidR="00A33BA4">
        <w:instrText>ADDIN CSL_CITATION {"citationItems":[{"id":"ITEM-1","itemData":{"DOI":"10.1093/acprof:oso/9780190492939.001.0001","ISBN":"9780190492939","abstract":"This is a new chapter and underscores recent advances in the field. Analysts typically face situations in which the data available about the costs and effects of different interventions come from disparate sources and often from studies for which analysts do not have access to primary data. Models fill in the gaps and help to structure analysts’ thinking. They provide a framework for synthesizing data from disparate sources, allowing extrapolations beyond the time horizons of available data and to population subgroups and strategies not observed in studies. This chapter reviews the different types of decision models and their relative advantages and disadvantages. It also provides recommendations for model structure, output, evaluation of uncertainty, and validation.","author":[{"dropping-particle":"","family":"Kuntz","given":"Karen M.","non-dropping-particle":"","parse-names":false,"suffix":""},{"dropping-particle":"","family":"Russell","given":"Louise B","non-dropping-particle":"","parse-names":false,"suffix":""},{"dropping-particle":"","family":"Owens","given":"Douglas K","non-dropping-particle":"","parse-names":false,"suffix":""},{"dropping-particle":"","family":"Sanders","given":"Gillian D.","non-dropping-particle":"","parse-names":false,"suffix":""},{"dropping-particle":"","family":"Trikalinos","given":"Thomas A.","non-dropping-particle":"","parse-names":false,"suffix":""},{"dropping-particle":"","family":"Salomon","given":"Joshua A.","non-dropping-particle":"","parse-names":false,"suffix":""}],"container-title":"Cost 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Press","publisher-place":"Oxford","title":"Decision Models in Cost-Effectiveness Analysis","type":"chapter"},"uris":["http://www.mendeley.com/documents/?uuid=130c09eb-d67f-39a2-b765-379137b2b6bd"]}],"mendeley":{"formattedCitation":"(Kuntz et al., 2016)","plainTextFormattedCitation":"(Kuntz et al., 2016)","previouslyFormattedCitation":"(Kuntz et al., 2016)"},"properties":{"noteIndex":0},"schema":"https://github.com/citation-style-language/schema/raw/master/csl-citation.json"}</w:instrText>
      </w:r>
      <w:r w:rsidRPr="00642AB3">
        <w:fldChar w:fldCharType="separate"/>
      </w:r>
      <w:r w:rsidRPr="00642AB3">
        <w:rPr>
          <w:noProof/>
        </w:rPr>
        <w:t>(Kuntz et al., 2016)</w:t>
      </w:r>
      <w:r w:rsidRPr="00642AB3">
        <w:fldChar w:fldCharType="end"/>
      </w:r>
      <w:r w:rsidRPr="00642AB3">
        <w:t>.</w:t>
      </w:r>
    </w:p>
    <w:p w14:paraId="24089C80" w14:textId="17C14BBF" w:rsidR="00367E3D" w:rsidRPr="00642AB3" w:rsidRDefault="00367E3D" w:rsidP="00D35786">
      <w:pPr>
        <w:spacing w:line="480" w:lineRule="auto"/>
      </w:pPr>
      <w:r w:rsidRPr="00642AB3">
        <w:t xml:space="preserve">The guidelines are generally silent on the process of conceptual modelling, apart from a recommendation of starting with a literature review of economic evaluations, clinical trials, clinical guidelines, epidemiology and burden of disease studies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Canada","type":"article-journal"},"uris":["http://www.mendeley.com/documents/?uuid=c1edb1ae-e4b3-3ad4-9c48-be7c245913bf"]},{"id":"ITEM-2","itemData":{"ISBN":"9781741860009","abstract":"The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Committee","given":"","non-dropping-particle":"","parse-names":false,"suffix":""}],"id":"ITEM-2","issued":{"date-parts":[["2016"]]},"title":"Guidelines for preparing submissions to the Pharmaceutical Benefits Advisory Committee","type":"report"},"uris":["http://www.mendeley.com/documents/?uuid=57a65f32-3da3-380c-b9ea-2dc0de627f0c"]}],"mendeley":{"formattedCitation":"(Canadian Agency for Drugs and Technologies in Health, 2017; Pharmaceutical Benefits Advisory Committee, 2016)","plainTextFormattedCitation":"(Canadian Agency for Drugs and Technologies in Health, 2017; Pharmaceutical Benefits Advisory Committee, 2016)","previouslyFormattedCitation":"(Canadian Agency for Drugs and Technologies in Health, 2017; Pharmaceutical Benefits Advisory Committee, 2016)"},"properties":{"noteIndex":0},"schema":"https://github.com/citation-style-language/schema/raw/master/csl-citation.json"}</w:instrText>
      </w:r>
      <w:r w:rsidRPr="00642AB3">
        <w:fldChar w:fldCharType="separate"/>
      </w:r>
      <w:r w:rsidRPr="00642AB3">
        <w:rPr>
          <w:noProof/>
        </w:rPr>
        <w:t>(Canadian Agency for Drugs and Technologies in Health, 2017; Pharmaceutical Benefits Advisory Committee, 2016)</w:t>
      </w:r>
      <w:r w:rsidRPr="00642AB3">
        <w:fldChar w:fldCharType="end"/>
      </w:r>
      <w:r w:rsidRPr="00642AB3">
        <w:t xml:space="preserve">  as </w:t>
      </w:r>
      <w:r w:rsidRPr="00642AB3">
        <w:lastRenderedPageBreak/>
        <w:t xml:space="preserve">well as having input from content experts </w:t>
      </w:r>
      <w:r w:rsidRPr="00642AB3">
        <w:fldChar w:fldCharType="begin" w:fldLock="1"/>
      </w:r>
      <w:r w:rsidR="00A33BA4">
        <w:instrText>ADDIN CSL_CITATION {"citationItems":[{"id":"ITEM-1","itemData":{"DOI":"10.1093/acprof:oso/9780190492939.001.0001","ISBN":"9780190492939","abstract":"This is a new chapter and underscores recent advances in the field. Analysts typically face situations in which the data available about the costs and effects of different interventions come from disparate sources and often from studies for which analysts do not have access to primary data. Models fill in the gaps and help to structure analysts’ thinking. They provide a framework for synthesizing data from disparate sources, allowing extrapolations beyond the time horizons of available data and to population subgroups and strategies not observed in studies. This chapter reviews the different types of decision models and their relative advantages and disadvantages. It also provides recommendations for model structure, output, evaluation of uncertainty, and validation.","author":[{"dropping-particle":"","family":"Kuntz","given":"Karen M.","non-dropping-particle":"","parse-names":false,"suffix":""},{"dropping-particle":"","family":"Russell","given":"Louise B","non-dropping-particle":"","parse-names":false,"suffix":""},{"dropping-particle":"","family":"Owens","given":"Douglas K","non-dropping-particle":"","parse-names":false,"suffix":""},{"dropping-particle":"","family":"Sanders","given":"Gillian D.","non-dropping-particle":"","parse-names":false,"suffix":""},{"dropping-particle":"","family":"Trikalinos","given":"Thomas A.","non-dropping-particle":"","parse-names":false,"suffix":""},{"dropping-particle":"","family":"Salomon","given":"Joshua A.","non-dropping-particle":"","parse-names":false,"suffix":""}],"container-title":"Cost 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Press","publisher-place":"Oxford","title":"Decision Models in Cost-Effectiveness Analysis","type":"chapter"},"uris":["http://www.mendeley.com/documents/?uuid=130c09eb-d67f-39a2-b765-379137b2b6bd"]},{"id":"ITEM-2","itemData":{"DOI":"10.1016/j.jval.2012.06.012","ISBN":"1524-4733","ISSN":"1524-4733","PMID":"22999128","abstract":"Thee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Health","id":"ITEM-2","issued":{"date-parts":[["2012"]]},"page":"804-811","title":"Conceptualizing a Model: A Report of the ISPOR-SMDM Modeling Good Research Practices Task Force-2","type":"article-journal","volume":"15"},"uris":["http://www.mendeley.com/documents/?uuid=d6058f98-c577-37fc-9309-1ea31daea085"]}],"mendeley":{"formattedCitation":"(Kuntz et al., 2016; Roberts et al., 2012)","plainTextFormattedCitation":"(Kuntz et al., 2016; Roberts et al., 2012)","previouslyFormattedCitation":"(Kuntz et al., 2016; Roberts et al., 2012)"},"properties":{"noteIndex":0},"schema":"https://github.com/citation-style-language/schema/raw/master/csl-citation.json"}</w:instrText>
      </w:r>
      <w:r w:rsidRPr="00642AB3">
        <w:fldChar w:fldCharType="separate"/>
      </w:r>
      <w:r w:rsidRPr="00642AB3">
        <w:rPr>
          <w:noProof/>
        </w:rPr>
        <w:t>(Kuntz et al., 2016; Roberts et al., 2012)</w:t>
      </w:r>
      <w:r w:rsidRPr="00642AB3">
        <w:fldChar w:fldCharType="end"/>
      </w:r>
      <w:r w:rsidRPr="00642AB3">
        <w:t xml:space="preserve"> . The exception is the NICE DSU TSD13, which proposes a two-stage process to conceptualise the model, with the literature review and expert input being sources of evidence </w:t>
      </w:r>
      <w:r w:rsidRPr="00642AB3">
        <w:fldChar w:fldCharType="begin" w:fldLock="1"/>
      </w:r>
      <w:r w:rsidR="00A33BA4">
        <w:instrText>ADDIN CSL_CITATION {"citationItems":[{"id":"ITEM-1","itemData":{"DOI":"10.1016/j.jval.2014.12.014","ISBN":"1099-1727","ISSN":"15244733","PMID":"26091606","author":[{"dropping-particle":"","family":"Kaltenhalter","given":"Eva","non-dropping-particle":"","parse-names":false,"suffix":""},{"dropping-particle":"","family":"Tappenden","given":"Paul","non-dropping-particle":"","parse-names":false,"suffix":""},{"dropping-particle":"","family":"Paisley","given":"Suzy","non-dropping-particle":"","parse-names":false,"suffix":""},{"dropping-particle":"","family":"Squires","given":"Hazel","non-dropping-particle":"","parse-names":false,"suffix":""}],"container-title":"NICE Decision Support Unit","id":"ITEM-1","issue":"13","issued":{"date-parts":[["2011"]]},"title":"NICE DSU Technical Support Document 13: Identifying and reviewing evidence to inform the conceptualisation and population of cost-effectiveness models","type":"report"},"uris":["http://www.mendeley.com/documents/?uuid=dc3d7923-fb75-362d-8bae-bb6146215190"]}],"mendeley":{"formattedCitation":"(Kaltenhalter et al., 2011)","plainTextFormattedCitation":"(Kaltenhalter et al., 2011)","previouslyFormattedCitation":"(Kaltenhalter et al., 2011)"},"properties":{"noteIndex":0},"schema":"https://github.com/citation-style-language/schema/raw/master/csl-citation.json"}</w:instrText>
      </w:r>
      <w:r w:rsidRPr="00642AB3">
        <w:fldChar w:fldCharType="separate"/>
      </w:r>
      <w:r w:rsidRPr="00642AB3">
        <w:rPr>
          <w:noProof/>
        </w:rPr>
        <w:t>(Kaltenhalter et al., 2011)</w:t>
      </w:r>
      <w:r w:rsidRPr="00642AB3">
        <w:fldChar w:fldCharType="end"/>
      </w:r>
      <w:r w:rsidRPr="00642AB3">
        <w:t xml:space="preserve">. It advises to start with the problem-oriented conceptual model, then to develop the design-oriented conceptual model. </w:t>
      </w:r>
      <w:r w:rsidR="00F56021" w:rsidRPr="00F56021">
        <w:t xml:space="preserve">The problem-oriented conceptual model aims to develop, </w:t>
      </w:r>
      <w:proofErr w:type="gramStart"/>
      <w:r w:rsidR="00F56021" w:rsidRPr="00F56021">
        <w:t>share</w:t>
      </w:r>
      <w:proofErr w:type="gramEnd"/>
      <w:r w:rsidR="00F56021" w:rsidRPr="00F56021">
        <w:t xml:space="preserve"> and test the analysts’ understanding of the decision problem and the system in which it exists through mapping out the underlying disease process and treatment pathways. The design-oriented conceptual model draws together the problem-oriented models with the aim of setting out the model structure, its assumptions and parameterisation</w:t>
      </w:r>
      <w:r w:rsidRPr="00642AB3">
        <w:t xml:space="preserve">. </w:t>
      </w:r>
    </w:p>
    <w:p w14:paraId="7991115E" w14:textId="553EB0DF" w:rsidR="00367E3D" w:rsidRPr="00642AB3" w:rsidRDefault="00367E3D" w:rsidP="00D35786">
      <w:pPr>
        <w:spacing w:line="480" w:lineRule="auto"/>
      </w:pPr>
      <w:r w:rsidRPr="00642AB3">
        <w:t>There are few recommendations on any standards that the model structure should meet. The NICE Guide</w:t>
      </w:r>
      <w:r w:rsidR="00011348">
        <w:t>line</w:t>
      </w:r>
      <w:r w:rsidRPr="00642AB3">
        <w:t xml:space="preserve"> even states that “</w:t>
      </w:r>
      <w:r w:rsidRPr="00642AB3">
        <w:rPr>
          <w:i/>
          <w:iCs/>
        </w:rPr>
        <w:t>Providing an all-embracing definition of what constitutes a high-quality model is not possible</w:t>
      </w:r>
      <w:r w:rsidRPr="00642AB3">
        <w:t xml:space="preserve">” (p.47)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642AB3">
        <w:fldChar w:fldCharType="separate"/>
      </w:r>
      <w:r w:rsidRPr="00642AB3">
        <w:rPr>
          <w:noProof/>
        </w:rPr>
        <w:t>(National Institute for Health and Care Excellence (NICE), 2013)</w:t>
      </w:r>
      <w:r w:rsidRPr="00642AB3">
        <w:fldChar w:fldCharType="end"/>
      </w:r>
      <w:r w:rsidRPr="00642AB3">
        <w:t xml:space="preserve">. The most frequently stated recommendation is that the model structure should be consistent with the current understanding of the clinical pathway of the condition and the expected effect of options under evaluation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Canada","type":"article-journal"},"uris":["http://www.mendeley.com/documents/?uuid=c1edb1ae-e4b3-3ad4-9c48-be7c245913bf"]},{"id":"ITEM-2","itemData":{"ISBN":"9781741860009","abstract":"The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Committee","given":"","non-dropping-particle":"","parse-names":false,"suffix":""}],"id":"ITEM-2","issued":{"date-parts":[["2016"]]},"title":"Guidelines for preparing submissions to the Pharmaceutical Benefits Advisory Committee","type":"report"},"uris":["http://www.mendeley.com/documents/?uuid=57a65f32-3da3-380c-b9ea-2dc0de627f0c"]},{"id":"ITEM-3","itemData":{"DOI":"10.1093/acprof:oso/9780190492939.001.0001","ISBN":"9780190492939","abstract":"This is a new chapter and underscores recent advances in the field. Analysts typically face situations in which the data available about the costs and effects of different interventions come from disparate sources and often from studies for which analysts do not have access to primary data. Models fill in the gaps and help to structure analysts’ thinking. They provide a framework for synthesizing data from disparate sources, allowing extrapolations beyond the time horizons of available data and to population subgroups and strategies not observed in studies. This chapter reviews the different types of decision models and their relative advantages and disadvantages. It also provides recommendations for model structure, output, evaluation of uncertainty, and validation.","author":[{"dropping-particle":"","family":"Kuntz","given":"Karen M.","non-dropping-particle":"","parse-names":false,"suffix":""},{"dropping-particle":"","family":"Russell","given":"Louise B","non-dropping-particle":"","parse-names":false,"suffix":""},{"dropping-particle":"","family":"Owens","given":"Douglas K","non-dropping-particle":"","parse-names":false,"suffix":""},{"dropping-particle":"","family":"Sanders","given":"Gillian D.","non-dropping-particle":"","parse-names":false,"suffix":""},{"dropping-particle":"","family":"Trikalinos","given":"Thomas A.","non-dropping-particle":"","parse-names":false,"suffix":""},{"dropping-particle":"","family":"Salomon","given":"Joshua A.","non-dropping-particle":"","parse-names":false,"suffix":""}],"container-title":"Cost 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D","non-dropping-particle":"","parse-names":false,"suffix":""}],"id":"ITEM-3","issued":{"date-parts":[["2016"]]},"publisher":"Oxford University Press","publisher-place":"Oxford","title":"Decision Models in Cost-Effectiveness Analysis","type":"chapter"},"uris":["http://www.mendeley.com/documents/?uuid=130c09eb-d67f-39a2-b765-379137b2b6bd"]},{"id":"ITEM-4","itemData":{"DOI":"10.1016/j.jval.2014.12.014","ISBN":"1099-1727","ISSN":"15244733","PMID":"26091606","author":[{"dropping-particle":"","family":"Kaltenhalter","given":"Eva","non-dropping-particle":"","parse-names":false,"suffix":""},{"dropping-particle":"","family":"Tappenden","given":"Paul","non-dropping-particle":"","parse-names":false,"suffix":""},{"dropping-particle":"","family":"Paisley","given":"Suzy","non-dropping-particle":"","parse-names":false,"suffix":""},{"dropping-particle":"","family":"Squires","given":"Hazel","non-dropping-particle":"","parse-names":false,"suffix":""}],"container-title":"NICE Decision Support Unit","id":"ITEM-4","issue":"13","issued":{"date-parts":[["2011"]]},"title":"NICE DSU Technical Support Document 13: Identifying and reviewing evidence to inform the conceptualisation and population of cost-effectiveness models","type":"report"},"uris":["http://www.mendeley.com/documents/?uuid=dc3d7923-fb75-362d-8bae-bb6146215190"]}],"mendeley":{"formattedCitation":"(Canadian Agency for Drugs and Technologies in Health, 2017; Kaltenhalter et al., 2011; Kuntz et al., 2016; Pharmaceutical Benefits Advisory Committee, 2016)","plainTextFormattedCitation":"(Canadian Agency for Drugs and Technologies in Health, 2017; Kaltenhalter et al., 2011; Kuntz et al., 2016; Pharmaceutical Benefits Advisory Committee, 2016)","previouslyFormattedCitation":"(Canadian Agency for Drugs and Technologies in Health, 2017; Kaltenhalter et al., 2011; Kuntz et al., 2016; Pharmaceutical Benefits Advisory Committee, 2016)"},"properties":{"noteIndex":0},"schema":"https://github.com/citation-style-language/schema/raw/master/csl-citation.json"}</w:instrText>
      </w:r>
      <w:r w:rsidRPr="00642AB3">
        <w:fldChar w:fldCharType="separate"/>
      </w:r>
      <w:r w:rsidRPr="00642AB3">
        <w:rPr>
          <w:noProof/>
        </w:rPr>
        <w:t>(Canadian Agency for Drugs and Technologies in Health, 2017; Kaltenhalter et al., 2011; Kuntz et al., 2016; Pharmaceutical Benefits Advisory Committee, 2016)</w:t>
      </w:r>
      <w:r w:rsidRPr="00642AB3">
        <w:fldChar w:fldCharType="end"/>
      </w:r>
      <w:r w:rsidRPr="00642AB3">
        <w:t xml:space="preserve">. The two other recommendations mentioned by more than one guideline are that model conceptualisation should address the decision problem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Canada","type":"article-journal"},"uris":["http://www.mendeley.com/documents/?uuid=c1edb1ae-e4b3-3ad4-9c48-be7c245913bf"]},{"id":"ITEM-2","itemData":{"DOI":"10.1016/j.jval.2012.06.012","ISBN":"1524-4733","ISSN":"1524-4733","PMID":"22999128","abstract":"Thee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Health","id":"ITEM-2","issued":{"date-parts":[["2012"]]},"page":"804-811","title":"Conceptualizing a Model: A Report of the ISPOR-SMDM Modeling Good Research Practices Task Force-2","type":"article-journal","volume":"15"},"uris":["http://www.mendeley.com/documents/?uuid=d6058f98-c577-37fc-9309-1ea31daea085"]}],"mendeley":{"formattedCitation":"(Canadian Agency for Drugs and Technologies in Health, 2017; Roberts et al., 2012)","plainTextFormattedCitation":"(Canadian Agency for Drugs and Technologies in Health, 2017; Roberts et al., 2012)","previouslyFormattedCitation":"(Canadian Agency for Drugs and Technologies in Health, 2017; Roberts et al., 2012)"},"properties":{"noteIndex":0},"schema":"https://github.com/citation-style-language/schema/raw/master/csl-citation.json"}</w:instrText>
      </w:r>
      <w:r w:rsidRPr="00642AB3">
        <w:fldChar w:fldCharType="separate"/>
      </w:r>
      <w:r w:rsidRPr="00642AB3">
        <w:rPr>
          <w:noProof/>
        </w:rPr>
        <w:t>(Canadian Agency for Drugs and Technologies in Health, 2017; Roberts et al., 2012)</w:t>
      </w:r>
      <w:r w:rsidRPr="00642AB3">
        <w:fldChar w:fldCharType="end"/>
      </w:r>
      <w:r w:rsidRPr="00642AB3">
        <w:t xml:space="preserve">; and that the baseline natural history should be representative of the target population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Canada","type":"article-journal"},"uris":["http://www.mendeley.com/documents/?uuid=c1edb1ae-e4b3-3ad4-9c48-be7c245913bf"]},{"id":"ITEM-2","itemData":{"author":[{"dropping-particle":"","family":"Drummond","given":"Michael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W.","non-dropping-particle":"","parse-names":false,"suffix":""}],"edition":"4th","id":"ITEM-2","issued":{"date-parts":[["2015"]]},"number-of-pages":"464","publisher":"Oxford University Press","publisher-place":"Oxford","title":"Methods for the Economic Evaluation of Health Care Programmes","type":"book"},"uris":["http://www.mendeley.com/documents/?uuid=bfcbd1b8-6b05-4fe8-a3fd-fb1cbb802fd7"]}],"mendeley":{"formattedCitation":"(Canadian Agency for Drugs and Technologies in Health, 2017; M. F. Drummond et al., 2015)","plainTextFormattedCitation":"(Canadian Agency for Drugs and Technologies in Health, 2017; M. F. Drummond et al., 2015)","previouslyFormattedCitation":"(Canadian Agency for Drugs and Technologies in Health, 2017; M. F. Drummond et al., 2015)"},"properties":{"noteIndex":0},"schema":"https://github.com/citation-style-language/schema/raw/master/csl-citation.json"}</w:instrText>
      </w:r>
      <w:r w:rsidRPr="00642AB3">
        <w:fldChar w:fldCharType="separate"/>
      </w:r>
      <w:r w:rsidRPr="00642AB3">
        <w:rPr>
          <w:noProof/>
        </w:rPr>
        <w:t>(Canadian Agency for Drugs and Technologies in Health, 2017; M. F. Drummond et al., 2015)</w:t>
      </w:r>
      <w:r w:rsidRPr="00642AB3">
        <w:fldChar w:fldCharType="end"/>
      </w:r>
      <w:r w:rsidRPr="00642AB3">
        <w:t xml:space="preserve">. </w:t>
      </w:r>
    </w:p>
    <w:p w14:paraId="1836B5D8" w14:textId="74F9689A" w:rsidR="00367E3D" w:rsidRPr="00642AB3" w:rsidRDefault="00367E3D" w:rsidP="00D35786">
      <w:pPr>
        <w:spacing w:line="480" w:lineRule="auto"/>
      </w:pPr>
      <w:r w:rsidRPr="00642AB3">
        <w:t xml:space="preserve">Only the NICE DSU TSD13 and Drummond et al discuss the issues to consider when developing a model </w:t>
      </w:r>
      <w:r w:rsidRPr="00642AB3">
        <w:fldChar w:fldCharType="begin" w:fldLock="1"/>
      </w:r>
      <w:r w:rsidR="00A33BA4">
        <w:instrText>ADDIN CSL_CITATION {"citationItems":[{"id":"ITEM-1","itemData":{"DOI":"10.1016/j.jval.2014.12.014","ISBN":"1099-1727","ISSN":"15244733","PMID":"26091606","author":[{"dropping-particle":"","family":"Kaltenhalter","given":"Eva","non-dropping-particle":"","parse-names":false,"suffix":""},{"dropping-particle":"","family":"Tappenden","given":"Paul","non-dropping-particle":"","parse-names":false,"suffix":""},{"dropping-particle":"","family":"Paisley","given":"Suzy","non-dropping-particle":"","parse-names":false,"suffix":""},{"dropping-particle":"","family":"Squires","given":"Hazel","non-dropping-particle":"","parse-names":false,"suffix":""}],"container-title":"NICE Decision Support Unit","id":"ITEM-1","issue":"13","issued":{"date-parts":[["2011"]]},"title":"NICE DSU Technical Support Document 13: Identifying and reviewing evidence to inform the conceptualisation and population of cost-effectiveness models","type":"report"},"uris":["http://www.mendeley.com/documents/?uuid=dc3d7923-fb75-362d-8bae-bb6146215190"]},{"id":"ITEM-2","itemData":{"author":[{"dropping-particle":"","family":"Drummond","given":"Michael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W.","non-dropping-particle":"","parse-names":false,"suffix":""}],"edition":"4th","id":"ITEM-2","issued":{"date-parts":[["2015"]]},"number-of-pages":"464","publisher":"Oxford University Press","publisher-place":"Oxford","title":"Methods for the Economic Evaluation of Health Care Programmes","type":"book"},"uris":["http://www.mendeley.com/documents/?uuid=bfcbd1b8-6b05-4fe8-a3fd-fb1cbb802fd7"]}],"mendeley":{"formattedCitation":"(M. F. Drummond et al., 2015; Kaltenhalter et al., 2011)","plainTextFormattedCitation":"(M. F. Drummond et al., 2015; Kaltenhalter et al., 2011)","previouslyFormattedCitation":"(M. F. Drummond et al., 2015; Kaltenhalter et al., 2011)"},"properties":{"noteIndex":0},"schema":"https://github.com/citation-style-language/schema/raw/master/csl-citation.json"}</w:instrText>
      </w:r>
      <w:r w:rsidRPr="00642AB3">
        <w:fldChar w:fldCharType="separate"/>
      </w:r>
      <w:r w:rsidRPr="00642AB3">
        <w:rPr>
          <w:noProof/>
        </w:rPr>
        <w:t>(M. F. Drummond et al., 2015; Kaltenhalter et al., 2011)</w:t>
      </w:r>
      <w:r w:rsidRPr="00642AB3">
        <w:fldChar w:fldCharType="end"/>
      </w:r>
      <w:r w:rsidRPr="00642AB3">
        <w:t xml:space="preserve">. The NICE DSU TSD13 is the most exhaustive, devoting a few pages listing the issues to consider (see p.23-28) </w:t>
      </w:r>
      <w:r w:rsidRPr="00642AB3">
        <w:fldChar w:fldCharType="begin" w:fldLock="1"/>
      </w:r>
      <w:r w:rsidR="00A33BA4">
        <w:instrText>ADDIN CSL_CITATION {"citationItems":[{"id":"ITEM-1","itemData":{"DOI":"10.1016/j.jval.2014.12.014","ISBN":"1099-1727","ISSN":"15244733","PMID":"26091606","author":[{"dropping-particle":"","family":"Kaltenhalter","given":"Eva","non-dropping-particle":"","parse-names":false,"suffix":""},{"dropping-particle":"","family":"Tappenden","given":"Paul","non-dropping-particle":"","parse-names":false,"suffix":""},{"dropping-particle":"","family":"Paisley","given":"Suzy","non-dropping-particle":"","parse-names":false,"suffix":""},{"dropping-particle":"","family":"Squires","given":"Hazel","non-dropping-particle":"","parse-names":false,"suffix":""}],"container-title":"NICE Decision Support Unit","id":"ITEM-1","issue":"13","issued":{"date-parts":[["2011"]]},"title":"NICE DSU Technical Support Document 13: Identifying and reviewing evidence to inform the conceptualisation and population of cost-effectiveness models","type":"report"},"uris":["http://www.mendeley.com/documents/?uuid=dc3d7923-fb75-362d-8bae-bb6146215190"]}],"mendeley":{"formattedCitation":"(Kaltenhalter et al., 2011)","plainTextFormattedCitation":"(Kaltenhalter et al., 2011)","previouslyFormattedCitation":"(Kaltenhalter et al., 2011)"},"properties":{"noteIndex":0},"schema":"https://github.com/citation-style-language/schema/raw/master/csl-citation.json"}</w:instrText>
      </w:r>
      <w:r w:rsidRPr="00642AB3">
        <w:fldChar w:fldCharType="separate"/>
      </w:r>
      <w:r w:rsidRPr="00642AB3">
        <w:rPr>
          <w:noProof/>
        </w:rPr>
        <w:t>(Kaltenhalter et al., 2011)</w:t>
      </w:r>
      <w:r w:rsidRPr="00642AB3">
        <w:fldChar w:fldCharType="end"/>
      </w:r>
      <w:r w:rsidRPr="00642AB3">
        <w:t xml:space="preserve">. Examples include which are the relevant events, whether these </w:t>
      </w:r>
      <w:r w:rsidRPr="00642AB3">
        <w:lastRenderedPageBreak/>
        <w:t xml:space="preserve">can be discretised into mutually exclusive health states, what are the relationships between states, events, and health-related quality of life. Some examples from Drummond et al are whether events are one-off or recurrent, whether an event influences the risk of experiencing subsequent events, and the evidence supporting the link between intermediate to final outcomes </w:t>
      </w:r>
      <w:r w:rsidRPr="00642AB3">
        <w:fldChar w:fldCharType="begin" w:fldLock="1"/>
      </w:r>
      <w:r w:rsidR="00A33BA4">
        <w:instrText>ADDIN CSL_CITATION {"citationItems":[{"id":"ITEM-1","itemData":{"author":[{"dropping-particle":"","family":"Drummond","given":"Michael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W.","non-dropping-particle":"","parse-names":false,"suffix":""}],"edition":"4th","id":"ITEM-1","issued":{"date-parts":[["2015"]]},"number-of-pages":"464","publisher":"Oxford University Press","publisher-place":"Oxford","title":"Methods for the Economic Evaluation of Health Care Programmes","type":"book"},"uris":["http://www.mendeley.com/documents/?uuid=bfcbd1b8-6b05-4fe8-a3fd-fb1cbb802fd7"]}],"mendeley":{"formattedCitation":"(M. F. Drummond et al., 2015)","plainTextFormattedCitation":"(M. F. Drummond et al., 2015)","previouslyFormattedCitation":"(M. F. Drummond et al., 2015)"},"properties":{"noteIndex":0},"schema":"https://github.com/citation-style-language/schema/raw/master/csl-citation.json"}</w:instrText>
      </w:r>
      <w:r w:rsidRPr="00642AB3">
        <w:fldChar w:fldCharType="separate"/>
      </w:r>
      <w:r w:rsidRPr="00642AB3">
        <w:rPr>
          <w:noProof/>
        </w:rPr>
        <w:t>(M. F. Drummond et al., 2015)</w:t>
      </w:r>
      <w:r w:rsidRPr="00642AB3">
        <w:fldChar w:fldCharType="end"/>
      </w:r>
      <w:r w:rsidRPr="00642AB3">
        <w:t xml:space="preserve">. </w:t>
      </w:r>
    </w:p>
    <w:p w14:paraId="12157453" w14:textId="29EC8408" w:rsidR="00367E3D" w:rsidRPr="00642AB3" w:rsidRDefault="00367E3D" w:rsidP="00D35786">
      <w:pPr>
        <w:spacing w:line="480" w:lineRule="auto"/>
      </w:pPr>
      <w:r w:rsidRPr="00642AB3">
        <w:t xml:space="preserve">Most guidelines recommend sensitivity analysis to test the impact of alternative assumptions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2013","type":"report"},"uris":["http://www.mendeley.com/documents/?uuid=63ed8dfc-b348-31dc-aeaa-c7d1757d8e1c"]},{"id":"ITEM-2","itemData":{"ISBN":"1897257082","abstract":"Cite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Health","given":"","non-dropping-particle":"","parse-names":false,"suffix":""}],"id":"ITEM-2","issue":"March","issued":{"date-parts":[["2017"]]},"page":"1-76","title":"Guidelines for the Economic Evaluation of Health Technologies: Canada","type":"article-journal"},"uris":["http://www.mendeley.com/documents/?uuid=c1edb1ae-e4b3-3ad4-9c48-be7c245913bf"]},{"id":"ITEM-3","itemData":{"author":[{"dropping-particle":"","family":"European Network for Health Technology Assessment (EUneHTA)","given":"","non-dropping-particle":"","parse-names":false,"suffix":""}],"id":"ITEM-3","issued":{"date-parts":[["2015"]]},"number-of-pages":"100","title":"Methods for health economic evaluations -A guideline based on current practices in Europe","type":"report"},"uris":["http://www.mendeley.com/documents/?uuid=82316c6b-dca8-3243-bc63-c6556a5e0a10"]},{"id":"ITEM-4","itemData":{"DOI":"10.1093/acprof:oso/9780190492939.001.0001","ISBN":"9780190492939","abstract":"This is a new chapter and underscores recent advances in the field. Analysts typically face situations in which the data available about the costs and effects of different interventions come from disparate sources and often from studies for which analysts do not have access to primary data. Models fill in the gaps and help to structure analysts’ thinking. They provide a framework for synthesizing data from disparate sources, allowing extrapolations beyond the time horizons of available data and to population subgroups and strategies not observed in studies. This chapter reviews the different types of decision models and their relative advantages and disadvantages. It also provides recommendations for model structure, output, evaluation of uncertainty, and validation.","author":[{"dropping-particle":"","family":"Kuntz","given":"Karen M.","non-dropping-particle":"","parse-names":false,"suffix":""},{"dropping-particle":"","family":"Russell","given":"Louise B","non-dropping-particle":"","parse-names":false,"suffix":""},{"dropping-particle":"","family":"Owens","given":"Douglas K","non-dropping-particle":"","parse-names":false,"suffix":""},{"dropping-particle":"","family":"Sanders","given":"Gillian D.","non-dropping-particle":"","parse-names":false,"suffix":""},{"dropping-particle":"","family":"Trikalinos","given":"Thomas A.","non-dropping-particle":"","parse-names":false,"suffix":""},{"dropping-particle":"","family":"Salomon","given":"Joshua A.","non-dropping-particle":"","parse-names":false,"suffix":""}],"container-title":"Cost 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D","non-dropping-particle":"","parse-names":false,"suffix":""}],"id":"ITEM-4","issued":{"date-parts":[["2016"]]},"publisher":"Oxford University Press","publisher-place":"Oxford","title":"Decision Models in Cost-Effectiveness Analysis","type":"chapter"},"uris":["http://www.mendeley.com/documents/?uuid=130c09eb-d67f-39a2-b765-379137b2b6bd"]},{"id":"ITEM-5","itemData":{"DOI":"10.1016/j.jval.2012.06.012","ISBN":"1524-4733","ISSN":"1524-4733","PMID":"22999128","abstract":"Thee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Health","id":"ITEM-5","issued":{"date-parts":[["2012"]]},"page":"804-811","title":"Conceptualizing a Model: A Report of the ISPOR-SMDM Modeling Good Research Practices Task Force-2","type":"article-journal","volume":"15"},"uris":["http://www.mendeley.com/documents/?uuid=d6058f98-c577-37fc-9309-1ea31daea085"]}],"mendeley":{"formattedCitation":"(Canadian Agency for Drugs and Technologies in Health, 2017; European Network for Health Technology Assessment (EUneHTA), 2015; Kuntz et al., 2016; National Institute for Health and Care Excellence (NICE), 2013; Roberts et al., 2012)","plainTextFormattedCitation":"(Canadian Agency for Drugs and Technologies in Health, 2017; European Network for Health Technology Assessment (EUneHTA), 2015; Kuntz et al., 2016; National Institute for Health and Care Excellence (NICE), 2013; Roberts et al., 2012)","previouslyFormattedCitation":"(Canadian Agency for Drugs and Technologies in Health, 2017; European Network for Health Technology Assessment (EUneHTA), 2015; Kuntz et al., 2016; National Institute for Health and Care Excellence (NICE), 2013; Roberts et al., 2012)"},"properties":{"noteIndex":0},"schema":"https://github.com/citation-style-language/schema/raw/master/csl-citation.json"}</w:instrText>
      </w:r>
      <w:r w:rsidRPr="00642AB3">
        <w:fldChar w:fldCharType="separate"/>
      </w:r>
      <w:r w:rsidRPr="00642AB3">
        <w:rPr>
          <w:noProof/>
        </w:rPr>
        <w:t>(Canadian Agency for Drugs and Technologies in Health, 2017; European Network for Health Technology Assessment (EUneHTA), 2015; Kuntz et al., 2016; National Institute for Health and Care Excellence (NICE), 2013; Roberts et al., 2012)</w:t>
      </w:r>
      <w:r w:rsidRPr="00642AB3">
        <w:fldChar w:fldCharType="end"/>
      </w:r>
      <w:r w:rsidRPr="00642AB3">
        <w:t xml:space="preserve">. The PBAC Guideline also recommends scenario analyses to alternative model structures </w:t>
      </w:r>
      <w:r w:rsidRPr="00642AB3">
        <w:fldChar w:fldCharType="begin" w:fldLock="1"/>
      </w:r>
      <w:r w:rsidR="00A33BA4">
        <w:instrText>ADDIN CSL_CITATION {"citationItems":[{"id":"ITEM-1","itemData":{"ISBN":"9781741860009","abstract":"The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Committee","given":"","non-dropping-particle":"","parse-names":false,"suffix":""}],"id":"ITEM-1","issued":{"date-parts":[["2016"]]},"title":"Guidelines for preparing submissions to the Pharmaceutical Benefits Advisory Committee","type":"report"},"uris":["http://www.mendeley.com/documents/?uuid=57a65f32-3da3-380c-b9ea-2dc0de627f0c"]}],"mendeley":{"formattedCitation":"(Pharmaceutical Benefits Advisory Committee, 2016)","plainTextFormattedCitation":"(Pharmaceutical Benefits Advisory Committee, 2016)","previouslyFormattedCitation":"(Pharmaceutical Benefits Advisory Committee, 2016)"},"properties":{"noteIndex":0},"schema":"https://github.com/citation-style-language/schema/raw/master/csl-citation.json"}</w:instrText>
      </w:r>
      <w:r w:rsidRPr="00642AB3">
        <w:fldChar w:fldCharType="separate"/>
      </w:r>
      <w:r w:rsidRPr="00642AB3">
        <w:rPr>
          <w:noProof/>
        </w:rPr>
        <w:t>(Pharmaceutical Benefits Advisory Committee, 2016)</w:t>
      </w:r>
      <w:r w:rsidRPr="00642AB3">
        <w:fldChar w:fldCharType="end"/>
      </w:r>
      <w:r w:rsidRPr="00642AB3">
        <w:t xml:space="preserve"> . The NICE Guideline requests sensitivity analysis to the surrogate-to-final endpoint relationship and to the duration of treatment effect during the extrapolation phase (also recommended by the US Panel)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2013","type":"report"},"uris":["http://www.mendeley.com/documents/?uuid=63ed8dfc-b348-31dc-aeaa-c7d1757d8e1c"]},{"id":"ITEM-2","itemData":{"DOI":"10.1093/acprof:oso/9780190492939.001.0001","ISBN":"9780190492939","abstract":"This is a new chapter and underscores recent advances in the field. Analysts typically face situations in which the data available about the costs and effects of different interventions come from disparate sources and often from studies for which analysts do not have access to primary data. Models fill in the gaps and help to structure analysts’ thinking. They provide a framework for synthesizing data from disparate sources, allowing extrapolations beyond the time horizons of available data and to population subgroups and strategies not observed in studies. This chapter reviews the different types of decision models and their relative advantages and disadvantages. It also provides recommendations for model structure, output, evaluation of uncertainty, and validation.","author":[{"dropping-particle":"","family":"Kuntz","given":"Karen M.","non-dropping-particle":"","parse-names":false,"suffix":""},{"dropping-particle":"","family":"Russell","given":"Louise B","non-dropping-particle":"","parse-names":false,"suffix":""},{"dropping-particle":"","family":"Owens","given":"Douglas K","non-dropping-particle":"","parse-names":false,"suffix":""},{"dropping-particle":"","family":"Sanders","given":"Gillian D.","non-dropping-particle":"","parse-names":false,"suffix":""},{"dropping-particle":"","family":"Trikalinos","given":"Thomas A.","non-dropping-particle":"","parse-names":false,"suffix":""},{"dropping-particle":"","family":"Salomon","given":"Joshua A.","non-dropping-particle":"","parse-names":false,"suffix":""}],"container-title":"Cost 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D","non-dropping-particle":"","parse-names":false,"suffix":""}],"id":"ITEM-2","issued":{"date-parts":[["2016"]]},"publisher":"Oxford University Press","publisher-place":"Oxford","title":"Decision Models in Cost-Effectiveness Analysis","type":"chapter"},"uris":["http://www.mendeley.com/documents/?uuid=130c09eb-d67f-39a2-b765-379137b2b6bd"]}],"mendeley":{"formattedCitation":"(Kuntz et al., 2016; National Institute for Health and Care Excellence (NICE), 2013)","plainTextFormattedCitation":"(Kuntz et al., 2016; National Institute for Health and Care Excellence (NICE), 2013)","previouslyFormattedCitation":"(Kuntz et al., 2016; National Institute for Health and Care Excellence (NICE), 2013)"},"properties":{"noteIndex":0},"schema":"https://github.com/citation-style-language/schema/raw/master/csl-citation.json"}</w:instrText>
      </w:r>
      <w:r w:rsidRPr="00642AB3">
        <w:fldChar w:fldCharType="separate"/>
      </w:r>
      <w:r w:rsidRPr="00642AB3">
        <w:rPr>
          <w:noProof/>
        </w:rPr>
        <w:t>(Kuntz et al., 2016; National Institute for Health and Care Excellence (NICE), 2013)</w:t>
      </w:r>
      <w:r w:rsidRPr="00642AB3">
        <w:fldChar w:fldCharType="end"/>
      </w:r>
      <w:r w:rsidRPr="00642AB3">
        <w:t xml:space="preserve">. </w:t>
      </w:r>
    </w:p>
    <w:p w14:paraId="24D5A19A" w14:textId="64D2061B" w:rsidR="00367E3D" w:rsidRDefault="00367E3D" w:rsidP="00D35786">
      <w:pPr>
        <w:spacing w:line="480" w:lineRule="auto"/>
      </w:pPr>
      <w:r w:rsidRPr="00642AB3">
        <w:t>Only the NICE Guideline discusses the impact of the model structure on the decision as part of the Committee’s judgements on cost-effectiveness: “</w:t>
      </w:r>
      <w:r w:rsidRPr="00642AB3">
        <w:rPr>
          <w:i/>
          <w:iCs/>
        </w:rPr>
        <w:t>The robustness and appropriateness of the structure of the economic models. In particular, the Committee considers carefully whether the model reflects the decision problem at hand and the uncertainties around the assumptions on which the model structure is based</w:t>
      </w:r>
      <w:r w:rsidRPr="00642AB3">
        <w:t xml:space="preserve">” (p.66)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642AB3">
        <w:fldChar w:fldCharType="separate"/>
      </w:r>
      <w:r w:rsidRPr="00642AB3">
        <w:rPr>
          <w:noProof/>
        </w:rPr>
        <w:t>(National Institute for Health and Care Excellence (NICE), 2013)</w:t>
      </w:r>
      <w:r w:rsidRPr="00642AB3">
        <w:fldChar w:fldCharType="end"/>
      </w:r>
      <w:r w:rsidRPr="00642AB3">
        <w:t xml:space="preserve">.  </w:t>
      </w:r>
    </w:p>
    <w:p w14:paraId="7005F338" w14:textId="77777777" w:rsidR="005859B6" w:rsidRDefault="005859B6" w:rsidP="00D35786">
      <w:pPr>
        <w:spacing w:line="480" w:lineRule="auto"/>
        <w:sectPr w:rsidR="005859B6" w:rsidSect="008E5E08">
          <w:footnotePr>
            <w:numFmt w:val="lowerLetter"/>
          </w:footnotePr>
          <w:pgSz w:w="11906" w:h="16838"/>
          <w:pgMar w:top="1440" w:right="1440" w:bottom="1440" w:left="1440" w:header="708" w:footer="708" w:gutter="0"/>
          <w:cols w:space="708"/>
          <w:docGrid w:linePitch="360"/>
        </w:sectPr>
      </w:pPr>
    </w:p>
    <w:p w14:paraId="2C0DB5DE" w14:textId="77777777" w:rsidR="008008EE" w:rsidRDefault="008008EE" w:rsidP="00D35786">
      <w:pPr>
        <w:spacing w:line="480" w:lineRule="auto"/>
      </w:pPr>
    </w:p>
    <w:p w14:paraId="767A5D8B" w14:textId="77777777" w:rsidR="008008EE" w:rsidRPr="00642AB3" w:rsidRDefault="008008EE" w:rsidP="008008EE">
      <w:pPr>
        <w:spacing w:after="200" w:line="480" w:lineRule="auto"/>
        <w:rPr>
          <w:i/>
          <w:iCs/>
          <w:color w:val="44546A" w:themeColor="text2"/>
        </w:rPr>
      </w:pPr>
      <w:r w:rsidRPr="00642AB3">
        <w:rPr>
          <w:i/>
          <w:iCs/>
          <w:color w:val="44546A" w:themeColor="text2"/>
        </w:rPr>
        <w:t xml:space="preserve">Table </w:t>
      </w:r>
      <w:r w:rsidRPr="00642AB3">
        <w:rPr>
          <w:i/>
          <w:iCs/>
          <w:noProof/>
          <w:color w:val="44546A" w:themeColor="text2"/>
        </w:rPr>
        <w:fldChar w:fldCharType="begin"/>
      </w:r>
      <w:r w:rsidRPr="00642AB3">
        <w:rPr>
          <w:i/>
          <w:iCs/>
          <w:noProof/>
          <w:color w:val="44546A" w:themeColor="text2"/>
        </w:rPr>
        <w:instrText xml:space="preserve"> SEQ Table \* ARABIC </w:instrText>
      </w:r>
      <w:r w:rsidRPr="00642AB3">
        <w:rPr>
          <w:i/>
          <w:iCs/>
          <w:noProof/>
          <w:color w:val="44546A" w:themeColor="text2"/>
        </w:rPr>
        <w:fldChar w:fldCharType="separate"/>
      </w:r>
      <w:r w:rsidRPr="00642AB3">
        <w:rPr>
          <w:i/>
          <w:iCs/>
          <w:noProof/>
          <w:color w:val="44546A" w:themeColor="text2"/>
        </w:rPr>
        <w:t>3</w:t>
      </w:r>
      <w:r w:rsidRPr="00642AB3">
        <w:rPr>
          <w:i/>
          <w:iCs/>
          <w:noProof/>
          <w:color w:val="44546A" w:themeColor="text2"/>
        </w:rPr>
        <w:fldChar w:fldCharType="end"/>
      </w:r>
      <w:r w:rsidRPr="00642AB3">
        <w:rPr>
          <w:i/>
          <w:iCs/>
          <w:color w:val="44546A" w:themeColor="text2"/>
        </w:rPr>
        <w:t xml:space="preserve">: Types of recommendations on conceptual modelling and/or model structuring </w:t>
      </w:r>
    </w:p>
    <w:tbl>
      <w:tblPr>
        <w:tblStyle w:val="TableGrid"/>
        <w:tblW w:w="5000" w:type="pct"/>
        <w:tblLook w:val="04A0" w:firstRow="1" w:lastRow="0" w:firstColumn="1" w:lastColumn="0" w:noHBand="0" w:noVBand="1"/>
      </w:tblPr>
      <w:tblGrid>
        <w:gridCol w:w="1907"/>
        <w:gridCol w:w="1470"/>
        <w:gridCol w:w="1537"/>
        <w:gridCol w:w="2018"/>
        <w:gridCol w:w="1806"/>
        <w:gridCol w:w="1297"/>
        <w:gridCol w:w="1146"/>
        <w:gridCol w:w="984"/>
        <w:gridCol w:w="1783"/>
      </w:tblGrid>
      <w:tr w:rsidR="008008EE" w:rsidRPr="008008EE" w14:paraId="143D195F" w14:textId="77777777" w:rsidTr="00C0402E">
        <w:tc>
          <w:tcPr>
            <w:tcW w:w="684" w:type="pct"/>
            <w:vAlign w:val="center"/>
          </w:tcPr>
          <w:p w14:paraId="797AAC23" w14:textId="77777777" w:rsidR="008008EE" w:rsidRPr="008008EE" w:rsidRDefault="008008EE" w:rsidP="008008EE">
            <w:pPr>
              <w:spacing w:line="480" w:lineRule="auto"/>
            </w:pPr>
            <w:r w:rsidRPr="008008EE">
              <w:t>Recommendations</w:t>
            </w:r>
          </w:p>
        </w:tc>
        <w:tc>
          <w:tcPr>
            <w:tcW w:w="527" w:type="pct"/>
          </w:tcPr>
          <w:p w14:paraId="722AA8B5" w14:textId="77777777" w:rsidR="008008EE" w:rsidRPr="008008EE" w:rsidRDefault="008008EE" w:rsidP="008008EE">
            <w:pPr>
              <w:spacing w:line="480" w:lineRule="auto"/>
            </w:pPr>
            <w:r w:rsidRPr="008008EE">
              <w:t>NICE Guide</w:t>
            </w:r>
            <w:r w:rsidRPr="008008EE">
              <w:fldChar w:fldCharType="begin" w:fldLock="1"/>
            </w:r>
            <w:r w:rsidRPr="008008EE">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8008EE">
              <w:fldChar w:fldCharType="separate"/>
            </w:r>
            <w:r w:rsidRPr="008008EE">
              <w:rPr>
                <w:noProof/>
              </w:rPr>
              <w:t>(National Institute for Health and Care Excellence (NICE), 2013)</w:t>
            </w:r>
            <w:r w:rsidRPr="008008EE">
              <w:fldChar w:fldCharType="end"/>
            </w:r>
          </w:p>
        </w:tc>
        <w:tc>
          <w:tcPr>
            <w:tcW w:w="551" w:type="pct"/>
          </w:tcPr>
          <w:p w14:paraId="69971A78" w14:textId="77777777" w:rsidR="008008EE" w:rsidRPr="008008EE" w:rsidRDefault="008008EE" w:rsidP="008008EE">
            <w:pPr>
              <w:spacing w:line="480" w:lineRule="auto"/>
            </w:pPr>
            <w:r w:rsidRPr="008008EE">
              <w:t>CADTH Guide</w:t>
            </w:r>
            <w:r w:rsidRPr="008008EE">
              <w:fldChar w:fldCharType="begin" w:fldLock="1"/>
            </w:r>
            <w:r w:rsidRPr="008008EE">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Canada","type":"article-journal"},"uris":["http://www.mendeley.com/documents/?uuid=c1edb1ae-e4b3-3ad4-9c48-be7c245913bf"]}],"mendeley":{"formattedCitation":"(Canadian Agency for Drugs and Technologies in Health, 2017)","plainTextFormattedCitation":"(Canadian Agency for Drugs and Technologies in Health, 2017)","previouslyFormattedCitation":"(Canadian Agency for Drugs and Technologies in Health, 2017)"},"properties":{"noteIndex":0},"schema":"https://github.com/citation-style-language/schema/raw/master/csl-citation.json"}</w:instrText>
            </w:r>
            <w:r w:rsidRPr="008008EE">
              <w:fldChar w:fldCharType="separate"/>
            </w:r>
            <w:r w:rsidRPr="008008EE">
              <w:rPr>
                <w:noProof/>
              </w:rPr>
              <w:t>(Canadian Agency for Drugs and Technologies in Health, 2017)</w:t>
            </w:r>
            <w:r w:rsidRPr="008008EE">
              <w:fldChar w:fldCharType="end"/>
            </w:r>
          </w:p>
        </w:tc>
        <w:tc>
          <w:tcPr>
            <w:tcW w:w="723" w:type="pct"/>
          </w:tcPr>
          <w:p w14:paraId="64DF4B07" w14:textId="77777777" w:rsidR="008008EE" w:rsidRPr="008008EE" w:rsidRDefault="008008EE" w:rsidP="008008EE">
            <w:pPr>
              <w:spacing w:line="480" w:lineRule="auto"/>
            </w:pPr>
            <w:r w:rsidRPr="008008EE">
              <w:t>PBAC Guide</w:t>
            </w:r>
            <w:r w:rsidRPr="008008EE">
              <w:fldChar w:fldCharType="begin" w:fldLock="1"/>
            </w:r>
            <w:r w:rsidRPr="008008EE">
              <w:instrText>ADDIN CSL_CITATION {"citationItems":[{"id":"ITEM-1","itemData":{"ISBN":"9781741860009","abstract":"The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Committee","given":"","non-dropping-particle":"","parse-names":false,"suffix":""}],"id":"ITEM-1","issued":{"date-parts":[["2016"]]},"title":"Guidelines for preparing submissions to the Pharmaceutical Benefits Advisory Committee","type":"report"},"uris":["http://www.mendeley.com/documents/?uuid=57a65f32-3da3-380c-b9ea-2dc0de627f0c"]}],"mendeley":{"formattedCitation":"(Pharmaceutical Benefits Advisory Committee, 2016)","plainTextFormattedCitation":"(Pharmaceutical Benefits Advisory Committee, 2016)","previouslyFormattedCitation":"(Pharmaceutical Benefits Advisory Committee, 2016)"},"properties":{"noteIndex":0},"schema":"https://github.com/citation-style-language/schema/raw/master/csl-citation.json"}</w:instrText>
            </w:r>
            <w:r w:rsidRPr="008008EE">
              <w:fldChar w:fldCharType="separate"/>
            </w:r>
            <w:r w:rsidRPr="008008EE">
              <w:rPr>
                <w:noProof/>
              </w:rPr>
              <w:t>(Pharmaceutical Benefits Advisory Committee, 2016)</w:t>
            </w:r>
            <w:r w:rsidRPr="008008EE">
              <w:fldChar w:fldCharType="end"/>
            </w:r>
          </w:p>
        </w:tc>
        <w:tc>
          <w:tcPr>
            <w:tcW w:w="647" w:type="pct"/>
          </w:tcPr>
          <w:p w14:paraId="654E38C9" w14:textId="77777777" w:rsidR="008008EE" w:rsidRPr="008008EE" w:rsidRDefault="008008EE" w:rsidP="008008EE">
            <w:pPr>
              <w:spacing w:line="480" w:lineRule="auto"/>
            </w:pPr>
            <w:r w:rsidRPr="008008EE">
              <w:t>EUnetHTA guideline</w:t>
            </w:r>
            <w:r w:rsidRPr="008008EE">
              <w:fldChar w:fldCharType="begin" w:fldLock="1"/>
            </w:r>
            <w:r w:rsidRPr="008008EE">
              <w:instrText>ADDIN CSL_CITATION {"citationItems":[{"id":"ITEM-1","itemData":{"author":[{"dropping-particle":"","family":"European Network for Health Technology Assessment (EUneHTA)","given":"","non-dropping-particle":"","parse-names":false,"suffix":""}],"id":"ITEM-1","issued":{"date-parts":[["2015"]]},"number-of-pages":"100","title":"Methods for health economic evaluations -A guideline based on current practices in Europe","type":"report"},"uris":["http://www.mendeley.com/documents/?uuid=82316c6b-dca8-3243-bc63-c6556a5e0a10"]}],"mendeley":{"formattedCitation":"(European Network for Health Technology Assessment (EUneHTA), 2015)","plainTextFormattedCitation":"(European Network for Health Technology Assessment (EUneHTA), 2015)","previouslyFormattedCitation":"(European Network for Health Technology Assessment (EUneHTA), 2015)"},"properties":{"noteIndex":0},"schema":"https://github.com/citation-style-language/schema/raw/master/csl-citation.json"}</w:instrText>
            </w:r>
            <w:r w:rsidRPr="008008EE">
              <w:fldChar w:fldCharType="separate"/>
            </w:r>
            <w:r w:rsidRPr="008008EE">
              <w:rPr>
                <w:noProof/>
              </w:rPr>
              <w:t>(European Network for Health Technology Assessment (EUneHTA), 2015)</w:t>
            </w:r>
            <w:r w:rsidRPr="008008EE">
              <w:fldChar w:fldCharType="end"/>
            </w:r>
          </w:p>
        </w:tc>
        <w:tc>
          <w:tcPr>
            <w:tcW w:w="465" w:type="pct"/>
          </w:tcPr>
          <w:p w14:paraId="04E570C8" w14:textId="77777777" w:rsidR="008008EE" w:rsidRPr="008008EE" w:rsidRDefault="008008EE" w:rsidP="008008EE">
            <w:pPr>
              <w:spacing w:line="480" w:lineRule="auto"/>
            </w:pPr>
            <w:r w:rsidRPr="008008EE">
              <w:t>Gates Guide</w:t>
            </w:r>
            <w:r w:rsidRPr="008008EE">
              <w:fldChar w:fldCharType="begin" w:fldLock="1"/>
            </w:r>
            <w:r w:rsidRPr="008008EE">
              <w:instrText>ADDIN CSL_CITATION {"citationItems":[{"id":"ITEM-1","itemData":{"author":[{"dropping-particle":"","family":"NICE International","given":"","non-dropping-particle":"","parse-names":false,"suffix":""}],"container-title":"Bill and Melinda Gates Foundation Methods for Economic Evaluation Project (MEEP)","id":"ITEM-1","issue":"January","issued":{"date-parts":[["2014"]]},"number-of-pages":"30-33","title":"Methods for Economic Evaluation Project: Final Report","type":"report"},"uris":["http://www.mendeley.com/documents/?uuid=72af4fb1-6d31-3c01-bc40-a1dbae091c33"]}],"mendeley":{"formattedCitation":"(NICE International, 2014)","plainTextFormattedCitation":"(NICE International, 2014)","previouslyFormattedCitation":"(NICE International, 2014)"},"properties":{"noteIndex":0},"schema":"https://github.com/citation-style-language/schema/raw/master/csl-citation.json"}</w:instrText>
            </w:r>
            <w:r w:rsidRPr="008008EE">
              <w:fldChar w:fldCharType="separate"/>
            </w:r>
            <w:r w:rsidRPr="008008EE">
              <w:rPr>
                <w:noProof/>
              </w:rPr>
              <w:t>(NICE International, 2014)</w:t>
            </w:r>
            <w:r w:rsidRPr="008008EE">
              <w:fldChar w:fldCharType="end"/>
            </w:r>
          </w:p>
        </w:tc>
        <w:tc>
          <w:tcPr>
            <w:tcW w:w="411" w:type="pct"/>
            <w:shd w:val="clear" w:color="auto" w:fill="auto"/>
          </w:tcPr>
          <w:p w14:paraId="71246280" w14:textId="77777777" w:rsidR="008008EE" w:rsidRPr="008008EE" w:rsidRDefault="008008EE" w:rsidP="008008EE">
            <w:pPr>
              <w:spacing w:line="480" w:lineRule="auto"/>
            </w:pPr>
            <w:r w:rsidRPr="008008EE">
              <w:t xml:space="preserve">Drummond et al </w:t>
            </w:r>
            <w:r w:rsidRPr="008008EE">
              <w:fldChar w:fldCharType="begin" w:fldLock="1"/>
            </w:r>
            <w:r w:rsidRPr="008008EE">
              <w:instrText>ADDIN CSL_CITATION {"citationItems":[{"id":"ITEM-1","itemData":{"ISBN":"978-0-19-852945-3","ISSN":"1091-4358","PMID":"11967406","author":[{"dropping-particle":"","family":"Drummond","given":"M","non-dropping-particle":"","parse-names":false,"suffix":""},{"dropping-particle":"","family":"Stoddard","given":"Greg L","non-dropping-particle":"","parse-names":false,"suffix":""},{"dropping-particle":"","family":"Torrance","given":"George W","non-dropping-particle":"","parse-names":false,"suffix":""}],"container-title":"Methods for the Economic Evaluation of Health Care Programmes","id":"ITEM-1","issued":{"date-parts":[["2005"]]},"title":"Methods for the economic evaluation of health care programmes","type":"book"},"uris":["http://www.mendeley.com/documents/?uuid=8ed7fa5f-7555-4fd8-bc1e-5f76d04a37ff"]}],"mendeley":{"formattedCitation":"(M. Drummond et al., 2005)","plainTextFormattedCitation":"(M. Drummond et al., 2005)","previouslyFormattedCitation":"(M. Drummond et al., 2005)"},"properties":{"noteIndex":0},"schema":"https://github.com/citation-style-language/schema/raw/master/csl-citation.json"}</w:instrText>
            </w:r>
            <w:r w:rsidRPr="008008EE">
              <w:fldChar w:fldCharType="separate"/>
            </w:r>
            <w:r w:rsidRPr="008008EE">
              <w:rPr>
                <w:noProof/>
              </w:rPr>
              <w:t>(M. Drummond et al., 2005)</w:t>
            </w:r>
            <w:r w:rsidRPr="008008EE">
              <w:fldChar w:fldCharType="end"/>
            </w:r>
          </w:p>
        </w:tc>
        <w:tc>
          <w:tcPr>
            <w:tcW w:w="353" w:type="pct"/>
          </w:tcPr>
          <w:p w14:paraId="1BE3AB09" w14:textId="77777777" w:rsidR="008008EE" w:rsidRPr="008008EE" w:rsidRDefault="008008EE" w:rsidP="008008EE">
            <w:pPr>
              <w:spacing w:line="480" w:lineRule="auto"/>
            </w:pPr>
            <w:r w:rsidRPr="008008EE">
              <w:t xml:space="preserve">US Panel </w:t>
            </w:r>
            <w:r w:rsidRPr="008008EE">
              <w:fldChar w:fldCharType="begin" w:fldLock="1"/>
            </w:r>
            <w:r w:rsidRPr="008008EE">
              <w:instrText>ADDIN CSL_CITATION {"citationItems":[{"id":"ITEM-1","itemData":{"DOI":"10.1093/acprof:oso/9780190492939.003.0011","ISBN":"9780190492939","abstract":"The key objective of uncertainty analysis is to support better decision making. Uncertainty analysis can help inform the standard decision options of “accept” or “reject,” but extend these options to include, for example, adoption alongside research or adoption only in the context of research. Since the original Panel’s report, a range of analytical methods has emerged to guide these decisions. We note that deterministic sensitivity analysis can provide useful insights into model behavior and validation, but emphasize that probabilistic sensitivity analysis provides stronger analytical support for decision making. The Second Panel therefore urges that structural uncertainties be tested in analyses, that decision uncertainty be presented using probabilities for specified cost-effectiveness thresholds or cost-effectiveness acceptability curves (CEACs), and that expected value-of-information analysis be used to guide decision making fully by quantifying the value of generating additional evidence.","author":[{"dropping-particle":"","family":"Sculpher","given":"Mark J.","non-dropping-particle":"","parse-names":false,"suffix":""},{"dropping-particle":"","family":"Basu","given":"Anirbam","non-dropping-particle":"","parse-names":false,"suffix":""},{"dropping-particle":"","family":"Kuntz","given":"Karen M.","non-dropping-particle":"","parse-names":false,"suffix":""},{"dropping-particle":"","family":"Meltzer","given":"David O","non-dropping-particle":"","parse-names":false,"suffix":""}],"container-title":"Cost 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Press","publisher-place":"Oxford","title":"Reflecting uncertainty in cost-effectiveness analysis","type":"chapter"},"uris":["http://www.mendeley.com/documents/?uuid=35a3592e-7c6d-3eb9-a5b0-3b114b41aad9"]}],"mendeley":{"formattedCitation":"(M. J. Sculpher, Basu, Kuntz, &amp; Meltzer, 2016)","plainTextFormattedCitation":"(M. J. Sculpher, Basu, Kuntz, &amp; Meltzer, 2016)","previouslyFormattedCitation":"(M. J. Sculpher, Basu, Kuntz, &amp; Meltzer, 2016)"},"properties":{"noteIndex":0},"schema":"https://github.com/citation-style-language/schema/raw/master/csl-citation.json"}</w:instrText>
            </w:r>
            <w:r w:rsidRPr="008008EE">
              <w:fldChar w:fldCharType="separate"/>
            </w:r>
            <w:r w:rsidRPr="008008EE">
              <w:rPr>
                <w:noProof/>
              </w:rPr>
              <w:t>(M. J. Sculpher, Basu, Kuntz, &amp; Meltzer, 2016)</w:t>
            </w:r>
            <w:r w:rsidRPr="008008EE">
              <w:fldChar w:fldCharType="end"/>
            </w:r>
          </w:p>
        </w:tc>
        <w:tc>
          <w:tcPr>
            <w:tcW w:w="639" w:type="pct"/>
          </w:tcPr>
          <w:p w14:paraId="0825265B" w14:textId="77777777" w:rsidR="008008EE" w:rsidRPr="008008EE" w:rsidRDefault="008008EE" w:rsidP="008008EE">
            <w:pPr>
              <w:spacing w:line="480" w:lineRule="auto"/>
            </w:pPr>
            <w:r w:rsidRPr="008008EE">
              <w:t>ISPOR taskforce</w:t>
            </w:r>
            <w:r w:rsidRPr="008008EE">
              <w:fldChar w:fldCharType="begin" w:fldLock="1"/>
            </w:r>
            <w:r w:rsidRPr="008008EE">
              <w:instrText>ADDIN CSL_CITATION {"citationItems":[{"id":"ITEM-1","itemData":{"DOI":"10.1016/j.jval.2013.02.002","ISBN":"1524-4733 (Electronic)\\n1098-3015 (Linking)","ISSN":"10983015","PMID":"23538175","abstract":"Background: Economic evaluations of health interventions pose a particular challenge for reporting because substantial information must be conveyed to allow scrutiny of study findings. Despite a growth in published reports, existing reporting guidelines are not widely adopted. There is also a need to consolidate and update existing guidelines and promote their use in a user-friendly manner. A checklist is one way to help authors, editors, and peer reviewers use guidelines to improve reporting. Objective: The task force's overall goal was to provide recommendations to optimize the reporting of health economic evaluations. The Consolidated Health Economic Evaluation Reporting Standards (CHEERS) statement is an attempt to consolidate and update previous health economic evaluation guidelines into one current, useful reporting guidance. The CHEERS Elaboration and Explanation Report of the ISPOR Health Economic Evaluation Publication Guidelines Good Reporting Practices Task Force facilitates the use of the CHEERS statement by providing examples and explanations for each recommendation. The primary audiences for the CHEERS statement are researchers reporting economic evaluations and the editors and peer reviewers assessing them for publication. Methods: The need for new reporting guidance was identified by a survey of medical editors. Previously published checklists or guidance documents related to reporting economic evaluations were identified from a systematic review and subsequent survey of task force members. A list of possible items from these efforts was created. A two-round, modified Delphi Panel with representatives from academia, clinical practice, industry, and government, as well as the editorial community, was used to identify a minimum set of items important for reporting from the larger list. Results: Out of 44 candidate items, 24 items and accompanying recommendations were developed, with some specific recommendations for single study-based and model-based economic evaluations. The final recommendations are subdivided into six main categories: 1) title and abstract, 2) introduction, 3) methods, 4) results, 5) discussion, and 6) other. The recommendations are contained in the CHEERS statement, a user-friendly 24-item checklist. The task force report provides explanation and elaboration, as well as an example for each recommendation. The ISPOR CHEERS statement is available online via Value in Health or the ISPOR Health Economic Evaluation Publicat…","author":[{"dropping-particle":"","family":"Husereau","given":"Don","non-dropping-particle":"","parse-names":false,"suffix":""},{"dropping-particle":"","family":"Drummond","given":"Michael","non-dropping-particle":"","parse-names":false,"suffix":""},{"dropping-particle":"","family":"Petrou","given":"Stavros","non-dropping-particle":"","parse-names":false,"suffix":""},{"dropping-particle":"","family":"Carswell","given":"Chris","non-dropping-particle":"","parse-names":false,"suffix":""},{"dropping-particle":"","family":"Moher","given":"David","non-dropping-particle":"","parse-names":false,"suffix":""},{"dropping-particle":"","family":"Greenberg","given":"Dan","non-dropping-particle":"","parse-names":false,"suffix":""},{"dropping-particle":"","family":"Augustovski","given":"Federico","non-dropping-particle":"","parse-names":false,"suffix":""},{"dropping-particle":"","family":"Briggs","given":"Andrew H","non-dropping-particle":"","parse-names":false,"suffix":""},{"dropping-particle":"","family":"Mauskopf","given":"Josephine","non-dropping-particle":"","parse-names":false,"suffix":""},{"dropping-particle":"","family":"Loder","given":"Elizabeth","non-dropping-particle":"","parse-names":false,"suffix":""}],"container-title":"Value in Health","id":"ITEM-1","issue":"2","issued":{"date-parts":[["2013"]]},"page":"231-250","title":"Consolidated health economic evaluation reporting standards (CHEERS)-explanation and elaboration: A report of the ISPOR health economic evaluation publication guidelines good reporting practices task force","type":"article-journal","volume":"16"},"uris":["http://www.mendeley.com/documents/?uuid=80b84b37-bffb-3f72-9635-32fce131f16e"]}],"mendeley":{"formattedCitation":"(Husereau et al., 2013)","plainTextFormattedCitation":"(Husereau et al., 2013)","previouslyFormattedCitation":"(Husereau et al., 2013)"},"properties":{"noteIndex":0},"schema":"https://github.com/citation-style-language/schema/raw/master/csl-citation.json"}</w:instrText>
            </w:r>
            <w:r w:rsidRPr="008008EE">
              <w:fldChar w:fldCharType="separate"/>
            </w:r>
            <w:r w:rsidRPr="008008EE">
              <w:rPr>
                <w:noProof/>
              </w:rPr>
              <w:t>(</w:t>
            </w:r>
            <w:proofErr w:type="spellStart"/>
            <w:r w:rsidRPr="008008EE">
              <w:rPr>
                <w:noProof/>
              </w:rPr>
              <w:t>Husereau</w:t>
            </w:r>
            <w:proofErr w:type="spellEnd"/>
            <w:r w:rsidRPr="008008EE">
              <w:rPr>
                <w:noProof/>
              </w:rPr>
              <w:t xml:space="preserve"> et al., 2013)</w:t>
            </w:r>
            <w:r w:rsidRPr="008008EE">
              <w:fldChar w:fldCharType="end"/>
            </w:r>
            <w:r w:rsidRPr="008008EE">
              <w:fldChar w:fldCharType="begin" w:fldLock="1"/>
            </w:r>
            <w:r w:rsidRPr="008008EE">
              <w:instrText>ADDIN CSL_CITATION {"citationItems":[{"id":"ITEM-1","itemData":{"DOI":"10.1016/j.jval.2012.06.012","ISBN":"1524-4733","ISSN":"1524-4733","PMID":"22999128","abstract":"Thee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Health","id":"ITEM-1","issued":{"date-parts":[["2012"]]},"page":"804-811","title":"Conceptualizing a Model: A Report of the ISPOR-SMDM Modeling Good Research Practices Task Force-2","type":"article-journal","volume":"15"},"uris":["http://www.mendeley.com/documents/?uuid=d6058f98-c577-37fc-9309-1ea31daea085"]}],"mendeley":{"formattedCitation":"(Roberts et al., 2012)","plainTextFormattedCitation":"(Roberts et al., 2012)","previouslyFormattedCitation":"(Roberts et al., 2012)"},"properties":{"noteIndex":0},"schema":"https://github.com/citation-style-language/schema/raw/master/csl-citation.json"}</w:instrText>
            </w:r>
            <w:r w:rsidRPr="008008EE">
              <w:fldChar w:fldCharType="separate"/>
            </w:r>
            <w:r w:rsidRPr="008008EE">
              <w:rPr>
                <w:noProof/>
              </w:rPr>
              <w:t>(Roberts et al., 2012)</w:t>
            </w:r>
            <w:r w:rsidRPr="008008EE">
              <w:fldChar w:fldCharType="end"/>
            </w:r>
          </w:p>
        </w:tc>
      </w:tr>
      <w:tr w:rsidR="008008EE" w:rsidRPr="008008EE" w14:paraId="02DA841E" w14:textId="77777777" w:rsidTr="00C0402E">
        <w:tc>
          <w:tcPr>
            <w:tcW w:w="684" w:type="pct"/>
            <w:vAlign w:val="center"/>
          </w:tcPr>
          <w:p w14:paraId="070320B7" w14:textId="77777777" w:rsidR="008008EE" w:rsidRPr="008008EE" w:rsidRDefault="008008EE" w:rsidP="008008EE">
            <w:pPr>
              <w:numPr>
                <w:ilvl w:val="0"/>
                <w:numId w:val="30"/>
              </w:numPr>
              <w:spacing w:line="480" w:lineRule="auto"/>
            </w:pPr>
            <w:r w:rsidRPr="008008EE">
              <w:t xml:space="preserve">On the situations when </w:t>
            </w:r>
            <w:r w:rsidRPr="008008EE">
              <w:lastRenderedPageBreak/>
              <w:t>modelling is likely to be required</w:t>
            </w:r>
          </w:p>
        </w:tc>
        <w:tc>
          <w:tcPr>
            <w:tcW w:w="527" w:type="pct"/>
          </w:tcPr>
          <w:p w14:paraId="1E0ABFBC" w14:textId="77777777" w:rsidR="008008EE" w:rsidRPr="008008EE" w:rsidRDefault="008008EE" w:rsidP="008008EE">
            <w:pPr>
              <w:spacing w:line="480" w:lineRule="auto"/>
              <w:jc w:val="center"/>
            </w:pPr>
            <w:r w:rsidRPr="008008EE">
              <w:lastRenderedPageBreak/>
              <w:t>R</w:t>
            </w:r>
          </w:p>
        </w:tc>
        <w:tc>
          <w:tcPr>
            <w:tcW w:w="551" w:type="pct"/>
          </w:tcPr>
          <w:p w14:paraId="1D6A4C11" w14:textId="77777777" w:rsidR="008008EE" w:rsidRPr="008008EE" w:rsidRDefault="008008EE" w:rsidP="008008EE">
            <w:pPr>
              <w:spacing w:line="480" w:lineRule="auto"/>
              <w:jc w:val="center"/>
            </w:pPr>
          </w:p>
        </w:tc>
        <w:tc>
          <w:tcPr>
            <w:tcW w:w="723" w:type="pct"/>
          </w:tcPr>
          <w:p w14:paraId="11F4E791" w14:textId="77777777" w:rsidR="008008EE" w:rsidRPr="008008EE" w:rsidRDefault="008008EE" w:rsidP="008008EE">
            <w:pPr>
              <w:spacing w:line="480" w:lineRule="auto"/>
              <w:jc w:val="center"/>
            </w:pPr>
            <w:r w:rsidRPr="008008EE">
              <w:t>R</w:t>
            </w:r>
          </w:p>
        </w:tc>
        <w:tc>
          <w:tcPr>
            <w:tcW w:w="647" w:type="pct"/>
          </w:tcPr>
          <w:p w14:paraId="7B6472C6" w14:textId="77777777" w:rsidR="008008EE" w:rsidRPr="008008EE" w:rsidRDefault="008008EE" w:rsidP="008008EE">
            <w:pPr>
              <w:spacing w:line="480" w:lineRule="auto"/>
              <w:jc w:val="center"/>
            </w:pPr>
            <w:r w:rsidRPr="008008EE">
              <w:rPr>
                <w:bCs/>
                <w:vertAlign w:val="superscript"/>
              </w:rPr>
              <w:endnoteReference w:id="9"/>
            </w:r>
          </w:p>
        </w:tc>
        <w:tc>
          <w:tcPr>
            <w:tcW w:w="465" w:type="pct"/>
          </w:tcPr>
          <w:p w14:paraId="5794129C" w14:textId="77777777" w:rsidR="008008EE" w:rsidRPr="008008EE" w:rsidRDefault="008008EE" w:rsidP="008008EE">
            <w:pPr>
              <w:spacing w:line="480" w:lineRule="auto"/>
              <w:jc w:val="center"/>
            </w:pPr>
          </w:p>
        </w:tc>
        <w:tc>
          <w:tcPr>
            <w:tcW w:w="411" w:type="pct"/>
            <w:shd w:val="clear" w:color="auto" w:fill="auto"/>
          </w:tcPr>
          <w:p w14:paraId="669ACE1A" w14:textId="77777777" w:rsidR="008008EE" w:rsidRPr="008008EE" w:rsidRDefault="008008EE" w:rsidP="008008EE">
            <w:pPr>
              <w:spacing w:line="480" w:lineRule="auto"/>
              <w:jc w:val="center"/>
            </w:pPr>
            <w:r w:rsidRPr="008008EE">
              <w:t>R</w:t>
            </w:r>
          </w:p>
        </w:tc>
        <w:tc>
          <w:tcPr>
            <w:tcW w:w="353" w:type="pct"/>
          </w:tcPr>
          <w:p w14:paraId="5BE196B5" w14:textId="77777777" w:rsidR="008008EE" w:rsidRPr="008008EE" w:rsidRDefault="008008EE" w:rsidP="008008EE">
            <w:pPr>
              <w:spacing w:line="480" w:lineRule="auto"/>
              <w:jc w:val="center"/>
            </w:pPr>
            <w:r w:rsidRPr="008008EE">
              <w:t>R</w:t>
            </w:r>
          </w:p>
        </w:tc>
        <w:tc>
          <w:tcPr>
            <w:tcW w:w="639" w:type="pct"/>
          </w:tcPr>
          <w:p w14:paraId="785F80BB" w14:textId="77777777" w:rsidR="008008EE" w:rsidRPr="008008EE" w:rsidRDefault="008008EE" w:rsidP="008008EE">
            <w:pPr>
              <w:spacing w:line="480" w:lineRule="auto"/>
              <w:jc w:val="center"/>
            </w:pPr>
          </w:p>
        </w:tc>
      </w:tr>
      <w:tr w:rsidR="008008EE" w:rsidRPr="008008EE" w14:paraId="4927C753" w14:textId="77777777" w:rsidTr="00C0402E">
        <w:tc>
          <w:tcPr>
            <w:tcW w:w="684" w:type="pct"/>
            <w:vAlign w:val="center"/>
          </w:tcPr>
          <w:p w14:paraId="140B21E2" w14:textId="77777777" w:rsidR="008008EE" w:rsidRPr="008008EE" w:rsidRDefault="008008EE" w:rsidP="008008EE">
            <w:pPr>
              <w:numPr>
                <w:ilvl w:val="0"/>
                <w:numId w:val="30"/>
              </w:numPr>
              <w:spacing w:line="480" w:lineRule="auto"/>
            </w:pPr>
            <w:r w:rsidRPr="008008EE">
              <w:t xml:space="preserve">On the process </w:t>
            </w:r>
          </w:p>
        </w:tc>
        <w:tc>
          <w:tcPr>
            <w:tcW w:w="527" w:type="pct"/>
          </w:tcPr>
          <w:p w14:paraId="0A1F8A50" w14:textId="77777777" w:rsidR="008008EE" w:rsidRPr="008008EE" w:rsidRDefault="008008EE" w:rsidP="008008EE">
            <w:pPr>
              <w:spacing w:line="480" w:lineRule="auto"/>
              <w:jc w:val="center"/>
            </w:pPr>
            <w:r w:rsidRPr="008008EE">
              <w:t>DSU</w:t>
            </w:r>
          </w:p>
        </w:tc>
        <w:tc>
          <w:tcPr>
            <w:tcW w:w="551" w:type="pct"/>
          </w:tcPr>
          <w:p w14:paraId="7709D3CF" w14:textId="77777777" w:rsidR="008008EE" w:rsidRPr="008008EE" w:rsidRDefault="008008EE" w:rsidP="008008EE">
            <w:pPr>
              <w:spacing w:line="480" w:lineRule="auto"/>
              <w:jc w:val="center"/>
            </w:pPr>
            <w:r w:rsidRPr="008008EE">
              <w:t>R</w:t>
            </w:r>
          </w:p>
        </w:tc>
        <w:tc>
          <w:tcPr>
            <w:tcW w:w="723" w:type="pct"/>
          </w:tcPr>
          <w:p w14:paraId="4F0FA79B" w14:textId="77777777" w:rsidR="008008EE" w:rsidRPr="008008EE" w:rsidRDefault="008008EE" w:rsidP="008008EE">
            <w:pPr>
              <w:spacing w:line="480" w:lineRule="auto"/>
              <w:jc w:val="center"/>
            </w:pPr>
            <w:r w:rsidRPr="008008EE">
              <w:t>R</w:t>
            </w:r>
          </w:p>
        </w:tc>
        <w:tc>
          <w:tcPr>
            <w:tcW w:w="647" w:type="pct"/>
          </w:tcPr>
          <w:p w14:paraId="269DC572" w14:textId="77777777" w:rsidR="008008EE" w:rsidRPr="008008EE" w:rsidRDefault="008008EE" w:rsidP="008008EE">
            <w:pPr>
              <w:spacing w:line="480" w:lineRule="auto"/>
              <w:jc w:val="center"/>
            </w:pPr>
          </w:p>
        </w:tc>
        <w:tc>
          <w:tcPr>
            <w:tcW w:w="465" w:type="pct"/>
          </w:tcPr>
          <w:p w14:paraId="0DAC5B9E" w14:textId="77777777" w:rsidR="008008EE" w:rsidRPr="008008EE" w:rsidRDefault="008008EE" w:rsidP="008008EE">
            <w:pPr>
              <w:spacing w:line="480" w:lineRule="auto"/>
              <w:jc w:val="center"/>
            </w:pPr>
          </w:p>
        </w:tc>
        <w:tc>
          <w:tcPr>
            <w:tcW w:w="411" w:type="pct"/>
            <w:shd w:val="clear" w:color="auto" w:fill="auto"/>
          </w:tcPr>
          <w:p w14:paraId="28436E87" w14:textId="77777777" w:rsidR="008008EE" w:rsidRPr="008008EE" w:rsidRDefault="008008EE" w:rsidP="008008EE">
            <w:pPr>
              <w:spacing w:line="480" w:lineRule="auto"/>
              <w:jc w:val="center"/>
            </w:pPr>
            <w:r w:rsidRPr="008008EE">
              <w:t>R</w:t>
            </w:r>
          </w:p>
        </w:tc>
        <w:tc>
          <w:tcPr>
            <w:tcW w:w="353" w:type="pct"/>
          </w:tcPr>
          <w:p w14:paraId="3DF3F860" w14:textId="77777777" w:rsidR="008008EE" w:rsidRPr="008008EE" w:rsidRDefault="008008EE" w:rsidP="008008EE">
            <w:pPr>
              <w:spacing w:line="480" w:lineRule="auto"/>
              <w:jc w:val="center"/>
            </w:pPr>
            <w:r w:rsidRPr="008008EE">
              <w:t>R</w:t>
            </w:r>
          </w:p>
        </w:tc>
        <w:tc>
          <w:tcPr>
            <w:tcW w:w="639" w:type="pct"/>
          </w:tcPr>
          <w:p w14:paraId="538C51B7" w14:textId="77777777" w:rsidR="008008EE" w:rsidRPr="008008EE" w:rsidRDefault="008008EE" w:rsidP="008008EE">
            <w:pPr>
              <w:spacing w:line="480" w:lineRule="auto"/>
              <w:jc w:val="center"/>
            </w:pPr>
            <w:r w:rsidRPr="008008EE">
              <w:t>R</w:t>
            </w:r>
          </w:p>
        </w:tc>
      </w:tr>
      <w:tr w:rsidR="008008EE" w:rsidRPr="008008EE" w14:paraId="12034135" w14:textId="77777777" w:rsidTr="00C0402E">
        <w:tc>
          <w:tcPr>
            <w:tcW w:w="684" w:type="pct"/>
            <w:vAlign w:val="center"/>
          </w:tcPr>
          <w:p w14:paraId="16169FEF" w14:textId="77777777" w:rsidR="008008EE" w:rsidRPr="008008EE" w:rsidRDefault="008008EE" w:rsidP="008008EE">
            <w:pPr>
              <w:numPr>
                <w:ilvl w:val="0"/>
                <w:numId w:val="30"/>
              </w:numPr>
              <w:spacing w:line="480" w:lineRule="auto"/>
            </w:pPr>
            <w:r w:rsidRPr="008008EE">
              <w:t xml:space="preserve">On standards </w:t>
            </w:r>
          </w:p>
        </w:tc>
        <w:tc>
          <w:tcPr>
            <w:tcW w:w="527" w:type="pct"/>
          </w:tcPr>
          <w:p w14:paraId="7D02530F" w14:textId="77777777" w:rsidR="008008EE" w:rsidRPr="008008EE" w:rsidRDefault="008008EE" w:rsidP="008008EE">
            <w:pPr>
              <w:spacing w:line="480" w:lineRule="auto"/>
              <w:jc w:val="center"/>
            </w:pPr>
            <w:r w:rsidRPr="008008EE">
              <w:t>R</w:t>
            </w:r>
          </w:p>
        </w:tc>
        <w:tc>
          <w:tcPr>
            <w:tcW w:w="551" w:type="pct"/>
          </w:tcPr>
          <w:p w14:paraId="5D397257" w14:textId="77777777" w:rsidR="008008EE" w:rsidRPr="008008EE" w:rsidRDefault="008008EE" w:rsidP="008008EE">
            <w:pPr>
              <w:spacing w:line="480" w:lineRule="auto"/>
              <w:jc w:val="center"/>
            </w:pPr>
            <w:r w:rsidRPr="008008EE">
              <w:t>R</w:t>
            </w:r>
          </w:p>
        </w:tc>
        <w:tc>
          <w:tcPr>
            <w:tcW w:w="723" w:type="pct"/>
          </w:tcPr>
          <w:p w14:paraId="7FE4523C" w14:textId="77777777" w:rsidR="008008EE" w:rsidRPr="008008EE" w:rsidRDefault="008008EE" w:rsidP="008008EE">
            <w:pPr>
              <w:spacing w:line="480" w:lineRule="auto"/>
              <w:jc w:val="center"/>
            </w:pPr>
            <w:r w:rsidRPr="008008EE">
              <w:t>R</w:t>
            </w:r>
          </w:p>
        </w:tc>
        <w:tc>
          <w:tcPr>
            <w:tcW w:w="647" w:type="pct"/>
          </w:tcPr>
          <w:p w14:paraId="7533D7CE" w14:textId="77777777" w:rsidR="008008EE" w:rsidRPr="008008EE" w:rsidRDefault="008008EE" w:rsidP="008008EE">
            <w:pPr>
              <w:spacing w:line="480" w:lineRule="auto"/>
              <w:jc w:val="center"/>
            </w:pPr>
          </w:p>
        </w:tc>
        <w:tc>
          <w:tcPr>
            <w:tcW w:w="465" w:type="pct"/>
          </w:tcPr>
          <w:p w14:paraId="60EAFE88" w14:textId="77777777" w:rsidR="008008EE" w:rsidRPr="008008EE" w:rsidRDefault="008008EE" w:rsidP="008008EE">
            <w:pPr>
              <w:spacing w:line="480" w:lineRule="auto"/>
              <w:jc w:val="center"/>
            </w:pPr>
          </w:p>
        </w:tc>
        <w:tc>
          <w:tcPr>
            <w:tcW w:w="411" w:type="pct"/>
            <w:shd w:val="clear" w:color="auto" w:fill="auto"/>
          </w:tcPr>
          <w:p w14:paraId="32339B9F" w14:textId="77777777" w:rsidR="008008EE" w:rsidRPr="008008EE" w:rsidRDefault="008008EE" w:rsidP="008008EE">
            <w:pPr>
              <w:spacing w:line="480" w:lineRule="auto"/>
              <w:jc w:val="center"/>
            </w:pPr>
            <w:r w:rsidRPr="008008EE">
              <w:t>R</w:t>
            </w:r>
          </w:p>
        </w:tc>
        <w:tc>
          <w:tcPr>
            <w:tcW w:w="353" w:type="pct"/>
          </w:tcPr>
          <w:p w14:paraId="00E5F20A" w14:textId="77777777" w:rsidR="008008EE" w:rsidRPr="008008EE" w:rsidRDefault="008008EE" w:rsidP="008008EE">
            <w:pPr>
              <w:spacing w:line="480" w:lineRule="auto"/>
              <w:jc w:val="center"/>
            </w:pPr>
            <w:r w:rsidRPr="008008EE">
              <w:t>R</w:t>
            </w:r>
          </w:p>
        </w:tc>
        <w:tc>
          <w:tcPr>
            <w:tcW w:w="639" w:type="pct"/>
          </w:tcPr>
          <w:p w14:paraId="108323DB" w14:textId="77777777" w:rsidR="008008EE" w:rsidRPr="008008EE" w:rsidRDefault="008008EE" w:rsidP="008008EE">
            <w:pPr>
              <w:spacing w:line="480" w:lineRule="auto"/>
              <w:jc w:val="center"/>
            </w:pPr>
            <w:r w:rsidRPr="008008EE">
              <w:t>R</w:t>
            </w:r>
          </w:p>
        </w:tc>
      </w:tr>
      <w:tr w:rsidR="008008EE" w:rsidRPr="008008EE" w14:paraId="7ACB823D" w14:textId="77777777" w:rsidTr="00C0402E">
        <w:tc>
          <w:tcPr>
            <w:tcW w:w="684" w:type="pct"/>
            <w:vAlign w:val="center"/>
          </w:tcPr>
          <w:p w14:paraId="21E95986" w14:textId="77777777" w:rsidR="008008EE" w:rsidRPr="008008EE" w:rsidRDefault="008008EE" w:rsidP="008008EE">
            <w:pPr>
              <w:numPr>
                <w:ilvl w:val="0"/>
                <w:numId w:val="30"/>
              </w:numPr>
              <w:spacing w:line="480" w:lineRule="auto"/>
            </w:pPr>
            <w:r w:rsidRPr="008008EE">
              <w:t xml:space="preserve">On the issues for consideration </w:t>
            </w:r>
          </w:p>
        </w:tc>
        <w:tc>
          <w:tcPr>
            <w:tcW w:w="527" w:type="pct"/>
          </w:tcPr>
          <w:p w14:paraId="101C1B8C" w14:textId="77777777" w:rsidR="008008EE" w:rsidRPr="008008EE" w:rsidRDefault="008008EE" w:rsidP="008008EE">
            <w:pPr>
              <w:spacing w:line="480" w:lineRule="auto"/>
              <w:jc w:val="center"/>
            </w:pPr>
            <w:r w:rsidRPr="008008EE">
              <w:t>DSU</w:t>
            </w:r>
          </w:p>
        </w:tc>
        <w:tc>
          <w:tcPr>
            <w:tcW w:w="551" w:type="pct"/>
          </w:tcPr>
          <w:p w14:paraId="21598BFC" w14:textId="77777777" w:rsidR="008008EE" w:rsidRPr="008008EE" w:rsidRDefault="008008EE" w:rsidP="008008EE">
            <w:pPr>
              <w:spacing w:line="480" w:lineRule="auto"/>
              <w:jc w:val="center"/>
            </w:pPr>
          </w:p>
        </w:tc>
        <w:tc>
          <w:tcPr>
            <w:tcW w:w="723" w:type="pct"/>
          </w:tcPr>
          <w:p w14:paraId="035C14A3" w14:textId="77777777" w:rsidR="008008EE" w:rsidRPr="008008EE" w:rsidRDefault="008008EE" w:rsidP="008008EE">
            <w:pPr>
              <w:spacing w:line="480" w:lineRule="auto"/>
              <w:jc w:val="center"/>
            </w:pPr>
            <w:r w:rsidRPr="008008EE">
              <w:t>R</w:t>
            </w:r>
          </w:p>
        </w:tc>
        <w:tc>
          <w:tcPr>
            <w:tcW w:w="647" w:type="pct"/>
          </w:tcPr>
          <w:p w14:paraId="7E905105" w14:textId="77777777" w:rsidR="008008EE" w:rsidRPr="008008EE" w:rsidRDefault="008008EE" w:rsidP="008008EE">
            <w:pPr>
              <w:spacing w:line="480" w:lineRule="auto"/>
              <w:jc w:val="center"/>
            </w:pPr>
          </w:p>
        </w:tc>
        <w:tc>
          <w:tcPr>
            <w:tcW w:w="465" w:type="pct"/>
          </w:tcPr>
          <w:p w14:paraId="01811DED" w14:textId="77777777" w:rsidR="008008EE" w:rsidRPr="008008EE" w:rsidRDefault="008008EE" w:rsidP="008008EE">
            <w:pPr>
              <w:spacing w:line="480" w:lineRule="auto"/>
              <w:jc w:val="center"/>
            </w:pPr>
          </w:p>
        </w:tc>
        <w:tc>
          <w:tcPr>
            <w:tcW w:w="411" w:type="pct"/>
            <w:shd w:val="clear" w:color="auto" w:fill="auto"/>
          </w:tcPr>
          <w:p w14:paraId="5165B496" w14:textId="77777777" w:rsidR="008008EE" w:rsidRPr="008008EE" w:rsidRDefault="008008EE" w:rsidP="008008EE">
            <w:pPr>
              <w:spacing w:line="480" w:lineRule="auto"/>
              <w:jc w:val="center"/>
            </w:pPr>
            <w:r w:rsidRPr="008008EE">
              <w:t>R</w:t>
            </w:r>
          </w:p>
        </w:tc>
        <w:tc>
          <w:tcPr>
            <w:tcW w:w="353" w:type="pct"/>
          </w:tcPr>
          <w:p w14:paraId="45CDADC4" w14:textId="77777777" w:rsidR="008008EE" w:rsidRPr="008008EE" w:rsidRDefault="008008EE" w:rsidP="008008EE">
            <w:pPr>
              <w:spacing w:line="480" w:lineRule="auto"/>
              <w:jc w:val="center"/>
            </w:pPr>
            <w:r w:rsidRPr="008008EE">
              <w:t>R</w:t>
            </w:r>
          </w:p>
        </w:tc>
        <w:tc>
          <w:tcPr>
            <w:tcW w:w="639" w:type="pct"/>
          </w:tcPr>
          <w:p w14:paraId="7E90243F" w14:textId="77777777" w:rsidR="008008EE" w:rsidRPr="008008EE" w:rsidRDefault="008008EE" w:rsidP="008008EE">
            <w:pPr>
              <w:spacing w:line="480" w:lineRule="auto"/>
              <w:jc w:val="center"/>
            </w:pPr>
            <w:r w:rsidRPr="008008EE">
              <w:t>R</w:t>
            </w:r>
          </w:p>
        </w:tc>
      </w:tr>
      <w:tr w:rsidR="008008EE" w:rsidRPr="008008EE" w14:paraId="15C2DF3C" w14:textId="77777777" w:rsidTr="00C0402E">
        <w:tc>
          <w:tcPr>
            <w:tcW w:w="684" w:type="pct"/>
            <w:vAlign w:val="center"/>
          </w:tcPr>
          <w:p w14:paraId="6C505A04" w14:textId="77777777" w:rsidR="008008EE" w:rsidRPr="008008EE" w:rsidRDefault="008008EE" w:rsidP="008008EE">
            <w:pPr>
              <w:numPr>
                <w:ilvl w:val="0"/>
                <w:numId w:val="30"/>
              </w:numPr>
              <w:spacing w:line="480" w:lineRule="auto"/>
            </w:pPr>
            <w:r w:rsidRPr="008008EE">
              <w:t xml:space="preserve">On sensitivity analysis </w:t>
            </w:r>
            <w:r w:rsidRPr="008008EE">
              <w:lastRenderedPageBreak/>
              <w:t>to the model structure</w:t>
            </w:r>
          </w:p>
        </w:tc>
        <w:tc>
          <w:tcPr>
            <w:tcW w:w="527" w:type="pct"/>
          </w:tcPr>
          <w:p w14:paraId="619A2F08" w14:textId="77777777" w:rsidR="008008EE" w:rsidRPr="008008EE" w:rsidRDefault="008008EE" w:rsidP="008008EE">
            <w:pPr>
              <w:spacing w:line="480" w:lineRule="auto"/>
              <w:jc w:val="center"/>
            </w:pPr>
            <w:r w:rsidRPr="008008EE">
              <w:lastRenderedPageBreak/>
              <w:t>R</w:t>
            </w:r>
          </w:p>
        </w:tc>
        <w:tc>
          <w:tcPr>
            <w:tcW w:w="551" w:type="pct"/>
          </w:tcPr>
          <w:p w14:paraId="730B2F2D" w14:textId="77777777" w:rsidR="008008EE" w:rsidRPr="008008EE" w:rsidRDefault="008008EE" w:rsidP="008008EE">
            <w:pPr>
              <w:spacing w:line="480" w:lineRule="auto"/>
              <w:jc w:val="center"/>
            </w:pPr>
            <w:r w:rsidRPr="008008EE">
              <w:t>R</w:t>
            </w:r>
          </w:p>
        </w:tc>
        <w:tc>
          <w:tcPr>
            <w:tcW w:w="723" w:type="pct"/>
          </w:tcPr>
          <w:p w14:paraId="0F1DD96C" w14:textId="77777777" w:rsidR="008008EE" w:rsidRPr="008008EE" w:rsidRDefault="008008EE" w:rsidP="008008EE">
            <w:pPr>
              <w:spacing w:line="480" w:lineRule="auto"/>
              <w:jc w:val="center"/>
            </w:pPr>
            <w:r w:rsidRPr="008008EE">
              <w:t>R</w:t>
            </w:r>
          </w:p>
        </w:tc>
        <w:tc>
          <w:tcPr>
            <w:tcW w:w="647" w:type="pct"/>
          </w:tcPr>
          <w:p w14:paraId="072AB252" w14:textId="77777777" w:rsidR="008008EE" w:rsidRPr="008008EE" w:rsidRDefault="008008EE" w:rsidP="008008EE">
            <w:pPr>
              <w:spacing w:line="480" w:lineRule="auto"/>
              <w:jc w:val="center"/>
            </w:pPr>
            <w:r w:rsidRPr="008008EE">
              <w:t>R</w:t>
            </w:r>
          </w:p>
        </w:tc>
        <w:tc>
          <w:tcPr>
            <w:tcW w:w="465" w:type="pct"/>
          </w:tcPr>
          <w:p w14:paraId="0C079C1B" w14:textId="77777777" w:rsidR="008008EE" w:rsidRPr="008008EE" w:rsidRDefault="008008EE" w:rsidP="008008EE">
            <w:pPr>
              <w:spacing w:line="480" w:lineRule="auto"/>
              <w:jc w:val="center"/>
            </w:pPr>
          </w:p>
        </w:tc>
        <w:tc>
          <w:tcPr>
            <w:tcW w:w="411" w:type="pct"/>
            <w:shd w:val="clear" w:color="auto" w:fill="auto"/>
          </w:tcPr>
          <w:p w14:paraId="1AFC60A6" w14:textId="77777777" w:rsidR="008008EE" w:rsidRPr="008008EE" w:rsidRDefault="008008EE" w:rsidP="008008EE">
            <w:pPr>
              <w:spacing w:line="480" w:lineRule="auto"/>
              <w:jc w:val="center"/>
            </w:pPr>
          </w:p>
        </w:tc>
        <w:tc>
          <w:tcPr>
            <w:tcW w:w="353" w:type="pct"/>
          </w:tcPr>
          <w:p w14:paraId="5F14738E" w14:textId="77777777" w:rsidR="008008EE" w:rsidRPr="008008EE" w:rsidRDefault="008008EE" w:rsidP="008008EE">
            <w:pPr>
              <w:spacing w:line="480" w:lineRule="auto"/>
              <w:jc w:val="center"/>
            </w:pPr>
            <w:r w:rsidRPr="008008EE">
              <w:t>R</w:t>
            </w:r>
          </w:p>
        </w:tc>
        <w:tc>
          <w:tcPr>
            <w:tcW w:w="639" w:type="pct"/>
          </w:tcPr>
          <w:p w14:paraId="2EA1F1B8" w14:textId="77777777" w:rsidR="008008EE" w:rsidRPr="008008EE" w:rsidRDefault="008008EE" w:rsidP="008008EE">
            <w:pPr>
              <w:spacing w:line="480" w:lineRule="auto"/>
              <w:jc w:val="center"/>
            </w:pPr>
            <w:r w:rsidRPr="008008EE">
              <w:t>R</w:t>
            </w:r>
          </w:p>
        </w:tc>
      </w:tr>
      <w:tr w:rsidR="008008EE" w:rsidRPr="008008EE" w14:paraId="46EF93AA" w14:textId="77777777" w:rsidTr="00C0402E">
        <w:tc>
          <w:tcPr>
            <w:tcW w:w="684" w:type="pct"/>
            <w:vAlign w:val="center"/>
          </w:tcPr>
          <w:p w14:paraId="6FFACDE5" w14:textId="77777777" w:rsidR="008008EE" w:rsidRPr="008008EE" w:rsidRDefault="008008EE" w:rsidP="008008EE">
            <w:pPr>
              <w:numPr>
                <w:ilvl w:val="0"/>
                <w:numId w:val="30"/>
              </w:numPr>
              <w:spacing w:line="480" w:lineRule="auto"/>
            </w:pPr>
            <w:r w:rsidRPr="008008EE">
              <w:t>On implications of the model structure for the decision</w:t>
            </w:r>
          </w:p>
        </w:tc>
        <w:tc>
          <w:tcPr>
            <w:tcW w:w="527" w:type="pct"/>
          </w:tcPr>
          <w:p w14:paraId="03B9C6E0" w14:textId="77777777" w:rsidR="008008EE" w:rsidRPr="008008EE" w:rsidRDefault="008008EE" w:rsidP="008008EE">
            <w:pPr>
              <w:spacing w:line="480" w:lineRule="auto"/>
              <w:jc w:val="center"/>
            </w:pPr>
            <w:r w:rsidRPr="008008EE">
              <w:t>R</w:t>
            </w:r>
          </w:p>
        </w:tc>
        <w:tc>
          <w:tcPr>
            <w:tcW w:w="551" w:type="pct"/>
          </w:tcPr>
          <w:p w14:paraId="090F3C72" w14:textId="77777777" w:rsidR="008008EE" w:rsidRPr="008008EE" w:rsidRDefault="008008EE" w:rsidP="008008EE">
            <w:pPr>
              <w:spacing w:line="480" w:lineRule="auto"/>
              <w:jc w:val="center"/>
            </w:pPr>
          </w:p>
        </w:tc>
        <w:tc>
          <w:tcPr>
            <w:tcW w:w="723" w:type="pct"/>
          </w:tcPr>
          <w:p w14:paraId="288E9651" w14:textId="77777777" w:rsidR="008008EE" w:rsidRPr="008008EE" w:rsidRDefault="008008EE" w:rsidP="008008EE">
            <w:pPr>
              <w:spacing w:line="480" w:lineRule="auto"/>
              <w:jc w:val="center"/>
            </w:pPr>
          </w:p>
        </w:tc>
        <w:tc>
          <w:tcPr>
            <w:tcW w:w="647" w:type="pct"/>
          </w:tcPr>
          <w:p w14:paraId="01295E0C" w14:textId="77777777" w:rsidR="008008EE" w:rsidRPr="008008EE" w:rsidRDefault="008008EE" w:rsidP="008008EE">
            <w:pPr>
              <w:spacing w:line="480" w:lineRule="auto"/>
              <w:jc w:val="center"/>
            </w:pPr>
          </w:p>
        </w:tc>
        <w:tc>
          <w:tcPr>
            <w:tcW w:w="465" w:type="pct"/>
          </w:tcPr>
          <w:p w14:paraId="2B09A3D0" w14:textId="77777777" w:rsidR="008008EE" w:rsidRPr="008008EE" w:rsidRDefault="008008EE" w:rsidP="008008EE">
            <w:pPr>
              <w:spacing w:line="480" w:lineRule="auto"/>
              <w:jc w:val="center"/>
            </w:pPr>
          </w:p>
        </w:tc>
        <w:tc>
          <w:tcPr>
            <w:tcW w:w="411" w:type="pct"/>
            <w:shd w:val="clear" w:color="auto" w:fill="auto"/>
          </w:tcPr>
          <w:p w14:paraId="2BDE37E9" w14:textId="77777777" w:rsidR="008008EE" w:rsidRPr="008008EE" w:rsidRDefault="008008EE" w:rsidP="008008EE">
            <w:pPr>
              <w:spacing w:line="480" w:lineRule="auto"/>
              <w:jc w:val="center"/>
            </w:pPr>
          </w:p>
        </w:tc>
        <w:tc>
          <w:tcPr>
            <w:tcW w:w="353" w:type="pct"/>
          </w:tcPr>
          <w:p w14:paraId="0713A05B" w14:textId="77777777" w:rsidR="008008EE" w:rsidRPr="008008EE" w:rsidRDefault="008008EE" w:rsidP="008008EE">
            <w:pPr>
              <w:spacing w:line="480" w:lineRule="auto"/>
              <w:jc w:val="center"/>
            </w:pPr>
          </w:p>
        </w:tc>
        <w:tc>
          <w:tcPr>
            <w:tcW w:w="639" w:type="pct"/>
          </w:tcPr>
          <w:p w14:paraId="16FB6F75" w14:textId="77777777" w:rsidR="008008EE" w:rsidRPr="008008EE" w:rsidRDefault="008008EE" w:rsidP="008008EE">
            <w:pPr>
              <w:spacing w:line="480" w:lineRule="auto"/>
              <w:jc w:val="center"/>
            </w:pPr>
          </w:p>
        </w:tc>
      </w:tr>
      <w:tr w:rsidR="008008EE" w:rsidRPr="008008EE" w14:paraId="64F0F926" w14:textId="77777777" w:rsidTr="00C0402E">
        <w:tc>
          <w:tcPr>
            <w:tcW w:w="5000" w:type="pct"/>
            <w:gridSpan w:val="9"/>
          </w:tcPr>
          <w:p w14:paraId="7000ACC5" w14:textId="77777777" w:rsidR="008008EE" w:rsidRPr="008008EE" w:rsidRDefault="008008EE" w:rsidP="008008EE">
            <w:pPr>
              <w:spacing w:line="480" w:lineRule="auto"/>
            </w:pPr>
            <w:r w:rsidRPr="008008EE">
              <w:t xml:space="preserve">R: Recommended; DSU, recommended in the NICE DSU TSD13 </w:t>
            </w:r>
            <w:r w:rsidRPr="008008EE">
              <w:fldChar w:fldCharType="begin" w:fldLock="1"/>
            </w:r>
            <w:r w:rsidRPr="008008EE">
              <w:instrText>ADDIN CSL_CITATION {"citationItems":[{"id":"ITEM-1","itemData":{"DOI":"10.1016/j.jval.2014.12.014","ISBN":"1099-1727","ISSN":"15244733","PMID":"26091606","author":[{"dropping-particle":"","family":"Kaltenhalter","given":"Eva","non-dropping-particle":"","parse-names":false,"suffix":""},{"dropping-particle":"","family":"Tappenden","given":"Paul","non-dropping-particle":"","parse-names":false,"suffix":""},{"dropping-particle":"","family":"Paisley","given":"Suzy","non-dropping-particle":"","parse-names":false,"suffix":""},{"dropping-particle":"","family":"Squires","given":"Hazel","non-dropping-particle":"","parse-names":false,"suffix":""}],"container-title":"NICE Decision Support Unit","id":"ITEM-1","issue":"13","issued":{"date-parts":[["2011"]]},"title":"NICE DSU Technical Support Document 13: Identifying and reviewing evidence to inform the conceptualisation and population of cost-effectiveness models","type":"report"},"uris":["http://www.mendeley.com/documents/?uuid=dc3d7923-fb75-362d-8bae-bb6146215190"]}],"mendeley":{"formattedCitation":"(Kaltenhalter et al., 2011)","plainTextFormattedCitation":"(Kaltenhalter et al., 2011)","previouslyFormattedCitation":"(Kaltenhalter et al., 2011)"},"properties":{"noteIndex":0},"schema":"https://github.com/citation-style-language/schema/raw/master/csl-citation.json"}</w:instrText>
            </w:r>
            <w:r w:rsidRPr="008008EE">
              <w:fldChar w:fldCharType="separate"/>
            </w:r>
            <w:r w:rsidRPr="008008EE">
              <w:rPr>
                <w:noProof/>
              </w:rPr>
              <w:t>(Kaltenhalter et al., 2011)</w:t>
            </w:r>
            <w:r w:rsidRPr="008008EE">
              <w:fldChar w:fldCharType="end"/>
            </w:r>
            <w:r w:rsidRPr="008008EE">
              <w:t xml:space="preserve">.  </w:t>
            </w:r>
          </w:p>
        </w:tc>
      </w:tr>
    </w:tbl>
    <w:p w14:paraId="04A0AE15" w14:textId="2506D67F" w:rsidR="008008EE" w:rsidRDefault="008008EE" w:rsidP="00D35786">
      <w:pPr>
        <w:spacing w:line="480" w:lineRule="auto"/>
        <w:sectPr w:rsidR="008008EE" w:rsidSect="00C0402E">
          <w:footnotePr>
            <w:numFmt w:val="lowerLetter"/>
          </w:footnotePr>
          <w:pgSz w:w="16838" w:h="11906" w:orient="landscape"/>
          <w:pgMar w:top="1440" w:right="1440" w:bottom="1440" w:left="1440" w:header="708" w:footer="708" w:gutter="0"/>
          <w:cols w:space="708"/>
          <w:docGrid w:linePitch="360"/>
        </w:sectPr>
      </w:pPr>
    </w:p>
    <w:p w14:paraId="576F9D32" w14:textId="060EE62B" w:rsidR="005859B6" w:rsidRPr="00642AB3" w:rsidRDefault="005859B6" w:rsidP="00D35786">
      <w:pPr>
        <w:spacing w:line="480" w:lineRule="auto"/>
      </w:pPr>
    </w:p>
    <w:p w14:paraId="3890EDE7" w14:textId="04D81AFC" w:rsidR="00367E3D" w:rsidRPr="00642AB3" w:rsidRDefault="00367E3D" w:rsidP="00451BA3">
      <w:pPr>
        <w:pStyle w:val="Heading2"/>
      </w:pPr>
      <w:bookmarkStart w:id="27" w:name="_Toc48925902"/>
      <w:bookmarkEnd w:id="26"/>
      <w:r w:rsidRPr="00642AB3">
        <w:t xml:space="preserve">Practical </w:t>
      </w:r>
      <w:r w:rsidR="00392021" w:rsidRPr="00642AB3">
        <w:t>Implications</w:t>
      </w:r>
      <w:bookmarkEnd w:id="27"/>
    </w:p>
    <w:p w14:paraId="6719CBBD" w14:textId="5FF800CC" w:rsidR="00367E3D" w:rsidRPr="00642AB3" w:rsidRDefault="00367E3D" w:rsidP="00C0402E">
      <w:pPr>
        <w:pStyle w:val="Heading3"/>
      </w:pPr>
      <w:bookmarkStart w:id="28" w:name="_Toc48925903"/>
      <w:r w:rsidRPr="00642AB3">
        <w:t xml:space="preserve">What </w:t>
      </w:r>
      <w:r w:rsidR="00392021" w:rsidRPr="00642AB3">
        <w:t xml:space="preserve">Is </w:t>
      </w:r>
      <w:proofErr w:type="gramStart"/>
      <w:r w:rsidR="00392021" w:rsidRPr="00642AB3">
        <w:t>The</w:t>
      </w:r>
      <w:proofErr w:type="gramEnd"/>
      <w:r w:rsidR="00392021" w:rsidRPr="00642AB3">
        <w:t xml:space="preserve"> Role Of The Conceptual Model?</w:t>
      </w:r>
      <w:bookmarkEnd w:id="28"/>
    </w:p>
    <w:p w14:paraId="359445D5" w14:textId="37B33D1E" w:rsidR="00367E3D" w:rsidRPr="00642AB3" w:rsidRDefault="00367E3D" w:rsidP="00D35786">
      <w:pPr>
        <w:spacing w:line="480" w:lineRule="auto"/>
      </w:pPr>
      <w:r w:rsidRPr="00642AB3">
        <w:t xml:space="preserve">Conceptual modelling has had relatively little attention in the economic evaluation literature as a standalone topic, although it is often discussed implicitly in the literature around modelling approaches (e.g. </w:t>
      </w:r>
      <w:r w:rsidRPr="00642AB3">
        <w:fldChar w:fldCharType="begin" w:fldLock="1"/>
      </w:r>
      <w:r w:rsidR="00A33BA4">
        <w:instrText>ADDIN CSL_CITATION {"citationItems":[{"id":"ITEM-1","itemData":{"DOI":"10.2165/00019053-200826020-00004","ISSN":"11707690","PMID":"18198933","abstract":"This paper provides an overview of, and guidance as to when, why and how to choose and use, different simulation modelling methods as applied to healthcare. What simulation is and why it is necessary in addressing healthcare problems are discussed. In addition, key criteria for choosing an appropriate method (project type, population resolution, interactivity, treatment of time and space, resource constraints, autonomy and how knowledge is embedded) are covered. Key concepts for each method, moving from the simplest to most complex methods, are reviewed in some detail. © 2008 Adis Data Information BV. All rights reserved.","author":[{"dropping-particle":"","family":"Stahl","given":"James E","non-dropping-particle":"","parse-names":false,"suffix":""}],"container-title":"PharmacoEconomics","id":"ITEM-1","issue":"2","issued":{"date-parts":[["2008"]]},"page":"131-148","publisher":"Springer International Publishing","title":"Modelling methods for pharmacoeconomics and health technology assessment: An overview and guide","type":"article","volume":"26"},"uris":["http://www.mendeley.com/documents/?uuid=4fda5b05-e27b-33c8-91bb-5aaa7e9d0af6"]},{"id":"ITEM-2","itemData":{"DOI":"10.1016/B978-0-12-375678-7.01401-2","ISBN":"9780123756787","ISSN":"978-0-12-375678-7","author":[{"dropping-particle":"","family":"Afzali","given":"H Haji Ali","non-dropping-particle":"","parse-names":false,"suffix":""},{"dropping-particle":"","family":"Karnon","given":"J","non-dropping-particle":"","parse-names":false,"suffix":""}],"container-title":"Encyclopedia of Health Economics","id":"ITEM-2","issued":{"date-parts":[["2014"]]},"note":"idea: in a mock model, or in the omalizumab model, show the impact of having 1 or 2 exacerbation states.","page":"340-347","title":"Specification and Implementation of Decision Analytic Model Structures for Economic Evaluation of Health Care Technologies","type":"chapter","volume":"3"},"uris":["http://www.mendeley.com/documents/?uuid=dfdcba60-009b-3fe3-b4bb-ae33a596d5f2"]}],"mendeley":{"formattedCitation":"(H Haji Ali Afzali &amp; Karnon, 2014; Stahl, 2008)","plainTextFormattedCitation":"(H Haji Ali Afzali &amp; Karnon, 2014; Stahl, 2008)","previouslyFormattedCitation":"(H Haji Ali Afzali &amp; Karnon, 2014; Stahl, 2008)"},"properties":{"noteIndex":0},"schema":"https://github.com/citation-style-language/schema/raw/master/csl-citation.json"}</w:instrText>
      </w:r>
      <w:r w:rsidRPr="00642AB3">
        <w:fldChar w:fldCharType="separate"/>
      </w:r>
      <w:r w:rsidRPr="00642AB3">
        <w:rPr>
          <w:noProof/>
        </w:rPr>
        <w:t>(H Haji Ali Afzali &amp; Karnon, 2014; Stahl, 2008)</w:t>
      </w:r>
      <w:r w:rsidRPr="00642AB3">
        <w:fldChar w:fldCharType="end"/>
      </w:r>
      <w:r w:rsidRPr="00642AB3">
        <w:t xml:space="preserve">) and </w:t>
      </w:r>
      <w:r w:rsidR="00F2724D">
        <w:t xml:space="preserve">in </w:t>
      </w:r>
      <w:r w:rsidRPr="00642AB3">
        <w:t xml:space="preserve">the literature on the assessment of the validity and quality of models (e.g. </w:t>
      </w:r>
      <w:r w:rsidRPr="00642AB3">
        <w:fldChar w:fldCharType="begin" w:fldLock="1"/>
      </w:r>
      <w:r w:rsidR="00A33BA4">
        <w:instrText>ADDIN CSL_CITATION {"citationItems":[{"id":"ITEM-1","itemData":{"author":[{"dropping-particle":"","family":"Sculpher","given":"Mark","non-dropping-particle":"","parse-names":false,"suffix":""},{"dropping-particle":"","family":"Fenwick","given":"Elisabeth","non-dropping-particle":"","parse-names":false,"suffix":""},{"dropping-particle":"","family":"Claxton","given":"Karl","non-dropping-particle":"","parse-names":false,"suffix":""}],"container-title":"PharmacoEconomics","id":"ITEM-1","issue":"5","issued":{"date-parts":[["2000"]]},"page":"461-477","title":"Assessing quality in decision-analytic models: a suggested framework and example of application","type":"article-journal","volume":"17"},"uris":["http://www.mendeley.com/documents/?uuid=56124b35-00fd-386a-bbde-257872f20dd0"]},{"id":"ITEM-2","itemData":{"DOI":"02-32-01 [pii]","ISBN":"1366-5278 (Print)","ISSN":"1366-5278","PMID":"15361314","abstract":"To identify existing guidelines and develop a synthesised guideline plus accompanying checklist. In addition to provide guidance on key theoretical, methodological and practical issues and consider the implications of this research for what might be expected of future decision-analytic models.","author":[{"dropping-particle":"","family":"Philips","given":"Z","non-dropping-particle":"","parse-names":false,"suffix":""},{"dropping-particle":"","family":"Ginnelly","given":"L","non-dropping-particle":"","parse-names":false,"suffix":""},{"dropping-particle":"","family":"Sculpher","given":"M","non-dropping-particle":"","parse-names":false,"suffix":""},{"dropping-particle":"","family":"Claxton","given":"K","non-dropping-particle":"","parse-names":false,"suffix":""},{"dropping-particle":"","family":"Golder","given":"S","non-dropping-particle":"","parse-names":false,"suffix":""},{"dropping-particle":"","family":"Riemsma","given":"R","non-dropping-particle":"","parse-names":false,"suffix":""},{"dropping-particle":"","family":"Woolacoot","given":"N","non-dropping-particle":"","parse-names":false,"suffix":""},{"dropping-particle":"","family":"Glanville","given":"J","non-dropping-particle":"","parse-names":false,"suffix":""}],"container-title":"Health technology assessment (Winchester, England)","id":"ITEM-2","issue":"36","issued":{"date-parts":[["2004"]]},"note":"Structural uncertainty: they looked into how to adjust estimates of treatment effect from observational studies where there are risks of selection bias.\n\nSonnenberg et al [21] describe a conceptual framework.\n\nGuidelines: references 7 to 21\n\nIgnore review","page":"iii-iv, ix-xi, 1-158","title":"Review of guidelines for good practice in decision-analytic modelling in health technology assessment.","type":"article-journal","volume":"8"},"uris":["http://www.mendeley.com/documents/?uuid=fa2b1da3-5cf0-45c4-98bf-c89f46bf58c2"]},{"id":"ITEM-3","itemData":{"DOI":"10.3310/hta14250","ISBN":"2046-4924 (Electronic)\\r1366-5278 (Linking)","ISSN":"13665278","PMID":"20501062","abstract":"BACKGROUND: Health policy decisions must be relevant, evidence-based and transparent. Decision-analytic modelling supports this process but its role is reliant on its credibility. Errors in mathematical decision models or simulation exercises are unavoidable but little attention has been paid to processes in model development. Numerous error avoidance/identification strategies could be adopted but it is difficult to evaluate the merits of strategies for improving the credibility of models without first developing an understanding of error types and causes.\\n\\nOBJECTIVES: The study aims to describe the current comprehension of errors in the HTA modelling community and generate a taxonomy of model errors. Four primary objectives are to: (1) describe the current understanding of errors in HTA modelling; (2) understand current processes applied by the technology assessment community for avoiding errors in development, debugging and critically appraising models for errors; (3) use HTA modellers' perceptions of model errors with the wider non-HTA literature to develop a taxonomy of model errors; and (4) explore potential methods and procedures to reduce the occurrence of errors in models. It also describes the model development process as perceived by practitioners working within the HTA community.\\n\\nDATA SOURCES: A methodological review was undertaken using an iterative search methodology. Exploratory searches informed the scope of interviews; later searches focused on issues arising from the interviews. Searches were undertaken in February 2008 and January 2009. In-depth qualitative interviews were performed with 12 HTA modellers from academic and commercial modelling sectors.\\n\\nREVIEW METHODS: All qualitative data were analysed using the Framework approach. Descriptive and explanatory accounts were used to interrogate the data within and across themes and subthemes: organisation, roles and communication; the model development process; definition of error; types of model error; strategies for avoiding errors; strategies for identifying errors; and barriers and facilitators.\\n\\nRESULTS: There was no common language in the discussion of modelling errors and there was inconsistency in the perceived boundaries of what constitutes an error. Asked about the definition of model error, there was a tendency for interviewees to exclude matters of judgement from being errors and focus on 'slips' and 'lapses', but discussion of slips and lapses comprised less than 20…","author":[{"dropping-particle":"","family":"Chilcott","given":"J.","non-dropping-particle":"","parse-names":false,"suffix":""},{"dropping-particle":"","family":"Tappenden","given":"P.","non-dropping-particle":"","parse-names":false,"suffix":""},{"dropping-particle":"","family":"Rawdin","given":"A.","non-dropping-particle":"","parse-names":false,"suffix":""},{"dropping-particle":"","family":"Johnson","given":"M.","non-dropping-particle":"","parse-names":false,"suffix":""},{"dropping-particle":"","family":"Kaltenthaler","given":"E.","non-dropping-particle":"","parse-names":false,"suffix":""},{"dropping-particle":"","family":"Paisley","given":"S.","non-dropping-particle":"","parse-names":false,"suffix":""},{"dropping-particle":"","family":"Papaioannou","given":"D.","non-dropping-particle":"","parse-names":false,"suffix":""},{"dropping-particle":"","family":"Shippam","given":"A.","non-dropping-particle":"","parse-names":false,"suffix":""}],"container-title":"Health Technology Assessment","id":"ITEM-3","issue":"25","issued":{"date-parts":[["2010"]]},"title":"Avoiding and identifying errors in health technology assessment models: Qualitative study and methodological review","type":"article-journal","volume":"14"},"uris":["http://www.mendeley.com/documents/?uuid=57828736-d630-470a-86e1-21f8dd58a2e9"]},{"id":"ITEM-4","itemData":{"DOI":"10.1016/j.jval.2014.01.003","ISBN":"1098-3015","ISSN":"15244733","PMID":"24636375","abstract":"The evaluation of the cost and health implications of agreeing to cover a new health technology is best accomplished using a model that mathematically combines inputs from various sources, together with assumptions about how these fit together and what might happen in reality. This need to make assumptions, the complexity of the resulting framework, the technical knowledge required, as well as funding by interested parties have led many decision makers to distrust the results of models. To assist stakeholders reviewing a model's report, questions pertaining to the credibility of a model were developed. Because credibility is insufficient, questions regarding relevance of the model results were also created. The questions are formulated such that they are readily answered and they are supplemented by helper questions that provide additional detail. Some responses indicate strongly that a model should not be used for decision making: these trigger a \"fatal flaw\" indicator. It is hoped that the use of this questionnaire, along with the three others in the series, will help disseminate what to look for in comparative effectiveness evidence, improve practices by researchers supplying these data, and ultimately facilitate their use by health care decision makers. © 2014 International Society for Pharmacoeconomics and Outcomes Research (ISPOR). Published by Elsevier Inc.","author":[{"dropping-particle":"","family":"Jaime Caro","given":"J.","non-dropping-particle":"","parse-names":false,"suffix":""},{"dropping-particle":"","family":"Eddy","given":"David M.","non-dropping-particle":"","parse-names":false,"suffix":""},{"dropping-particle":"","family":"Kan","given":"Hong","non-dropping-particle":"","parse-names":false,"suffix":""},{"dropping-particle":"","family":"Kaltz","given":"Cheryl","non-dropping-particle":"","parse-names":false,"suffix":""},{"dropping-particle":"","family":"Patel","given":"Bimal","non-dropping-particle":"","parse-names":false,"suffix":""},{"dropping-particle":"","family":"Eldessouki","given":"Randa","non-dropping-particle":"","parse-names":false,"suffix":""},{"dropping-particle":"","family":"Briggs","given":"Andrew H.","non-dropping-particle":"","parse-names":false,"suffix":""}],"container-title":"Value in Health","id":"ITEM-4","issue":"2","issued":{"date-parts":[["2014"]]},"page":"174-182","title":"Questionnaire to assess relevance and credibility of modeling studies for informing health care decision making: An ISPOR-AMCP-NPC good practice task force report","type":"article-journal","volume":"17"},"uris":["http://www.mendeley.com/documents/?uuid=f64fd79b-2c68-30b6-999d-ed2c2b52f139"]},{"id":"ITEM-5","itemData":{"DOI":"10.1016/J.JVAL.2014.12.014","ISSN":"1098-3015","abstract":"BACKGROUND\nDecision-analytic modeling (DAM) has been increasingly used to aid decision making in health care. The growing use of modeling in economic evaluations has led to increased scrutiny of the methods used. \n\nOBJECTIVE\nThe objective of this study was to perform a systematic review to identify and critically assess good practice guidelines, with particular emphasis on contemporary developments. \n\nMETHODS\nA systematic review of English language articles was undertaken to identify articles presenting guidance for good practice in DAM in the evaluation of health care. The inclusion criteria were articles providing guidance or criteria against which to assess good practice in DAM and studies providing criteria or elements for good practice in some areas of DAM. The review covered the period January 1990 to March 2014 and included the following electronic bibliographic databases: Cochrane Library, Cochrane Methodology Register and Health Technology Assessment, NHS Economic Evaluation Database, MEDLINE, and PubMed (Embase). Additional studies were identified by searching references. \n\nRESULTS\nThirty-three articles were included in this review. A practical five-dimension framework was developed that describe the key elements of good research practice that should be considered and reported to increase the credibility of results obtained from DAM in the evaluation of health care. \n\nCONCLUSIONS\nThis study is the first to critically review all available guidelines and statements of good practice in DAM since 2006. The development of good practice guidelines is an ongoing process, and important efforts have been made to identify what is good practice and to keep these guidelines up to date.","author":[{"dropping-particle":"","family":"Peñaloza Ramos","given":"Maria Cristina","non-dropping-particle":"","parse-names":false,"suffix":""},{"dropping-particle":"","family":"Barton","given":"Pelham","non-dropping-particle":"","parse-names":false,"suffix":""},{"dropping-particle":"","family":"Jowett","given":"Sue","non-dropping-particle":"","parse-names":false,"suffix":""},{"dropping-particle":"","family":"Sutton","given":"Andrew John","non-dropping-particle":"","parse-names":false,"suffix":""}],"container-title":"Value in Health","id":"ITEM-5","issue":"4","issued":{"date-parts":[["2015","6","1"]]},"page":"512-529","publisher":"Elsevier","title":"A Systematic Review of Research Guidelines in Decision-Analytic Modeling","type":"article-journal","volume":"18"},"uris":["http://www.mendeley.com/documents/?uuid=978abb3b-144a-3ce9-a0d6-b2058cf88261"]}],"mendeley":{"formattedCitation":"(Chilcott et al., 2010; Jaime Caro et al., 2014; Peñaloza Ramos, Barton, Jowett, &amp; Sutton, 2015; Philips et al., 2004; M. Sculpher, Fenwick, &amp; Claxton, 2000)","plainTextFormattedCitation":"(Chilcott et al., 2010; Jaime Caro et al., 2014; Peñaloza Ramos, Barton, Jowett, &amp; Sutton, 2015; Philips et al., 2004; M. Sculpher, Fenwick, &amp; Claxton, 2000)","previouslyFormattedCitation":"(Chilcott et al., 2010; Jaime Caro et al., 2014; Peñaloza Ramos, Barton, Jowett, &amp; Sutton, 2015; Philips et al., 2004; M. Sculpher, Fenwick, &amp; Claxton, 2000)"},"properties":{"noteIndex":0},"schema":"https://github.com/citation-style-language/schema/raw/master/csl-citation.json"}</w:instrText>
      </w:r>
      <w:r w:rsidRPr="00642AB3">
        <w:fldChar w:fldCharType="separate"/>
      </w:r>
      <w:r w:rsidRPr="00642AB3">
        <w:rPr>
          <w:noProof/>
        </w:rPr>
        <w:t>(Chilcott et al., 2010; Jaime Caro et al., 2014; Peñaloza Ramos, Barton, Jowett, &amp; Sutton, 2015; Philips et al., 2004; M. Sculpher, Fenwick, &amp; Claxton, 2000)</w:t>
      </w:r>
      <w:r w:rsidRPr="00642AB3">
        <w:fldChar w:fldCharType="end"/>
      </w:r>
      <w:r w:rsidRPr="00642AB3">
        <w:t xml:space="preserve">). The reporting standards guidelines, such as the Consolidated Health Economic Evaluation Reporting Standards (CHEERS), recommend that the model structure and assumptions </w:t>
      </w:r>
      <w:r w:rsidR="00F2724D">
        <w:t>should</w:t>
      </w:r>
      <w:r w:rsidR="00F2724D" w:rsidRPr="00642AB3">
        <w:t xml:space="preserve"> </w:t>
      </w:r>
      <w:r w:rsidRPr="00642AB3">
        <w:t xml:space="preserve">be reported, but do not mention the conceptual model </w:t>
      </w:r>
      <w:r w:rsidRPr="00642AB3">
        <w:fldChar w:fldCharType="begin" w:fldLock="1"/>
      </w:r>
      <w:r w:rsidR="00A33BA4">
        <w:instrText>ADDIN CSL_CITATION {"citationItems":[{"id":"ITEM-1","itemData":{"DOI":"10.1016/j.jval.2013.02.002","ISBN":"1524-4733 (Electronic)\\n1098-3015 (Linking)","ISSN":"10983015","PMID":"23538175","abstract":"Background: Economic evaluations of health interventions pose a particular challenge for reporting because substantial information must be conveyed to allow scrutiny of study findings. Despite a growth in published reports, existing reporting guidelines are not widely adopted. There is also a need to consolidate and update existing guidelines and promote their use in a user-friendly manner. A checklist is one way to help authors, editors, and peer reviewers use guidelines to improve reporting. Objective: The task force's overall goal was to provide recommendations to optimize the reporting of health economic evaluations. The Consolidated Health Economic Evaluation Reporting Standards (CHEERS) statement is an attempt to consolidate and update previous health economic evaluation guidelines into one current, useful reporting guidance. The CHEERS Elaboration and Explanation Report of the ISPOR Health Economic Evaluation Publication Guidelines Good Reporting Practices Task Force facilitates the use of the CHEERS statement by providing examples and explanations for each recommendation. The primary audiences for the CHEERS statement are researchers reporting economic evaluations and the editors and peer reviewers assessing them for publication. Methods: The need for new reporting guidance was identified by a survey of medical editors. Previously published checklists or guidance documents related to reporting economic evaluations were identified from a systematic review and subsequent survey of task force members. A list of possible items from these efforts was created. A two-round, modified Delphi Panel with representatives from academia, clinical practice, industry, and government, as well as the editorial community, was used to identify a minimum set of items important for reporting from the larger list. Results: Out of 44 candidate items, 24 items and accompanying recommendations were developed, with some specific recommendations for single study-based and model-based economic evaluations. The final recommendations are subdivided into six main categories: 1) title and abstract, 2) introduction, 3) methods, 4) results, 5) discussion, and 6) other. The recommendations are contained in the CHEERS statement, a user-friendly 24-item checklist. The task force report provides explanation and elaboration, as well as an example for each recommendation. The ISPOR CHEERS statement is available online via Value in Health or the ISPOR Health Economic Evaluation Publicat…","author":[{"dropping-particle":"","family":"Husereau","given":"Don","non-dropping-particle":"","parse-names":false,"suffix":""},{"dropping-particle":"","family":"Drummond","given":"Michael","non-dropping-particle":"","parse-names":false,"suffix":""},{"dropping-particle":"","family":"Petrou","given":"Stavros","non-dropping-particle":"","parse-names":false,"suffix":""},{"dropping-particle":"","family":"Carswell","given":"Chris","non-dropping-particle":"","parse-names":false,"suffix":""},{"dropping-particle":"","family":"Moher","given":"David","non-dropping-particle":"","parse-names":false,"suffix":""},{"dropping-particle":"","family":"Greenberg","given":"Dan","non-dropping-particle":"","parse-names":false,"suffix":""},{"dropping-particle":"","family":"Augustovski","given":"Federico","non-dropping-particle":"","parse-names":false,"suffix":""},{"dropping-particle":"","family":"Briggs","given":"Andrew H","non-dropping-particle":"","parse-names":false,"suffix":""},{"dropping-particle":"","family":"Mauskopf","given":"Josephine","non-dropping-particle":"","parse-names":false,"suffix":""},{"dropping-particle":"","family":"Loder","given":"Elizabeth","non-dropping-particle":"","parse-names":false,"suffix":""}],"container-title":"Value in Health","id":"ITEM-1","issue":"2","issued":{"date-parts":[["2013"]]},"page":"231-250","title":"Consolidated health economic evaluation reporting standards (CHEERS)-explanation and elaboration: A report of the ISPOR health economic evaluation publication guidelines good reporting practices task force","type":"article-journal","volume":"16"},"uris":["http://www.mendeley.com/documents/?uuid=80b84b37-bffb-3f72-9635-32fce131f16e"]}],"mendeley":{"formattedCitation":"(Husereau et al., 2013)","plainTextFormattedCitation":"(Husereau et al., 2013)","previouslyFormattedCitation":"(Husereau et al., 2013)"},"properties":{"noteIndex":0},"schema":"https://github.com/citation-style-language/schema/raw/master/csl-citation.json"}</w:instrText>
      </w:r>
      <w:r w:rsidRPr="00642AB3">
        <w:fldChar w:fldCharType="separate"/>
      </w:r>
      <w:r w:rsidRPr="00642AB3">
        <w:rPr>
          <w:noProof/>
        </w:rPr>
        <w:t>(Husereau et al., 2013)</w:t>
      </w:r>
      <w:r w:rsidRPr="00642AB3">
        <w:fldChar w:fldCharType="end"/>
      </w:r>
      <w:r w:rsidRPr="00642AB3">
        <w:t xml:space="preserve">. Therefore, the conceptual model, as well as the process to develop it and that has led to the implemented model structure, may be missed from the published study. </w:t>
      </w:r>
    </w:p>
    <w:p w14:paraId="2E5C0299" w14:textId="508A74FE" w:rsidR="00367E3D" w:rsidRPr="00642AB3" w:rsidRDefault="00367E3D" w:rsidP="00D35786">
      <w:pPr>
        <w:spacing w:line="480" w:lineRule="auto"/>
      </w:pPr>
      <w:r w:rsidRPr="00642AB3">
        <w:t xml:space="preserve">To this author’s knowledge, the first study discussing conceptual modelling in detail was Chilcott et al </w:t>
      </w:r>
      <w:r w:rsidRPr="00642AB3">
        <w:fldChar w:fldCharType="begin" w:fldLock="1"/>
      </w:r>
      <w:r w:rsidR="00A33BA4">
        <w:instrText>ADDIN CSL_CITATION {"citationItems":[{"id":"ITEM-1","itemData":{"DOI":"10.3310/hta14250","ISBN":"2046-4924 (Electronic)\\r1366-5278 (Linking)","ISSN":"13665278","PMID":"20501062","abstract":"BACKGROUND: Health policy decisions must be relevant, evidence-based and transparent. Decision-analytic modelling supports this process but its role is reliant on its credibility. Errors in mathematical decision models or simulation exercises are unavoidable but little attention has been paid to processes in model development. Numerous error avoidance/identification strategies could be adopted but it is difficult to evaluate the merits of strategies for improving the credibility of models without first developing an understanding of error types and causes.\\n\\nOBJECTIVES: The study aims to describe the current comprehension of errors in the HTA modelling community and generate a taxonomy of model errors. Four primary objectives are to: (1) describe the current understanding of errors in HTA modelling; (2) understand current processes applied by the technology assessment community for avoiding errors in development, debugging and critically appraising models for errors; (3) use HTA modellers' perceptions of model errors with the wider non-HTA literature to develop a taxonomy of model errors; and (4) explore potential methods and procedures to reduce the occurrence of errors in models. It also describes the model development process as perceived by practitioners working within the HTA community.\\n\\nDATA SOURCES: A methodological review was undertaken using an iterative search methodology. Exploratory searches informed the scope of interviews; later searches focused on issues arising from the interviews. Searches were undertaken in February 2008 and January 2009. In-depth qualitative interviews were performed with 12 HTA modellers from academic and commercial modelling sectors.\\n\\nREVIEW METHODS: All qualitative data were analysed using the Framework approach. Descriptive and explanatory accounts were used to interrogate the data within and across themes and subthemes: organisation, roles and communication; the model development process; definition of error; types of model error; strategies for avoiding errors; strategies for identifying errors; and barriers and facilitators.\\n\\nRESULTS: There was no common language in the discussion of modelling errors and there was inconsistency in the perceived boundaries of what constitutes an error. Asked about the definition of model error, there was a tendency for interviewees to exclude matters of judgement from being errors and focus on 'slips' and 'lapses', but discussion of slips and lapses comprised less than 20…","author":[{"dropping-particle":"","family":"Chilcott","given":"J.","non-dropping-particle":"","parse-names":false,"suffix":""},{"dropping-particle":"","family":"Tappenden","given":"P.","non-dropping-particle":"","parse-names":false,"suffix":""},{"dropping-particle":"","family":"Rawdin","given":"A.","non-dropping-particle":"","parse-names":false,"suffix":""},{"dropping-particle":"","family":"Johnson","given":"M.","non-dropping-particle":"","parse-names":false,"suffix":""},{"dropping-particle":"","family":"Kaltenthaler","given":"E.","non-dropping-particle":"","parse-names":false,"suffix":""},{"dropping-particle":"","family":"Paisley","given":"S.","non-dropping-particle":"","parse-names":false,"suffix":""},{"dropping-particle":"","family":"Papaioannou","given":"D.","non-dropping-particle":"","parse-names":false,"suffix":""},{"dropping-particle":"","family":"Shippam","given":"A.","non-dropping-particle":"","parse-names":false,"suffix":""}],"container-title":"Health Technology Assessment","id":"ITEM-1","issue":"25","issued":{"date-parts":[["2010"]]},"title":"Avoiding and identifying errors in health technology assessment models: Qualitative study and methodological review","type":"article-journal","volume":"14"},"uris":["http://www.mendeley.com/documents/?uuid=57828736-d630-470a-86e1-21f8dd58a2e9"]}],"mendeley":{"formattedCitation":"(Chilcott et al., 2010)","plainTextFormattedCitation":"(Chilcott et al., 2010)","previouslyFormattedCitation":"(Chilcott et al., 2010)"},"properties":{"noteIndex":0},"schema":"https://github.com/citation-style-language/schema/raw/master/csl-citation.json"}</w:instrText>
      </w:r>
      <w:r w:rsidRPr="00642AB3">
        <w:fldChar w:fldCharType="separate"/>
      </w:r>
      <w:r w:rsidRPr="00642AB3">
        <w:rPr>
          <w:noProof/>
        </w:rPr>
        <w:t>(Chilcott et al., 2010)</w:t>
      </w:r>
      <w:r w:rsidRPr="00642AB3">
        <w:fldChar w:fldCharType="end"/>
      </w:r>
      <w:r w:rsidRPr="00642AB3">
        <w:t>. Chilcot</w:t>
      </w:r>
      <w:r w:rsidR="00F2724D">
        <w:t>t</w:t>
      </w:r>
      <w:r w:rsidRPr="00642AB3">
        <w:t xml:space="preserve"> et al defined five stages in the model developing process: (1) understanding the decision problem, (2) conceptual modelling, (3) model </w:t>
      </w:r>
      <w:proofErr w:type="gramStart"/>
      <w:r w:rsidRPr="00642AB3">
        <w:t>implementation</w:t>
      </w:r>
      <w:proofErr w:type="gramEnd"/>
      <w:r w:rsidRPr="00642AB3">
        <w:t>, (4) model checking and (5) engaging with the decision. Chilcott et al defined “</w:t>
      </w:r>
      <w:r w:rsidRPr="00642AB3">
        <w:rPr>
          <w:i/>
          <w:iCs/>
        </w:rPr>
        <w:t>conceptual modelling [as] the process of sharing, testing, questioning and agreeing this formulation of the problem; concerned with defining the scope of a model and providing the inputs to the process of systems analysis and design associated with defining a solution to the proble</w:t>
      </w:r>
      <w:r w:rsidRPr="00642AB3">
        <w:t xml:space="preserve">m” (p29) </w:t>
      </w:r>
      <w:r w:rsidRPr="00642AB3">
        <w:fldChar w:fldCharType="begin" w:fldLock="1"/>
      </w:r>
      <w:r w:rsidR="00A33BA4">
        <w:instrText>ADDIN CSL_CITATION {"citationItems":[{"id":"ITEM-1","itemData":{"DOI":"10.3310/hta14250","ISBN":"2046-4924 (Electronic)\\r1366-5278 (Linking)","ISSN":"13665278","PMID":"20501062","abstract":"BACKGROUND: Health policy decisions must be relevant, evidence-based and transparent. Decision-analytic modelling supports this process but its role is reliant on its credibility. Errors in mathematical decision models or simulation exercises are unavoidable but little attention has been paid to processes in model development. Numerous error avoidance/identification strategies could be adopted but it is difficult to evaluate the merits of strategies for improving the credibility of models without first developing an understanding of error types and causes.\\n\\nOBJECTIVES: The study aims to describe the current comprehension of errors in the HTA modelling community and generate a taxonomy of model errors. Four primary objectives are to: (1) describe the current understanding of errors in HTA modelling; (2) understand current processes applied by the technology assessment community for avoiding errors in development, debugging and critically appraising models for errors; (3) use HTA modellers' perceptions of model errors with the wider non-HTA literature to develop a taxonomy of model errors; and (4) explore potential methods and procedures to reduce the occurrence of errors in models. It also describes the model development process as perceived by practitioners working within the HTA community.\\n\\nDATA SOURCES: A methodological review was undertaken using an iterative search methodology. Exploratory searches informed the scope of interviews; later searches focused on issues arising from the interviews. Searches were undertaken in February 2008 and January 2009. In-depth qualitative interviews were performed with 12 HTA modellers from academic and commercial modelling sectors.\\n\\nREVIEW METHODS: All qualitative data were analysed using the Framework approach. Descriptive and explanatory accounts were used to interrogate the data within and across themes and subthemes: organisation, roles and communication; the model development process; definition of error; types of model error; strategies for avoiding errors; strategies for identifying errors; and barriers and facilitators.\\n\\nRESULTS: There was no common language in the discussion of modelling errors and there was inconsistency in the perceived boundaries of what constitutes an error. Asked about the definition of model error, there was a tendency for interviewees to exclude matters of judgement from being errors and focus on 'slips' and 'lapses', but discussion of slips and lapses comprised less than 20…","author":[{"dropping-particle":"","family":"Chilcott","given":"J.","non-dropping-particle":"","parse-names":false,"suffix":""},{"dropping-particle":"","family":"Tappenden","given":"P.","non-dropping-particle":"","parse-names":false,"suffix":""},{"dropping-particle":"","family":"Rawdin","given":"A.","non-dropping-particle":"","parse-names":false,"suffix":""},{"dropping-particle":"","family":"Johnson","given":"M.","non-dropping-particle":"","parse-names":false,"suffix":""},{"dropping-particle":"","family":"Kaltenthaler","given":"E.","non-dropping-particle":"","parse-names":false,"suffix":""},{"dropping-particle":"","family":"Paisley","given":"S.","non-dropping-particle":"","parse-names":false,"suffix":""},{"dropping-particle":"","family":"Papaioannou","given":"D.","non-dropping-particle":"","parse-names":false,"suffix":""},{"dropping-particle":"","family":"Shippam","given":"A.","non-dropping-particle":"","parse-names":false,"suffix":""}],"container-title":"Health Technology Assessment","id":"ITEM-1","issue":"25","issued":{"date-parts":[["2010"]]},"title":"Avoiding and identifying errors in health technology assessment models: Qualitative study and methodological review","type":"article-journal","volume":"14"},"uris":["http://www.mendeley.com/documents/?uuid=57828736-d630-470a-86e1-21f8dd58a2e9"]}],"mendeley":{"formattedCitation":"(Chilcott et al., 2010)","plainTextFormattedCitation":"(Chilcott et al., 2010)","previouslyFormattedCitation":"(Chilcott et al., 2010)"},"properties":{"noteIndex":0},"schema":"https://github.com/citation-style-language/schema/raw/master/csl-citation.json"}</w:instrText>
      </w:r>
      <w:r w:rsidRPr="00642AB3">
        <w:fldChar w:fldCharType="separate"/>
      </w:r>
      <w:r w:rsidRPr="00642AB3">
        <w:rPr>
          <w:noProof/>
        </w:rPr>
        <w:t>(Chilcott et al., 2010)</w:t>
      </w:r>
      <w:r w:rsidRPr="00642AB3">
        <w:fldChar w:fldCharType="end"/>
      </w:r>
      <w:r w:rsidRPr="00642AB3">
        <w:t xml:space="preserve">. According to Chilcott et al, the conceptual model describes the analysts’ understanding of the system where the decision problem sits, whereas the implemented model is a subset of the conceptual model. Furthermore, the conceptual </w:t>
      </w:r>
      <w:r w:rsidRPr="00642AB3">
        <w:lastRenderedPageBreak/>
        <w:t xml:space="preserve">model is a resource to help check the implemented model and to confirm the validity of the assumptions and simplifications. </w:t>
      </w:r>
    </w:p>
    <w:p w14:paraId="635F58B5" w14:textId="64EDD30F" w:rsidR="00367E3D" w:rsidRPr="00642AB3" w:rsidRDefault="00367E3D" w:rsidP="00D35786">
      <w:pPr>
        <w:spacing w:line="480" w:lineRule="auto"/>
      </w:pPr>
      <w:r w:rsidRPr="00642AB3">
        <w:t xml:space="preserve">The NICE DSU TSD13 </w:t>
      </w:r>
      <w:r w:rsidRPr="00642AB3">
        <w:fldChar w:fldCharType="begin" w:fldLock="1"/>
      </w:r>
      <w:r w:rsidR="00A33BA4">
        <w:instrText>ADDIN CSL_CITATION {"citationItems":[{"id":"ITEM-1","itemData":{"DOI":"10.1016/j.jval.2014.12.014","ISBN":"1099-1727","ISSN":"15244733","PMID":"26091606","author":[{"dropping-particle":"","family":"Kaltenhalter","given":"Eva","non-dropping-particle":"","parse-names":false,"suffix":""},{"dropping-particle":"","family":"Tappenden","given":"Paul","non-dropping-particle":"","parse-names":false,"suffix":""},{"dropping-particle":"","family":"Paisley","given":"Suzy","non-dropping-particle":"","parse-names":false,"suffix":""},{"dropping-particle":"","family":"Squires","given":"Hazel","non-dropping-particle":"","parse-names":false,"suffix":""}],"container-title":"NICE Decision Support Unit","id":"ITEM-1","issue":"13","issued":{"date-parts":[["2011"]]},"title":"NICE DSU Technical Support Document 13: Identifying and reviewing evidence to inform the conceptualisation and population of cost-effectiveness models","type":"report"},"uris":["http://www.mendeley.com/documents/?uuid=dc3d7923-fb75-362d-8bae-bb6146215190"]}],"mendeley":{"formattedCitation":"(Kaltenhalter et al., 2011)","plainTextFormattedCitation":"(Kaltenhalter et al., 2011)","previouslyFormattedCitation":"(Kaltenhalter et al., 2011)"},"properties":{"noteIndex":0},"schema":"https://github.com/citation-style-language/schema/raw/master/csl-citation.json"}</w:instrText>
      </w:r>
      <w:r w:rsidRPr="00642AB3">
        <w:fldChar w:fldCharType="separate"/>
      </w:r>
      <w:r w:rsidRPr="00642AB3">
        <w:rPr>
          <w:noProof/>
        </w:rPr>
        <w:t>(Kaltenhalter et al., 2011)</w:t>
      </w:r>
      <w:r w:rsidRPr="00642AB3">
        <w:fldChar w:fldCharType="end"/>
      </w:r>
      <w:r w:rsidRPr="00642AB3">
        <w:t xml:space="preserve">, and subsequently Tappenden </w:t>
      </w:r>
      <w:r w:rsidRPr="00642AB3">
        <w:fldChar w:fldCharType="begin" w:fldLock="1"/>
      </w:r>
      <w:r w:rsidR="00A33BA4">
        <w:instrText>ADDIN CSL_CITATION {"citationItems":[{"id":"ITEM-1","itemData":{"DOI":"10.1016/j.jval.2012.07.008","ISSN":"10983015","abstract":"Objectives: This article presents a methodological framework for developing health economic models of whole systems of disease and treatment pathways to inform decisions concerning resource allocation-an approach referred to as \"Whole Disease Modeling.\" This system-level approach can provide a consistent mathematical infrastructure for the economic evaluation of virtually any intervention across a disease pathway. Methods: The framework has been developed for cancer but is broadly generalizable to other diseases. It has been informed by pilot work, a systematic review of economic analyses, a qualitative examination of model development processes, and other literature from the fields of operational research, statistics, and health economics. Results: The framework is built on three principles: 1) the model boundary and breadth should capture all relevant aspects of the disease and its treatment-from preclinical disease through to death, 2) the model should be developed such that the decision node is conceptually transferable across the model, and 3) the costs and consequences of service elements should be structurally related. A generalized process for developing Whole Disease Models is presented. Discussion: Although this approach involves a nontrivial investment of time and resource, its value may be realized when 1) multiple options for service change require economic analysis at a single time point, 2) a disease service changes rapidly and the model can be reused, 3) current services within a pathway have not been subjected to economic analysis, 4) upstream events are expected to have important downstream effects, or 5) simple cost-utility decision rules fail to reflect the complexity of the decision-makers' objectives. © 2012 International Society for Pharmacoeconomics and Outcomes Research (ISPOR). Published by Elsevier Inc.","author":[{"dropping-particle":"","family":"Tappenden","given":"Paul","non-dropping-particle":"","parse-names":false,"suffix":""},{"dropping-particle":"","family":"Chilcott","given":"Jim","non-dropping-particle":"","parse-names":false,"suffix":""},{"dropping-particle":"","family":"Brennan","given":"Alan","non-dropping-particle":"","parse-names":false,"suffix":""},{"dropping-particle":"","family":"Squires","given":"Hazel","non-dropping-particle":"","parse-names":false,"suffix":""},{"dropping-particle":"","family":"Stevenson","given":"Matthew","non-dropping-particle":"","parse-names":false,"suffix":""}],"container-title":"Value in Health","id":"ITEM-1","issue":"8","issued":{"date-parts":[["2012","12","1"]]},"page":"1127-1136","publisher":"Elsevier","title":"Whole disease modeling to inform resource allocation decisions in cancer: A methodological framework","type":"article-journal","volume":"15"},"uris":["http://www.mendeley.com/documents/?uuid=3c8919b6-7d9d-3e3e-9a6a-f2de67943421"]},{"id":"ITEM-2","itemData":{"DOI":"10.1016/B978-0-12-375678-7.01410-3","ISBN":"9780123756787","author":[{"dropping-particle":"","family":"Tappenden","given":"P.","non-dropping-particle":"","parse-names":false,"suffix":""}],"container-title":"Encyclopedia of Health Economics","id":"ITEM-2","issued":{"date-parts":[["2014"]]},"page":"168-179","title":"Problem Structuring for Health Economic Model Development","type":"chapter"},"uris":["http://www.mendeley.com/documents/?uuid=8d29dcb4-aa62-3205-ac09-73fbc40cc882"]}],"mendeley":{"formattedCitation":"(P. Tappenden, 2014; Paul Tappenden, Chilcott, Brennan, Squires, &amp; Stevenson, 2012)","plainTextFormattedCitation":"(P. Tappenden, 2014; Paul Tappenden, Chilcott, Brennan, Squires, &amp; Stevenson, 2012)","previouslyFormattedCitation":"(P. Tappenden, 2014; Paul Tappenden, Chilcott, Brennan, Squires, &amp; Stevenson, 2012)"},"properties":{"noteIndex":0},"schema":"https://github.com/citation-style-language/schema/raw/master/csl-citation.json"}</w:instrText>
      </w:r>
      <w:r w:rsidRPr="00642AB3">
        <w:fldChar w:fldCharType="separate"/>
      </w:r>
      <w:r w:rsidRPr="00642AB3">
        <w:rPr>
          <w:noProof/>
        </w:rPr>
        <w:t>(P. Tappenden, 2014; Paul Tappenden, Chilcott, Brennan, Squires, &amp; Stevenson, 2012)</w:t>
      </w:r>
      <w:r w:rsidRPr="00642AB3">
        <w:fldChar w:fldCharType="end"/>
      </w:r>
      <w:r w:rsidRPr="00642AB3">
        <w:t xml:space="preserve"> , developed the methodology of conceptual modelling, building on the Chilcott et al work </w:t>
      </w:r>
      <w:r w:rsidRPr="00642AB3">
        <w:fldChar w:fldCharType="begin" w:fldLock="1"/>
      </w:r>
      <w:r w:rsidR="00A33BA4">
        <w:instrText>ADDIN CSL_CITATION {"citationItems":[{"id":"ITEM-1","itemData":{"DOI":"10.3310/hta14250","ISBN":"2046-4924 (Electronic)\\r1366-5278 (Linking)","ISSN":"13665278","PMID":"20501062","abstract":"BACKGROUND: Health policy decisions must be relevant, evidence-based and transparent. Decision-analytic modelling supports this process but its role is reliant on its credibility. Errors in mathematical decision models or simulation exercises are unavoidable but little attention has been paid to processes in model development. Numerous error avoidance/identification strategies could be adopted but it is difficult to evaluate the merits of strategies for improving the credibility of models without first developing an understanding of error types and causes.\\n\\nOBJECTIVES: The study aims to describe the current comprehension of errors in the HTA modelling community and generate a taxonomy of model errors. Four primary objectives are to: (1) describe the current understanding of errors in HTA modelling; (2) understand current processes applied by the technology assessment community for avoiding errors in development, debugging and critically appraising models for errors; (3) use HTA modellers' perceptions of model errors with the wider non-HTA literature to develop a taxonomy of model errors; and (4) explore potential methods and procedures to reduce the occurrence of errors in models. It also describes the model development process as perceived by practitioners working within the HTA community.\\n\\nDATA SOURCES: A methodological review was undertaken using an iterative search methodology. Exploratory searches informed the scope of interviews; later searches focused on issues arising from the interviews. Searches were undertaken in February 2008 and January 2009. In-depth qualitative interviews were performed with 12 HTA modellers from academic and commercial modelling sectors.\\n\\nREVIEW METHODS: All qualitative data were analysed using the Framework approach. Descriptive and explanatory accounts were used to interrogate the data within and across themes and subthemes: organisation, roles and communication; the model development process; definition of error; types of model error; strategies for avoiding errors; strategies for identifying errors; and barriers and facilitators.\\n\\nRESULTS: There was no common language in the discussion of modelling errors and there was inconsistency in the perceived boundaries of what constitutes an error. Asked about the definition of model error, there was a tendency for interviewees to exclude matters of judgement from being errors and focus on 'slips' and 'lapses', but discussion of slips and lapses comprised less than 20…","author":[{"dropping-particle":"","family":"Chilcott","given":"J.","non-dropping-particle":"","parse-names":false,"suffix":""},{"dropping-particle":"","family":"Tappenden","given":"P.","non-dropping-particle":"","parse-names":false,"suffix":""},{"dropping-particle":"","family":"Rawdin","given":"A.","non-dropping-particle":"","parse-names":false,"suffix":""},{"dropping-particle":"","family":"Johnson","given":"M.","non-dropping-particle":"","parse-names":false,"suffix":""},{"dropping-particle":"","family":"Kaltenthaler","given":"E.","non-dropping-particle":"","parse-names":false,"suffix":""},{"dropping-particle":"","family":"Paisley","given":"S.","non-dropping-particle":"","parse-names":false,"suffix":""},{"dropping-particle":"","family":"Papaioannou","given":"D.","non-dropping-particle":"","parse-names":false,"suffix":""},{"dropping-particle":"","family":"Shippam","given":"A.","non-dropping-particle":"","parse-names":false,"suffix":""}],"container-title":"Health Technology Assessment","id":"ITEM-1","issue":"25","issued":{"date-parts":[["2010"]]},"title":"Avoiding and identifying errors in health technology assessment models: Qualitative study and methodological review","type":"article-journal","volume":"14"},"uris":["http://www.mendeley.com/documents/?uuid=57828736-d630-470a-86e1-21f8dd58a2e9"]}],"mendeley":{"formattedCitation":"(Chilcott et al., 2010)","plainTextFormattedCitation":"(Chilcott et al., 2010)","previouslyFormattedCitation":"(Chilcott et al., 2010)"},"properties":{"noteIndex":0},"schema":"https://github.com/citation-style-language/schema/raw/master/csl-citation.json"}</w:instrText>
      </w:r>
      <w:r w:rsidRPr="00642AB3">
        <w:fldChar w:fldCharType="separate"/>
      </w:r>
      <w:r w:rsidRPr="00642AB3">
        <w:rPr>
          <w:noProof/>
        </w:rPr>
        <w:t>(Chilcott et al., 2010)</w:t>
      </w:r>
      <w:r w:rsidRPr="00642AB3">
        <w:fldChar w:fldCharType="end"/>
      </w:r>
      <w:r w:rsidRPr="00642AB3">
        <w:t xml:space="preserve">. Here, the goal of conceptual modelling is to translate the analysts’ understanding of the decision problem towards a mathematical solution. Having an explicit conceptual model is seen as essential to justify the appropriateness of the chosen model structure, and the impact of assumptions and simplifications. </w:t>
      </w:r>
    </w:p>
    <w:p w14:paraId="3860E195" w14:textId="0EA7A78F" w:rsidR="00367E3D" w:rsidRPr="00642AB3" w:rsidRDefault="00367E3D" w:rsidP="00D35786">
      <w:pPr>
        <w:spacing w:line="480" w:lineRule="auto"/>
      </w:pPr>
      <w:proofErr w:type="spellStart"/>
      <w:r w:rsidRPr="00642AB3">
        <w:t>Afzali</w:t>
      </w:r>
      <w:proofErr w:type="spellEnd"/>
      <w:r w:rsidRPr="00642AB3">
        <w:t xml:space="preserve"> et al discussed the model structuring, of which conceptual modelling was a structural aspect </w:t>
      </w:r>
      <w:r w:rsidRPr="00642AB3">
        <w:fldChar w:fldCharType="begin" w:fldLock="1"/>
      </w:r>
      <w:r w:rsidR="00A33BA4">
        <w:instrText>ADDIN CSL_CITATION {"citationItems":[{"id":"ITEM-1","itemData":{"DOI":"10.1007/s40273-018-0693-7","ISBN":"0123456789","ISSN":"11792027","author":[{"dropping-particle":"","family":"Haji Ali Afzali","given":"Hossein","non-dropping-particle":"","parse-names":false,"suffix":""},{"dropping-particle":"","family":"Bojke","given":"Laura","non-dropping-particle":"","parse-names":false,"suffix":""},{"dropping-particle":"","family":"Karnon","given":"Jonathan","non-dropping-particle":"","parse-names":false,"suffix":""}],"container-title":"PharmacoEconomics","id":"ITEM-1","issued":{"date-parts":[["2018","7","20"]]},"page":"1-11","publisher":"Springer International Publishing","title":"Model Structuring for Economic Evaluations of New Health Technologies","type":"article-newspaper"},"uris":["http://www.mendeley.com/documents/?uuid=9466798f-7522-3545-8d01-c25bdded3e92"]}],"mendeley":{"formattedCitation":"(Haji Ali Afzali, Bojke, &amp; Karnon, 2018)","plainTextFormattedCitation":"(Haji Ali Afzali, Bojke, &amp; Karnon, 2018)","previouslyFormattedCitation":"(Haji Ali Afzali, Bojke, &amp; Karnon, 2018)"},"properties":{"noteIndex":0},"schema":"https://github.com/citation-style-language/schema/raw/master/csl-citation.json"}</w:instrText>
      </w:r>
      <w:r w:rsidRPr="00642AB3">
        <w:fldChar w:fldCharType="separate"/>
      </w:r>
      <w:r w:rsidRPr="00642AB3">
        <w:rPr>
          <w:noProof/>
        </w:rPr>
        <w:t>(Haji Ali Afzali, Bojke, &amp; Karnon, 2018)</w:t>
      </w:r>
      <w:r w:rsidRPr="00642AB3">
        <w:fldChar w:fldCharType="end"/>
      </w:r>
      <w:r w:rsidRPr="00642AB3">
        <w:t xml:space="preserve">. Here, conceptual modelling related to the appropriateness of the model structure in reflecting the natural history of the disease and the impact of each option on the disease progression. </w:t>
      </w:r>
    </w:p>
    <w:p w14:paraId="5D7A8FD0" w14:textId="594ACD47" w:rsidR="00367E3D" w:rsidRPr="00642AB3" w:rsidRDefault="00367E3D" w:rsidP="00451BA3">
      <w:pPr>
        <w:pStyle w:val="Heading3"/>
      </w:pPr>
      <w:bookmarkStart w:id="29" w:name="_Toc48925904"/>
      <w:r w:rsidRPr="00642AB3">
        <w:t xml:space="preserve">How </w:t>
      </w:r>
      <w:proofErr w:type="gramStart"/>
      <w:r w:rsidR="00392021" w:rsidRPr="00642AB3">
        <w:t>To</w:t>
      </w:r>
      <w:proofErr w:type="gramEnd"/>
      <w:r w:rsidR="00392021" w:rsidRPr="00642AB3">
        <w:t xml:space="preserve"> Develop A Conceptual Model?</w:t>
      </w:r>
      <w:bookmarkEnd w:id="29"/>
      <w:r w:rsidR="00392021" w:rsidRPr="00642AB3">
        <w:t xml:space="preserve"> </w:t>
      </w:r>
    </w:p>
    <w:p w14:paraId="6BBD38AB" w14:textId="7B094599" w:rsidR="00367E3D" w:rsidRPr="00642AB3" w:rsidRDefault="00367E3D" w:rsidP="00D35786">
      <w:pPr>
        <w:spacing w:line="480" w:lineRule="auto"/>
      </w:pPr>
      <w:r w:rsidRPr="00642AB3">
        <w:t xml:space="preserve">Chilcott et al asked analysts experienced in modelling for economic evaluation to explain their approach to the process of conceptual modelling </w:t>
      </w:r>
      <w:r w:rsidRPr="00642AB3">
        <w:fldChar w:fldCharType="begin" w:fldLock="1"/>
      </w:r>
      <w:r w:rsidR="00A33BA4">
        <w:instrText>ADDIN CSL_CITATION {"citationItems":[{"id":"ITEM-1","itemData":{"DOI":"10.3310/hta14250","ISBN":"2046-4924 (Electronic)\\r1366-5278 (Linking)","ISSN":"13665278","PMID":"20501062","abstract":"BACKGROUND: Health policy decisions must be relevant, evidence-based and transparent. Decision-analytic modelling supports this process but its role is reliant on its credibility. Errors in mathematical decision models or simulation exercises are unavoidable but little attention has been paid to processes in model development. Numerous error avoidance/identification strategies could be adopted but it is difficult to evaluate the merits of strategies for improving the credibility of models without first developing an understanding of error types and causes.\\n\\nOBJECTIVES: The study aims to describe the current comprehension of errors in the HTA modelling community and generate a taxonomy of model errors. Four primary objectives are to: (1) describe the current understanding of errors in HTA modelling; (2) understand current processes applied by the technology assessment community for avoiding errors in development, debugging and critically appraising models for errors; (3) use HTA modellers' perceptions of model errors with the wider non-HTA literature to develop a taxonomy of model errors; and (4) explore potential methods and procedures to reduce the occurrence of errors in models. It also describes the model development process as perceived by practitioners working within the HTA community.\\n\\nDATA SOURCES: A methodological review was undertaken using an iterative search methodology. Exploratory searches informed the scope of interviews; later searches focused on issues arising from the interviews. Searches were undertaken in February 2008 and January 2009. In-depth qualitative interviews were performed with 12 HTA modellers from academic and commercial modelling sectors.\\n\\nREVIEW METHODS: All qualitative data were analysed using the Framework approach. Descriptive and explanatory accounts were used to interrogate the data within and across themes and subthemes: organisation, roles and communication; the model development process; definition of error; types of model error; strategies for avoiding errors; strategies for identifying errors; and barriers and facilitators.\\n\\nRESULTS: There was no common language in the discussion of modelling errors and there was inconsistency in the perceived boundaries of what constitutes an error. Asked about the definition of model error, there was a tendency for interviewees to exclude matters of judgement from being errors and focus on 'slips' and 'lapses', but discussion of slips and lapses comprised less than 20…","author":[{"dropping-particle":"","family":"Chilcott","given":"J.","non-dropping-particle":"","parse-names":false,"suffix":""},{"dropping-particle":"","family":"Tappenden","given":"P.","non-dropping-particle":"","parse-names":false,"suffix":""},{"dropping-particle":"","family":"Rawdin","given":"A.","non-dropping-particle":"","parse-names":false,"suffix":""},{"dropping-particle":"","family":"Johnson","given":"M.","non-dropping-particle":"","parse-names":false,"suffix":""},{"dropping-particle":"","family":"Kaltenthaler","given":"E.","non-dropping-particle":"","parse-names":false,"suffix":""},{"dropping-particle":"","family":"Paisley","given":"S.","non-dropping-particle":"","parse-names":false,"suffix":""},{"dropping-particle":"","family":"Papaioannou","given":"D.","non-dropping-particle":"","parse-names":false,"suffix":""},{"dropping-particle":"","family":"Shippam","given":"A.","non-dropping-particle":"","parse-names":false,"suffix":""}],"container-title":"Health Technology Assessment","id":"ITEM-1","issue":"25","issued":{"date-parts":[["2010"]]},"title":"Avoiding and identifying errors in health technology assessment models: Qualitative study and methodological review","type":"article-journal","volume":"14"},"uris":["http://www.mendeley.com/documents/?uuid=57828736-d630-470a-86e1-21f8dd58a2e9"]}],"mendeley":{"formattedCitation":"(Chilcott et al., 2010)","plainTextFormattedCitation":"(Chilcott et al., 2010)","previouslyFormattedCitation":"(Chilcott et al., 2010)"},"properties":{"noteIndex":0},"schema":"https://github.com/citation-style-language/schema/raw/master/csl-citation.json"}</w:instrText>
      </w:r>
      <w:r w:rsidRPr="00642AB3">
        <w:fldChar w:fldCharType="separate"/>
      </w:r>
      <w:r w:rsidRPr="00642AB3">
        <w:rPr>
          <w:noProof/>
        </w:rPr>
        <w:t>(Chilcott et al., 2010)</w:t>
      </w:r>
      <w:r w:rsidRPr="00642AB3">
        <w:fldChar w:fldCharType="end"/>
      </w:r>
      <w:r w:rsidRPr="00642AB3">
        <w:t>. For some, conceptual modelling was not an explicit stage in the modelling work and instead it was done in parallel with model building. For those who saw conceptual modelling as an explicit stage in the modelling work, the methods employed included developing written documentation of the proposed model structure and assumptions, the use of diagrams to represent the disease and care pathways, developing mock-ups, and written interpretations of the evidence (p.23-24).</w:t>
      </w:r>
    </w:p>
    <w:p w14:paraId="71AD47FE" w14:textId="69F9BBBC" w:rsidR="00367E3D" w:rsidRPr="00642AB3" w:rsidRDefault="00367E3D" w:rsidP="00D35786">
      <w:pPr>
        <w:spacing w:line="480" w:lineRule="auto"/>
      </w:pPr>
      <w:r w:rsidRPr="00642AB3">
        <w:t xml:space="preserve">Of the guidance documents, only the NICE DSU TSD13 (and subsequently Tappenden) discuss the process of developing a conceptual model in detail </w:t>
      </w:r>
      <w:r w:rsidRPr="00642AB3">
        <w:fldChar w:fldCharType="begin" w:fldLock="1"/>
      </w:r>
      <w:r w:rsidR="00A33BA4">
        <w:instrText>ADDIN CSL_CITATION {"citationItems":[{"id":"ITEM-1","itemData":{"DOI":"10.1016/j.jval.2014.12.014","ISBN":"1099-1727","ISSN":"15244733","PMID":"26091606","author":[{"dropping-particle":"","family":"Kaltenhalter","given":"Eva","non-dropping-particle":"","parse-names":false,"suffix":""},{"dropping-particle":"","family":"Tappenden","given":"Paul","non-dropping-particle":"","parse-names":false,"suffix":""},{"dropping-particle":"","family":"Paisley","given":"Suzy","non-dropping-particle":"","parse-names":false,"suffix":""},{"dropping-particle":"","family":"Squires","given":"Hazel","non-dropping-particle":"","parse-names":false,"suffix":""}],"container-title":"NICE Decision Support Unit","id":"ITEM-1","issue":"13","issued":{"date-parts":[["2011"]]},"title":"NICE DSU Technical Support Document 13: Identifying and reviewing evidence to inform the conceptualisation and population of cost-effectiveness models","type":"report"},"uris":["http://www.mendeley.com/documents/?uuid=dc3d7923-fb75-362d-8bae-bb6146215190"]},{"id":"ITEM-2","itemData":{"DOI":"10.1016/j.jval.2012.07.008","ISSN":"10983015","abstract":"Objectives: This article presents a methodological framework for developing health economic models of whole systems of disease and treatment pathways to inform decisions concerning resource allocation-an approach referred to as \"Whole Disease Modeling.\" This system-level approach can provide a consistent mathematical infrastructure for the economic evaluation of virtually any intervention across a disease pathway. Methods: The framework has been developed for cancer but is broadly generalizable to other diseases. It has been informed by pilot work, a systematic review of economic analyses, a qualitative examination of model development processes, and other literature from the fields of operational research, statistics, and health economics. Results: The framework is built on three principles: 1) the model boundary and breadth should capture all relevant aspects of the disease and its treatment-from preclinical disease through to death, 2) the model should be developed such that the decision node is conceptually transferable across the model, and 3) the costs and consequences of service elements should be structurally related. A generalized process for developing Whole Disease Models is presented. Discussion: Although this approach involves a nontrivial investment of time and resource, its value may be realized when 1) multiple options for service change require economic analysis at a single time point, 2) a disease service changes rapidly and the model can be reused, 3) current services within a pathway have not been subjected to economic analysis, 4) upstream events are expected to have important downstream effects, or 5) simple cost-utility decision rules fail to reflect the complexity of the decision-makers' objectives. © 2012 International Society for Pharmacoeconomics and Outcomes Research (ISPOR). Published by Elsevier Inc.","author":[{"dropping-particle":"","family":"Tappenden","given":"Paul","non-dropping-particle":"","parse-names":false,"suffix":""},{"dropping-particle":"","family":"Chilcott","given":"Jim","non-dropping-particle":"","parse-names":false,"suffix":""},{"dropping-particle":"","family":"Brennan","given":"Alan","non-dropping-particle":"","parse-names":false,"suffix":""},{"dropping-particle":"","family":"Squires","given":"Hazel","non-dropping-particle":"","parse-names":false,"suffix":""},{"dropping-particle":"","family":"Stevenson","given":"Matthew","non-dropping-particle":"","parse-names":false,"suffix":""}],"container-title":"Value in Health","id":"ITEM-2","issue":"8","issued":{"date-parts":[["2012","12","1"]]},"page":"1127-1136","publisher":"Elsevier","title":"Whole disease modeling to inform resource allocation decisions in cancer: A methodological framework","type":"article-journal","volume":"15"},"uris":["http://www.mendeley.com/documents/?uuid=3c8919b6-7d9d-3e3e-9a6a-f2de67943421"]},{"id":"ITEM-3","itemData":{"DOI":"10.1016/B978-0-12-375678-7.01410-3","ISBN":"9780123756787","author":[{"dropping-particle":"","family":"Tappenden","given":"P.","non-dropping-particle":"","parse-names":false,"suffix":""}],"container-title":"Encyclopedia of Health Economics","id":"ITEM-3","issued":{"date-parts":[["2014"]]},"page":"168-179","title":"Problem Structuring for Health Economic Model Development","type":"chapter"},"uris":["http://www.mendeley.com/documents/?uuid=8d29dcb4-aa62-3205-ac09-73fbc40cc882"]}],"mendeley":{"formattedCitation":"(Kaltenhalter et al., 2011; P. Tappenden, 2014; Paul Tappenden et al., 2012)","plainTextFormattedCitation":"(Kaltenhalter et al., 2011; P. Tappenden, 2014; Paul Tappenden et al., 2012)","previouslyFormattedCitation":"(Kaltenhalter et al., 2011; P. Tappenden, 2014; Paul Tappenden et al., 2012)"},"properties":{"noteIndex":0},"schema":"https://github.com/citation-style-language/schema/raw/master/csl-citation.json"}</w:instrText>
      </w:r>
      <w:r w:rsidRPr="00642AB3">
        <w:fldChar w:fldCharType="separate"/>
      </w:r>
      <w:r w:rsidRPr="00642AB3">
        <w:rPr>
          <w:noProof/>
        </w:rPr>
        <w:t xml:space="preserve">(Kaltenhalter et al., 2011; P. </w:t>
      </w:r>
      <w:r w:rsidRPr="00642AB3">
        <w:rPr>
          <w:noProof/>
        </w:rPr>
        <w:lastRenderedPageBreak/>
        <w:t>Tappenden, 2014; Paul Tappenden et al., 2012)</w:t>
      </w:r>
      <w:r w:rsidRPr="00642AB3">
        <w:fldChar w:fldCharType="end"/>
      </w:r>
      <w:r w:rsidRPr="00642AB3">
        <w:t xml:space="preserve">. The first step is to develop the problem-oriented conceptual model by learning about the disease and its management insofar as it is relevant to the decision problem, as well as the impact of each option. To this goal, there are two types of problem-oriented conceptual model: the disease process model is concerned with the disease whereas the service pathways model is concerned with the process of managing the disease, such as technologies, resources and costs. The second step is to develop the design-oriented conceptual model, based on the problem-oriented conceptual model, and considering the available evidence, timelines, and resources. The output of the design-oriented conceptual model is one or more model structures, which will ultimately be implemented, as well as a list of evidence requirements. This approach to conceptual modelling was developed in the context of whole disease modelling, that is simulating the full course of the disease and its care pathway </w:t>
      </w:r>
      <w:r w:rsidRPr="00642AB3">
        <w:fldChar w:fldCharType="begin" w:fldLock="1"/>
      </w:r>
      <w:r w:rsidR="00A33BA4">
        <w:instrText>ADDIN CSL_CITATION {"citationItems":[{"id":"ITEM-1","itemData":{"DOI":"10.1016/j.jval.2012.07.008","ISSN":"10983015","abstract":"Objectives: This article presents a methodological framework for developing health economic models of whole systems of disease and treatment pathways to inform decisions concerning resource allocation-an approach referred to as \"Whole Disease Modeling.\" This system-level approach can provide a consistent mathematical infrastructure for the economic evaluation of virtually any intervention across a disease pathway. Methods: The framework has been developed for cancer but is broadly generalizable to other diseases. It has been informed by pilot work, a systematic review of economic analyses, a qualitative examination of model development processes, and other literature from the fields of operational research, statistics, and health economics. Results: The framework is built on three principles: 1) the model boundary and breadth should capture all relevant aspects of the disease and its treatment-from preclinical disease through to death, 2) the model should be developed such that the decision node is conceptually transferable across the model, and 3) the costs and consequences of service elements should be structurally related. A generalized process for developing Whole Disease Models is presented. Discussion: Although this approach involves a nontrivial investment of time and resource, its value may be realized when 1) multiple options for service change require economic analysis at a single time point, 2) a disease service changes rapidly and the model can be reused, 3) current services within a pathway have not been subjected to economic analysis, 4) upstream events are expected to have important downstream effects, or 5) simple cost-utility decision rules fail to reflect the complexity of the decision-makers' objectives. © 2012 International Society for Pharmacoeconomics and Outcomes Research (ISPOR). Published by Elsevier Inc.","author":[{"dropping-particle":"","family":"Tappenden","given":"Paul","non-dropping-particle":"","parse-names":false,"suffix":""},{"dropping-particle":"","family":"Chilcott","given":"Jim","non-dropping-particle":"","parse-names":false,"suffix":""},{"dropping-particle":"","family":"Brennan","given":"Alan","non-dropping-particle":"","parse-names":false,"suffix":""},{"dropping-particle":"","family":"Squires","given":"Hazel","non-dropping-particle":"","parse-names":false,"suffix":""},{"dropping-particle":"","family":"Stevenson","given":"Matthew","non-dropping-particle":"","parse-names":false,"suffix":""}],"container-title":"Value in Health","id":"ITEM-1","issue":"8","issued":{"date-parts":[["2012","12","1"]]},"page":"1127-1136","publisher":"Elsevier","title":"Whole disease modeling to inform resource allocation decisions in cancer: A methodological framework","type":"article-journal","volume":"15"},"uris":["http://www.mendeley.com/documents/?uuid=3c8919b6-7d9d-3e3e-9a6a-f2de67943421"]}],"mendeley":{"formattedCitation":"(Paul Tappenden et al., 2012)","plainTextFormattedCitation":"(Paul Tappenden et al., 2012)","previouslyFormattedCitation":"(Paul Tappenden et al., 2012)"},"properties":{"noteIndex":0},"schema":"https://github.com/citation-style-language/schema/raw/master/csl-citation.json"}</w:instrText>
      </w:r>
      <w:r w:rsidRPr="00642AB3">
        <w:fldChar w:fldCharType="separate"/>
      </w:r>
      <w:r w:rsidRPr="00642AB3">
        <w:rPr>
          <w:noProof/>
        </w:rPr>
        <w:t>(Paul Tappenden et al., 2012)</w:t>
      </w:r>
      <w:r w:rsidRPr="00642AB3">
        <w:fldChar w:fldCharType="end"/>
      </w:r>
      <w:r w:rsidRPr="00642AB3">
        <w:t xml:space="preserve">. Examples of its application are in colorectal cancer </w:t>
      </w:r>
      <w:r w:rsidRPr="00642AB3">
        <w:fldChar w:fldCharType="begin" w:fldLock="1"/>
      </w:r>
      <w:r w:rsidR="00A33BA4">
        <w:instrText>ADDIN CSL_CITATION {"citationItems":[{"id":"ITEM-1","itemData":{"DOI":"10.1016/j.jval.2013.02.012","ISSN":"10983015","abstract":"Objective: To assess the feasibility and value of simulating whole disease and treatment pathways within a single model to provide a common economic basis for informing resource allocation decisions. Methods: A patient-level simulation model was developed with the intention of being capable of evaluating multiple topics within National Institute for Health and Clinical Excellence's colorectal cancer clinical guideline. The model simulates disease and treatment pathways from preclinical disease through to detection, diagnosis, adjuvant/neoadjuvant treatments, follow-up, curative/palliative treatments for metastases, supportive care, and eventual death. The model parameters were informed by meta-analyses, randomized trials, observational studies, health utility studies, audit data, costing sources, and expert opinion. Unobservable natural history parameters were calibrated against external data using Bayesian Markov chain Monte Carlo methods. Economic analysis was undertaken using conventional cost-utility decision rules within each guideline topic and constrained maximization rules across multiple topics. Results: Under usual processes for guideline development, piecewise economic modeling would have been used to evaluate between one and three topics. The Whole Disease Model was capable of evaluating 11 of 15 guideline topics, ranging from alternative diagnostic technologies through to treatments for metastatic disease. The constrained maximization analysis identified a configuration of colorectal services that is expected to maximize quality-adjusted life-year gains without exceeding current expenditure levels. Conclusions: This study indicates that Whole Disease Model development is feasible and can allow for the economic analysis of most interventions across a disease service within a consistent conceptual and mathematical infrastructure. This disease-level modeling approach may be of particular value in providing an economic basis to support other clinical guidelines. © 2013 International Society for Pharmacoeconomics and Outcomes Research (ISPOR).","author":[{"dropping-particle":"","family":"Tappenden","given":"Paul","non-dropping-particle":"","parse-names":false,"suffix":""},{"dropping-particle":"","family":"Chilcott","given":"Jim","non-dropping-particle":"","parse-names":false,"suffix":""},{"dropping-particle":"","family":"Brennan","given":"Alan","non-dropping-particle":"","parse-names":false,"suffix":""},{"dropping-particle":"","family":"Squires","given":"Hazel","non-dropping-particle":"","parse-names":false,"suffix":""},{"dropping-particle":"","family":"Glynne-Jones","given":"Rob","non-dropping-particle":"","parse-names":false,"suffix":""},{"dropping-particle":"","family":"Tappenden","given":"Janine","non-dropping-particle":"","parse-names":false,"suffix":""}],"container-title":"Value in Health","id":"ITEM-1","issue":"4","issued":{"date-parts":[["2013","6","1"]]},"page":"542-553","publisher":"Elsevier","title":"Using whole disease modeling to inform resource allocation decisions: Economic evaluation of a clinical guideline for colorectal cancer using a single model","type":"article-journal","volume":"16"},"uris":["http://www.mendeley.com/documents/?uuid=aeefb73d-f0a3-3ae2-bcd6-d550f8656f89"]}],"mendeley":{"formattedCitation":"(Paul Tappenden et al., 2013)","plainTextFormattedCitation":"(Paul Tappenden et al., 2013)","previouslyFormattedCitation":"(Paul Tappenden et al., 2013)"},"properties":{"noteIndex":0},"schema":"https://github.com/citation-style-language/schema/raw/master/csl-citation.json"}</w:instrText>
      </w:r>
      <w:r w:rsidRPr="00642AB3">
        <w:fldChar w:fldCharType="separate"/>
      </w:r>
      <w:r w:rsidRPr="00642AB3">
        <w:rPr>
          <w:noProof/>
        </w:rPr>
        <w:t>(Paul Tappenden et al., 2013)</w:t>
      </w:r>
      <w:r w:rsidRPr="00642AB3">
        <w:fldChar w:fldCharType="end"/>
      </w:r>
      <w:r w:rsidR="002B6CE9">
        <w:t>,</w:t>
      </w:r>
      <w:r w:rsidRPr="00642AB3">
        <w:t xml:space="preserve"> in prostate cancer </w:t>
      </w:r>
      <w:r w:rsidRPr="00642AB3">
        <w:fldChar w:fldCharType="begin" w:fldLock="1"/>
      </w:r>
      <w:r w:rsidR="00A33BA4">
        <w:instrText>ADDIN CSL_CITATION {"citationItems":[{"id":"ITEM-1","itemData":{"DOI":"10.3310/hta17580","ISBN":"1366-5278","ISSN":"13665278","PMID":"24325843","abstract":"BACKGROUND: National Institute for Health and Care Excellence (NICE) clinical guidelines (CGs) make recommendations across large, complex care pathways for broad groups of patients. They rely on cost-effectiveness evidence from the literature and from new analyses for selected high-priority topics. An alternative approach would be to build a model of the full care pathway and to use this as a platform to evaluate the cost-effectiveness of multiple topics across the guideline recommendations.\\n\\nOBJECTIVES: In this project we aimed to test the feasibility of building full guideline models for NICE guidelines and to assess if, and how, such models can be used as a basis for cost-effectiveness analysis (CEA).\\n\\nDATA SOURCES: A 'best evidence' approach was used to inform the model parameters. Data were drawn from the guideline documentation, advice from clinical experts and rapid literature reviews on selected topics. Where possible we relied on good-quality, recent UK systematic reviews and meta-analyses.\\n\\nREVIEW METHODS: Two published NICE guidelines were used as case studies: prostate cancer and atrial fibrillation (AF). Discrete event simulation (DES) was used to model the recommended care pathways and to estimate consequent costs and outcomes. For each guideline, researchers not involved in model development collated a shortlist of topics suggested for updating. The modelling teams then attempted to evaluate options related to these topics. Cost-effectiveness results were compared with opinions about the importance of the topics elicited in a survey of stakeholders.\\n\\nRESULTS: The modelling teams developed simulations of the guideline pathways and disease processes. Development took longer and required more analytical time than anticipated. Estimates of cost-effectiveness were produced for six of the nine prostate cancer topics considered, and for five of eight AF topics. The other topics were not evaluated owing to lack of data or time constraints. The modelled results suggested 'economic priorities' for an update that differed from priorities expressed in the stakeholder survey.\\n\\nLIMITATIONS: We did not conduct systematic reviews to inform the model parameters, and so the results might not reflect all current evidence. Data limitations and time constraints restricted the number of analyses that we could conduct. We were also unable to obtain feedback from guideline stakeholders about the usefulness of the models within project time scales.\\n\\nC…","author":[{"dropping-particle":"","family":"Lord","given":"J.","non-dropping-particle":"","parse-names":false,"suffix":""},{"dropping-particle":"","family":"Willis","given":"S.","non-dropping-particle":"","parse-names":false,"suffix":""},{"dropping-particle":"","family":"Eatock","given":"J.","non-dropping-particle":"","parse-names":false,"suffix":""},{"dropping-particle":"","family":"Tappenden","given":"P.","non-dropping-particle":"","parse-names":false,"suffix":""},{"dropping-particle":"","family":"Trapero-Bertran","given":"M.","non-dropping-particle":"","parse-names":false,"suffix":""},{"dropping-particle":"","family":"Miners","given":"A.","non-dropping-particle":"","parse-names":false,"suffix":""},{"dropping-particle":"","family":"Crossan","given":"C.","non-dropping-particle":"","parse-names":false,"suffix":""},{"dropping-particle":"","family":"Westby","given":"M.","non-dropping-particle":"","parse-names":false,"suffix":""},{"dropping-particle":"","family":"Anagnostou","given":"A.","non-dropping-particle":"","parse-names":false,"suffix":""},{"dropping-particle":"","family":"Taylor","given":"S.","non-dropping-particle":"","parse-names":false,"suffix":""},{"dropping-particle":"","family":"Mavranezouli","given":"I.","non-dropping-particle":"","parse-names":false,"suffix":""},{"dropping-particle":"","family":"Wonderling","given":"D.","non-dropping-particle":"","parse-names":false,"suffix":""},{"dropping-particle":"","family":"Alderson","given":"P.","non-dropping-particle":"","parse-names":false,"suffix":""},{"dropping-particle":"","family":"Ruiz","given":"F.","non-dropping-particle":"","parse-names":false,"suffix":""}],"container-title":"Health Technology Assessment","id":"ITEM-1","issue":"58","issued":{"date-parts":[["2013"]]},"page":"1-150","title":"Economic modelling of diagnostic and treatment pathways in National Institute for Health and Care Excellence clinical guidelines: The Modelling Algorithm Pathways in Guidelines (MAPGuide) project","type":"article-journal","volume":"17"},"uris":["http://www.mendeley.com/documents/?uuid=62575507-3339-45df-a17d-38f59b100960"]}],"mendeley":{"formattedCitation":"(Lord et al., 2013)","plainTextFormattedCitation":"(Lord et al., 2013)","previouslyFormattedCitation":"(Lord et al., 2013)"},"properties":{"noteIndex":0},"schema":"https://github.com/citation-style-language/schema/raw/master/csl-citation.json"}</w:instrText>
      </w:r>
      <w:r w:rsidRPr="00642AB3">
        <w:fldChar w:fldCharType="separate"/>
      </w:r>
      <w:r w:rsidRPr="00642AB3">
        <w:rPr>
          <w:noProof/>
        </w:rPr>
        <w:t>(Lord et al., 2013)</w:t>
      </w:r>
      <w:r w:rsidRPr="00642AB3">
        <w:fldChar w:fldCharType="end"/>
      </w:r>
      <w:r w:rsidR="00F56021">
        <w:t xml:space="preserve"> and in schizophrenia </w:t>
      </w:r>
      <w:r w:rsidR="00F56021">
        <w:fldChar w:fldCharType="begin" w:fldLock="1"/>
      </w:r>
      <w:r w:rsidR="002E020D">
        <w:instrText>ADDIN CSL_CITATION {"citationItems":[{"id":"ITEM-1","itemData":{"DOI":"10.1001/jamanetworkopen.2020.5888","ISSN":"25743805","PMID":"32459356","abstract":"Importance: The existing economic models for schizophrenia often have 3 limitations; namely, they do not cover nonpharmacologic interventions, they report inconsistent conclusions for antipsychotics, and they have poor methodologic quality. Objectives: To develop a whole-disease model for schizophrenia and use it to inform resource allocation decisions across the entire care pathway for schizophrenia in the UK. Design, Setting, and Participants: This decision analytical model used a whole-disease model to simulate the entire disease and treatment pathway among a simulated cohort of 200 000 individuals at clinical high risk of psychoses or with a diagnosis of psychosis or schizophrenia being treated in primary, secondary, and tertiary care in the UK. Data were collected March 2016 to December 2018 and analyzed December 2018 to April 2019. Exposures: The whole-disease model used discrete event simulation; its structure and input data were informed by published literature and expert opinion. Analyses were conducted from the perspective of the National Health Service and Personal Social Services over a lifetime horizon. Key interventions assessed included cognitive behavioral therapy, antipsychotic medication, family intervention, inpatient care, and crisis resolution and home treatment team. Main Outcomes and Measures: Life-time costs and quality-adjusted life-years. Results: In the simulated cohort of 200 000 individuals (mean [SD] age, 23.5 [5.1] years; 120 800 [60.4%] men), 66 400 (33.2%) were not at risk of psychosis, 69 800 (34.9%) were at clinical high risk of psychosis, and 63 800 (31.9%) had psychosis. The results of the whole-disease model suggest the following interventions are likely to be cost-effective at a willingness-to-pay threshold of £20 000 ($25 552) per quality-adjusted life-year: practice as usual plus cognitive behavioral therapy for individuals at clinical high risk of psychosis (probability vs practice as usual alone, 0.96); a mix of hospital admission and crisis resolution and home treatment team for individuals with acute psychosis (probability vs hospital admission alone, 0.99); amisulpride (probability vs all other antipsychotics, 0.39), risperidone (probability vs all other antipsychotics, 0.30), or olanzapine (probability vs all other antipsychotics, 0.17) combined with family intervention for individuals with first-episode psychosis (probability vs family intervention or medication alone, 0.58); and clozapine for individuals …","author":[{"dropping-particle":"","family":"Jin","given":"Huajie","non-dropping-particle":"","parse-names":false,"suffix":""},{"dropping-particle":"","family":"Tappenden","given":"Paul","non-dropping-particle":"","parse-names":false,"suffix":""},{"dropping-particle":"","family":"MacCabe","given":"James H.","non-dropping-particle":"","parse-names":false,"suffix":""},{"dropping-particle":"","family":"Robinson","given":"Stewart","non-dropping-particle":"","parse-names":false,"suffix":""},{"dropping-particle":"","family":"Byford","given":"Sarah","non-dropping-particle":"","parse-names":false,"suffix":""}],"container-title":"JAMA network open","id":"ITEM-1","issue":"5","issued":{"date-parts":[["2020","5","1"]]},"page":"e205888","publisher":"NLM (Medline)","title":"Evaluation of the Cost-effectiveness of Services for Schizophrenia in the UK Across the Entire Care Pathway in a Single Whole-Disease Model","type":"article-journal","volume":"3"},"uris":["http://www.mendeley.com/documents/?uuid=f697ceae-e3c4-38ca-a568-9e2312de05dd"]}],"mendeley":{"formattedCitation":"(Jin, Tappenden, MacCabe, Robinson, &amp; Byford, 2020)","plainTextFormattedCitation":"(Jin, Tappenden, MacCabe, Robinson, &amp; Byford, 2020)","previouslyFormattedCitation":"(Jin, Tappenden, MacCabe, Robinson, &amp; Byford, 2020)"},"properties":{"noteIndex":0},"schema":"https://github.com/citation-style-language/schema/raw/master/csl-citation.json"}</w:instrText>
      </w:r>
      <w:r w:rsidR="00F56021">
        <w:fldChar w:fldCharType="separate"/>
      </w:r>
      <w:r w:rsidR="00F56021" w:rsidRPr="00F56021">
        <w:rPr>
          <w:noProof/>
        </w:rPr>
        <w:t>(Jin, Tappenden, MacCabe, Robinson, &amp; Byford, 2020)</w:t>
      </w:r>
      <w:r w:rsidR="00F56021">
        <w:fldChar w:fldCharType="end"/>
      </w:r>
      <w:r w:rsidRPr="00642AB3">
        <w:t xml:space="preserve">.  </w:t>
      </w:r>
    </w:p>
    <w:p w14:paraId="4B95162A" w14:textId="00DF689C" w:rsidR="00367E3D" w:rsidRPr="00642AB3" w:rsidRDefault="00367E3D" w:rsidP="00D35786">
      <w:pPr>
        <w:spacing w:line="480" w:lineRule="auto"/>
      </w:pPr>
      <w:r w:rsidRPr="00642AB3">
        <w:t xml:space="preserve">Squires et al developed the methodology of conceptual modelling in the context of economic evaluations of public health technologies </w:t>
      </w:r>
      <w:r w:rsidRPr="00642AB3">
        <w:fldChar w:fldCharType="begin" w:fldLock="1"/>
      </w:r>
      <w:r w:rsidR="00A33BA4">
        <w:instrText>ADDIN CSL_CITATION {"citationItems":[{"id":"ITEM-1","itemData":{"DOI":"10.1016/j.jval.2016.02.011","ISBN":"1524-4733 (Electronic) 1098-3015 (Linking)","ISSN":"15244733","PMID":"27565276","abstract":"Background A conceptual modeling framework is a methodology that assists modelers through the process of developing a model structure. Public health interventions tend to operate in dynamically complex systems. Modeling public health interventions requires broader considerations than clinical ones. Inappropriately simple models may lead to poor validity and credibility, resulting in suboptimal allocation of resources. Objective This article presents the first conceptual modeling framework for public health economic evaluation. Methods The framework presented here was informed by literature reviews of the key challenges in public health economic modeling and existing conceptual modeling frameworks; qualitative research to understand the experiences of modelers when developing public health economic models; and piloting a draft version of the framework. Results The conceptual modeling framework comprises four key principles of good practice and a proposed methodology. The key principles are that 1) a systems approach to modeling should be taken; 2) a documented understanding of the problem is imperative before and alongside developing and justifying the model structure; 3) strong communication with stakeholders and members of the team throughout model development is essential; and 4) a systematic consideration of the determinants of health is central to identifying the key impacts of public health interventions. The methodology consists of four phases: phase A, aligning the framework with the decision-making process; phase B, identifying relevant stakeholders; phase C, understanding the problem; and phase D, developing and justifying the model structure. Key areas for further research involve evaluation of the framework in diverse case studies and the development of methods for modeling individual and social behavior. Conclusions This approach could improve the quality of Public Health economic models, supporting efficient allocation of scarce resources.","author":[{"dropping-particle":"","family":"Squires","given":"Hazel","non-dropping-particle":"","parse-names":false,"suffix":""},{"dropping-particle":"","family":"Chilcott","given":"James","non-dropping-particle":"","parse-names":false,"suffix":""},{"dropping-particle":"","family":"Akehurst","given":"Ronald","non-dropping-particle":"","parse-names":false,"suffix":""},{"dropping-particle":"","family":"Burr","given":"Jennifer","non-dropping-particle":"","parse-names":false,"suffix":""},{"dropping-particle":"","family":"Kelly","given":"Michael P","non-dropping-particle":"","parse-names":false,"suffix":""}],"container-title":"Value in Health","id":"ITEM-1","issue":"5","issued":{"date-parts":[["2016"]]},"page":"588-601","title":"A Framework for Developing the Structure of Public Health Economic Models","type":"article-journal","volume":"19"},"uris":["http://www.mendeley.com/documents/?uuid=60ddb6ae-2c89-3274-ae04-d2e41f9558e2"]}],"mendeley":{"formattedCitation":"(Squires, Chilcott, Akehurst, Burr, &amp; Kelly, 2016)","plainTextFormattedCitation":"(Squires, Chilcott, Akehurst, Burr, &amp; Kelly, 2016)","previouslyFormattedCitation":"(Squires, Chilcott, Akehurst, Burr, &amp; Kelly, 2016)"},"properties":{"noteIndex":0},"schema":"https://github.com/citation-style-language/schema/raw/master/csl-citation.json"}</w:instrText>
      </w:r>
      <w:r w:rsidRPr="00642AB3">
        <w:fldChar w:fldCharType="separate"/>
      </w:r>
      <w:r w:rsidRPr="00642AB3">
        <w:rPr>
          <w:noProof/>
        </w:rPr>
        <w:t>(Squires, Chilcott, Akehurst, Burr, &amp; Kelly, 2016)</w:t>
      </w:r>
      <w:r w:rsidRPr="00642AB3">
        <w:fldChar w:fldCharType="end"/>
      </w:r>
      <w:r w:rsidRPr="00642AB3">
        <w:t xml:space="preserve">. They defined four stages in conceptual modelling: </w:t>
      </w:r>
    </w:p>
    <w:p w14:paraId="4013EA29" w14:textId="72AC1E6F" w:rsidR="00367E3D" w:rsidRPr="00642AB3" w:rsidRDefault="00367E3D" w:rsidP="00D35786">
      <w:pPr>
        <w:pStyle w:val="ListParagraph"/>
        <w:numPr>
          <w:ilvl w:val="0"/>
          <w:numId w:val="33"/>
        </w:numPr>
        <w:spacing w:line="480" w:lineRule="auto"/>
      </w:pPr>
      <w:r w:rsidRPr="00642AB3">
        <w:t>“</w:t>
      </w:r>
      <w:r w:rsidRPr="00642AB3">
        <w:rPr>
          <w:i/>
          <w:iCs/>
        </w:rPr>
        <w:t>Aligning the framework with the decision-making process</w:t>
      </w:r>
      <w:r w:rsidRPr="00642AB3">
        <w:t xml:space="preserve">”, which involves setting out the relevant modes to engage with stakeholders, approaches for searching evidence, and the timelines and resourcing available. </w:t>
      </w:r>
    </w:p>
    <w:p w14:paraId="395D9C44" w14:textId="2B950156" w:rsidR="00367E3D" w:rsidRPr="00642AB3" w:rsidRDefault="00367E3D" w:rsidP="00D35786">
      <w:pPr>
        <w:pStyle w:val="ListParagraph"/>
        <w:numPr>
          <w:ilvl w:val="0"/>
          <w:numId w:val="33"/>
        </w:numPr>
        <w:spacing w:line="480" w:lineRule="auto"/>
      </w:pPr>
      <w:r w:rsidRPr="00642AB3">
        <w:t>“</w:t>
      </w:r>
      <w:r w:rsidRPr="00642AB3">
        <w:rPr>
          <w:i/>
          <w:iCs/>
        </w:rPr>
        <w:t>Identifying relevant stakeholders</w:t>
      </w:r>
      <w:r w:rsidRPr="00642AB3">
        <w:t>”, stakeholder being anyone who impacts on or who is impacted on by the technology.</w:t>
      </w:r>
    </w:p>
    <w:p w14:paraId="67E479E1" w14:textId="25C86EE8" w:rsidR="00367E3D" w:rsidRPr="00642AB3" w:rsidRDefault="00367E3D" w:rsidP="00D35786">
      <w:pPr>
        <w:pStyle w:val="ListParagraph"/>
        <w:numPr>
          <w:ilvl w:val="0"/>
          <w:numId w:val="33"/>
        </w:numPr>
        <w:spacing w:line="480" w:lineRule="auto"/>
      </w:pPr>
      <w:r w:rsidRPr="00642AB3">
        <w:t>“</w:t>
      </w:r>
      <w:r w:rsidRPr="00642AB3">
        <w:rPr>
          <w:i/>
          <w:iCs/>
        </w:rPr>
        <w:t>Understanding the problem</w:t>
      </w:r>
      <w:r w:rsidRPr="00642AB3">
        <w:t>”, which includes developing the conceptual model of the problem, developing the research question, and describing the care pathways.</w:t>
      </w:r>
    </w:p>
    <w:p w14:paraId="1ABCC666" w14:textId="3DE1ECEC" w:rsidR="00367E3D" w:rsidRPr="00642AB3" w:rsidRDefault="00367E3D" w:rsidP="00D35786">
      <w:pPr>
        <w:pStyle w:val="ListParagraph"/>
        <w:numPr>
          <w:ilvl w:val="0"/>
          <w:numId w:val="33"/>
        </w:numPr>
        <w:spacing w:line="480" w:lineRule="auto"/>
      </w:pPr>
      <w:r w:rsidRPr="00642AB3">
        <w:lastRenderedPageBreak/>
        <w:t>“</w:t>
      </w:r>
      <w:r w:rsidRPr="00642AB3">
        <w:rPr>
          <w:i/>
          <w:iCs/>
        </w:rPr>
        <w:t>Developing and justifying the model structure</w:t>
      </w:r>
      <w:r w:rsidRPr="00642AB3">
        <w:t>”, which involves reviewing existing models, choosing the technology and the comparators, determining the scope of the model, the populations and subpopulations, perspective and outcomes, determining the level of detail in the modelling of each relationship, choosing the modelling approach, and qualitatively describing the model which will ultimately be implemented.</w:t>
      </w:r>
    </w:p>
    <w:p w14:paraId="3617EE92" w14:textId="4CBA5C22" w:rsidR="00367E3D" w:rsidRPr="00642AB3" w:rsidRDefault="00367E3D" w:rsidP="00D35786">
      <w:pPr>
        <w:spacing w:line="480" w:lineRule="auto"/>
      </w:pPr>
      <w:r w:rsidRPr="00642AB3">
        <w:t xml:space="preserve">The Squires et al approach was applied in the development of an economic model to simulate the impact of public health technologies to change the amount of physical activity and/or diet on quality-adjusted survival and health and social care costs </w:t>
      </w:r>
      <w:r w:rsidRPr="00642AB3">
        <w:fldChar w:fldCharType="begin" w:fldLock="1"/>
      </w:r>
      <w:r w:rsidR="00A33BA4">
        <w:instrText>ADDIN CSL_CITATION {"citationItems":[{"id":"ITEM-1","itemData":{"DOI":"10.1186/s12913-019-4237-4","ISSN":"14726963","abstract":"Background: Non-communicable diseases are the leading cause of death in England, and poor diet and physical inactivity are two of the principle behavioural risk factors. In the context of increasingly constrained financial resources, decision makers in England need to be able to compare the potential costs and health outcomes of different public health policies aimed at improving these risk factors in order to know where to invest so that they can maximise population health. This paper describes PRIMEtime CE, a multistate life table cost-effectiveness model that can directly compare interventions affecting multiple disease outcomes. Methods: The multistate life table model, PRIMEtime Cost Effectiveness (PRIMEtime CE), is developed from the Preventable Risk Integrated ModEl (PRIME) and the PRIMEtime model. PRIMEtime CE uses routinely available data to estimate how changing diet and physical activity in England affects morbidity and mortality from heart disease, stroke, diabetes, liver disease, and cancers either directly or via raised blood pressure, cholesterol, and body weight. Results: Model outcomes are change in quality adjusted life years, and change in English National Health Service and social care costs. Conclusion: This paper describes PRIMEtime CE and highlights its main strengths and limitations. The model can be used to compare any number of public policies affecting diet and physical activity, allowing decision makers to understand how they can maximise population health with limited financial resources.","author":[{"dropping-particle":"","family":"Briggs","given":"Adam D.M.","non-dropping-particle":"","parse-names":false,"suffix":""},{"dropping-particle":"","family":"Cobiac","given":"Linda J.","non-dropping-particle":"","parse-names":false,"suffix":""},{"dropping-particle":"","family":"Wolstenholme","given":"Jane","non-dropping-particle":"","parse-names":false,"suffix":""},{"dropping-particle":"","family":"Scarborough","given":"Peter","non-dropping-particle":"","parse-names":false,"suffix":""}],"container-title":"BMC Health Services Research","id":"ITEM-1","issue":"1","issued":{"date-parts":[["2019","7","16"]]},"page":"1-19","publisher":"BioMed Central Ltd.","title":"PRIMEtime CE: A multistate life table model for estimating the cost-effectiveness of interventions affecting diet and physical activity","type":"article-journal","volume":"19"},"uris":["http://www.mendeley.com/documents/?uuid=ed3b290f-21c6-39d7-9832-b36553ef0f50"]}],"mendeley":{"formattedCitation":"(A. D. M. Briggs, Cobiac, Wolstenholme, &amp; Scarborough, 2019)","plainTextFormattedCitation":"(A. D. M. Briggs, Cobiac, Wolstenholme, &amp; Scarborough, 2019)","previouslyFormattedCitation":"(A. D. M. Briggs, Cobiac, Wolstenholme, &amp; Scarborough, 2019)"},"properties":{"noteIndex":0},"schema":"https://github.com/citation-style-language/schema/raw/master/csl-citation.json"}</w:instrText>
      </w:r>
      <w:r w:rsidRPr="00642AB3">
        <w:fldChar w:fldCharType="separate"/>
      </w:r>
      <w:r w:rsidRPr="00642AB3">
        <w:rPr>
          <w:noProof/>
        </w:rPr>
        <w:t>(A. D. M. Briggs, Cobiac, Wolstenholme, &amp; Scarborough, 2019)</w:t>
      </w:r>
      <w:r w:rsidRPr="00642AB3">
        <w:fldChar w:fldCharType="end"/>
      </w:r>
      <w:r w:rsidRPr="00642AB3">
        <w:t xml:space="preserve">. </w:t>
      </w:r>
    </w:p>
    <w:p w14:paraId="75A0E259" w14:textId="402F80B3" w:rsidR="00367E3D" w:rsidRPr="00642AB3" w:rsidRDefault="00367E3D" w:rsidP="00D35786">
      <w:pPr>
        <w:spacing w:line="480" w:lineRule="auto"/>
      </w:pPr>
      <w:r w:rsidRPr="00642AB3">
        <w:t xml:space="preserve">Publishing the conceptual models for economic evaluation is not common practice but there are a few examples </w:t>
      </w:r>
      <w:r w:rsidRPr="00642AB3">
        <w:fldChar w:fldCharType="begin" w:fldLock="1"/>
      </w:r>
      <w:r w:rsidR="00A33BA4">
        <w:instrText>ADDIN CSL_CITATION {"citationItems":[{"id":"ITEM-1","itemData":{"DOI":"10.1186/1471-2288-11-150","ISSN":"14712288","abstract":"Background: Given the rising number of asthma cases and the increasing costs of health care, prevention may be the best cure. Decisions regarding the implementation of prevention programmes in general and choosing between unifaceted and multifaceted strategies in particular are urgently needed. Existing trials on the primary prevention of asthma are, however, insufficient on their own to inform the decision of stakeholders regarding the cost-effectiveness of such prevention strategies. Decision analytic modelling synthesises available data for the cost-effectiveness evaluation of strategies in an explicit manner. Published reports on model development should provide the detail and transparency required to increase the acceptability of cost-effectiveness modelling. But, detail on the explicit steps and the involvement of experts in structuring a model is often unevenly reported. In this paper, we describe a procedure to structure and validate a model for the primary prevention of asthma in children. Methods. An expert panel was convened for round-table discussions to frame the cost-effectiveness research question and to select and structure a model. The model's structural validity, which indicates how well a model reflects the reality, was determined through descriptive and parallel validation. Descriptive validation was performed with the experts. Parallel validation qualitatively compared similarity between other published models with different decision problems. Results: The multidisciplinary input of experts helped to develop a decision-tree structure which compares the current situation with screening and prevention. The prevention was further divided between multifaceted and unifaceted approaches to analyse the differences. The clinical outcome was diagnosis of asthma. No similar model was found in the literature discussing the same decision problem. Structural validity in terms of descriptive validity was achieved with the experts and was supported by parallel validation. Conclusions: A decision-tree model developed with experts in round-table discussions benefits from a systematic and transparent approach and the multidisciplinary contributions of the experts. Parallel validation provides a feasible alternative to validating novel models. The process of structuring and validating a model presented in this paper could be a useful guide to increase transparency, credibility, and acceptability of (future, novel) models when experts are involved. © 2…","author":[{"dropping-particle":"","family":"Ramos","given":"G. Feljandro P.","non-dropping-particle":"","parse-names":false,"suffix":""},{"dropping-particle":"","family":"Kuiper","given":"Sandra","non-dropping-particle":"","parse-names":false,"suffix":""},{"dropping-particle":"","family":"Dompeling","given":"Edward","non-dropping-particle":"","parse-names":false,"suffix":""},{"dropping-particle":"","family":"Asselt","given":"Antoinette D.I.","non-dropping-particle":"Van","parse-names":false,"suffix":""},{"dropping-particle":"","family":"Grauw","given":"Wim J.C.","non-dropping-particle":"De","parse-names":false,"suffix":""},{"dropping-particle":"","family":"Knottnerus","given":"J.","non-dropping-particle":"","parse-names":false,"suffix":""},{"dropping-particle":"","family":"Schayck","given":"Onno C.P.","non-dropping-particle":"Van","parse-names":false,"suffix":""},{"dropping-particle":"","family":"Schermer","given":"Tjard R.J.","non-dropping-particle":"","parse-names":false,"suffix":""},{"dropping-particle":"","family":"Severens","given":"Johan L.","non-dropping-particle":"","parse-names":false,"suffix":""}],"container-title":"BMC Medical Research Methodology","id":"ITEM-1","issue":"1","issued":{"date-parts":[["2011","12","9"]]},"page":"150","publisher":"BioMed Central","title":"Structuring and validating a cost-effectiveness model of primary asthma prevention amongst children","type":"article-journal","volume":"11"},"uris":["http://www.mendeley.com/documents/?uuid=ad0f6325-bce9-3e35-b8b9-cbac18c1dbb0"]},{"id":"ITEM-2","itemData":{"DOI":"10.1177/2381468318814253","ISSN":"2381-4683","abstract":"Background. We aimed to develop and validate a conceptual model of multiple myeloma (MM) that characterizes the attributes affecting disease progression and patient outcomes, and the relationships between them. Methods. Systematic and targeted literature reviews identified disease- and patient-specific attributes of MM that affect disease progression and outcomes. These attributes were validated by a Delphi panel of four international MM experts, and a physician-validated model was constructed. Real-world clinical data from the Czech Registry of Monoclonal Gammopathies (RMG) was used to confirm the relationships between attributes using pairwise correlations and multiple Cox regression analysis. Results. The Delphi panel reached consensus that most cytogenetic abnormalities influenced disease activity, which results in symptoms and complications and affects overall survival (OS). Comorbidities and complications also affect OS. The entire panel agreed that quality of life was influenced by comorbidities, age, complications, and symptoms. Consensus was not reached in some cases, in particular, the influence of del(17p) on complications. The relationships between attributes were confirmed using pairwise analysis of real-world data from the Czech RMG; most of the correlations identified were statistically significant and the strength of the correlations changed with successive relapses. Czech RMG data were also used to confirm significant predictors of OS included in the model, such as age, Eastern Cooperative Oncology Group performance status, and extramedullary disease. Conclusions. This validated conceptual model can be used for economic modeling and clinical decision making. It could also inform the development of disease-based models to explore the impact of disease progression and treatment on outcomes in patients with MM.","author":[{"dropping-particle":"","family":"Gonzalez-McQuire","given":"Sebastian","non-dropping-particle":"","parse-names":false,"suffix":""},{"dropping-particle":"","family":"Dimopoulos","given":"Meletios-Athanassios","non-dropping-particle":"","parse-names":false,"suffix":""},{"dropping-particle":"","family":"Weisel","given":"Katja","non-dropping-particle":"","parse-names":false,"suffix":""},{"dropping-particle":"","family":"Bouwmeester","given":"Walter","non-dropping-particle":"","parse-names":false,"suffix":""},{"dropping-particle":"","family":"Hájek","given":"Roman","non-dropping-particle":"","parse-names":false,"suffix":""},{"dropping-particle":"","family":"Campioni","given":"Marco","non-dropping-particle":"","parse-names":false,"suffix":""},{"dropping-particle":"","family":"Bennison","given":"Craig","non-dropping-particle":"","parse-names":false,"suffix":""},{"dropping-particle":"","family":"Xu","given":"Weiwei","non-dropping-particle":"","parse-names":false,"suffix":""},{"dropping-particle":"","family":"Pantiri","given":"Krystallia","non-dropping-particle":"","parse-names":false,"suffix":""},{"dropping-particle":"","family":"Hensen","given":"Marja","non-dropping-particle":"","parse-names":false,"suffix":""},{"dropping-particle":"","family":"Terpos","given":"Evangelos","non-dropping-particle":"","parse-names":false,"suffix":""},{"dropping-particle":"","family":"Knop","given":"Stefan","non-dropping-particle":"","parse-names":false,"suffix":""}],"container-title":"MDM Policy &amp; Practice","id":"ITEM-2","issue":"1","issued":{"date-parts":[["2019","1","17"]]},"page":"238146831881425","publisher":"SAGE Publications Inc.","title":"Development of an Initial Conceptual Model of Multiple Myeloma to Support Clinical and Health Economics Decision Making","type":"article-journal","volume":"4"},"uris":["http://www.mendeley.com/documents/?uuid=7b637040-be60-3973-b628-849ad4eb3410"]},{"id":"ITEM-3","itemData":{"DOI":"10.1371/journal.pone.0222049","ISSN":"19326203","abstract":"Background Frailty is a major health issue which impacts the life of older people, posing a significant challenge to the health system. One of the key emerging areas is the development of frailty interventions to halt or reverse the progression of the condition. In many countries, economic evidence is required to inform public funding decisions for such interventions, and cost-effectiveness models are needed to estimate long-term costs and effects. Such models should capture current clinical understanding of frailty, its progression and its health consequences. The objective of this paper is to present a conceptual model of frailty that can be used to inform the development of a cost-effectiveness model to evaluate frailty interventions. Methods After critical analysis of the clinical and economic literature, a Delphi study consisting of experts from the disciplines of clinical medicine and epidemiology was undertaken to inform the key components of the conceptual model. We also identified relevant databases that can be used to populate and validate the model. Results A list of significant health states/events for which frailty is a strong independent risk factor was identified (e.g., hip fracture, hospital admission, delirium, death). We also identified a list of important patient attributes that may influence disease progression (e.g., age, gender, previous hospital admissions, depression). A number of large-scale relevant databases were also identified to populate and validate the cost-effectiveness model. Face validity of model structure was confirmed by experts. Discussion and conclusions The proposed conceptual model is being used as a basis for developing a new cost-effectiveness model to estimate lifetime costs and outcomes associated with a range of frailty interventions. Using an appropriate model structure, which more accurately reflects the natural history of frailty, will improve model transparency and accuracy. This will ultimately lead to better informed public funding decisions around interventions to manage frailty.","author":[{"dropping-particle":"","family":"Afzali","given":"Hossein Haji Ali","non-dropping-particle":"","parse-names":false,"suffix":""},{"dropping-particle":"","family":"Karnon","given":"Jonathan","non-dropping-particle":"","parse-names":false,"suffix":""},{"dropping-particle":"","family":"Theou","given":"Olga","non-dropping-particle":"","parse-names":false,"suffix":""},{"dropping-particle":"","family":"Beilby","given":"Justin","non-dropping-particle":"","parse-names":false,"suffix":""},{"dropping-particle":"","family":"Cesari","given":"Matteo","non-dropping-particle":"","parse-names":false,"suffix":""},{"dropping-particle":"","family":"Visvanathan","given":"Renuka","non-dropping-particle":"","parse-names":false,"suffix":""}],"container-title":"PLoS ONE","id":"ITEM-3","issue":"9","issued":{"date-parts":[["2019"]]},"page":"e0222049","publisher":"Public Library of Science","title":"Structuring a conceptual model for cost effectiveness analysis of frailty interventions","type":"article-journal","volume":"14"},"uris":["http://www.mendeley.com/documents/?uuid=4f4b040b-a291-3609-a1b7-984477d2d199"]},{"id":"ITEM-4","itemData":{"DOI":"10.1371/journal.pone.0205013","ISSN":"1932-6203","abstract":"The objective of this study was to evaluate current approaches to economic modeling in rheumatoid arthritis (RA) and propose a new conceptual model for evaluation of the costeffectiveness of RA interventions. We followed recommendations from the International Society of Pharmacoeconomics and Outcomes Research-Society of Medical Decision Making (ISPOR-SMDM) Modeling Good Research Practices Task Force-2. The process involved scoping the decision problem by a working group and drafting a preliminary costeffectiveness model framework. A systematic literature review (SLR) of existing decisionanalytic models was performed and analysis of an RA registry was conducted to inform the structure of the draft conceptual model. Finally, an expert panel was convened to seek input on the draft conceptual model. The proposed conceptual model consists of three separate modules: 1) patient characteristic module, 2) treatment module, and 3) outcome module. Consistent with the scope, the conceptual model proposed six changes to current economic models in RA. These changes proposed are to: 1) use composite measures of disease activity to evaluate treatment response as well as disease progression (at least two measures should be considered, one as the base case and one as a sensitivity analysis); 2) conduct utility mapping based on disease activity measures; 3) incorporate subgroups based on guideline-recommended prognostic factors; 4) integrate realistic treatment patterns based on clinical practice/registry datasets; 5) assimilate outcomes that are not joint related (extra-Articular outcomes); and 6) assess mortality based on disease activity. We proposed a conceptual model that incorporates the current understanding of clinical and real-world evidence in RA, as well as of existing modeling assumptions. The proposed model framework was reviewed with experts and could serve as a foundation for developing future costeffectiveness models in RA.","author":[{"dropping-particle":"","family":"Alemao","given":"Evo","non-dropping-particle":"","parse-names":false,"suffix":""},{"dropping-particle":"","family":"Al","given":"Maiwenn J.","non-dropping-particle":"","parse-names":false,"suffix":""},{"dropping-particle":"","family":"Boonen","given":"Annelies A.","non-dropping-particle":"","parse-names":false,"suffix":""},{"dropping-particle":"","family":"Stevenson","given":"Matthew D.","non-dropping-particle":"","parse-names":false,"suffix":""},{"dropping-particle":"","family":"Verstappen","given":"Suzanne M. M.","non-dropping-particle":"","parse-names":false,"suffix":""},{"dropping-particle":"","family":"Michaud","given":"Kaleb","non-dropping-particle":"","parse-names":false,"suffix":""},{"dropping-particle":"","family":"Weinblatt","given":"Michael E.","non-dropping-particle":"","parse-names":false,"suffix":""},{"dropping-particle":"","family":"Rutten-van Mölken","given":"Maureen P. M. H.","non-dropping-particle":"","parse-names":false,"suffix":""}],"container-title":"PLOS ONE","editor":[{"dropping-particle":"","family":"Nurmohamed","given":"Michael","non-dropping-particle":"","parse-names":false,"suffix":""}],"id":"ITEM-4","issue":"10","issued":{"date-parts":[["2018","10","5"]]},"page":"e0205013","publisher":"Public Library of Science","title":"Conceptual model for the health technology assessment of current and novel interventions in rheumatoid arthritis","type":"article-journal","volume":"13"},"uris":["http://www.mendeley.com/documents/?uuid=5c5cce47-662d-37b2-b636-cacab04b9206"]}],"mendeley":{"formattedCitation":"(Hossein Haji Ali Afzali et al., 2019; Alemao et al., 2018; Gonzalez-McQuire et al., 2019; Ramos et al., 2011)","plainTextFormattedCitation":"(Hossein Haji Ali Afzali et al., 2019; Alemao et al., 2018; Gonzalez-McQuire et al., 2019; Ramos et al., 2011)","previouslyFormattedCitation":"(Hossein Haji Ali Afzali et al., 2019; Alemao et al., 2018; Gonzalez-McQuire et al., 2019; Ramos et al., 2011)"},"properties":{"noteIndex":0},"schema":"https://github.com/citation-style-language/schema/raw/master/csl-citation.json"}</w:instrText>
      </w:r>
      <w:r w:rsidRPr="00642AB3">
        <w:fldChar w:fldCharType="separate"/>
      </w:r>
      <w:r w:rsidRPr="00642AB3">
        <w:rPr>
          <w:noProof/>
        </w:rPr>
        <w:t>(Hossein Haji Ali Afzali et al., 2019; Alemao et al., 2018; Gonzalez-McQuire et al., 2019; Ramos et al., 2011)</w:t>
      </w:r>
      <w:r w:rsidRPr="00642AB3">
        <w:fldChar w:fldCharType="end"/>
      </w:r>
      <w:r w:rsidRPr="00642AB3">
        <w:t xml:space="preserve">. In general, these conceptual models were informed by a review of the clinical and/or economic evaluation literature to understand the disease process and its care pathway and how previous models have represented it. Additionally, </w:t>
      </w:r>
      <w:proofErr w:type="gramStart"/>
      <w:r w:rsidRPr="00642AB3">
        <w:t>clinical</w:t>
      </w:r>
      <w:proofErr w:type="gramEnd"/>
      <w:r w:rsidRPr="00642AB3">
        <w:t xml:space="preserve"> and economic experts were consulted (e.g. as an advisory group or Delphi panel) to review and refine the conceptual model. For example, </w:t>
      </w:r>
      <w:proofErr w:type="spellStart"/>
      <w:r w:rsidRPr="00642AB3">
        <w:t>Tabberer</w:t>
      </w:r>
      <w:proofErr w:type="spellEnd"/>
      <w:r w:rsidRPr="00642AB3">
        <w:t xml:space="preserve"> et al developed a conceptual model for the economic evaluation of therapies for chronic obstructive pulmonary disease (COPD) </w:t>
      </w:r>
      <w:r w:rsidRPr="00642AB3">
        <w:fldChar w:fldCharType="begin" w:fldLock="1"/>
      </w:r>
      <w:r w:rsidR="00A33BA4">
        <w:instrText>ADDIN CSL_CITATION {"citationItems":[{"id":"ITEM-1","itemData":{"DOI":"10.1177/0272989X16662009","ISSN":"1552-681X","PMID":"27486218","abstract":"BACKGROUND To develop and validate a new conceptual model (CM) of chronic obstructive pulmonary disease (COPD) for use in disease progression and economic modeling. The CM identifies and describes qualitative associations between disease attributes, progression and outcomes. METHODS A literature review was performed to identify any published CMs or literature reporting the impact and association of COPD disease attributes with outcomes. After critical analysis of the literature, a Steering Group of experts from the disciplines of health economics, epidemiology and clinical medicine was convened to develop a draft CM, which was refined using a Delphi process. The refined CM was validated by testing for associations between attributes using data from the Evaluation of COPD Longitudinally to Identify Predictive Surrogate Endpoints (ECLIPSE). RESULTS Disease progression attributes included in the final CM were history and occurrence of exacerbations, lung function, exercise capacity, signs and symptoms (cough, sputum, dyspnea), cardiovascular disease comorbidities, 'other' comorbidities (including depression), body composition (body mass index), fibrinogen as a biomarker, smoking and demographic characteristics (age, gender). Mortality and health-related quality of life were determined to be the most relevant final outcome measures for this model, intended to be the foundation of an economic model of COPD. CONCLUSION The CM is being used as the foundation for developing a new COPD model of disease progression and to provide a framework for the analysis of patient-level data. The CM is available as a reference for the implementation of further disease progression and economic models.","author":[{"dropping-particle":"","family":"Tabberer","given":"Maggie","non-dropping-particle":"","parse-names":false,"suffix":""},{"dropping-particle":"","family":"Gonzalez-McQuire","given":"Sebastian","non-dropping-particle":"","parse-names":false,"suffix":""},{"dropping-particle":"","family":"Muellerova","given":"Hana","non-dropping-particle":"","parse-names":false,"suffix":""},{"dropping-particle":"","family":"Briggs","given":"Andrew H","non-dropping-particle":"","parse-names":false,"suffix":""},{"dropping-particle":"","family":"Rutten-van Mölken","given":"Maureen P M H","non-dropping-particle":"","parse-names":false,"suffix":""},{"dropping-particle":"","family":"Chambers","given":"Mike","non-dropping-particle":"","parse-names":false,"suffix":""},{"dropping-particle":"","family":"Lomas","given":"David A","non-dropping-particle":"","parse-names":false,"suffix":""}],"container-title":"Medical decision making : an international journal of the Society for Medical Decision Making","id":"ITEM-1","issue":"4","issued":{"date-parts":[["2017","5","2"]]},"page":"440-452","publisher":"SAGE Publications Inc.","title":"Development of a Conceptual Model of Disease Progression for Use in Economic Modeling of Chronic Obstructive Pulmonary Disease.","type":"article-journal","volume":"37"},"uris":["http://www.mendeley.com/documents/?uuid=9f664e8d-b0b2-3fbf-be64-201a2a57c2c1"]}],"mendeley":{"formattedCitation":"(Tabberer et al., 2017)","plainTextFormattedCitation":"(Tabberer et al., 2017)","previouslyFormattedCitation":"(Tabberer et al., 2017)"},"properties":{"noteIndex":0},"schema":"https://github.com/citation-style-language/schema/raw/master/csl-citation.json"}</w:instrText>
      </w:r>
      <w:r w:rsidRPr="00642AB3">
        <w:fldChar w:fldCharType="separate"/>
      </w:r>
      <w:r w:rsidRPr="00642AB3">
        <w:rPr>
          <w:noProof/>
        </w:rPr>
        <w:t>(Tabberer et al., 2017)</w:t>
      </w:r>
      <w:r w:rsidRPr="00642AB3">
        <w:fldChar w:fldCharType="end"/>
      </w:r>
      <w:r w:rsidRPr="00642AB3">
        <w:t xml:space="preserve">. To do this, they conducted a literature review of conceptual models, economic evaluation models and studies on the progression of COPD; asked a group of researchers with expertise in COPD to develop a draft conceptual model based on the literature review; tested this draft conceptual model on a Delphi Panel; and finally refined the conceptual model based on the results of the Delphi Panel and given the available data to parameterise it. This conceptual model was the basis for the development of a statistical model to predict COPD progression and outcomes </w:t>
      </w:r>
      <w:r w:rsidRPr="00642AB3">
        <w:fldChar w:fldCharType="begin" w:fldLock="1"/>
      </w:r>
      <w:r w:rsidR="00A33BA4">
        <w:instrText>ADDIN CSL_CITATION {"citationItems":[{"id":"ITEM-1","itemData":{"DOI":"10.1177/0272989X15610781","ISSN":"1552681X","abstract":"Background. To develop statistical models predicting disease progression and outcomes in chronic obstructive pulmonary disease (COPD), using data from ECLIPSE, a large, observational study of current and former smokers with COPD. Methods. Based on a conceptual model of COPD disease progression and data from 2164 patients, associations were made between baseline characteristics, COPD disease progression attributes (exacerbations, lung function, exercise capacity, and symptoms), health-related quality of life (HRQoL), and survival. Linear and nonlinear functional forms of random intercept models were used to characterize these relationships. Endogeneity was addressed by time-lagging variables in the regression models. Results. At the 5% significance level, an exacerbation history in the year before baseline was associated with increased risk of future exacerbations (moderate: +125.8%; severe: +89.2%) and decline in lung function (forced expiratory volume in 1 second [FEV1]) (-94.20 mL per year). Each 1% increase in FEV1 % predicted was associated with decreased risk of exacerbations (moderate: -1.1%; severe: -3.0%) and increased 6-minute walk test distance (6MWD) (+1.5 m). Increases in baseline exercise capacity (6MWD, per meter) were associated with slightly increased risk of moderate exacerbations (+0.04%) and increased FEV1 (+0.62 mL). Symptoms (dyspnea, cough, and/or sputum) were associated with an increased risk of moderate exacerbations (+13.4% to +31.1%), and baseline dyspnea (modified Medical Research Council score ≥2 v. &lt;2) was associated with lower FEV1 (-112.3 mL). Conclusions. A series of linked statistical regression equations have been developed to express associations between indicators of COPD disease severity and HRQoL and survival. These can be used to represent disease progression, for example, in new economic models of COPD.","author":[{"dropping-particle":"","family":"Exuzides","given":"Alex","non-dropping-particle":"","parse-names":false,"suffix":""},{"dropping-particle":"","family":"Colby","given":"Chris","non-dropping-particle":"","parse-names":false,"suffix":""},{"dropping-particle":"","family":"Briggs","given":"Andrew H.","non-dropping-particle":"","parse-names":false,"suffix":""},{"dropping-particle":"","family":"Lomas","given":"David A.","non-dropping-particle":"","parse-names":false,"suffix":""},{"dropping-particle":"","family":"Rutten-Van Mölken","given":"Maureen P.M.H.","non-dropping-particle":"","parse-names":false,"suffix":""},{"dropping-particle":"","family":"Tabberer","given":"Maggie","non-dropping-particle":"","parse-names":false,"suffix":""},{"dropping-particle":"","family":"Chambers","given":"Mike","non-dropping-particle":"","parse-names":false,"suffix":""},{"dropping-particle":"","family":"Muellerova","given":"Hana","non-dropping-particle":"","parse-names":false,"suffix":""},{"dropping-particle":"","family":"Locantore","given":"Nicholas","non-dropping-particle":"","parse-names":false,"suffix":""},{"dropping-particle":"","family":"Risebrough","given":"Nancy A.","non-dropping-particle":"","parse-names":false,"suffix":""},{"dropping-particle":"","family":"Ismaila","given":"Afisi S.","non-dropping-particle":"","parse-names":false,"suffix":""},{"dropping-particle":"","family":"Gonzalez-Mcquire","given":"Sebastian","non-dropping-particle":"","parse-names":false,"suffix":""}],"container-title":"Medical Decision Making","id":"ITEM-1","issue":"4","issued":{"date-parts":[["2017","5","8"]]},"page":"453-468","publisher":"SAGE Publications Inc.","title":"Statistical Modeling of Disease Progression for Chronic Obstructive Pulmonary Disease Using Data from the ECLIPSE Study","type":"article-journal","volume":"37"},"uris":["http://www.mendeley.com/documents/?uuid=7d337011-5d71-31b7-aa6d-e2eacbb617a7"]},{"id":"ITEM-2","itemData":{"DOI":"10.1177/0272989X16653118","ISSN":"0272-989X","abstract":"Background. The recent joint International Society for Pharmacoeconomics and Outcomes Research / Society for Medical Decision Making Modeling Good Research Practices Task Force emphasized the importance of conceptualizing and validating models. We report a new model of chronic obstructive pulmonary disease (COPD) (part of the Galaxy project) founded on a conceptual model, implemented using a novel linked-equation approach, and internally validated. Methods. An expert panel developed a conceptual model including causal relationships between disease attributes, progression, and final outcomes. Risk equations describing these relationships were estimated using data from the Evaluation of COPD Longitudinally to Identify Predictive Surrogate Endpoints (ECLIPSE) study, with costs estimated from the TOwards a Revolution in COPD Health (TORCH) study. Implementation as a linked-equation model enabled direct estimation of health service costs and quality-adjusted life years (QALYs) for COPD patients over their lifetimes. Internal validation compared 3 years of predicted cohort experience with ECLIPSE results. Results. At 3 years, the Galaxy COPD model predictions of annual exacerbation rate and annual decline in forced expiratory volume in 1 second fell within the ECLIPSE data confidence limits, although 3-year overall survival was outside the observed confidence limits. Projections of the risk equations over time permitted extrapolation to patient lifetimes. Averaging the predicted cost/QALY outcomes for the different patients within the ECLIPSE cohort gives an estimated lifetime cost of £25,214 (undiscounted)/£20,318 (discounted) and lifetime QALYs of 6.45 (undiscounted/5.24 [discounted]) per ECLIPSE patient. Conclusions. A new form of model for COPD was conceptualized, implemented, and internally validated, based on a series of linked equations using epidemiological data (ECLIPSE) and cost data (TORCH). This Galaxy model predicts COPD outcomes from treatment effects on disease attributes such as lung function, exacerbations, symptoms, or exercise capacity; further external validation is required.","author":[{"dropping-particle":"","family":"Briggs","given":"Andrew H.","non-dropping-particle":"","parse-names":false,"suffix":""},{"dropping-particle":"","family":"Baker","given":"Timothy","non-dropping-particle":"","parse-names":false,"suffix":""},{"dropping-particle":"","family":"Risebrough","given":"Nancy A.","non-dropping-particle":"","parse-names":false,"suffix":""},{"dropping-particle":"","family":"Chambers","given":"Mike","non-dropping-particle":"","parse-names":false,"suffix":""},{"dropping-particle":"","family":"Gonzalez-McQuire","given":"Sebastian","non-dropping-particle":"","parse-names":false,"suffix":""},{"dropping-particle":"","family":"Ismaila","given":"Afisi S.","non-dropping-particle":"","parse-names":false,"suffix":""},{"dropping-particle":"","family":"Exuzides","given":"Alex","non-dropping-particle":"","parse-names":false,"suffix":""},{"dropping-particle":"","family":"Colby","given":"Chris","non-dropping-particle":"","parse-names":false,"suffix":""},{"dropping-particle":"","family":"Tabberer","given":"Maggie","non-dropping-particle":"","parse-names":false,"suffix":""},{"dropping-particle":"","family":"Muellerova","given":"Hana","non-dropping-particle":"","parse-names":false,"suffix":""},{"dropping-particle":"","family":"Locantore","given":"Nicholas","non-dropping-particle":"","parse-names":false,"suffix":""},{"dropping-particle":"","family":"Rutten</w:instrText>
      </w:r>
      <w:r w:rsidR="00A33BA4">
        <w:rPr>
          <w:rFonts w:ascii="Tahoma" w:hAnsi="Tahoma" w:cs="Tahoma"/>
        </w:rPr>
        <w:instrText>�</w:instrText>
      </w:r>
      <w:r w:rsidR="00A33BA4">
        <w:instrText>van Mölken","given":"Maureen P. M. H.","non-dropping-particle":"","parse-names":false,"suffix":""},{"dropping-particle":"","family":"Lomas","given":"David A.","non-dropping-particle":"","parse-names":false,"suffix":""}],"container-title":"Medical Decision Making","id":"ITEM-2","issue":"4","issued":{"date-parts":[["2017","5","17"]]},"page":"469-480","publisher":"SAGE Publications Inc.","title":"Development of the Galaxy Chronic Obstructive Pulmonary Disease (COPD) Model Using Data from ECLIPSE: Internal Validation of a Linked-Equations Cohort Model","type":"article-journal","volume":"37"},"uris":["http://www.mendeley.com/documents/?uuid=d7196add-c88f-37cc-b50f-84aa7ffbc89f"]}],"mendeley":{"formattedCitation":"(A. H. Briggs et al., 2017; Exuzides et al., 2017)","plainTextFormattedCitation":"(A. H. Briggs et al., 2017; Exuzides et al., 2017)","previouslyFormattedCitation":"(A. H. Briggs et al., 2017; Exuzides et al., 2017)"},"properties":{"noteIndex":0},"schema":"https://github.com/citation-style-language/schema/raw/master/csl-citation.json"}</w:instrText>
      </w:r>
      <w:r w:rsidRPr="00642AB3">
        <w:fldChar w:fldCharType="separate"/>
      </w:r>
      <w:r w:rsidRPr="00642AB3">
        <w:rPr>
          <w:noProof/>
        </w:rPr>
        <w:t xml:space="preserve">(A. H. Briggs et al., 2017; Exuzides et al., </w:t>
      </w:r>
      <w:r w:rsidRPr="00642AB3">
        <w:rPr>
          <w:noProof/>
        </w:rPr>
        <w:lastRenderedPageBreak/>
        <w:t>2017)</w:t>
      </w:r>
      <w:r w:rsidRPr="00642AB3">
        <w:fldChar w:fldCharType="end"/>
      </w:r>
      <w:r w:rsidRPr="00642AB3">
        <w:t xml:space="preserve"> and for economic evaluations of a new therapy for COPD </w:t>
      </w:r>
      <w:r w:rsidRPr="00642AB3">
        <w:fldChar w:fldCharType="begin" w:fldLock="1"/>
      </w:r>
      <w:r w:rsidR="00A33BA4">
        <w:instrText>ADDIN CSL_CITATION {"citationItems":[{"id":"ITEM-1","itemData":{"DOI":"10.1016/j.yrmex.2019.100008","ISSN":"25901435","abstract":"Objectives: The clinical benefit of once-daily fluticasone furoate/umeclidinium/vilanterol (FF/UMEC/VI) versus twice-daily budesonide/formoterol (BUD/FOR) for patients with symptomatic chronic obstructive pulmonary disease (COPD) was demonstrated in a clinical trial setting (FULFIL [NCT02345161]). The lifetime cost-effectiveness analysis of FF/UMEC/VI versus BUD/FOR, based on FULFIL data, is reported here. Methods: A previously developed and validated GALAXY-COPD linked-risk equation model was used to assess the cost-effectiveness of FF/UMEC/VI from the UK National Health Service (NHS) perspective. Baseline characteristics and efficacy results from FULFIL and UK NHS reference cost data (2017) were included as inputs. Exacerbation rates (undiscounted), costs, life years (LYs; undiscounted) and quality-adjusted life years (QALYs), and the incremental cost-effectiveness ratio (ICER) were calculated over a lifetime horizon. Costs and QALYs were discounted at 3.5% per year, beyond one year, in accordance with National Institute for Health and Care Excellence (NICE) guidelines. Deterministic and probabilistic sensitivity analyses were performed to evaluate the robustness of the results. Results: Predicted cumulative exacerbations per patient over a lifetime were 8.393 with FF/UMEC/VI and 10.456 with BUD/FOR. Patients receiving FF/UMEC/VI gained an additional 0.764 LYs and 0.492 QALYs, at an additional mean cost of £1,652, resulting in an ICER of £3,357 per QALY gained (95% confidence interval: £1,816, £5,194) compared with BUD/FOR. The ICER remained below £6,000 in all but one of the scenario and sensitivity analyses. Conclusions: Compared with BUD/FOR, treatment with FF/UMEC/VI was predicted to improve health outcomes at an additional cost that suggests it would be cost-effective for patients with COPD in the UK.","author":[{"dropping-particle":"","family":"Schroeder","given":"Melanie","non-dropping-particle":"","parse-names":false,"suffix":""},{"dropping-particle":"","family":"Shah","given":"Dhvani","non-dropping-particle":"","parse-names":false,"suffix":""},{"dropping-particle":"","family":"Risebrough","given":"N.","non-dropping-particle":"","parse-names":false,"suffix":""},{"dropping-particle":"","family":"Martin","given":"Alan","non-dropping-particle":"","parse-names":false,"suffix":""},{"dropping-particle":"","family":"Zhang","given":"Shiyuan","non-dropping-particle":"","parse-names":false,"suffix":""},{"dropping-particle":"","family":"Ndirangu","given":"Kerigo","non-dropping-particle":"","parse-names":false,"suffix":""},{"dropping-particle":"","family":"Briggs","given":"Andrew","non-dropping-particle":"","parse-names":false,"suffix":""},{"dropping-particle":"","family":"Ismaila","given":"Afisi S.","non-dropping-particle":"","parse-names":false,"suffix":""}],"container-title":"Respiratory Medicine: X","id":"ITEM-1","issued":{"date-parts":[["2019","1","1"]]},"page":"100008","publisher":"W.B. Saunders Ltd","title":"Cost-effectiveness analysis of a single-inhaler triple therapy for patients with advanced chronic obstructive pulmonary disease (COPD) using the FULFIL trial: A UK perspective","type":"article-journal","volume":"1"},"uris":["http://www.mendeley.com/documents/?uuid=e78e6a69-2495-3086-961c-891383c03690"]},{"id":"ITEM-2","itemData":{"DOI":"10.2147/COPD.S216072","ISSN":"11782005","abstract":"Background: We assessed the cost-effectiveness of single-inhaler fluticasone furoate (FF)/ umeclidinium (UMEC)/vilanterol (VI) versus FF/VI or UMEC/VI from a Canadian public healthcare perspective, incorporating data from the IMPACT trial in chronic obstructive pulmonary disease (COPD) (NCT02164513). Methods: Baseline inputs and treatment effects from IMPACT were populated into the validated GALAXY-COPD disease progression model. Canadian unit costs and drug costs (Canadian dollars [C$], 2017) were applied to healthcare resource utilization and treatments. Future costs and health outcomes were discounted at 1.5% annually. Analyses were probabilistic, and outputs included exacerbation rates, costs, and life years (LYs) and qualityadjusted life years (QALYs) gained. Results: Compared with FF/VI and UMEC/VI over a lifetime horizon, the analyses predicted that treatment with FF/UMEC/VI resulted in fewer moderate and severe exacerbations, more LYs and more QALYs gained, with a small incremental cost. The base-case incremental cost-effectiveness ratio (ICER) per QALY gained was C$18,989 (95% confidence interval [CI]: C$14,665, C$25,753) versus FF/VI and C$13,776 (95% CI: C$9787, C $19,448) versus UMEC/VI. FF/UMEC/VI remained cost-effective versus both FF/VI and UMEC/VI in all sensitivity analyses, including in scenario analyses that considered different intervention and comparator discontinuation rates, and treatment effects for subsequent therapy. Conclusion: Treatment with FF/UMEC/VI was predicted to improve outcomes and be a cost-effective treatment option for patients with symptomatic COPD and a history of exacerbations compared with FF/VI or UMEC/VI, in Canada.","author":[{"dropping-particle":"","family":"Ismaila","given":"Afisi S.","non-dropping-particle":"","parse-names":false,"suffix":""},{"dropping-particle":"","family":"Risebrough","given":"Nancy","non-dropping-particle":"","parse-names":false,"suffix":""},{"dropping-particle":"","family":"Schroeder","given":"Melanie","non-dropping-particle":"","parse-names":false,"suffix":""},{"dropping-particle":"","family":"Shah","given":"Dhvani","non-dropping-particle":"","parse-names":false,"suffix":""},{"dropping-particle":"","family":"Martin","given":"Alan","non-dropping-particle":"","parse-names":false,"suffix":""},{"dropping-particle":"","family":"Goodall","given":"Emma C.","non-dropping-particle":"","parse-names":false,"suffix":""},{"dropping-particle":"","family":"Ndirangu","given":"Kerigo","non-dropping-particle":"","parse-names":false,"suffix":""},{"dropping-particle":"","family":"Criner","given":"Gerard","non-dropping-particle":"","parse-names":false,"suffix":""},{"dropping-particle":"","family":"Dransfield","given":"Mark","non-dropping-particle":"","parse-names":false,"suffix":""},{"dropping-particle":"","family":"Halpin","given":"David M.G.","non-dropping-particle":"","parse-names":false,"suffix":""},{"dropping-particle":"","family":"Han","given":"Meilan K.","non-dropping-particle":"","parse-names":false,"suffix":""},{"dropping-particle":"","family":"Lomas","given":"David A.","non-dropping-particle":"","parse-names":false,"suffix":""}],"container-title":"International Journal of COPD","id":"ITEM-2","issued":{"date-parts":[["2019"]]},"page":"2681-2695","publisher":"Dove Medical Press Ltd.","title":"Cost-effectiveness of once-daily single-inhaler triple therapy in COPD: The IMPACT trial","type":"article-journal","volume":"14"},"uris":["http://www.mendeley.com/documents/?uuid=18b309fc-533c-3559-8d8f-02a4c60cf5b5"]}],"mendeley":{"formattedCitation":"(Ismaila et al., 2019; Schroeder et al., 2019)","plainTextFormattedCitation":"(Ismaila et al., 2019; Schroeder et al., 2019)","previouslyFormattedCitation":"(Ismaila et al., 2019; Schroeder et al., 2019)"},"properties":{"noteIndex":0},"schema":"https://github.com/citation-style-language/schema/raw/master/csl-citation.json"}</w:instrText>
      </w:r>
      <w:r w:rsidRPr="00642AB3">
        <w:fldChar w:fldCharType="separate"/>
      </w:r>
      <w:r w:rsidRPr="00642AB3">
        <w:rPr>
          <w:noProof/>
        </w:rPr>
        <w:t>(Ismaila et al., 2019; Schroeder et al., 2019)</w:t>
      </w:r>
      <w:r w:rsidRPr="00642AB3">
        <w:fldChar w:fldCharType="end"/>
      </w:r>
      <w:r w:rsidRPr="00642AB3">
        <w:t>.</w:t>
      </w:r>
    </w:p>
    <w:p w14:paraId="5FBAC62C" w14:textId="6F6F963A" w:rsidR="00367E3D" w:rsidRPr="00642AB3" w:rsidRDefault="00367E3D" w:rsidP="00451BA3">
      <w:pPr>
        <w:pStyle w:val="Heading1"/>
      </w:pPr>
      <w:bookmarkStart w:id="30" w:name="_Toc48925905"/>
      <w:r w:rsidRPr="00642AB3">
        <w:t>Recommendations</w:t>
      </w:r>
      <w:bookmarkEnd w:id="30"/>
    </w:p>
    <w:p w14:paraId="3A0FC60C" w14:textId="77777777" w:rsidR="00367E3D" w:rsidRPr="00642AB3" w:rsidRDefault="00367E3D" w:rsidP="00D35786">
      <w:pPr>
        <w:spacing w:line="480" w:lineRule="auto"/>
      </w:pPr>
      <w:r w:rsidRPr="00642AB3">
        <w:t xml:space="preserve">The design of an economic evaluation – or problem structuring -  involves defining the target population, subpopulation and spillover populations; selecting the relevant decision options; and developing the conceptual model, all given the requirements of the decision makers whose decision the economic evaluation aims to inform. The problem structuring stage involves mapping out what should be included in the economic evaluation, investigating whether it can be included in practice, and deciding on what the economic evaluation will formally consider as well as the impact of any exclusions. The next stage – the implementation of the economic evaluation – is conditional on the decisions made at the problem structuring stage. To this end, it is useful to separate out the problem structuring stage from the implementation stage, not only in terms of its conduct but also in the reporting. This separation ensures that the choices are transparent and their impact on the cost-effectiveness results, as well as their applicability to the decision, is explicit to decision-makers and other users of the economic evaluation. </w:t>
      </w:r>
    </w:p>
    <w:p w14:paraId="0A2D92B4" w14:textId="77777777" w:rsidR="00367E3D" w:rsidRPr="00642AB3" w:rsidRDefault="00367E3D" w:rsidP="00D35786">
      <w:pPr>
        <w:spacing w:line="480" w:lineRule="auto"/>
      </w:pPr>
      <w:r w:rsidRPr="00642AB3">
        <w:t>From the review of methodological guidelines and reflections on their practical implications, a number of recommendations emerge:</w:t>
      </w:r>
    </w:p>
    <w:p w14:paraId="4B2AF3A2" w14:textId="796931E2" w:rsidR="00367E3D" w:rsidRPr="00642AB3" w:rsidRDefault="00367E3D" w:rsidP="00D35786">
      <w:pPr>
        <w:numPr>
          <w:ilvl w:val="0"/>
          <w:numId w:val="40"/>
        </w:numPr>
        <w:spacing w:line="480" w:lineRule="auto"/>
        <w:contextualSpacing/>
      </w:pPr>
      <w:r w:rsidRPr="00642AB3">
        <w:t>The target population</w:t>
      </w:r>
      <w:r w:rsidR="00F56021">
        <w:t xml:space="preserve"> should</w:t>
      </w:r>
      <w:r w:rsidRPr="00642AB3">
        <w:t xml:space="preserve"> represent all people for whom the technology is intended for in practice. </w:t>
      </w:r>
    </w:p>
    <w:p w14:paraId="1161BCCA" w14:textId="7A02740C" w:rsidR="00367E3D" w:rsidRPr="00642AB3" w:rsidRDefault="00367E3D" w:rsidP="00D35786">
      <w:pPr>
        <w:numPr>
          <w:ilvl w:val="0"/>
          <w:numId w:val="40"/>
        </w:numPr>
        <w:spacing w:line="480" w:lineRule="auto"/>
        <w:contextualSpacing/>
      </w:pPr>
      <w:r w:rsidRPr="00642AB3">
        <w:t xml:space="preserve">The target population may be constrained by the evidence base, and particularly in the case of drugs, by their marketing authorisation. Nevertheless, the economic evaluation can explore the assumptions required to expand the target population and identify the key uncertainties, which may be subject to future research. </w:t>
      </w:r>
    </w:p>
    <w:p w14:paraId="6D944A1A" w14:textId="77777777" w:rsidR="00367E3D" w:rsidRPr="00642AB3" w:rsidRDefault="00367E3D" w:rsidP="00D35786">
      <w:pPr>
        <w:numPr>
          <w:ilvl w:val="0"/>
          <w:numId w:val="40"/>
        </w:numPr>
        <w:spacing w:line="480" w:lineRule="auto"/>
        <w:contextualSpacing/>
      </w:pPr>
      <w:r w:rsidRPr="00642AB3">
        <w:lastRenderedPageBreak/>
        <w:t xml:space="preserve">Subpopulations should be considered where there is the expectation that there will be important differences in costs and outcomes, and that their implementation in practice is likely to be considered ethical and feasible as a basis for making separate decisions. </w:t>
      </w:r>
    </w:p>
    <w:p w14:paraId="6CEBB48A" w14:textId="77777777" w:rsidR="00367E3D" w:rsidRPr="00642AB3" w:rsidRDefault="00367E3D" w:rsidP="00D35786">
      <w:pPr>
        <w:numPr>
          <w:ilvl w:val="0"/>
          <w:numId w:val="40"/>
        </w:numPr>
        <w:spacing w:line="480" w:lineRule="auto"/>
        <w:contextualSpacing/>
      </w:pPr>
      <w:r w:rsidRPr="00642AB3">
        <w:t>A priori definition of subpopulations may involve reviewing previous cost-effectiveness evidence, consultation with stakeholders and development of the conceptual model in order to understand how subpopulation effects propagate to final outcomes.</w:t>
      </w:r>
    </w:p>
    <w:p w14:paraId="2979FDF5" w14:textId="06A455A7" w:rsidR="00367E3D" w:rsidRPr="00642AB3" w:rsidRDefault="00367E3D" w:rsidP="00D35786">
      <w:pPr>
        <w:numPr>
          <w:ilvl w:val="0"/>
          <w:numId w:val="40"/>
        </w:numPr>
        <w:spacing w:line="480" w:lineRule="auto"/>
        <w:contextualSpacing/>
      </w:pPr>
      <w:r w:rsidRPr="00642AB3">
        <w:t xml:space="preserve">Choices regarding spillover populations should consider of the expected impact on the cost-effectiveness results, both in terms of magnitude and its direction. As with (2), this may be based on previous cost-effectiveness studies, stakeholder feedback and using the conceptual model to infer the expected impact on the results. </w:t>
      </w:r>
    </w:p>
    <w:p w14:paraId="3792CE02" w14:textId="77777777" w:rsidR="00367E3D" w:rsidRPr="00642AB3" w:rsidRDefault="00367E3D" w:rsidP="00D35786">
      <w:pPr>
        <w:numPr>
          <w:ilvl w:val="0"/>
          <w:numId w:val="40"/>
        </w:numPr>
        <w:spacing w:line="480" w:lineRule="auto"/>
        <w:contextualSpacing/>
      </w:pPr>
      <w:r w:rsidRPr="00642AB3">
        <w:t>In setting out the relevant decision options, analysts should bear in mind that the role of an economic evaluation is to quantify the costs and benefits of alternative courses of action, whilst noting any issues which have not been possible to quantify, such as value judgements, ethical concerns, or effects which could not be explicitly considered.</w:t>
      </w:r>
    </w:p>
    <w:p w14:paraId="15F5FA05" w14:textId="77777777" w:rsidR="00367E3D" w:rsidRPr="00642AB3" w:rsidRDefault="00367E3D" w:rsidP="00D35786">
      <w:pPr>
        <w:numPr>
          <w:ilvl w:val="0"/>
          <w:numId w:val="40"/>
        </w:numPr>
        <w:spacing w:line="480" w:lineRule="auto"/>
        <w:contextualSpacing/>
      </w:pPr>
      <w:r w:rsidRPr="00642AB3">
        <w:t xml:space="preserve">Economic evaluations should start by listing all potentially relevant options to the new technology. Depending on the specific decision problem, the options may comprise other currently available technologies, do-nothing approaches, technologies in sequence, technologies in different intensities, technologies in combination and technologies available in the near future. </w:t>
      </w:r>
    </w:p>
    <w:p w14:paraId="18855CBF" w14:textId="77777777" w:rsidR="00367E3D" w:rsidRPr="00642AB3" w:rsidRDefault="00367E3D" w:rsidP="00D35786">
      <w:pPr>
        <w:numPr>
          <w:ilvl w:val="0"/>
          <w:numId w:val="40"/>
        </w:numPr>
        <w:spacing w:line="480" w:lineRule="auto"/>
        <w:contextualSpacing/>
      </w:pPr>
      <w:r w:rsidRPr="00642AB3">
        <w:t xml:space="preserve">The selection of decision options should primarily consider the risk of biasing the results if an option is excluded. The risk is low for options which are thought to have a small probability of being cost-effective, and for options which are thought to have the similar costs and benefits to other included options. </w:t>
      </w:r>
    </w:p>
    <w:p w14:paraId="4F43D770" w14:textId="203E6965" w:rsidR="00367E3D" w:rsidRPr="00642AB3" w:rsidRDefault="00367E3D" w:rsidP="00D35786">
      <w:pPr>
        <w:numPr>
          <w:ilvl w:val="0"/>
          <w:numId w:val="40"/>
        </w:numPr>
        <w:spacing w:line="480" w:lineRule="auto"/>
        <w:contextualSpacing/>
      </w:pPr>
      <w:r w:rsidRPr="00642AB3">
        <w:lastRenderedPageBreak/>
        <w:t xml:space="preserve">The selection of decision options may also consider clinical practice, technologies likely to be displaced, existing guidance, licensing status, acceptability and feasibility of the economic evaluation given its resources. </w:t>
      </w:r>
      <w:r w:rsidR="00145085">
        <w:t xml:space="preserve">It </w:t>
      </w:r>
      <w:r w:rsidR="00145085" w:rsidRPr="00642AB3">
        <w:t xml:space="preserve">may not be feasible to include </w:t>
      </w:r>
      <w:r w:rsidR="00145085">
        <w:t>o</w:t>
      </w:r>
      <w:r w:rsidR="00145085" w:rsidRPr="00642AB3">
        <w:t xml:space="preserve">ptions </w:t>
      </w:r>
      <w:r w:rsidRPr="00642AB3">
        <w:t xml:space="preserve">for which there is no or very low-quality evidence. </w:t>
      </w:r>
    </w:p>
    <w:p w14:paraId="78ACCB89" w14:textId="53A15976" w:rsidR="00367E3D" w:rsidRPr="00642AB3" w:rsidRDefault="00367E3D" w:rsidP="00D35786">
      <w:pPr>
        <w:numPr>
          <w:ilvl w:val="0"/>
          <w:numId w:val="40"/>
        </w:numPr>
        <w:spacing w:line="480" w:lineRule="auto"/>
        <w:contextualSpacing/>
      </w:pPr>
      <w:r w:rsidRPr="00642AB3">
        <w:t xml:space="preserve">The characterisation of </w:t>
      </w:r>
      <w:r w:rsidR="005C7101">
        <w:t>“</w:t>
      </w:r>
      <w:r w:rsidRPr="00642AB3">
        <w:t>do-nothing</w:t>
      </w:r>
      <w:r w:rsidR="005C7101">
        <w:t>”</w:t>
      </w:r>
      <w:r w:rsidRPr="00642AB3">
        <w:t xml:space="preserve"> options should be relevant to the decision problem and context so that it reflects what the absence of active treatment consists of in clinical practice. </w:t>
      </w:r>
    </w:p>
    <w:p w14:paraId="0B4FD1C9" w14:textId="482BD8BB" w:rsidR="00F56021" w:rsidRDefault="00F56021" w:rsidP="00D35786">
      <w:pPr>
        <w:numPr>
          <w:ilvl w:val="0"/>
          <w:numId w:val="40"/>
        </w:numPr>
        <w:spacing w:line="480" w:lineRule="auto"/>
        <w:contextualSpacing/>
      </w:pPr>
      <w:r>
        <w:t>The problem-oriented disease process model should set out the analysts’ understanding of the underlying natural history of the disease and the key disease-specific factors, while the problem-oriented treatment pathways model should define the treatment pathway at the time of the economic evaluation.</w:t>
      </w:r>
    </w:p>
    <w:p w14:paraId="18093D89" w14:textId="6FF1EBA4" w:rsidR="00367E3D" w:rsidRPr="00642AB3" w:rsidRDefault="00367E3D" w:rsidP="00D35786">
      <w:pPr>
        <w:numPr>
          <w:ilvl w:val="0"/>
          <w:numId w:val="40"/>
        </w:numPr>
        <w:spacing w:line="480" w:lineRule="auto"/>
        <w:contextualSpacing/>
      </w:pPr>
      <w:r w:rsidRPr="00642AB3">
        <w:t xml:space="preserve">The </w:t>
      </w:r>
      <w:r w:rsidR="00F56021">
        <w:t xml:space="preserve">design-oriented </w:t>
      </w:r>
      <w:r w:rsidRPr="00642AB3">
        <w:t xml:space="preserve">conceptual model </w:t>
      </w:r>
      <w:r w:rsidR="00F56021">
        <w:t>should define</w:t>
      </w:r>
      <w:r w:rsidR="00F56021" w:rsidRPr="00642AB3">
        <w:t xml:space="preserve"> </w:t>
      </w:r>
      <w:r w:rsidRPr="00642AB3">
        <w:t xml:space="preserve">the relationships between the effects of the decision options to the costs and consequences of interest to decision makers in the target population. </w:t>
      </w:r>
    </w:p>
    <w:p w14:paraId="358A6080" w14:textId="18BD3DDA" w:rsidR="00367E3D" w:rsidRPr="00642AB3" w:rsidRDefault="00367E3D" w:rsidP="00D35786">
      <w:pPr>
        <w:numPr>
          <w:ilvl w:val="0"/>
          <w:numId w:val="40"/>
        </w:numPr>
        <w:spacing w:line="480" w:lineRule="auto"/>
        <w:contextualSpacing/>
      </w:pPr>
      <w:r w:rsidRPr="00642AB3">
        <w:t xml:space="preserve">Developing the conceptual model </w:t>
      </w:r>
      <w:r w:rsidR="00F56021">
        <w:t xml:space="preserve">should </w:t>
      </w:r>
      <w:r w:rsidRPr="00642AB3">
        <w:t>involve</w:t>
      </w:r>
      <w:r w:rsidR="00F56021">
        <w:t xml:space="preserve"> </w:t>
      </w:r>
      <w:r w:rsidR="005C7101">
        <w:t xml:space="preserve">gaining an </w:t>
      </w:r>
      <w:r w:rsidRPr="00642AB3">
        <w:t xml:space="preserve">understanding the clinical and economic evidence and feedback from stakeholders. </w:t>
      </w:r>
    </w:p>
    <w:p w14:paraId="18A4DD07" w14:textId="56DC0411" w:rsidR="00367E3D" w:rsidRPr="00642AB3" w:rsidRDefault="00367E3D" w:rsidP="00D35786">
      <w:pPr>
        <w:numPr>
          <w:ilvl w:val="0"/>
          <w:numId w:val="40"/>
        </w:numPr>
        <w:spacing w:line="480" w:lineRule="auto"/>
        <w:contextualSpacing/>
      </w:pPr>
      <w:r w:rsidRPr="00642AB3">
        <w:t xml:space="preserve">Stakeholders, such as clinicians, health care managers, patients, and decision makers, should be involved in the process of problem structuring so that the decision problem and its context is appropriately reflected. </w:t>
      </w:r>
    </w:p>
    <w:p w14:paraId="07C016CF" w14:textId="77777777" w:rsidR="00367E3D" w:rsidRPr="00642AB3" w:rsidRDefault="00367E3D" w:rsidP="00D35786">
      <w:pPr>
        <w:numPr>
          <w:ilvl w:val="0"/>
          <w:numId w:val="40"/>
        </w:numPr>
        <w:spacing w:line="480" w:lineRule="auto"/>
        <w:contextualSpacing/>
      </w:pPr>
      <w:r w:rsidRPr="00642AB3">
        <w:t xml:space="preserve">The choices made at the problem structuring stage should be reported, alongside their justification and their expected impact on the cost-effectiveness results. </w:t>
      </w:r>
    </w:p>
    <w:p w14:paraId="6F37BEB1" w14:textId="3A9D8800" w:rsidR="00367E3D" w:rsidRPr="00642AB3" w:rsidRDefault="00367E3D" w:rsidP="00D35786">
      <w:pPr>
        <w:spacing w:line="480" w:lineRule="auto"/>
      </w:pPr>
      <w:r w:rsidRPr="00642AB3">
        <w:t>Further research is warranted on (</w:t>
      </w:r>
      <w:proofErr w:type="spellStart"/>
      <w:r w:rsidRPr="00642AB3">
        <w:t>i</w:t>
      </w:r>
      <w:proofErr w:type="spellEnd"/>
      <w:r w:rsidRPr="00642AB3">
        <w:t>) the process of developing the conceptual model and (ii) how the conceptual model can be used to inform choices in the selection of decision options, subpopulations and spillovers; to inform assumptions and simplifications in the conduct of the economic evaluation</w:t>
      </w:r>
      <w:r w:rsidR="005C7101">
        <w:t xml:space="preserve">; and to shed light on uncertainties, particularly structural </w:t>
      </w:r>
      <w:r w:rsidR="005C7101">
        <w:lastRenderedPageBreak/>
        <w:t>uncertainties, and inform sensitivity analyses</w:t>
      </w:r>
      <w:r w:rsidRPr="00642AB3">
        <w:t xml:space="preserve">. The existing literature is mostly in the context of whole disease modelling or public health modelling, where the goal is to represent the whole system, either the disease (in whole-disease modelling) or the public health concern (in public health modelling), and generally </w:t>
      </w:r>
      <w:r w:rsidR="005C7101">
        <w:t>relates to</w:t>
      </w:r>
      <w:r w:rsidR="005C7101" w:rsidRPr="00642AB3">
        <w:t xml:space="preserve"> </w:t>
      </w:r>
      <w:r w:rsidRPr="00642AB3">
        <w:t>the development of the model structure and its parameterisation. Many economic evaluations are on whether a new technology should be offered/reimbursed by the healthcare service at a specific point of the care pathway. Although the recommendations in the literature are applicable, their recommended process for model conceptualisation and problem structuring requires sufficient timelines and resources. Therefore, approaches to expedite model conceptualisation and prioritise areas for stakeholder involvement may be useful in resource constrained settings or when timelines are short. Secondly, there is little discussion on how the conceptual model can be used to inform choices at problem structuring</w:t>
      </w:r>
      <w:r w:rsidR="00F56021">
        <w:t>, model design, parameterisation, and sensitivity analysis</w:t>
      </w:r>
      <w:r w:rsidRPr="00642AB3">
        <w:t>.</w:t>
      </w:r>
      <w:r w:rsidR="00F56021">
        <w:t xml:space="preserve"> </w:t>
      </w:r>
      <w:r w:rsidR="00A21EEB">
        <w:t xml:space="preserve">In particular, explicit conceptual modelling can provide a process for understanding structural uncertainties prior to model implementation, and to plan structural sensitivity analyses to address them. </w:t>
      </w:r>
      <w:r w:rsidRPr="00642AB3">
        <w:t xml:space="preserve">Given the impact of such choices on the economic evaluation, the development of methods and/or criteria to inform them has the potential to improve the conduct of economic evaluations and their enhance their value to decision-makers. </w:t>
      </w:r>
    </w:p>
    <w:p w14:paraId="489B6EAE" w14:textId="77777777" w:rsidR="00367E3D" w:rsidRPr="00642AB3" w:rsidRDefault="00367E3D" w:rsidP="00451BA3">
      <w:pPr>
        <w:pStyle w:val="Heading2"/>
      </w:pPr>
      <w:bookmarkStart w:id="31" w:name="_Toc48925906"/>
      <w:r w:rsidRPr="00642AB3">
        <w:t>Conclusion</w:t>
      </w:r>
      <w:bookmarkEnd w:id="31"/>
    </w:p>
    <w:p w14:paraId="78DCBB6D" w14:textId="77777777" w:rsidR="0021624C" w:rsidRDefault="0021624C" w:rsidP="00D35786">
      <w:pPr>
        <w:spacing w:line="480" w:lineRule="auto"/>
      </w:pPr>
      <w:r w:rsidRPr="0021624C">
        <w:t xml:space="preserve">An economic evaluation aims to elucidate the trade-offs in the consequences between the alternative courses of action and inform decisions regarding adoption of new technologies and future research. Inevitably, an economic evaluation cannot consider all individuals potentially affected by it, nor compare all possible options, nor account for all relationships that affect costs and consequences. Problem structuring is the stage at which such choices are made, given the decision maker requirements, the available evidence, stakeholder feedback and resource constraints. Thoughtful consideration of problem structuring, and thorough </w:t>
      </w:r>
      <w:r w:rsidRPr="0021624C">
        <w:lastRenderedPageBreak/>
        <w:t>documentation of the process are important to the transparency, credibility, and value of economic evaluations.</w:t>
      </w:r>
    </w:p>
    <w:p w14:paraId="5699CC63" w14:textId="77777777" w:rsidR="0021624C" w:rsidRDefault="0021624C" w:rsidP="00D35786">
      <w:pPr>
        <w:spacing w:line="480" w:lineRule="auto"/>
      </w:pPr>
    </w:p>
    <w:p w14:paraId="3EEAC91A" w14:textId="76CCC07A" w:rsidR="00A55EB3" w:rsidRPr="00642AB3" w:rsidRDefault="00A55EB3" w:rsidP="00451BA3">
      <w:pPr>
        <w:pStyle w:val="Heading1"/>
      </w:pPr>
      <w:bookmarkStart w:id="32" w:name="_Toc48925907"/>
      <w:r w:rsidRPr="00642AB3">
        <w:t xml:space="preserve">Further </w:t>
      </w:r>
      <w:r w:rsidR="00392021" w:rsidRPr="00642AB3">
        <w:t>Reading</w:t>
      </w:r>
      <w:bookmarkEnd w:id="32"/>
      <w:r w:rsidR="00392021" w:rsidRPr="00642AB3">
        <w:t xml:space="preserve"> </w:t>
      </w:r>
    </w:p>
    <w:p w14:paraId="1E9799BC" w14:textId="024103D8" w:rsidR="00803639" w:rsidRPr="00642AB3" w:rsidRDefault="00803639">
      <w:pPr>
        <w:pStyle w:val="Heading2"/>
      </w:pPr>
      <w:bookmarkStart w:id="33" w:name="_Toc48925908"/>
      <w:r w:rsidRPr="00642AB3">
        <w:t xml:space="preserve">Methodological </w:t>
      </w:r>
      <w:r w:rsidR="00392021" w:rsidRPr="00642AB3">
        <w:t>Guidelines</w:t>
      </w:r>
      <w:bookmarkEnd w:id="33"/>
    </w:p>
    <w:p w14:paraId="7E3CB600" w14:textId="1C9759AE" w:rsidR="00014D94" w:rsidRPr="00642AB3" w:rsidRDefault="00014D94" w:rsidP="00D35786">
      <w:pPr>
        <w:pStyle w:val="ListParagraph"/>
        <w:numPr>
          <w:ilvl w:val="0"/>
          <w:numId w:val="29"/>
        </w:numPr>
        <w:spacing w:line="480" w:lineRule="auto"/>
      </w:pPr>
      <w:r w:rsidRPr="00642AB3">
        <w:t xml:space="preserve">The </w:t>
      </w:r>
      <w:r w:rsidR="00803639" w:rsidRPr="00642AB3">
        <w:t xml:space="preserve">NICE </w:t>
      </w:r>
      <w:r w:rsidRPr="00642AB3">
        <w:t xml:space="preserve">“Guide to the methods of technology appraisal 2013” </w:t>
      </w:r>
      <w:r w:rsidR="00803639" w:rsidRPr="00642AB3">
        <w:t xml:space="preserve">is the methodological guide </w:t>
      </w:r>
      <w:r w:rsidRPr="00642AB3">
        <w:t xml:space="preserve">for economic evaluations to inform decisions on the funding of new technologies by the UK National Health Service (NHS) </w:t>
      </w:r>
      <w:r w:rsidRPr="00642AB3">
        <w:fldChar w:fldCharType="begin" w:fldLock="1"/>
      </w:r>
      <w:r w:rsidR="00A33BA4">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642AB3">
        <w:fldChar w:fldCharType="separate"/>
      </w:r>
      <w:r w:rsidR="0082743F" w:rsidRPr="00642AB3">
        <w:rPr>
          <w:noProof/>
        </w:rPr>
        <w:t>(National Institute for Health and Care Excellence (NICE), 2013)</w:t>
      </w:r>
      <w:r w:rsidRPr="00642AB3">
        <w:fldChar w:fldCharType="end"/>
      </w:r>
      <w:r w:rsidRPr="00642AB3">
        <w:t xml:space="preserve">. </w:t>
      </w:r>
      <w:r w:rsidR="00803639" w:rsidRPr="00642AB3">
        <w:t xml:space="preserve">It </w:t>
      </w:r>
      <w:r w:rsidRPr="00642AB3">
        <w:t>is supplemented by the NICE Decision Support Unit Technical Support Documents (NICE DSU TSD), as relevant</w:t>
      </w:r>
      <w:r w:rsidR="00803639" w:rsidRPr="00642AB3">
        <w:t xml:space="preserve"> </w:t>
      </w:r>
      <w:r w:rsidR="00803639" w:rsidRPr="00642AB3">
        <w:fldChar w:fldCharType="begin" w:fldLock="1"/>
      </w:r>
      <w:r w:rsidR="00A33BA4">
        <w:instrText>ADDIN CSL_CITATION {"citationItems":[{"id":"ITEM-1","itemData":{"URL":"http://nicedsu.org.uk/technical-support-documents/","accessed":{"date-parts":[["2020","7","4"]]},"author":[{"dropping-particle":"","family":"NICE Decision Support Unit","given":"","non-dropping-particle":"","parse-names":false,"suffix":""}],"id":"ITEM-1","issued":{"date-parts":[["0"]]},"title":"Technical Support Documents – NICE Decision Support Unit","type":"webpage"},"uris":["http://www.mendeley.com/documents/?uuid=f660daa5-ff16-3c3e-9b7e-1514476cf1a7"]}],"mendeley":{"formattedCitation":"(NICE Decision Support Unit, n.d.)","plainTextFormattedCitation":"(NICE Decision Support Unit, n.d.)","previouslyFormattedCitation":"(NICE Decision Support Unit, n.d.)"},"properties":{"noteIndex":0},"schema":"https://github.com/citation-style-language/schema/raw/master/csl-citation.json"}</w:instrText>
      </w:r>
      <w:r w:rsidR="00803639" w:rsidRPr="00642AB3">
        <w:fldChar w:fldCharType="separate"/>
      </w:r>
      <w:r w:rsidR="0082743F" w:rsidRPr="00642AB3">
        <w:rPr>
          <w:noProof/>
        </w:rPr>
        <w:t>(NICE Decision Support Unit, n.d.)</w:t>
      </w:r>
      <w:r w:rsidR="00803639" w:rsidRPr="00642AB3">
        <w:fldChar w:fldCharType="end"/>
      </w:r>
      <w:r w:rsidRPr="00642AB3">
        <w:t xml:space="preserve">. </w:t>
      </w:r>
      <w:r w:rsidR="00803639" w:rsidRPr="00642AB3">
        <w:t xml:space="preserve">At the time of writing, the NICE guideline was under review. </w:t>
      </w:r>
    </w:p>
    <w:p w14:paraId="7A1F162F" w14:textId="76AE8120" w:rsidR="00014D94" w:rsidRPr="00642AB3" w:rsidRDefault="00014D94" w:rsidP="00D35786">
      <w:pPr>
        <w:pStyle w:val="ListParagraph"/>
        <w:numPr>
          <w:ilvl w:val="0"/>
          <w:numId w:val="29"/>
        </w:numPr>
        <w:spacing w:line="480" w:lineRule="auto"/>
      </w:pPr>
      <w:r w:rsidRPr="00642AB3">
        <w:t>The “Guidelines for the Economic Evaluation of Health Technologies: Canada (4</w:t>
      </w:r>
      <w:r w:rsidRPr="00642AB3">
        <w:rPr>
          <w:vertAlign w:val="superscript"/>
        </w:rPr>
        <w:t>th</w:t>
      </w:r>
      <w:r w:rsidRPr="00642AB3">
        <w:t xml:space="preserve"> edition)” </w:t>
      </w:r>
      <w:r w:rsidR="00FA4C6D" w:rsidRPr="00642AB3">
        <w:t>is the methodological guideline for Canada’s CADTH, which</w:t>
      </w:r>
      <w:r w:rsidR="00803639" w:rsidRPr="00642AB3">
        <w:t xml:space="preserve"> is responsible for providing evidence to help funding decisions about new drugs, diagnostic tests, and medical, dental, and surgical devices and procedures.</w:t>
      </w:r>
      <w:r w:rsidR="00FA4C6D" w:rsidRPr="00642AB3">
        <w:t xml:space="preserve"> </w:t>
      </w:r>
      <w:r w:rsidRPr="00642AB3">
        <w:fldChar w:fldCharType="begin" w:fldLock="1"/>
      </w:r>
      <w:r w:rsidR="00A33BA4">
        <w:instrText>ADDIN CSL_CITATION {"citationItems":[{"id":"ITEM-1","itemData":{"ISBN":"1897257082","abstract":"Cite As: Guidelines for the economic evaluation of health technologies: Canada. 4th ed. Ottawa: CADTH; 2017 Mar. Disclaimer: The information in this document is intended to help Canadian health care decision-makers, health care professionals, health systems leaders, and policy-makers make well-informed decisions and thereby improve the quality of health care services. While patients and others may access this document, the document is made available for informational purposes only and no representations or warranties are made with respect to its fitness for any particular purpose. The information in this document should not be used as a substitute for professional medical advice or as a substitute for the application of clinical judgment in respect of the care of a particular patient or other professional judgment in any decision-making process. The Canadian Agency for Drugs and Technologies in Health (CADTH) does not endorse any information, drugs, therapies, treatments, products, processes, or services. This document may contain links to third-party websites. CADTH does not have control over the content of such sites. Use of third-party sites is governed by the third-party website owners' own terms and conditions set out for such sites. CADTH does not make any guarantee with respect to any information contained on such third-party sites and CADTH is not responsible for any injury, loss, or damage suffered as a result of using such third-party sites. CADTH has no responsibility for the collection, use, and disclosure of personal information by third-party sites. Subject to the aforementioned limitations, the views expressed herein are those of CADTH and do not necessarily represent the views of Canada's federal, provincial, or territorial governments or any third party supplier of information. This document is prepared and intended for use in the context of the Canadian health care system. The use of this document outside of Canada is done so at the user's own risk. This disclaimer and any questions or matters of any nature arising from or relating to the content or use (or misuse) of this document will be governed by and interpreted in accordance with the laws of the Province of Ontario and the laws of Canada applicable therein, and all proceedings shall be subject to the exclusive jurisdiction of the courts of the Province of Ontario, Canada. The copyright and other intellectual property rights in this document are owned by CADTH and its licensors. T…","author":[{"dropping-particle":"","family":"Canadian Agency for Drugs and Technologies in Health","given":"","non-dropping-particle":"","parse-names":false,"suffix":""}],"id":"ITEM-1","issue":"March","issued":{"date-parts":[["2017"]]},"page":"1-76","title":"Guidelines for the Economic Evaluation of Health Technologies: Canada","type":"article-journal"},"uris":["http://www.mendeley.com/documents/?uuid=c1edb1ae-e4b3-3ad4-9c48-be7c245913bf"]}],"mendeley":{"formattedCitation":"(Canadian Agency for Drugs and Technologies in Health, 2017)","plainTextFormattedCitation":"(Canadian Agency for Drugs and Technologies in Health, 2017)","previouslyFormattedCitation":"(Canadian Agency for Drugs and Technologies in Health, 2017)"},"properties":{"noteIndex":0},"schema":"https://github.com/citation-style-language/schema/raw/master/csl-citation.json"}</w:instrText>
      </w:r>
      <w:r w:rsidRPr="00642AB3">
        <w:fldChar w:fldCharType="separate"/>
      </w:r>
      <w:r w:rsidR="0082743F" w:rsidRPr="00642AB3">
        <w:rPr>
          <w:noProof/>
        </w:rPr>
        <w:t>(Canadian Agency for Drugs and Technologies in Health, 2017)</w:t>
      </w:r>
      <w:r w:rsidRPr="00642AB3">
        <w:fldChar w:fldCharType="end"/>
      </w:r>
      <w:r w:rsidRPr="00642AB3">
        <w:t>.</w:t>
      </w:r>
      <w:r w:rsidR="00FA4C6D" w:rsidRPr="00642AB3">
        <w:t xml:space="preserve"> </w:t>
      </w:r>
    </w:p>
    <w:p w14:paraId="15A2F067" w14:textId="6ACF119B" w:rsidR="00014D94" w:rsidRPr="00642AB3" w:rsidRDefault="00014D94" w:rsidP="00D35786">
      <w:pPr>
        <w:pStyle w:val="ListParagraph"/>
        <w:numPr>
          <w:ilvl w:val="0"/>
          <w:numId w:val="29"/>
        </w:numPr>
        <w:spacing w:line="480" w:lineRule="auto"/>
      </w:pPr>
      <w:r w:rsidRPr="00642AB3">
        <w:t xml:space="preserve">The “Guidelines for preparing a submission to the Pharmaceutical Benefits Advisory Committee (version 5.0)” </w:t>
      </w:r>
      <w:r w:rsidR="00803639" w:rsidRPr="00642AB3">
        <w:t xml:space="preserve">is the methodological guideline to inform funding decisions on new drugs by Australia’s PBAC </w:t>
      </w:r>
      <w:r w:rsidRPr="00642AB3">
        <w:fldChar w:fldCharType="begin" w:fldLock="1"/>
      </w:r>
      <w:r w:rsidR="00A33BA4">
        <w:instrText>ADDIN CSL_CITATION {"citationItems":[{"id":"ITEM-1","itemData":{"ISBN":"9781741860009","abstract":"The primary objective of the PBS is to improve health. The range of medicines and forms available under the PBS provides a formulary of medicines to meet the health needs of the majority of the Australian community. The role of a medicine in meeting the health needs of the Australian community is therefore a primary consideration. Thus, PBAC focuses on health outcomes. PBAC may also consider nonhealth outcomes, including aspects of the delivery of a health care intervention beyond the health gain obtained; for example, greater convenience or production gains to society beyond those valued by the population benefiting with improved health. However, the valuation of nonhealth outcomes is not straightforward and those outcomes might not be as influential in decision making as health outcomes. Similarly, PBAC mainly considers the costs of providing health care resources. These extend beyond the costs of the medicine to include possible cost offsets of reduced provision of health care resources as a result of listing a medicine. PBAC may also consider costs and cost offsets of nonhealth care resources, but these might not be as influential in decision making as health care resources.","author":[{"dropping-particle":"","family":"Pharmaceutical Benefits Advisory Committee","given":"","non-dropping-particle":"","parse-names":false,"suffix":""}],"id":"ITEM-1","issued":{"date-parts":[["2016"]]},"title":"Guidelines for preparing submissions to the Pharmaceutical Benefits Advisory Committee","type":"report"},"uris":["http://www.mendeley.com/documents/?uuid=57a65f32-3da3-380c-b9ea-2dc0de627f0c"]}],"mendeley":{"formattedCitation":"(Pharmaceutical Benefits Advisory Committee, 2016)","plainTextFormattedCitation":"(Pharmaceutical Benefits Advisory Committee, 2016)","previouslyFormattedCitation":"(Pharmaceutical Benefits Advisory Committee, 2016)"},"properties":{"noteIndex":0},"schema":"https://github.com/citation-style-language/schema/raw/master/csl-citation.json"}</w:instrText>
      </w:r>
      <w:r w:rsidRPr="00642AB3">
        <w:fldChar w:fldCharType="separate"/>
      </w:r>
      <w:r w:rsidR="0082743F" w:rsidRPr="00642AB3">
        <w:rPr>
          <w:noProof/>
        </w:rPr>
        <w:t>(Pharmaceutical Benefits Advisory Committee, 2016)</w:t>
      </w:r>
      <w:r w:rsidRPr="00642AB3">
        <w:fldChar w:fldCharType="end"/>
      </w:r>
      <w:r w:rsidRPr="00642AB3">
        <w:t>.</w:t>
      </w:r>
    </w:p>
    <w:p w14:paraId="26ED657A" w14:textId="35708B47" w:rsidR="00014D94" w:rsidRPr="00642AB3" w:rsidRDefault="00014D94" w:rsidP="00D35786">
      <w:pPr>
        <w:pStyle w:val="ListParagraph"/>
        <w:numPr>
          <w:ilvl w:val="0"/>
          <w:numId w:val="29"/>
        </w:numPr>
        <w:spacing w:line="480" w:lineRule="auto"/>
      </w:pPr>
      <w:r w:rsidRPr="00642AB3">
        <w:t xml:space="preserve">The </w:t>
      </w:r>
      <w:r w:rsidR="00803639" w:rsidRPr="00642AB3">
        <w:t xml:space="preserve">EUnetHTA guideline is the </w:t>
      </w:r>
      <w:r w:rsidRPr="00642AB3">
        <w:t xml:space="preserve">2015 report “Methods for health economic evaluations – a guideline based on current practices in Europe” </w:t>
      </w:r>
      <w:r w:rsidRPr="00642AB3">
        <w:fldChar w:fldCharType="begin" w:fldLock="1"/>
      </w:r>
      <w:r w:rsidR="00A33BA4">
        <w:instrText>ADDIN CSL_CITATION {"citationItems":[{"id":"ITEM-1","itemData":{"author":[{"dropping-particle":"","family":"European Network for Health Technology Assessment (EUneHTA)","given":"","non-dropping-particle":"","parse-names":false,"suffix":""}],"id":"ITEM-1","issued":{"date-parts":[["2015"]]},"number-of-pages":"100","title":"Methods for health economic evaluations -A guideline based on current practices in Europe","type":"report"},"uris":["http://www.mendeley.com/documents/?uuid=82316c6b-dca8-3243-bc63-c6556a5e0a10"]}],"mendeley":{"formattedCitation":"(European Network for Health Technology Assessment (EUneHTA), 2015)","plainTextFormattedCitation":"(European Network for Health Technology Assessment (EUneHTA), 2015)","previouslyFormattedCitation":"(European Network for Health Technology Assessment (EUneHTA), 2015)"},"properties":{"noteIndex":0},"schema":"https://github.com/citation-style-language/schema/raw/master/csl-citation.json"}</w:instrText>
      </w:r>
      <w:r w:rsidRPr="00642AB3">
        <w:fldChar w:fldCharType="separate"/>
      </w:r>
      <w:r w:rsidR="0082743F" w:rsidRPr="00642AB3">
        <w:rPr>
          <w:noProof/>
        </w:rPr>
        <w:t xml:space="preserve">(European Network </w:t>
      </w:r>
      <w:r w:rsidR="0082743F" w:rsidRPr="00642AB3">
        <w:rPr>
          <w:noProof/>
        </w:rPr>
        <w:lastRenderedPageBreak/>
        <w:t>for Health Technology Assessment (EUneHTA), 2015)</w:t>
      </w:r>
      <w:r w:rsidRPr="00642AB3">
        <w:fldChar w:fldCharType="end"/>
      </w:r>
      <w:r w:rsidRPr="00642AB3">
        <w:t xml:space="preserve">. EUnetHTA is a network of health technology assessment agencies in European countries. </w:t>
      </w:r>
    </w:p>
    <w:p w14:paraId="7C5ACCC9" w14:textId="49ECC96B" w:rsidR="00014D94" w:rsidRPr="00642AB3" w:rsidRDefault="00014D94" w:rsidP="00D35786">
      <w:pPr>
        <w:pStyle w:val="ListParagraph"/>
        <w:numPr>
          <w:ilvl w:val="0"/>
          <w:numId w:val="29"/>
        </w:numPr>
        <w:spacing w:line="480" w:lineRule="auto"/>
      </w:pPr>
      <w:r w:rsidRPr="00642AB3">
        <w:t xml:space="preserve">The </w:t>
      </w:r>
      <w:r w:rsidR="00803639" w:rsidRPr="00642AB3">
        <w:t>Gates guideline is the report</w:t>
      </w:r>
      <w:r w:rsidRPr="00642AB3">
        <w:t xml:space="preserve"> “Methods for Economic Evaluation Project” on the development of the Gates Reference Case for the Bill and Melinda Gates Foundation on economic evaluations in low- and middle-income countries that is commissions </w:t>
      </w:r>
      <w:r w:rsidRPr="00642AB3">
        <w:fldChar w:fldCharType="begin" w:fldLock="1"/>
      </w:r>
      <w:r w:rsidR="00A33BA4">
        <w:instrText>ADDIN CSL_CITATION {"citationItems":[{"id":"ITEM-1","itemData":{"author":[{"dropping-particle":"","family":"NICE International","given":"","non-dropping-particle":"","parse-names":false,"suffix":""}],"container-title":"Bill and Melinda Gates Foundation Methods for Economic Evaluation Project (MEEP)","id":"ITEM-1","issue":"January","issued":{"date-parts":[["2014"]]},"number-of-pages":"30-33","title":"Methods for Economic Evaluation Project: Final Report","type":"report"},"uris":["http://www.mendeley.com/documents/?uuid=72af4fb1-6d31-3c01-bc40-a1dbae091c33"]}],"mendeley":{"formattedCitation":"(NICE International, 2014)","plainTextFormattedCitation":"(NICE International, 2014)","previouslyFormattedCitation":"(NICE International, 2014)"},"properties":{"noteIndex":0},"schema":"https://github.com/citation-style-language/schema/raw/master/csl-citation.json"}</w:instrText>
      </w:r>
      <w:r w:rsidRPr="00642AB3">
        <w:fldChar w:fldCharType="separate"/>
      </w:r>
      <w:r w:rsidR="0082743F" w:rsidRPr="00642AB3">
        <w:rPr>
          <w:noProof/>
        </w:rPr>
        <w:t>(NICE International, 2014)</w:t>
      </w:r>
      <w:r w:rsidRPr="00642AB3">
        <w:fldChar w:fldCharType="end"/>
      </w:r>
      <w:r w:rsidRPr="00642AB3">
        <w:t>.</w:t>
      </w:r>
    </w:p>
    <w:p w14:paraId="426F488F" w14:textId="6D72ACB4" w:rsidR="00014D94" w:rsidRPr="00642AB3" w:rsidRDefault="00014D94" w:rsidP="00D35786">
      <w:pPr>
        <w:pStyle w:val="ListParagraph"/>
        <w:numPr>
          <w:ilvl w:val="0"/>
          <w:numId w:val="29"/>
        </w:numPr>
        <w:spacing w:line="480" w:lineRule="auto"/>
      </w:pPr>
      <w:r w:rsidRPr="00642AB3">
        <w:t xml:space="preserve">The </w:t>
      </w:r>
      <w:r w:rsidR="00803639" w:rsidRPr="00642AB3">
        <w:t xml:space="preserve">Drummond et al textbook </w:t>
      </w:r>
      <w:r w:rsidRPr="00642AB3">
        <w:t>“Methods for economic evaluation of health programmes (4</w:t>
      </w:r>
      <w:r w:rsidRPr="00642AB3">
        <w:rPr>
          <w:vertAlign w:val="superscript"/>
        </w:rPr>
        <w:t>th</w:t>
      </w:r>
      <w:r w:rsidRPr="00642AB3">
        <w:t xml:space="preserve"> edition)” is a key textbook for economic evaluation and has been cited over 15,000 times</w:t>
      </w:r>
      <w:r w:rsidR="00803639" w:rsidRPr="00642AB3">
        <w:t xml:space="preserve"> </w:t>
      </w:r>
      <w:r w:rsidR="00803639" w:rsidRPr="00642AB3">
        <w:fldChar w:fldCharType="begin" w:fldLock="1"/>
      </w:r>
      <w:r w:rsidR="00A33BA4">
        <w:instrText>ADDIN CSL_CITATION {"citationItems":[{"id":"ITEM-1","itemData":{"author":[{"dropping-particle":"","family":"Drummond","given":"Michael F","non-dropping-particle":"","parse-names":false,"suffix":""},{"dropping-particle":"","family":"Sculpher","given":"Mark J","non-dropping-particle":"","parse-names":false,"suffix":""},{"dropping-particle":"","family":"Claxton","given":"Karl","non-dropping-particle":"","parse-names":false,"suffix":""},{"dropping-particle":"","family":"Stoddart","given":"Greg L.","non-dropping-particle":"","parse-names":false,"suffix":""},{"dropping-particle":"","family":"Torrance","given":"George W.","non-dropping-particle":"","parse-names":false,"suffix":""}],"edition":"4th","id":"ITEM-1","issued":{"date-parts":[["2015"]]},"number-of-pages":"464","publisher":"Oxford University Press","publisher-place":"Oxford","title":"Methods for the Economic Evaluation of Health Care Programmes","type":"book"},"uris":["http://www.mendeley.com/documents/?uuid=bfcbd1b8-6b05-4fe8-a3fd-fb1cbb802fd7"]}],"mendeley":{"formattedCitation":"(M. F. Drummond et al., 2015)","plainTextFormattedCitation":"(M. F. Drummond et al., 2015)","previouslyFormattedCitation":"(M. F. Drummond et al., 2015)"},"properties":{"noteIndex":0},"schema":"https://github.com/citation-style-language/schema/raw/master/csl-citation.json"}</w:instrText>
      </w:r>
      <w:r w:rsidR="00803639" w:rsidRPr="00642AB3">
        <w:fldChar w:fldCharType="separate"/>
      </w:r>
      <w:r w:rsidR="0082743F" w:rsidRPr="00642AB3">
        <w:rPr>
          <w:noProof/>
        </w:rPr>
        <w:t>(M. F. Drummond et al., 2015)</w:t>
      </w:r>
      <w:r w:rsidR="00803639" w:rsidRPr="00642AB3">
        <w:fldChar w:fldCharType="end"/>
      </w:r>
      <w:r w:rsidRPr="00642AB3">
        <w:t xml:space="preserve">. </w:t>
      </w:r>
    </w:p>
    <w:p w14:paraId="423F746F" w14:textId="7B93FD89" w:rsidR="00014D94" w:rsidRPr="00642AB3" w:rsidRDefault="00014D94" w:rsidP="00D35786">
      <w:pPr>
        <w:pStyle w:val="ListParagraph"/>
        <w:numPr>
          <w:ilvl w:val="0"/>
          <w:numId w:val="29"/>
        </w:numPr>
        <w:spacing w:line="480" w:lineRule="auto"/>
      </w:pPr>
      <w:r w:rsidRPr="00642AB3">
        <w:t xml:space="preserve">The 2016 book “Cost-effectiveness in health and medicine” by the second US panel on the topic </w:t>
      </w:r>
      <w:r w:rsidRPr="00642AB3">
        <w:fldChar w:fldCharType="begin" w:fldLock="1"/>
      </w:r>
      <w:r w:rsidR="00A33BA4">
        <w:instrText>ADDIN CSL_CITATION {"citationItems":[{"id":"ITEM-1","itemData":{"ISBN":"9780190492939","abstract":"Second edition. Preceded by: Cost-effectiveness in health and medicine / edited by Marthe R. Gold [and others]. New York : Oxford University Press, 1996. \"Produced by the Second Panel on Cost-Effectiveness in Health and Medicine--a team of 13 experts from fields including decision science, economics, ethics, psychology, and medicine--this new edition is a comprehensive guide to the use of cost-effectiveness analysis as an evaluative tool at the institutional and policy levels. As health care systems face increasing pressure to derive maximum value from expenditures, the guidelines in this new text represent not just the best information available, but a vital guide to health care decision-making in a challenging new era.\"--Provided by publisher. Using cost-effectiveness analysis in health and medicine : experiences since the original panel / Peter J. Neumann [and 6 others] -- Theoretical foundations of cost-effectiveness analysis in health and medicine / David O. Meltzer, Anirban Basu, and Mark J. Sculpher -- Recommendations on perspectives for the reference case -- Designing a cost-effectiveness analysis / Douglas K. Owens, Joanna E. Siegel, Mark J. Sculpher, Joshua A. Salomon -- Decision models in cost-effectiveness analysis / Karen M. Kuntz [and 5 others] -- Identifying and quantifying the consequences of interventions / Joshua A. Salomon, Thomas A. Trikalinos, Gillian D. Sanders, Jeanne S. Mandelblatt -- Valuing health outcomes / David Feeny, Murray Krahn, Lisa A. Prosser, and Joshua A. Salomon -- Estimating costs and valuations of non-health benefits in cost-effectiveness analysis / Anirban Basu -- Evidence synthesis for informing cost-effectiveness analysis / Thomas A. Trikalinos, Louise B. Russell, Gillian D. Sanders -- Discounting in cost-effectiveness analysis / Anirban Basu and Theodore G. Ganiats -- Reflecting uncertainty in cost-effectiveness analysis / Mark J. Sculpher, Anirban Basu, Karen M. Kuntz, David O. Meltzer -- Ethical and distributive considerations / Dan W. Brock, Norman Daniels, Peter J. Neumann, and Joanna E. Siegel -- Reporting cost-effectiveness analyses / Lisa A. Prosser, Peter J. Neumann, Gillian D. Sanders, Joanna E. Siegel.","author":[{"dropping-particle":"","family":"Neumann","given":"Peter J.","non-dropping-particle":"","parse-names":false,"suffix":""},{"dropping-particle":"","family":"Sanders","given":"Gillian D.","non-dropping-particle":"","parse-names":false,"suffix":""},{"dropping-particle":"","family":"Russell","given":"Louise B.","non-dropping-particle":"","parse-names":false,"suffix":""},{"dropping-particle":"","family":"Siegel","given":"Joanna E.","non-dropping-particle":"","parse-names":false,"suffix":""},{"dropping-particle":"","family":"Ganiats","given":"Theodore G.","non-dropping-particle":"","parse-names":false,"suffix":""}],"id":"ITEM-1","issued":{"date-parts":[["0"]]},"number-of-pages":"496","title":"Cost effectiveness in health and medicine","type":"book"},"uris":["http://www.mendeley.com/documents/?uuid=759ab2f0-b512-3e05-b105-45868a590102"]}],"mendeley":{"formattedCitation":"(Neumann, Sanders, Russell, Siegel, &amp; Ganiats, n.d.)","plainTextFormattedCitation":"(Neumann, Sanders, Russell, Siegel, &amp; Ganiats, n.d.)","previouslyFormattedCitation":"(Neumann, Sanders, Russell, Siegel, &amp; Ganiats, n.d.)"},"properties":{"noteIndex":0},"schema":"https://github.com/citation-style-language/schema/raw/master/csl-citation.json"}</w:instrText>
      </w:r>
      <w:r w:rsidRPr="00642AB3">
        <w:fldChar w:fldCharType="separate"/>
      </w:r>
      <w:r w:rsidR="0082743F" w:rsidRPr="00642AB3">
        <w:rPr>
          <w:noProof/>
        </w:rPr>
        <w:t>(Neumann, Sanders, Russell, Siegel, &amp; Ganiats, n.d.)</w:t>
      </w:r>
      <w:r w:rsidRPr="00642AB3">
        <w:fldChar w:fldCharType="end"/>
      </w:r>
      <w:r w:rsidRPr="00642AB3">
        <w:t xml:space="preserve">. This book updates the recommendations by the first US panel on cost-effectiveness of health and medicine, which greatly influenced the conduct of economic evaluations worldwide </w:t>
      </w:r>
      <w:r w:rsidRPr="00642AB3">
        <w:fldChar w:fldCharType="begin" w:fldLock="1"/>
      </w:r>
      <w:r w:rsidR="00A33BA4">
        <w:instrText>ADDIN CSL_CITATION {"citationItems":[{"id":"ITEM-1","itemData":{"DOI":"10.1093/acprof:oso/9780190492939.001.0001","author":[{"dropping-particle":"","family":"Neumann","given":"Peter J.","non-dropping-particle":"","parse-names":false,"suffix":""},{"dropping-particle":"","family":"Sanders","given":"Gillian D.","non-dropping-particle":"","parse-names":false,"suffix":""},{"dropping-particle":"","family":"Russell","given":"Louise B.","non-dropping-particle":"","parse-names":false,"suffix":""},{"dropping-particle":"","family":"Siegel","given":"Joanna E.","non-dropping-particle":"","parse-names":false,"suffix":""},{"dropping-particle":"","family":"Ganiats","given":"Theodore G.","non-dropping-particle":"","parse-names":false,"suffix":""}],"container-title":"Cost-effectiveness in Health and Medicine","id":"ITEM-1","issued":{"date-parts":[["2016"]]},"title":"Introduction","type":"chapter"},"uris":["http://www.mendeley.com/documents/?uuid=a69cabe2-397d-3001-a188-a600299d2344"]}],"mendeley":{"formattedCitation":"(Neumann, Sanders, Russell, Siegel, &amp; Ganiats, 2016)","plainTextFormattedCitation":"(Neumann, Sanders, Russell, Siegel, &amp; Ganiats, 2016)","previouslyFormattedCitation":"(Neumann, Sanders, Russell, Siegel, &amp; Ganiats, 2016)"},"properties":{"noteIndex":0},"schema":"https://github.com/citation-style-language/schema/raw/master/csl-citation.json"}</w:instrText>
      </w:r>
      <w:r w:rsidRPr="00642AB3">
        <w:fldChar w:fldCharType="separate"/>
      </w:r>
      <w:r w:rsidR="0082743F" w:rsidRPr="00642AB3">
        <w:rPr>
          <w:noProof/>
        </w:rPr>
        <w:t>(Neumann, Sanders, Russell, Siegel, &amp; Ganiats, 2016)</w:t>
      </w:r>
      <w:r w:rsidRPr="00642AB3">
        <w:fldChar w:fldCharType="end"/>
      </w:r>
      <w:r w:rsidRPr="00642AB3">
        <w:t xml:space="preserve">. This chapter mostly uses the US Panel Report chapter “Designing a Cost-Effectiveness Analysis” </w:t>
      </w:r>
      <w:r w:rsidRPr="00642AB3">
        <w:fldChar w:fldCharType="begin" w:fldLock="1"/>
      </w:r>
      <w:r w:rsidR="00A33BA4">
        <w:instrText>ADDIN CSL_CITATION {"citationItems":[{"id":"ITEM-1","itemData":{"DOI":"10.1093/acprof:oso/9780190492939.001.0001","ISBN":"9780190492939","abstract":"This chapter provides an overview of how to design a cost-effectiveness analysis (CEA). The chapter highlights the importance of early conceptualization and planning steps to define the objectives, the research question, the perspective(s), the intervention(s), the target population, the comparators, the scope, the time horizon, and the analysis plan for a cost-effectiveness study. The chapter recommends that analysts conduct Reference Case analyses from both the healthcare sector perspective and the societal perspective. We also recommend that analysts use an Impact Inventory, which lists the consequences across sectors (e.g., healthcare, education, criminal justice system) affected by an intervention, and that they develop a written protocol that details key aspects of the CEA’s design and conduct.","author":[{"dropping-particle":"","family":"Owens","given":"Douglas K","non-dropping-particle":"","parse-names":false,"suffix":""},{"dropping-particle":"","family":"Siegel","given":"Joanna E","non-dropping-particle":"","parse-names":false,"suffix":""},{"dropping-particle":"","family":"Sculpher","given":"Mark J.","non-dropping-particle":"","parse-names":false,"suffix":""},{"dropping-particle":"","family":"Salomon","given":"Joshua A.","non-dropping-particle":"","parse-names":false,"suffix":""}],"container-title":"Cost-Effectiveness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Press","publisher-place":"Oxford","title":"Designing a Cost-Effectiveness Analysis","type":"chapter"},"uris":["http://www.mendeley.com/documents/?uuid=5008afc6-8cab-3f7d-94d0-c4aadfc9796e"]}],"mendeley":{"formattedCitation":"(Owens et al., 2016)","plainTextFormattedCitation":"(Owens et al., 2016)","previouslyFormattedCitation":"(Owens et al., 2016)"},"properties":{"noteIndex":0},"schema":"https://github.com/citation-style-language/schema/raw/master/csl-citation.json"}</w:instrText>
      </w:r>
      <w:r w:rsidRPr="00642AB3">
        <w:fldChar w:fldCharType="separate"/>
      </w:r>
      <w:r w:rsidR="0082743F" w:rsidRPr="00642AB3">
        <w:rPr>
          <w:noProof/>
        </w:rPr>
        <w:t>(Owens et al., 2016)</w:t>
      </w:r>
      <w:r w:rsidRPr="00642AB3">
        <w:fldChar w:fldCharType="end"/>
      </w:r>
      <w:r w:rsidRPr="00642AB3">
        <w:t xml:space="preserve">, with some information from the chapter “Identifying and Quantifying the Consequences of </w:t>
      </w:r>
      <w:r w:rsidR="00803639" w:rsidRPr="00642AB3">
        <w:t>Technologies</w:t>
      </w:r>
      <w:r w:rsidRPr="00642AB3">
        <w:t xml:space="preserve">” </w:t>
      </w:r>
      <w:r w:rsidRPr="00642AB3">
        <w:fldChar w:fldCharType="begin" w:fldLock="1"/>
      </w:r>
      <w:r w:rsidR="00A33BA4">
        <w:instrText>ADDIN CSL_CITATION {"citationItems":[{"id":"ITEM-1","itemData":{"DOI":"10.1093/acprof:oso/9780190492939.001.0001","ISBN":"9780190492939","abstract":"There are two distinct phases in identifying and quantifying consequences: a broad and systematic review of relevant consequences of the decision being evaluated and identification of data sources and measurement approaches for quantifying them. Cost-effectiveness analyses should identify all significant consequences related to health (survival and/or health status) and resource use in the healthcare sector, as well as consequences in other sectors. Consequences may be distinguished along various dimensions, including the sector in which they occur; groups with different degrees of proximity to the intervention (target population versus other affected groups); and different time points. The Impact Inventory provides a framework for listing all consequences of an intervention, within and outside the healthcare sector, and encouraging explicit discussion of omitted elements and their likely effect on the conclusions of an analysis.","author":[{"dropping-particle":"","family":"Salomon","given":"Joshua A.","non-dropping-particle":"","parse-names":false,"suffix":""},{"dropping-particle":"","family":"Trikalinos","given":"Thomas A.","non-dropping-particle":"","parse-names":false,"suffix":""},{"dropping-particle":"","family":"Sanders","given":"Gillian D.","non-dropping-particle":"","parse-names":false,"suffix":""},{"dropping-particle":"","family":"Mandelblatt","given":"Jeanne S.","non-dropping-particle":"","parse-names":false,"suffix":""}],"container-title":"Cost-Effectiveness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D.","non-dropping-particle":"","parse-names":false,"suffix":""},{"dropping-particle":"","family":"Siegel","given":"Joanna","non-dropping-particle":"","parse-names":false,"suffix":""}],"id":"ITEM-1","issued":{"date-parts":[["2016"]]},"page":"137-166","publisher":"Oxford University Press","publisher-place":"Oxford","title":"Identifying and Quantifying the Consequences of Interventions","type":"chapter"},"uris":["http://www.mendeley.com/documents/?uuid=d680cf3f-e865-391b-884d-c3464bbd632f"]}],"mendeley":{"formattedCitation":"(Salomon et al., 2016)","plainTextFormattedCitation":"(Salomon et al., 2016)","previouslyFormattedCitation":"(Salomon et al., 2016)"},"properties":{"noteIndex":0},"schema":"https://github.com/citation-style-language/schema/raw/master/csl-citation.json"}</w:instrText>
      </w:r>
      <w:r w:rsidRPr="00642AB3">
        <w:fldChar w:fldCharType="separate"/>
      </w:r>
      <w:r w:rsidR="0082743F" w:rsidRPr="00642AB3">
        <w:rPr>
          <w:noProof/>
        </w:rPr>
        <w:t>(Salomon et al., 2016)</w:t>
      </w:r>
      <w:r w:rsidRPr="00642AB3">
        <w:fldChar w:fldCharType="end"/>
      </w:r>
      <w:r w:rsidRPr="00642AB3">
        <w:t xml:space="preserve"> and “Decision Models in Cost-Effectiveness Analysis” </w:t>
      </w:r>
      <w:r w:rsidRPr="00642AB3">
        <w:fldChar w:fldCharType="begin" w:fldLock="1"/>
      </w:r>
      <w:r w:rsidR="00A33BA4">
        <w:instrText>ADDIN CSL_CITATION {"citationItems":[{"id":"ITEM-1","itemData":{"DOI":"10.1093/acprof:oso/9780190492939.001.0001","ISBN":"9780190492939","abstract":"This is a new chapter and underscores recent advances in the field. Analysts typically face situations in which the data available about the costs and effects of different interventions come from disparate sources and often from studies for which analysts do not have access to primary data. Models fill in the gaps and help to structure analysts’ thinking. They provide a framework for synthesizing data from disparate sources, allowing extrapolations beyond the time horizons of available data and to population subgroups and strategies not observed in studies. This chapter reviews the different types of decision models and their relative advantages and disadvantages. It also provides recommendations for model structure, output, evaluation of uncertainty, and validation.","author":[{"dropping-particle":"","family":"Kuntz","given":"Karen M.","non-dropping-particle":"","parse-names":false,"suffix":""},{"dropping-particle":"","family":"Russell","given":"Louise B","non-dropping-particle":"","parse-names":false,"suffix":""},{"dropping-particle":"","family":"Owens","given":"Douglas K","non-dropping-particle":"","parse-names":false,"suffix":""},{"dropping-particle":"","family":"Sanders","given":"Gillian D.","non-dropping-particle":"","parse-names":false,"suffix":""},{"dropping-particle":"","family":"Trikalinos","given":"Thomas A.","non-dropping-particle":"","parse-names":false,"suffix":""},{"dropping-particle":"","family":"Salomon","given":"Joshua A.","non-dropping-particle":"","parse-names":false,"suffix":""}],"container-title":"Cost Effectiveness in Health and Medicine","editor":[{"dropping-particle":"","family":"Neumann","given":"Peter J","non-dropping-particle":"","parse-names":false,"suffix":""},{"dropping-particle":"","family":"Ganiats","given":"Theodore G","non-dropping-particle":"","parse-names":false,"suffix":""},{"dropping-particle":"","family":"Russell","given":"Louise B","non-dropping-particle":"","parse-names":false,"suffix":""},{"dropping-particle":"","family":"Sanders","given":"Gillian D","non-dropping-particle":"","parse-names":false,"suffix":""},{"dropping-particle":"","family":"Siegel","given":"Joanna D","non-dropping-particle":"","parse-names":false,"suffix":""}],"id":"ITEM-1","issued":{"date-parts":[["2016"]]},"publisher":"Oxford University Press","publisher-place":"Oxford","title":"Decision Models in Cost-Effectiveness Analysis","type":"chapter"},"uris":["http://www.mendeley.com/documents/?uuid=130c09eb-d67f-39a2-b765-379137b2b6bd"]}],"mendeley":{"formattedCitation":"(Kuntz et al., 2016)","plainTextFormattedCitation":"(Kuntz et al., 2016)","previouslyFormattedCitation":"(Kuntz et al., 2016)"},"properties":{"noteIndex":0},"schema":"https://github.com/citation-style-language/schema/raw/master/csl-citation.json"}</w:instrText>
      </w:r>
      <w:r w:rsidRPr="00642AB3">
        <w:fldChar w:fldCharType="separate"/>
      </w:r>
      <w:r w:rsidR="0082743F" w:rsidRPr="00642AB3">
        <w:rPr>
          <w:noProof/>
        </w:rPr>
        <w:t>(Kuntz et al., 2016)</w:t>
      </w:r>
      <w:r w:rsidRPr="00642AB3">
        <w:fldChar w:fldCharType="end"/>
      </w:r>
      <w:r w:rsidRPr="00642AB3">
        <w:t xml:space="preserve">. </w:t>
      </w:r>
    </w:p>
    <w:p w14:paraId="1762A20A" w14:textId="79F39ADE" w:rsidR="00014D94" w:rsidRPr="00642AB3" w:rsidRDefault="00014D94" w:rsidP="00D35786">
      <w:pPr>
        <w:pStyle w:val="ListParagraph"/>
        <w:numPr>
          <w:ilvl w:val="0"/>
          <w:numId w:val="29"/>
        </w:numPr>
        <w:spacing w:line="480" w:lineRule="auto"/>
      </w:pPr>
      <w:r w:rsidRPr="00642AB3">
        <w:t xml:space="preserve">The International Society for Pharmacoeconomics and Outcomes Research (ISPOR) task forces consensus reports. ISPOR was founded in 1995 to advance the policy, science and practice of research on the effects of health care </w:t>
      </w:r>
      <w:r w:rsidR="0008677A" w:rsidRPr="00642AB3">
        <w:t>technologies</w:t>
      </w:r>
      <w:r w:rsidRPr="00642AB3">
        <w:t xml:space="preserve"> on costs and patients well-being </w:t>
      </w:r>
      <w:r w:rsidRPr="00642AB3">
        <w:fldChar w:fldCharType="begin" w:fldLock="1"/>
      </w:r>
      <w:r w:rsidR="00A33BA4">
        <w:instrText>ADDIN CSL_CITATION {"citationItems":[{"id":"ITEM-1","itemData":{"URL":"https://www.ispor.org/about-ispor.asp","accessed":{"date-parts":[["2018","5","3"]]},"id":"ITEM-1","issued":{"date-parts":[["0"]]},"title":"About ISPOR","type":"webpage"},"uris":["http://www.mendeley.com/documents/?uuid=918eed91-ddb1-379b-9194-73196d45c2c2"]}],"mendeley":{"formattedCitation":"(‘About ISPOR’, n.d.)","plainTextFormattedCitation":"(‘About ISPOR’, n.d.)","previouslyFormattedCitation":"(‘About ISPOR’, n.d.)"},"properties":{"noteIndex":0},"schema":"https://github.com/citation-style-language/schema/raw/master/csl-citation.json"}</w:instrText>
      </w:r>
      <w:r w:rsidRPr="00642AB3">
        <w:fldChar w:fldCharType="separate"/>
      </w:r>
      <w:r w:rsidR="0082743F" w:rsidRPr="00642AB3">
        <w:rPr>
          <w:noProof/>
        </w:rPr>
        <w:t>(‘About ISPOR’, n.d.)</w:t>
      </w:r>
      <w:r w:rsidRPr="00642AB3">
        <w:fldChar w:fldCharType="end"/>
      </w:r>
      <w:r w:rsidRPr="00642AB3">
        <w:t>. Of the various task forces convened to issue guidance, those relevant to this thesis are the reports on economic evaluation using decision models by Caro et al</w:t>
      </w:r>
      <w:r w:rsidR="005C7101">
        <w:t xml:space="preserve"> </w:t>
      </w:r>
      <w:r w:rsidRPr="00642AB3">
        <w:fldChar w:fldCharType="begin" w:fldLock="1"/>
      </w:r>
      <w:r w:rsidR="00A33BA4">
        <w:instrText>ADDIN CSL_CITATION {"citationItems":[{"id":"ITEM-1","itemData":{"DOI":"10.1016/j.jval.2012.06.012","ISBN":"1524-4733","ISSN":"10983015","PMID":"22999128","abstract":"Models - mathematical frameworks that facilitate estimation of the consequences of health care decisions - have become essential tools for health technology assessment. Evolution of the methods since the first ISPOR Modeling Task Force reported in 2003 has led to a new Task Force, jointly convened with the Society for Medical Decision Making, and this series of seven articles presents the updated recommendations for best practices in conceptualizing models; implementing state-transition approaches, discrete event simulations, or dynamic transmission models; and dealing with uncertainty and validating and reporting models transparently. This overview article introduces the work of the Task Force, provides all the recommendations, and discusses some quandaries that require further elucidation. The audience for these articles includes those who build models, stakeholders who utilize their results, and, indeed, anyone concerned with the use of models to support decision making. © 2012 International Society for Pharmacoeconomics and Outcomes Research (ISPOR).","author":[{"dropping-particle":"","family":"Caro","given":"J. Jaime","non-dropping-particle":"","parse-names":false,"suffix":""},{"dropping-particle":"","family":"Briggs","given":"Andrew H.","non-dropping-particle":"","parse-names":false,"suffix":""},{"dropping-particle":"","family":"Siebert","given":"Uwe","non-dropping-particle":"","parse-names":false,"suffix":""},{"dropping-particle":"","family":"Kuntz","given":"Karen M.","non-dropping-particle":"","parse-names":false,"suffix":""}],"container-title":"Value in Health","id":"ITEM-1","issue":"6","issued":{"date-parts":[["2012"]]},"page":"796-803","title":"Modeling good research practices - Overview: A report of the ISPOR-SMDM modeling good research practices task force-1","type":"article","volume":"15"},"uris":["http://www.mendeley.com/documents/?uuid=c98b4b05-f762-3507-bdb2-329212e69577"]}],"mendeley":{"formattedCitation":"(Caro et al., 2012)","plainTextFormattedCitation":"(Caro et al., 2012)","previouslyFormattedCitation":"(Caro et al., 2012)"},"properties":{"noteIndex":0},"schema":"https://github.com/citation-style-language/schema/raw/master/csl-citation.json"}</w:instrText>
      </w:r>
      <w:r w:rsidRPr="00642AB3">
        <w:fldChar w:fldCharType="separate"/>
      </w:r>
      <w:r w:rsidR="0082743F" w:rsidRPr="00642AB3">
        <w:rPr>
          <w:noProof/>
        </w:rPr>
        <w:t>(Caro et al., 2012)</w:t>
      </w:r>
      <w:r w:rsidRPr="00642AB3">
        <w:fldChar w:fldCharType="end"/>
      </w:r>
      <w:r w:rsidRPr="00642AB3">
        <w:t xml:space="preserve"> titled “</w:t>
      </w:r>
      <w:proofErr w:type="spellStart"/>
      <w:r w:rsidRPr="00642AB3">
        <w:t>Modeling</w:t>
      </w:r>
      <w:proofErr w:type="spellEnd"/>
      <w:r w:rsidRPr="00642AB3">
        <w:t xml:space="preserve"> good research </w:t>
      </w:r>
      <w:r w:rsidRPr="00642AB3">
        <w:lastRenderedPageBreak/>
        <w:t xml:space="preserve">practices - Overview: A report of the ISPOR-SMDM </w:t>
      </w:r>
      <w:proofErr w:type="spellStart"/>
      <w:r w:rsidRPr="00642AB3">
        <w:t>modeling</w:t>
      </w:r>
      <w:proofErr w:type="spellEnd"/>
      <w:r w:rsidRPr="00642AB3">
        <w:t xml:space="preserve"> good research practices task force-1” and by Roberts et al  </w:t>
      </w:r>
      <w:r w:rsidRPr="00642AB3">
        <w:fldChar w:fldCharType="begin" w:fldLock="1"/>
      </w:r>
      <w:r w:rsidR="00A33BA4">
        <w:instrText>ADDIN CSL_CITATION {"citationItems":[{"id":"ITEM-1","itemData":{"DOI":"10.1016/j.jval.2012.06.012","ISBN":"1524-4733","ISSN":"1524-4733","PMID":"22999128","abstract":"Thee appropriate development of a model begins with understanding the problem that is being represented. The aim of this article was to provide a series ofconsensus-basedbest practices regardingtheprocess ofmodelcon- ceptualization. For the purpose of this series of articles, we consider the de- velopment of models whose purpose is to inform medical decisions and health-related resource allocation questions.Wespecifically divide the con- ceptualization process into two distinct components: the conceptualization of the problem, which converts knowledge of the health care process or de- cision into a representation of the problem, followed by the conceptualiza- tion of themodelitself,whichmatchesthe attributesandcharacteristics ofa particular modeling type with the needs of the problem being represented. Recommendations are made regarding the structure of the modeling team, agreement on the statement of the problem, the structure, perspective, and target population of the model, and the interventions and outcomes repre- sented. Best practices relating to the specific characteristics of model struc- ture and which characteristics of the problem might be most easily repre- sented in a specific modelingmethodare presented. Each section contains a number of recommendations that were iterated among the authors, as well as among the wider modeling taskforce, jointly set up by the International Society for PharmacoeconomicsandOutcomesResearchandthe Society for Medical Decision Making. Keywords:","author":[{"dropping-particle":"","family":"Roberts","given":"Mark","non-dropping-particle":"","parse-names":false,"suffix":""},{"dropping-particle":"","family":"Russell","given":"Louise","non-dropping-particle":"","parse-names":false,"suffix":""},{"dropping-particle":"","family":"Paltiel","given":"A David","non-dropping-particle":"","parse-names":false,"suffix":""},{"dropping-particle":"","family":"Chambers","given":"Micheal","non-dropping-particle":"","parse-names":false,"suffix":""},{"dropping-particle":"","family":"McEwan","given":"Phil","non-dropping-particle":"","parse-names":false,"suffix":""}],"container-title":"Value in Health","id":"ITEM-1","issued":{"date-parts":[["2012"]]},"page":"804-811","title":"Conceptualizing a Model: A Report of the ISPOR-SMDM Modeling Good Research Practices Task Force-2","type":"article-journal","volume":"15"},"uris":["http://www.mendeley.com/documents/?uuid=d6058f98-c577-37fc-9309-1ea31daea085"]}],"mendeley":{"formattedCitation":"(Roberts et al., 2012)","plainTextFormattedCitation":"(Roberts et al., 2012)","previouslyFormattedCitation":"(Roberts et al., 2012)"},"properties":{"noteIndex":0},"schema":"https://github.com/citation-style-language/schema/raw/master/csl-citation.json"}</w:instrText>
      </w:r>
      <w:r w:rsidRPr="00642AB3">
        <w:fldChar w:fldCharType="separate"/>
      </w:r>
      <w:r w:rsidR="0082743F" w:rsidRPr="00642AB3">
        <w:rPr>
          <w:noProof/>
        </w:rPr>
        <w:t>(Roberts et al., 2012)</w:t>
      </w:r>
      <w:r w:rsidRPr="00642AB3">
        <w:fldChar w:fldCharType="end"/>
      </w:r>
      <w:r w:rsidRPr="00642AB3">
        <w:t xml:space="preserve"> titled “Conceptualizing a Model: A Report of the ISPOR-SMDM </w:t>
      </w:r>
      <w:proofErr w:type="spellStart"/>
      <w:r w:rsidRPr="00642AB3">
        <w:t>Modeling</w:t>
      </w:r>
      <w:proofErr w:type="spellEnd"/>
      <w:r w:rsidRPr="00642AB3">
        <w:t xml:space="preserve"> Good Research Practices Task Force-2” . </w:t>
      </w:r>
      <w:r w:rsidR="00803639" w:rsidRPr="00642AB3">
        <w:t xml:space="preserve">All other taskforce reports are recommended as further reading as state-the-art guidance on economic evaluation and related topics </w:t>
      </w:r>
      <w:r w:rsidR="00803639" w:rsidRPr="00642AB3">
        <w:fldChar w:fldCharType="begin" w:fldLock="1"/>
      </w:r>
      <w:r w:rsidR="00A33BA4">
        <w:instrText>ADDIN CSL_CITATION {"citationItems":[{"id":"ITEM-1","itemData":{"URL":"https://www.ispor.org/member-groups/task-forces","accessed":{"date-parts":[["2020","7","4"]]},"author":[{"dropping-particle":"","family":"ISPOR","given":"","non-dropping-particle":"","parse-names":false,"suffix":""}],"id":"ITEM-1","issued":{"date-parts":[["0"]]},"title":"ISPOR - Task Forces","type":"webpage"},"uris":["http://www.mendeley.com/documents/?uuid=defba4d7-f17e-3e95-a2ae-04568c963b3e"]}],"mendeley":{"formattedCitation":"(ISPOR, n.d.)","plainTextFormattedCitation":"(ISPOR, n.d.)","previouslyFormattedCitation":"(ISPOR, n.d.)"},"properties":{"noteIndex":0},"schema":"https://github.com/citation-style-language/schema/raw/master/csl-citation.json"}</w:instrText>
      </w:r>
      <w:r w:rsidR="00803639" w:rsidRPr="00642AB3">
        <w:fldChar w:fldCharType="separate"/>
      </w:r>
      <w:r w:rsidR="0082743F" w:rsidRPr="00642AB3">
        <w:rPr>
          <w:noProof/>
        </w:rPr>
        <w:t>(ISPOR, n.d.)</w:t>
      </w:r>
      <w:r w:rsidR="00803639" w:rsidRPr="00642AB3">
        <w:fldChar w:fldCharType="end"/>
      </w:r>
      <w:r w:rsidR="00803639" w:rsidRPr="00642AB3">
        <w:t>.</w:t>
      </w:r>
    </w:p>
    <w:p w14:paraId="5C524856" w14:textId="2D54D011" w:rsidR="00803639" w:rsidRPr="00642AB3" w:rsidRDefault="00803639" w:rsidP="00451BA3">
      <w:pPr>
        <w:pStyle w:val="Heading2"/>
      </w:pPr>
      <w:bookmarkStart w:id="34" w:name="_Toc48925909"/>
      <w:r w:rsidRPr="00642AB3">
        <w:t xml:space="preserve">Other </w:t>
      </w:r>
      <w:r w:rsidR="00392021" w:rsidRPr="00642AB3">
        <w:t>Further Reading</w:t>
      </w:r>
      <w:bookmarkEnd w:id="34"/>
    </w:p>
    <w:p w14:paraId="273F7466" w14:textId="6F410FC1" w:rsidR="00803639" w:rsidRPr="00642AB3" w:rsidRDefault="00803639" w:rsidP="00C0402E">
      <w:pPr>
        <w:pStyle w:val="Heading3"/>
      </w:pPr>
      <w:bookmarkStart w:id="35" w:name="_Toc48925910"/>
      <w:r w:rsidRPr="00642AB3">
        <w:t xml:space="preserve">On </w:t>
      </w:r>
      <w:r w:rsidR="00392021" w:rsidRPr="00642AB3">
        <w:t xml:space="preserve">Subpopulations </w:t>
      </w:r>
      <w:proofErr w:type="gramStart"/>
      <w:r w:rsidR="00392021" w:rsidRPr="00642AB3">
        <w:t>And</w:t>
      </w:r>
      <w:proofErr w:type="gramEnd"/>
      <w:r w:rsidR="00392021" w:rsidRPr="00642AB3">
        <w:t xml:space="preserve"> Heterogeneity</w:t>
      </w:r>
      <w:bookmarkEnd w:id="35"/>
    </w:p>
    <w:p w14:paraId="40B6E99C" w14:textId="5C15B959" w:rsidR="00137CA7" w:rsidRPr="00642AB3" w:rsidRDefault="00137CA7" w:rsidP="00D35786">
      <w:pPr>
        <w:spacing w:line="480" w:lineRule="auto"/>
      </w:pPr>
      <w:r w:rsidRPr="00642AB3">
        <w:t xml:space="preserve">Kohli-Lynch, C. N., Briggs, A. H., Kohli-Lynch, C. N. &amp; Briggs, A. H. Heterogeneity in Cost-Effectiveness Analysis. in Oxford Research </w:t>
      </w:r>
      <w:proofErr w:type="spellStart"/>
      <w:r w:rsidRPr="00642AB3">
        <w:t>Encyclopedia</w:t>
      </w:r>
      <w:proofErr w:type="spellEnd"/>
      <w:r w:rsidRPr="00642AB3">
        <w:t xml:space="preserve"> of Economics and Finance (2019). doi:10.1093/</w:t>
      </w:r>
      <w:proofErr w:type="spellStart"/>
      <w:r w:rsidRPr="00642AB3">
        <w:t>acrefore</w:t>
      </w:r>
      <w:proofErr w:type="spellEnd"/>
      <w:r w:rsidRPr="00642AB3">
        <w:t>/9780190625979.013.101</w:t>
      </w:r>
    </w:p>
    <w:p w14:paraId="21A4C470" w14:textId="76CBBE8D" w:rsidR="00137CA7" w:rsidRPr="00642AB3" w:rsidRDefault="00137CA7">
      <w:pPr>
        <w:pStyle w:val="Heading3"/>
      </w:pPr>
      <w:bookmarkStart w:id="36" w:name="_Toc48925911"/>
      <w:r w:rsidRPr="00642AB3">
        <w:t xml:space="preserve">On </w:t>
      </w:r>
      <w:r w:rsidR="00392021" w:rsidRPr="00642AB3">
        <w:t>Spillover Populations</w:t>
      </w:r>
      <w:bookmarkEnd w:id="36"/>
    </w:p>
    <w:p w14:paraId="18D32AEA" w14:textId="16B8311C" w:rsidR="0082743F" w:rsidRPr="00642AB3" w:rsidRDefault="0082743F" w:rsidP="00D35786">
      <w:pPr>
        <w:spacing w:line="480" w:lineRule="auto"/>
      </w:pPr>
      <w:r w:rsidRPr="00642AB3">
        <w:t xml:space="preserve">Brouwer, W. B. F. (2019, April 1). The Inclusion of Spillover Effects in Economic Evaluations: Not an Optional Extra. </w:t>
      </w:r>
      <w:proofErr w:type="spellStart"/>
      <w:r w:rsidRPr="00642AB3">
        <w:t>PharmacoEconomics</w:t>
      </w:r>
      <w:proofErr w:type="spellEnd"/>
      <w:r w:rsidRPr="00642AB3">
        <w:t xml:space="preserve">. Springer International Publishing. Retrieved from </w:t>
      </w:r>
      <w:hyperlink r:id="rId14" w:history="1">
        <w:r w:rsidRPr="00642AB3">
          <w:rPr>
            <w:rStyle w:val="Hyperlink"/>
          </w:rPr>
          <w:t>https://doi.org/10.1007/s40273-018-0730-6</w:t>
        </w:r>
      </w:hyperlink>
    </w:p>
    <w:p w14:paraId="19DC24ED" w14:textId="552C1FF7" w:rsidR="00137CA7" w:rsidRPr="00642AB3" w:rsidRDefault="00137CA7" w:rsidP="00D35786">
      <w:pPr>
        <w:spacing w:line="480" w:lineRule="auto"/>
      </w:pPr>
      <w:r w:rsidRPr="00642AB3">
        <w:t xml:space="preserve">McCabe, C. Expanding the Scope of Costs and Benefits for Economic Evaluations in Health: Some Words of Caution. </w:t>
      </w:r>
      <w:proofErr w:type="spellStart"/>
      <w:r w:rsidRPr="00642AB3">
        <w:t>PharmacoEconomics</w:t>
      </w:r>
      <w:proofErr w:type="spellEnd"/>
      <w:r w:rsidRPr="00642AB3">
        <w:t xml:space="preserve"> 37, 457–460 (2019).</w:t>
      </w:r>
    </w:p>
    <w:p w14:paraId="14D0361B" w14:textId="585ACBF8" w:rsidR="00137CA7" w:rsidRPr="00642AB3" w:rsidRDefault="00137CA7" w:rsidP="00451BA3">
      <w:pPr>
        <w:pStyle w:val="Heading3"/>
      </w:pPr>
      <w:bookmarkStart w:id="37" w:name="_Toc48925912"/>
      <w:r w:rsidRPr="00642AB3">
        <w:t xml:space="preserve">On </w:t>
      </w:r>
      <w:r w:rsidR="00392021" w:rsidRPr="00642AB3">
        <w:t>Conceptual Modelling</w:t>
      </w:r>
      <w:bookmarkEnd w:id="37"/>
      <w:r w:rsidR="00392021" w:rsidRPr="00642AB3">
        <w:t xml:space="preserve"> </w:t>
      </w:r>
    </w:p>
    <w:p w14:paraId="352C52E5" w14:textId="48736518" w:rsidR="00137CA7" w:rsidRPr="00642AB3" w:rsidRDefault="00137CA7" w:rsidP="00D35786">
      <w:pPr>
        <w:spacing w:line="480" w:lineRule="auto"/>
      </w:pPr>
      <w:r w:rsidRPr="00642AB3">
        <w:t>Sculpher, M. J., Claxton, K., Drummond, M. &amp; McCabe, C. Whither trial-based economic evaluation for health care decision making? Health Econ. 15, 677–687 (2006).</w:t>
      </w:r>
    </w:p>
    <w:p w14:paraId="0DFA329F" w14:textId="25357FBA" w:rsidR="00137CA7" w:rsidRPr="00642AB3" w:rsidRDefault="00137CA7" w:rsidP="00D35786">
      <w:pPr>
        <w:spacing w:line="480" w:lineRule="auto"/>
      </w:pPr>
      <w:r w:rsidRPr="00642AB3">
        <w:t>Chilcott, J. et al. Avoiding and identifying errors in health technology assessment models: Qualitative study and methodological review. Health Technol. Assess. (</w:t>
      </w:r>
      <w:proofErr w:type="spellStart"/>
      <w:r w:rsidRPr="00642AB3">
        <w:t>Rockv</w:t>
      </w:r>
      <w:proofErr w:type="spellEnd"/>
      <w:r w:rsidRPr="00642AB3">
        <w:t>). 14, (2010).</w:t>
      </w:r>
    </w:p>
    <w:p w14:paraId="518DA8FE" w14:textId="4F62E256" w:rsidR="00137CA7" w:rsidRPr="00642AB3" w:rsidRDefault="00137CA7" w:rsidP="00D35786">
      <w:pPr>
        <w:spacing w:line="480" w:lineRule="auto"/>
      </w:pPr>
      <w:r w:rsidRPr="00642AB3">
        <w:lastRenderedPageBreak/>
        <w:t xml:space="preserve">Tappenden, P. Problem Structuring for Health Economic Model Development. in </w:t>
      </w:r>
      <w:proofErr w:type="spellStart"/>
      <w:r w:rsidRPr="00642AB3">
        <w:t>Encyclopedia</w:t>
      </w:r>
      <w:proofErr w:type="spellEnd"/>
      <w:r w:rsidRPr="00642AB3">
        <w:t xml:space="preserve"> of Health Economics 168–179 (2014). doi:10.1016/B978-0-12-375678-7.01410-3</w:t>
      </w:r>
    </w:p>
    <w:p w14:paraId="31B63D93" w14:textId="522890B1" w:rsidR="00137CA7" w:rsidRPr="00642AB3" w:rsidRDefault="00137CA7" w:rsidP="00D35786">
      <w:pPr>
        <w:spacing w:line="480" w:lineRule="auto"/>
      </w:pPr>
      <w:r w:rsidRPr="00642AB3">
        <w:t xml:space="preserve">Haji Ali </w:t>
      </w:r>
      <w:proofErr w:type="spellStart"/>
      <w:r w:rsidRPr="00642AB3">
        <w:t>Afzali</w:t>
      </w:r>
      <w:proofErr w:type="spellEnd"/>
      <w:r w:rsidRPr="00642AB3">
        <w:t xml:space="preserve">, H., </w:t>
      </w:r>
      <w:proofErr w:type="spellStart"/>
      <w:r w:rsidRPr="00642AB3">
        <w:t>Bojke</w:t>
      </w:r>
      <w:proofErr w:type="spellEnd"/>
      <w:r w:rsidRPr="00642AB3">
        <w:t xml:space="preserve">, L. &amp; </w:t>
      </w:r>
      <w:proofErr w:type="spellStart"/>
      <w:r w:rsidRPr="00642AB3">
        <w:t>Karnon</w:t>
      </w:r>
      <w:proofErr w:type="spellEnd"/>
      <w:r w:rsidRPr="00642AB3">
        <w:t xml:space="preserve">, J. Model Structuring for Economic Evaluations of New Health Technologies. </w:t>
      </w:r>
      <w:proofErr w:type="spellStart"/>
      <w:r w:rsidRPr="00642AB3">
        <w:t>PharmacoEconomics</w:t>
      </w:r>
      <w:proofErr w:type="spellEnd"/>
      <w:r w:rsidRPr="00642AB3">
        <w:t xml:space="preserve"> 1–11 (2018). doi:10.1007/s40273-018-0693-7</w:t>
      </w:r>
    </w:p>
    <w:p w14:paraId="7943C21F" w14:textId="101CC31B" w:rsidR="00137CA7" w:rsidRPr="00642AB3" w:rsidRDefault="00137CA7" w:rsidP="00D35786">
      <w:pPr>
        <w:spacing w:line="480" w:lineRule="auto"/>
      </w:pPr>
      <w:r w:rsidRPr="00642AB3">
        <w:t xml:space="preserve">Squires, H., Chilcott, J., </w:t>
      </w:r>
      <w:proofErr w:type="spellStart"/>
      <w:r w:rsidRPr="00642AB3">
        <w:t>Akehurst</w:t>
      </w:r>
      <w:proofErr w:type="spellEnd"/>
      <w:r w:rsidRPr="00642AB3">
        <w:t>, R., Burr, J. &amp; Kelly, M. P. A Framework for Developing the Structure of Public Health Economic Models. Value Heal. 19, 588–601 (2016).</w:t>
      </w:r>
    </w:p>
    <w:p w14:paraId="0B2D035D" w14:textId="468861F4" w:rsidR="00A55EB3" w:rsidRPr="00642AB3" w:rsidRDefault="0001301E" w:rsidP="00451BA3">
      <w:pPr>
        <w:pStyle w:val="Heading1"/>
      </w:pPr>
      <w:bookmarkStart w:id="38" w:name="_Toc48925913"/>
      <w:r w:rsidRPr="00642AB3">
        <w:t>Reference</w:t>
      </w:r>
      <w:r w:rsidR="00A55EB3" w:rsidRPr="00642AB3">
        <w:t>s</w:t>
      </w:r>
      <w:bookmarkEnd w:id="38"/>
    </w:p>
    <w:p w14:paraId="1703F378" w14:textId="33633D46" w:rsidR="00451BA3" w:rsidRPr="005C7101" w:rsidRDefault="00C1286B" w:rsidP="00C0402E">
      <w:pPr>
        <w:widowControl w:val="0"/>
        <w:autoSpaceDE w:val="0"/>
        <w:autoSpaceDN w:val="0"/>
        <w:adjustRightInd w:val="0"/>
        <w:spacing w:line="480" w:lineRule="auto"/>
        <w:ind w:left="480" w:hanging="480"/>
        <w:rPr>
          <w:noProof/>
        </w:rPr>
      </w:pPr>
      <w:r w:rsidRPr="00642AB3">
        <w:fldChar w:fldCharType="begin" w:fldLock="1"/>
      </w:r>
      <w:r w:rsidRPr="00642AB3">
        <w:instrText xml:space="preserve">ADDIN Mendeley Bibliography CSL_BIBLIOGRAPHY </w:instrText>
      </w:r>
      <w:r w:rsidRPr="00642AB3">
        <w:fldChar w:fldCharType="separate"/>
      </w:r>
      <w:r w:rsidR="00451BA3" w:rsidRPr="005C7101">
        <w:rPr>
          <w:noProof/>
        </w:rPr>
        <w:t>About ISPOR. (n.d.). Retrieved 3 May 2018, from https://www.ispor.org/about-ispor.asp</w:t>
      </w:r>
    </w:p>
    <w:p w14:paraId="0DA008CE"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Afzali, H Haji Ali, &amp; Karnon, J. (2014). Specification and Implementation of Decision Analytic Model Structures for Economic Evaluation of Health Care Technologies. In </w:t>
      </w:r>
      <w:r w:rsidRPr="005C7101">
        <w:rPr>
          <w:i/>
          <w:iCs/>
          <w:noProof/>
        </w:rPr>
        <w:t>Encyclopedia of Health Economics</w:t>
      </w:r>
      <w:r w:rsidRPr="005C7101">
        <w:rPr>
          <w:noProof/>
        </w:rPr>
        <w:t xml:space="preserve"> (Vol. 3, pp. 340–347). Retrieved from https://doi.org/10.1016/B978-0-12-375678-7.01401-2</w:t>
      </w:r>
    </w:p>
    <w:p w14:paraId="4F7E81E1"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Afzali, Hossein Haji Ali, Karnon, J., Theou, O., Beilby, J., Cesari, M., &amp; Visvanathan, R. (2019). Structuring a conceptual model for cost effectiveness analysis of frailty interventions. </w:t>
      </w:r>
      <w:r w:rsidRPr="005C7101">
        <w:rPr>
          <w:i/>
          <w:iCs/>
          <w:noProof/>
        </w:rPr>
        <w:t>PLoS ONE</w:t>
      </w:r>
      <w:r w:rsidRPr="005C7101">
        <w:rPr>
          <w:noProof/>
        </w:rPr>
        <w:t>, 14(9), e0222049. Retrieved 14 April 2020 from https://doi.org/10.1371/journal.pone.0222049</w:t>
      </w:r>
    </w:p>
    <w:p w14:paraId="434973AC"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Al-Janabi, H., Van Exel, J., Brouwer, W., &amp; Coast, J. (2016). A framework for including family health spillovers in economic evaluation. </w:t>
      </w:r>
      <w:r w:rsidRPr="005C7101">
        <w:rPr>
          <w:i/>
          <w:iCs/>
          <w:noProof/>
        </w:rPr>
        <w:t>Medical Decision Making</w:t>
      </w:r>
      <w:r w:rsidRPr="005C7101">
        <w:rPr>
          <w:noProof/>
        </w:rPr>
        <w:t>, 36(2), 176–186. Retrieved 27 May 2020 from https://doi.org/10.1177/0272989X15605094</w:t>
      </w:r>
    </w:p>
    <w:p w14:paraId="73E76CA4"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Al-Janabi, H., Van Exel, J., Brouwer, W., Trotter, C., Glennie, L., Hannigan, L., &amp; Coast, J. (2016). Measuring Health Spillovers for Economic Evaluation: A Case Study in </w:t>
      </w:r>
      <w:r w:rsidRPr="005C7101">
        <w:rPr>
          <w:noProof/>
        </w:rPr>
        <w:lastRenderedPageBreak/>
        <w:t xml:space="preserve">Meningitis. </w:t>
      </w:r>
      <w:r w:rsidRPr="005C7101">
        <w:rPr>
          <w:i/>
          <w:iCs/>
          <w:noProof/>
        </w:rPr>
        <w:t>Health Economics (United Kingdom)</w:t>
      </w:r>
      <w:r w:rsidRPr="005C7101">
        <w:rPr>
          <w:noProof/>
        </w:rPr>
        <w:t>, 25(12), 1529–1544. Retrieved from https://doi.org/10.1002/hec.3259</w:t>
      </w:r>
    </w:p>
    <w:p w14:paraId="103FC3A5"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Alemao, E., Al, M. J., Boonen, A. A., Stevenson, M. D., Verstappen, S. M. M., Michaud, K., … Rutten-van Mölken, M. P. M. H. (2018). Conceptual model for the health technology assessment of current and novel interventions in rheumatoid arthritis. </w:t>
      </w:r>
      <w:r w:rsidRPr="005C7101">
        <w:rPr>
          <w:i/>
          <w:iCs/>
          <w:noProof/>
        </w:rPr>
        <w:t>PLOS ONE</w:t>
      </w:r>
      <w:r w:rsidRPr="005C7101">
        <w:rPr>
          <w:noProof/>
        </w:rPr>
        <w:t>, 13(10), e0205013. Retrieved 16 April 2020 from https://doi.org/10.1371/journal.pone.0205013</w:t>
      </w:r>
    </w:p>
    <w:p w14:paraId="7941525A"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Averett, S., &amp; Kohn, J. (2018). The Economics of Families and Health. In </w:t>
      </w:r>
      <w:r w:rsidRPr="005C7101">
        <w:rPr>
          <w:i/>
          <w:iCs/>
          <w:noProof/>
        </w:rPr>
        <w:t>Oxford Research Encyclopedia of Economics and Finance</w:t>
      </w:r>
      <w:r w:rsidRPr="005C7101">
        <w:rPr>
          <w:noProof/>
        </w:rPr>
        <w:t>. Retrieved from https://doi.org/10.1093/acrefore/9780190625979.013.9</w:t>
      </w:r>
    </w:p>
    <w:p w14:paraId="5A01367D"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Basu, A., &amp; Meltzer, D. (2005). Implications of spillover effects within the family for medical cost-effectiveness analysis. </w:t>
      </w:r>
      <w:r w:rsidRPr="005C7101">
        <w:rPr>
          <w:i/>
          <w:iCs/>
          <w:noProof/>
        </w:rPr>
        <w:t>Journal of Health Economics</w:t>
      </w:r>
      <w:r w:rsidRPr="005C7101">
        <w:rPr>
          <w:noProof/>
        </w:rPr>
        <w:t>, 24(4), 751–773. Retrieved from https://doi.org/10.1016/j.jhealeco.2004.12.002</w:t>
      </w:r>
    </w:p>
    <w:p w14:paraId="7B94338C"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Briggs, A. D. M., Cobiac, L. J., Wolstenholme, J., &amp; Scarborough, P. (2019). PRIMEtime CE: A multistate life table model for estimating the cost-effectiveness of interventions affecting diet and physical activity. </w:t>
      </w:r>
      <w:r w:rsidRPr="005C7101">
        <w:rPr>
          <w:i/>
          <w:iCs/>
          <w:noProof/>
        </w:rPr>
        <w:t>BMC Health Services Research</w:t>
      </w:r>
      <w:r w:rsidRPr="005C7101">
        <w:rPr>
          <w:noProof/>
        </w:rPr>
        <w:t>, 19(1), 1–19. Retrieved from https://doi.org/10.1186/s12913-019-4237-4</w:t>
      </w:r>
    </w:p>
    <w:p w14:paraId="7F8A6F67"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Briggs, A. H., Baker, T., Risebrough, N. A., Chambers, M., Gonzalez-McQuire, S., Ismaila, A. S., … Lomas, D. A. (2017). Development of the Galaxy Chronic Obstructive Pulmonary Disease (COPD) Model Using Data from ECLIPSE: Internal Validation of a Linked-Equations Cohort Model. </w:t>
      </w:r>
      <w:r w:rsidRPr="005C7101">
        <w:rPr>
          <w:i/>
          <w:iCs/>
          <w:noProof/>
        </w:rPr>
        <w:t>Medical Decision Making</w:t>
      </w:r>
      <w:r w:rsidRPr="005C7101">
        <w:rPr>
          <w:noProof/>
        </w:rPr>
        <w:t>, 37(4), 469–480. Retrieved 3 May 2020 from https://doi.org/10.1177/0272989X16653118</w:t>
      </w:r>
    </w:p>
    <w:p w14:paraId="7CE0B1D5"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Brouwer, W. B. F. (2019, April 1). The Inclusion of Spillover Effects in Economic Evaluations: Not an Optional Extra. </w:t>
      </w:r>
      <w:r w:rsidRPr="005C7101">
        <w:rPr>
          <w:i/>
          <w:iCs/>
          <w:noProof/>
        </w:rPr>
        <w:t>PharmacoEconomics</w:t>
      </w:r>
      <w:r w:rsidRPr="005C7101">
        <w:rPr>
          <w:noProof/>
        </w:rPr>
        <w:t xml:space="preserve">. Springer International </w:t>
      </w:r>
      <w:r w:rsidRPr="005C7101">
        <w:rPr>
          <w:noProof/>
        </w:rPr>
        <w:lastRenderedPageBreak/>
        <w:t>Publishing. Retrieved from https://doi.org/10.1007/s40273-018-0730-6</w:t>
      </w:r>
    </w:p>
    <w:p w14:paraId="53133C7A"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Canadian Agency for Drugs and Technologies in Health. (2017). Guidelines for the Economic Evaluation of Health Technologies: Canada, (March), 1–76. Retrieved from https://www.cadth.ca/sites/default/files/pdf/guidelines_for_the_economic_evaluation_of_health_technologies_canada_4th_ed.pdf</w:t>
      </w:r>
    </w:p>
    <w:p w14:paraId="2403F727"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Caro, J. J., Briggs, A. H., Siebert, U., &amp; Kuntz, K. M. (2012). Modeling good research practices - Overview: A report of the ISPOR-SMDM modeling good research practices task force-1. </w:t>
      </w:r>
      <w:r w:rsidRPr="005C7101">
        <w:rPr>
          <w:i/>
          <w:iCs/>
          <w:noProof/>
        </w:rPr>
        <w:t>Value in Health</w:t>
      </w:r>
      <w:r w:rsidRPr="005C7101">
        <w:rPr>
          <w:noProof/>
        </w:rPr>
        <w:t>. Retrieved from https://doi.org/10.1016/j.jval.2012.06.012</w:t>
      </w:r>
    </w:p>
    <w:p w14:paraId="472D5D0C"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Chilcott, J., Tappenden, P., Rawdin, A., Johnson, M., Kaltenthaler, E., Paisley, S., … Shippam, A. (2010). Avoiding and identifying errors in health technology assessment models: Qualitative study and methodological review. </w:t>
      </w:r>
      <w:r w:rsidRPr="005C7101">
        <w:rPr>
          <w:i/>
          <w:iCs/>
          <w:noProof/>
        </w:rPr>
        <w:t>Health Technology Assessment</w:t>
      </w:r>
      <w:r w:rsidRPr="005C7101">
        <w:rPr>
          <w:noProof/>
        </w:rPr>
        <w:t>, 14(25). Retrieved from https://doi.org/10.3310/hta14250</w:t>
      </w:r>
    </w:p>
    <w:p w14:paraId="325772F2"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Committee for Medicinal Products for Human Use (CHMP). (2019). </w:t>
      </w:r>
      <w:r w:rsidRPr="005C7101">
        <w:rPr>
          <w:i/>
          <w:iCs/>
          <w:noProof/>
        </w:rPr>
        <w:t>Guideline on the investigation of subgroups in confirmatory clinical trials</w:t>
      </w:r>
      <w:r w:rsidRPr="005C7101">
        <w:rPr>
          <w:noProof/>
        </w:rPr>
        <w:t>. Retrieved 12 June 2019 from London: subgroup</w:t>
      </w:r>
    </w:p>
    <w:p w14:paraId="5FE182BB"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Coyle, D., Buxton, M. J., &amp; O’Brien, B. J. (2003). Stratified cost-effectiveness analysis: A framework for establishing efficient limited use criteria. </w:t>
      </w:r>
      <w:r w:rsidRPr="005C7101">
        <w:rPr>
          <w:i/>
          <w:iCs/>
          <w:noProof/>
        </w:rPr>
        <w:t>Health Economics</w:t>
      </w:r>
      <w:r w:rsidRPr="005C7101">
        <w:rPr>
          <w:noProof/>
        </w:rPr>
        <w:t>, 12(5), 421–427. Retrieved 15 August 2018 from https://doi.org/10.1002/hec.788</w:t>
      </w:r>
    </w:p>
    <w:p w14:paraId="69613173"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Dixon, P., &amp; Round, J. (2019). Caring for Carers: Positive and Normative Challenges for Future Research on Carer Spillover Effects in Economic Evaluation. </w:t>
      </w:r>
      <w:r w:rsidRPr="005C7101">
        <w:rPr>
          <w:i/>
          <w:iCs/>
          <w:noProof/>
        </w:rPr>
        <w:t>Value in Health</w:t>
      </w:r>
      <w:r w:rsidRPr="005C7101">
        <w:rPr>
          <w:noProof/>
        </w:rPr>
        <w:t>, 22(5), 549–554. Retrieved from https://doi.org/10.1016/j.jval.2018.10.010</w:t>
      </w:r>
    </w:p>
    <w:p w14:paraId="50B2E9BC"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Drummond, M. F., Sculpher, M. J., Claxton, K., Stoddart, G. L., &amp; Torrance, G. W. (2015). </w:t>
      </w:r>
      <w:r w:rsidRPr="005C7101">
        <w:rPr>
          <w:i/>
          <w:iCs/>
          <w:noProof/>
        </w:rPr>
        <w:t>Methods for the Economic Evaluation of Health Care Programmes</w:t>
      </w:r>
      <w:r w:rsidRPr="005C7101">
        <w:rPr>
          <w:noProof/>
        </w:rPr>
        <w:t xml:space="preserve"> (4th ed.). Oxford: Oxford University Press.</w:t>
      </w:r>
    </w:p>
    <w:p w14:paraId="7ABDACC8"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lastRenderedPageBreak/>
        <w:t xml:space="preserve">Drummond, M., Stoddard, G. L., &amp; Torrance, G. W. (2005). </w:t>
      </w:r>
      <w:r w:rsidRPr="005C7101">
        <w:rPr>
          <w:i/>
          <w:iCs/>
          <w:noProof/>
        </w:rPr>
        <w:t>Methods for the economic evaluation of health care programmes</w:t>
      </w:r>
      <w:r w:rsidRPr="005C7101">
        <w:rPr>
          <w:noProof/>
        </w:rPr>
        <w:t xml:space="preserve">. </w:t>
      </w:r>
      <w:r w:rsidRPr="005C7101">
        <w:rPr>
          <w:i/>
          <w:iCs/>
          <w:noProof/>
        </w:rPr>
        <w:t>Methods for the Economic Evaluation of Health Care Programmes</w:t>
      </w:r>
      <w:r w:rsidRPr="005C7101">
        <w:rPr>
          <w:noProof/>
        </w:rPr>
        <w:t>.</w:t>
      </w:r>
    </w:p>
    <w:p w14:paraId="599A6C8A"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European Network for Health Technology Assessment (EUneHTA). (2015). </w:t>
      </w:r>
      <w:r w:rsidRPr="005C7101">
        <w:rPr>
          <w:i/>
          <w:iCs/>
          <w:noProof/>
        </w:rPr>
        <w:t>Methods for health economic evaluations -A guideline based on current practices in Europe</w:t>
      </w:r>
      <w:r w:rsidRPr="005C7101">
        <w:rPr>
          <w:noProof/>
        </w:rPr>
        <w:t>. Retrieved 29 March 2018 from http://www.eunethta.eu/wp-content/uploads/2018/03/Methods_for_health_economic_evaluations.pdf</w:t>
      </w:r>
    </w:p>
    <w:p w14:paraId="1442DBF4"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Exuzides, A., Colby, C., Briggs, A. H., Lomas, D. A., Rutten-Van Mölken, M. P. M. H., Tabberer, M., … Gonzalez-Mcquire, S. (2017). Statistical Modeling of Disease Progression for Chronic Obstructive Pulmonary Disease Using Data from the ECLIPSE Study. </w:t>
      </w:r>
      <w:r w:rsidRPr="005C7101">
        <w:rPr>
          <w:i/>
          <w:iCs/>
          <w:noProof/>
        </w:rPr>
        <w:t>Medical Decision Making</w:t>
      </w:r>
      <w:r w:rsidRPr="005C7101">
        <w:rPr>
          <w:noProof/>
        </w:rPr>
        <w:t>, 37(4), 453–468. Retrieved 3 May 2020 from https://doi.org/10.1177/0272989X15610781</w:t>
      </w:r>
    </w:p>
    <w:p w14:paraId="63FCCFBE"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Faria, R., Woods, B., Griffin, S., Palmer, S., Sculpher, M., &amp; Ryder, S. D. (2016). Prevention of progression to cirrhosis in hepatitis C with fibrosis: effectiveness and cost effectiveness of sequential therapy with new direct-acting anti-virals. </w:t>
      </w:r>
      <w:r w:rsidRPr="005C7101">
        <w:rPr>
          <w:i/>
          <w:iCs/>
          <w:noProof/>
        </w:rPr>
        <w:t>Alimentary Pharmacology &amp; Therapeutics</w:t>
      </w:r>
      <w:r w:rsidRPr="005C7101">
        <w:rPr>
          <w:noProof/>
        </w:rPr>
        <w:t>, 44(8), 866–876. Retrieved from https://doi.org/10.1111/apt.13775</w:t>
      </w:r>
    </w:p>
    <w:p w14:paraId="74BA9D63"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Faria, Rita, McKenna, C., &amp; Palmer, S. (2014). Optimizing the position and use of omalizumab for severe persistent allergic asthma using cost-effectiveness analysis. </w:t>
      </w:r>
      <w:r w:rsidRPr="005C7101">
        <w:rPr>
          <w:i/>
          <w:iCs/>
          <w:noProof/>
        </w:rPr>
        <w:t>Value in Health</w:t>
      </w:r>
      <w:r w:rsidRPr="005C7101">
        <w:rPr>
          <w:noProof/>
        </w:rPr>
        <w:t>, 17(8), 772–782. Retrieved from https://doi.org/10.1016/j.jval.2014.07.009</w:t>
      </w:r>
    </w:p>
    <w:p w14:paraId="3634D859"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Faria, Rita, McKenna, C., Wade, R., Yang, H., Woolacott, N., &amp; Sculpher, M. (2013). The EOS 2D/3D X-ray imaging system: A cost-effectiveness analysis quantifying the health benefits from reduced radiation exposure. </w:t>
      </w:r>
      <w:r w:rsidRPr="005C7101">
        <w:rPr>
          <w:i/>
          <w:iCs/>
          <w:noProof/>
        </w:rPr>
        <w:t>European Journal of Radiology</w:t>
      </w:r>
      <w:r w:rsidRPr="005C7101">
        <w:rPr>
          <w:noProof/>
        </w:rPr>
        <w:t xml:space="preserve">, 82(8). </w:t>
      </w:r>
      <w:r w:rsidRPr="005C7101">
        <w:rPr>
          <w:noProof/>
        </w:rPr>
        <w:lastRenderedPageBreak/>
        <w:t>Retrieved from https://doi.org/10.1016/j.ejrad.2013.02.015</w:t>
      </w:r>
    </w:p>
    <w:p w14:paraId="245CB210"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Faria, Rita, Soares, M. O., Spackman, E., Ahmed, H. U., Brown, L. C., Kaplan, R., … Sculpher, M. J. (2018). Optimising the Diagnosis of Prostate Cancer in the Era of Multiparametric Magnetic Resonance Imaging: A Cost-effectiveness Analysis Based on the Prostate MR Imaging Study (PROMIS). </w:t>
      </w:r>
      <w:r w:rsidRPr="005C7101">
        <w:rPr>
          <w:i/>
          <w:iCs/>
          <w:noProof/>
        </w:rPr>
        <w:t>European Urology</w:t>
      </w:r>
      <w:r w:rsidRPr="005C7101">
        <w:rPr>
          <w:noProof/>
        </w:rPr>
        <w:t>, 73(1), 23–30. Retrieved from https://doi.org/10.1016/j.eururo.2017.08.018</w:t>
      </w:r>
    </w:p>
    <w:p w14:paraId="1327E097"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Fenwick, E., Steuten, L., Knies, S., Ghabri, S., Basu, A., Murray, J. F., … Rothery, C. (2020). Value of Information Analysis for Research Decisions—An Introduction: Report 1 of the ISPOR Value of Information Analysis Emerging Good Practices Task Force. </w:t>
      </w:r>
      <w:r w:rsidRPr="005C7101">
        <w:rPr>
          <w:i/>
          <w:iCs/>
          <w:noProof/>
        </w:rPr>
        <w:t>Value in Health</w:t>
      </w:r>
      <w:r w:rsidRPr="005C7101">
        <w:rPr>
          <w:noProof/>
        </w:rPr>
        <w:t>, 23(2), 139–150. Retrieved 2 March 2020 from https://doi.org/10.1016/j.jval.2020.01.001</w:t>
      </w:r>
    </w:p>
    <w:p w14:paraId="7BDFACFC"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Fletcher, C., Chuang-Stein, C., Paget, M.-A., Reid, C., &amp; Hawkins, N. (2014). Subgroup analyses in cost-effectiveness analyses to support health technology assessments. Retrieved from https://doi.org/10.1002/pst.1626</w:t>
      </w:r>
    </w:p>
    <w:p w14:paraId="4EFC3F39"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Gonzalez-McQuire, S., Dimopoulos, M.-A., Weisel, K., Bouwmeester, W., Hájek, R., Campioni, M., … Knop, S. (2019). Development of an Initial Conceptual Model of Multiple Myeloma to Support Clinical and Health Economics Decision Making. </w:t>
      </w:r>
      <w:r w:rsidRPr="005C7101">
        <w:rPr>
          <w:i/>
          <w:iCs/>
          <w:noProof/>
        </w:rPr>
        <w:t>MDM Policy &amp; Practice</w:t>
      </w:r>
      <w:r w:rsidRPr="005C7101">
        <w:rPr>
          <w:noProof/>
        </w:rPr>
        <w:t>, 4(1), 238146831881425. Retrieved 14 April 2020 from https://doi.org/10.1177/2381468318814253</w:t>
      </w:r>
    </w:p>
    <w:p w14:paraId="3E125B54"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Haji Ali Afzali, H., Bojke, L., &amp; Karnon, J. (2018, July 20). Model Structuring for Economic Evaluations of New Health Technologies. </w:t>
      </w:r>
      <w:r w:rsidRPr="005C7101">
        <w:rPr>
          <w:i/>
          <w:iCs/>
          <w:noProof/>
        </w:rPr>
        <w:t>PharmacoEconomics</w:t>
      </w:r>
      <w:r w:rsidRPr="005C7101">
        <w:rPr>
          <w:noProof/>
        </w:rPr>
        <w:t>, pp. 1–11. Springer International Publishing. Retrieved 17 August 2018 from https://doi.org/10.1007/s40273-018-0693-7</w:t>
      </w:r>
    </w:p>
    <w:p w14:paraId="61467563"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Hauck, K. (2018). The Economics of Infectious Diseases. In </w:t>
      </w:r>
      <w:r w:rsidRPr="005C7101">
        <w:rPr>
          <w:i/>
          <w:iCs/>
          <w:noProof/>
        </w:rPr>
        <w:t xml:space="preserve">Oxford Research Encyclopedia </w:t>
      </w:r>
      <w:r w:rsidRPr="005C7101">
        <w:rPr>
          <w:i/>
          <w:iCs/>
          <w:noProof/>
        </w:rPr>
        <w:lastRenderedPageBreak/>
        <w:t>of Economics and Finance</w:t>
      </w:r>
      <w:r w:rsidRPr="005C7101">
        <w:rPr>
          <w:noProof/>
        </w:rPr>
        <w:t>. Retrieved from https://doi.org/10.1093/acrefore/9780190625979.013.251</w:t>
      </w:r>
    </w:p>
    <w:p w14:paraId="671248EE"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Husereau, D., Drummond, M., Petrou, S., Carswell, C., Moher, D., Greenberg, D., … Loder, E. (2013). Consolidated health economic evaluation reporting standards (CHEERS)-explanation and elaboration: A report of the ISPOR health economic evaluation publication guidelines good reporting practices task force. </w:t>
      </w:r>
      <w:r w:rsidRPr="005C7101">
        <w:rPr>
          <w:i/>
          <w:iCs/>
          <w:noProof/>
        </w:rPr>
        <w:t>Value in Health</w:t>
      </w:r>
      <w:r w:rsidRPr="005C7101">
        <w:rPr>
          <w:noProof/>
        </w:rPr>
        <w:t>, 16(2), 231–250. Retrieved 19 June 2018 from https://doi.org/10.1016/j.jval.2013.02.002</w:t>
      </w:r>
    </w:p>
    <w:p w14:paraId="4384B6DD"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Ismaila, A. S., Risebrough, N., Schroeder, M., Shah, D., Martin, A., Goodall, E. C., … Lomas, D. A. (2019). Cost-effectiveness of once-daily single-inhaler triple therapy in COPD: The IMPACT trial. </w:t>
      </w:r>
      <w:r w:rsidRPr="005C7101">
        <w:rPr>
          <w:i/>
          <w:iCs/>
          <w:noProof/>
        </w:rPr>
        <w:t>International Journal of COPD</w:t>
      </w:r>
      <w:r w:rsidRPr="005C7101">
        <w:rPr>
          <w:noProof/>
        </w:rPr>
        <w:t>, 14, 2681–2695. Retrieved from https://doi.org/10.2147/COPD.S216072</w:t>
      </w:r>
    </w:p>
    <w:p w14:paraId="55682569"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ISPOR. (n.d.). ISPOR - Task Forces. Retrieved 4 July 2020, from https://www.ispor.org/member-groups/task-forces</w:t>
      </w:r>
    </w:p>
    <w:p w14:paraId="177000EB"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Jaime Caro, J., Eddy, D. M., Kan, H., Kaltz, C., Patel, B., Eldessouki, R., &amp; Briggs, A. H. (2014). Questionnaire to assess relevance and credibility of modeling studies for informing health care decision making: An ISPOR-AMCP-NPC good practice task force report. </w:t>
      </w:r>
      <w:r w:rsidRPr="005C7101">
        <w:rPr>
          <w:i/>
          <w:iCs/>
          <w:noProof/>
        </w:rPr>
        <w:t>Value in Health</w:t>
      </w:r>
      <w:r w:rsidRPr="005C7101">
        <w:rPr>
          <w:noProof/>
        </w:rPr>
        <w:t>, 17(2), 174–182. Retrieved from https://doi.org/10.1016/j.jval.2014.01.003</w:t>
      </w:r>
    </w:p>
    <w:p w14:paraId="3EDFEDB2"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Jin, H., Tappenden, P., MacCabe, J. H., Robinson, S., &amp; Byford, S. (2020). Evaluation of the Cost-effectiveness of Services for Schizophrenia in the UK Across the Entire Care Pathway in a Single Whole-Disease Model. </w:t>
      </w:r>
      <w:r w:rsidRPr="005C7101">
        <w:rPr>
          <w:i/>
          <w:iCs/>
          <w:noProof/>
        </w:rPr>
        <w:t>JAMA Network Open</w:t>
      </w:r>
      <w:r w:rsidRPr="005C7101">
        <w:rPr>
          <w:noProof/>
        </w:rPr>
        <w:t>, 3(5), e205888. Retrieved 21 August 2020 from https://doi.org/10.1001/jamanetworkopen.2020.5888</w:t>
      </w:r>
    </w:p>
    <w:p w14:paraId="2FAE9397"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Kaltenhalter, E., Tappenden, P., Paisley, S., &amp; Squires, H. (2011). </w:t>
      </w:r>
      <w:r w:rsidRPr="005C7101">
        <w:rPr>
          <w:i/>
          <w:iCs/>
          <w:noProof/>
        </w:rPr>
        <w:t xml:space="preserve">NICE DSU Technical Support Document 13: Identifying and reviewing evidence to inform the </w:t>
      </w:r>
      <w:r w:rsidRPr="005C7101">
        <w:rPr>
          <w:i/>
          <w:iCs/>
          <w:noProof/>
        </w:rPr>
        <w:lastRenderedPageBreak/>
        <w:t>conceptualisation and population of cost-effectiveness models</w:t>
      </w:r>
      <w:r w:rsidRPr="005C7101">
        <w:rPr>
          <w:noProof/>
        </w:rPr>
        <w:t xml:space="preserve">. </w:t>
      </w:r>
      <w:r w:rsidRPr="005C7101">
        <w:rPr>
          <w:i/>
          <w:iCs/>
          <w:noProof/>
        </w:rPr>
        <w:t>NICE Decision Support Unit</w:t>
      </w:r>
      <w:r w:rsidRPr="005C7101">
        <w:rPr>
          <w:noProof/>
        </w:rPr>
        <w:t>. Retrieved 3 September 2018 from 10.1016/j.jval.2014.12.014</w:t>
      </w:r>
    </w:p>
    <w:p w14:paraId="5760DE19"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Kohli-Lynch, C. N., &amp; Briggs, A. H. (2019). Heterogeneity in Cost-Effectiveness Analysis. In </w:t>
      </w:r>
      <w:r w:rsidRPr="005C7101">
        <w:rPr>
          <w:i/>
          <w:iCs/>
          <w:noProof/>
        </w:rPr>
        <w:t>Oxford Research Encyclopedia of Economics and Finance</w:t>
      </w:r>
      <w:r w:rsidRPr="005C7101">
        <w:rPr>
          <w:noProof/>
        </w:rPr>
        <w:t>. Retrieved from https://doi.org/10.1093/acrefore/9780190625979.013.101</w:t>
      </w:r>
    </w:p>
    <w:p w14:paraId="3A35418B"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Kuntz, K. M., &amp; Goldie, S. J. (2002). Assessing the sensitivity of decision-analytic results to unobserved markers of risk: Defining the effects of heterogeneity bias. </w:t>
      </w:r>
      <w:r w:rsidRPr="005C7101">
        <w:rPr>
          <w:i/>
          <w:iCs/>
          <w:noProof/>
        </w:rPr>
        <w:t>Medical Decision Making</w:t>
      </w:r>
      <w:r w:rsidRPr="005C7101">
        <w:rPr>
          <w:noProof/>
        </w:rPr>
        <w:t>, 22(3), 218–227. Retrieved 20 August 2018 from https://doi.org/10.1177/02789X02022003004</w:t>
      </w:r>
    </w:p>
    <w:p w14:paraId="282050E2"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Kuntz, K. M., Russell, L. B., Owens, D. K., Sanders, G. D., Trikalinos, T. A., &amp; Salomon, J. A. (2016). Decision Models in Cost-Effectiveness Analysis. In P. J. Neumann, T. G. Ganiats, L. B. Russell, G. D. Sanders, &amp; J. D. Siegel (Eds.), </w:t>
      </w:r>
      <w:r w:rsidRPr="005C7101">
        <w:rPr>
          <w:i/>
          <w:iCs/>
          <w:noProof/>
        </w:rPr>
        <w:t>Cost Effectiveness in Health and Medicine</w:t>
      </w:r>
      <w:r w:rsidRPr="005C7101">
        <w:rPr>
          <w:noProof/>
        </w:rPr>
        <w:t>. Oxford: Oxford University Press. Retrieved from https://doi.org/10.1093/acprof:oso/9780190492939.001.0001</w:t>
      </w:r>
    </w:p>
    <w:p w14:paraId="7ACBAA57"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Lavelle, T. A., D’Cruz, B. N., Mohit, B., Ungar, W. J., Prosser, L. A., Tsiplova, K., … Lin, P. J. (2019). Family Spillover Effects in Pediatric Cost-Utility Analyses. </w:t>
      </w:r>
      <w:r w:rsidRPr="005C7101">
        <w:rPr>
          <w:i/>
          <w:iCs/>
          <w:noProof/>
        </w:rPr>
        <w:t>Applied Health Economics and Health Policy</w:t>
      </w:r>
      <w:r w:rsidRPr="005C7101">
        <w:rPr>
          <w:noProof/>
        </w:rPr>
        <w:t>, 17(2), 163–174. Retrieved from https://doi.org/10.1007/s40258-018-0436-0</w:t>
      </w:r>
    </w:p>
    <w:p w14:paraId="7252CD4E"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Layer, A., McManus, E., &amp; Levell, N. J. (2020). A Systematic Review of Model-Based Economic Evaluations of Treatments for Venous Leg Ulcers. </w:t>
      </w:r>
      <w:r w:rsidRPr="005C7101">
        <w:rPr>
          <w:i/>
          <w:iCs/>
          <w:noProof/>
        </w:rPr>
        <w:t>PharmacoEconomics - Open</w:t>
      </w:r>
      <w:r w:rsidRPr="005C7101">
        <w:rPr>
          <w:noProof/>
        </w:rPr>
        <w:t>, 4(2), 211–222. Retrieved 1 June 2020 from https://doi.org/10.1007/s41669-019-0148-x</w:t>
      </w:r>
    </w:p>
    <w:p w14:paraId="6D9B135B"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Lin, P.-J., D’Cruz, B., Leech, A. A., Neumann, P. J., Sanon Aigbogun, M., Oberdhan, D., &amp; Lavelle, T. A. (2019). Family and Caregiver Spillover Effects in Cost-Utility Analyses </w:t>
      </w:r>
      <w:r w:rsidRPr="005C7101">
        <w:rPr>
          <w:noProof/>
        </w:rPr>
        <w:lastRenderedPageBreak/>
        <w:t xml:space="preserve">of Alzheimer’s Disease Interventions. </w:t>
      </w:r>
      <w:r w:rsidRPr="005C7101">
        <w:rPr>
          <w:i/>
          <w:iCs/>
          <w:noProof/>
        </w:rPr>
        <w:t>PharmacoEconomics</w:t>
      </w:r>
      <w:r w:rsidRPr="005C7101">
        <w:rPr>
          <w:noProof/>
        </w:rPr>
        <w:t>, 37(4), 597–608. Retrieved 1 July 2019 from https://doi.org/10.1007/s40273-019-00788-3</w:t>
      </w:r>
    </w:p>
    <w:p w14:paraId="71428B28"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Lord, J., Willis, S., Eatock, J., Tappenden, P., Trapero-Bertran, M., Miners, A., … Ruiz, F. (2013). Economic modelling of diagnostic and treatment pathways in National Institute for Health and Care Excellence clinical guidelines: The Modelling Algorithm Pathways in Guidelines (MAPGuide) project. </w:t>
      </w:r>
      <w:r w:rsidRPr="005C7101">
        <w:rPr>
          <w:i/>
          <w:iCs/>
          <w:noProof/>
        </w:rPr>
        <w:t>Health Technology Assessment</w:t>
      </w:r>
      <w:r w:rsidRPr="005C7101">
        <w:rPr>
          <w:noProof/>
        </w:rPr>
        <w:t>, 17(58), 1–150. Retrieved from https://doi.org/10.3310/hta17580</w:t>
      </w:r>
    </w:p>
    <w:p w14:paraId="20E17C89"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McCabe, C. (2019, April 1). Expanding the Scope of Costs and Benefits for Economic Evaluations in Health: Some Words of Caution. </w:t>
      </w:r>
      <w:r w:rsidRPr="005C7101">
        <w:rPr>
          <w:i/>
          <w:iCs/>
          <w:noProof/>
        </w:rPr>
        <w:t>PharmacoEconomics</w:t>
      </w:r>
      <w:r w:rsidRPr="005C7101">
        <w:rPr>
          <w:noProof/>
        </w:rPr>
        <w:t>. Springer International Publishing. Retrieved from https://doi.org/10.1007/s40273-018-0729-z</w:t>
      </w:r>
    </w:p>
    <w:p w14:paraId="0573691E"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Meltzer, D. O., Basu, A., &amp; Sculpher, M. J. (2016). Theoretical Foundations of Cost-Effectiveness Analysis in Health and Medicine. In P. J. Neumann, T. G. Ganiats, L. B. Russell, G. D. Sanders, &amp; J. E. Siegel (Eds.), </w:t>
      </w:r>
      <w:r w:rsidRPr="005C7101">
        <w:rPr>
          <w:i/>
          <w:iCs/>
          <w:noProof/>
        </w:rPr>
        <w:t>Cost-Effectiveness in Health and Medicine</w:t>
      </w:r>
      <w:r w:rsidRPr="005C7101">
        <w:rPr>
          <w:noProof/>
        </w:rPr>
        <w:t xml:space="preserve"> (pp. 39–66). Oxford: Oxford University Press. Retrieved from https://doi.org/10.1093/acprof:oso/9780190492939.003.0002</w:t>
      </w:r>
    </w:p>
    <w:p w14:paraId="3794531B"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National Institute for Health and Care Excellence (NICE). (2010). </w:t>
      </w:r>
      <w:r w:rsidRPr="005C7101">
        <w:rPr>
          <w:i/>
          <w:iCs/>
          <w:noProof/>
        </w:rPr>
        <w:t>Diagnostics Assessment Programme EOS 2D/3D X-ray Imaging System Final Scope (DG1)</w:t>
      </w:r>
      <w:r w:rsidRPr="005C7101">
        <w:rPr>
          <w:noProof/>
        </w:rPr>
        <w:t>. Retrieved 2 May 2019 from London, Manchester: https://www.nice.org.uk/guidance/dg1/documents/eos-2d3d-xray-imaging-system-final-scope2</w:t>
      </w:r>
    </w:p>
    <w:p w14:paraId="5044F6EB"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National Institute for Health and Care Excellence (NICE). (2013). </w:t>
      </w:r>
      <w:r w:rsidRPr="005C7101">
        <w:rPr>
          <w:i/>
          <w:iCs/>
          <w:noProof/>
        </w:rPr>
        <w:t>Guide to the methods of technology appraisal 2013</w:t>
      </w:r>
      <w:r w:rsidRPr="005C7101">
        <w:rPr>
          <w:noProof/>
        </w:rPr>
        <w:t>. Retrieved 3 May 2018 from London: https://www.nice.org.uk/process/pmg9/resources/guide-to-the-methods-of-technology-appraisal-2013-pdf-2007975843781</w:t>
      </w:r>
    </w:p>
    <w:p w14:paraId="00C1737C"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National Institute for Health and Care Excellence (NICE). (2019). </w:t>
      </w:r>
      <w:r w:rsidRPr="005C7101">
        <w:rPr>
          <w:i/>
          <w:iCs/>
          <w:noProof/>
        </w:rPr>
        <w:t xml:space="preserve">Rivaroxaban for </w:t>
      </w:r>
      <w:r w:rsidRPr="005C7101">
        <w:rPr>
          <w:i/>
          <w:iCs/>
          <w:noProof/>
        </w:rPr>
        <w:lastRenderedPageBreak/>
        <w:t>preventing atherothrombotic events in people with coronary or peripheral artery disease (TA607)</w:t>
      </w:r>
      <w:r w:rsidRPr="005C7101">
        <w:rPr>
          <w:noProof/>
        </w:rPr>
        <w:t>. Retrieved 9 April 2020 from London, Manchester: www.nice.org.uk/guidance/ta607</w:t>
      </w:r>
    </w:p>
    <w:p w14:paraId="187814EC"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Neumann, P. J., Sanders, G. D., Russell, L. B., Siegel, J. E., &amp; Ganiats, T. G. (n.d.). </w:t>
      </w:r>
      <w:r w:rsidRPr="005C7101">
        <w:rPr>
          <w:i/>
          <w:iCs/>
          <w:noProof/>
        </w:rPr>
        <w:t>Cost effectiveness in health and medicine</w:t>
      </w:r>
      <w:r w:rsidRPr="005C7101">
        <w:rPr>
          <w:noProof/>
        </w:rPr>
        <w:t>.</w:t>
      </w:r>
    </w:p>
    <w:p w14:paraId="51C7500A"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Neumann, P. J., Sanders, G. D., Russell, L. B., Siegel, J. E., &amp; Ganiats, T. G. (2016). Introduction. In </w:t>
      </w:r>
      <w:r w:rsidRPr="005C7101">
        <w:rPr>
          <w:i/>
          <w:iCs/>
          <w:noProof/>
        </w:rPr>
        <w:t>Cost-effectiveness in Health and Medicine</w:t>
      </w:r>
      <w:r w:rsidRPr="005C7101">
        <w:rPr>
          <w:noProof/>
        </w:rPr>
        <w:t>. Retrieved 3 May 2018 from https://doi.org/10.1093/acprof:oso/9780190492939.001.0001</w:t>
      </w:r>
    </w:p>
    <w:p w14:paraId="66567EB6"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NICE Decision Support Unit. (n.d.). Technical Support Documents – NICE Decision Support Unit. Retrieved 4 July 2020, from http://nicedsu.org.uk/technical-support-documents/</w:t>
      </w:r>
    </w:p>
    <w:p w14:paraId="1F480401"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NICE International. (2014). </w:t>
      </w:r>
      <w:r w:rsidRPr="005C7101">
        <w:rPr>
          <w:i/>
          <w:iCs/>
          <w:noProof/>
        </w:rPr>
        <w:t>Methods for Economic Evaluation Project: Final Report</w:t>
      </w:r>
      <w:r w:rsidRPr="005C7101">
        <w:rPr>
          <w:noProof/>
        </w:rPr>
        <w:t xml:space="preserve">. </w:t>
      </w:r>
      <w:r w:rsidRPr="005C7101">
        <w:rPr>
          <w:i/>
          <w:iCs/>
          <w:noProof/>
        </w:rPr>
        <w:t>Bill and Melinda Gates Foundation Methods for Economic Evaluation Project (MEEP)</w:t>
      </w:r>
      <w:r w:rsidRPr="005C7101">
        <w:rPr>
          <w:noProof/>
        </w:rPr>
        <w:t>.</w:t>
      </w:r>
    </w:p>
    <w:p w14:paraId="28CE65D1"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Novielli, N., Sutton, A. J., &amp; Cooper, N. J. (2013). Meta-Analysis of the Accuracy of Two Diagnostic Tests Used in Combination: Application to the Ddimer Test and the Wells Score for the Diagnosis of Deep Vein Thrombosis. </w:t>
      </w:r>
      <w:r w:rsidRPr="005C7101">
        <w:rPr>
          <w:i/>
          <w:iCs/>
          <w:noProof/>
        </w:rPr>
        <w:t>Value in Health</w:t>
      </w:r>
      <w:r w:rsidRPr="005C7101">
        <w:rPr>
          <w:noProof/>
        </w:rPr>
        <w:t>, 16, 619–628. Retrieved 23 July 2019 from https://doi.org/10.1016/j.jval.2013.02.007</w:t>
      </w:r>
    </w:p>
    <w:p w14:paraId="1124D965"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Owens, D. K., Siegel, J. E., Sculpher, M. J., &amp; Salomon, J. A. (2016). Designing a Cost-Effectiveness Analysis. In P. J. Neumann, T. G. Ganiats, L. B. Russell, G. D. Sanders, &amp; J. D. Siegel (Eds.), </w:t>
      </w:r>
      <w:r w:rsidRPr="005C7101">
        <w:rPr>
          <w:i/>
          <w:iCs/>
          <w:noProof/>
        </w:rPr>
        <w:t>Cost-Effectiveness in Health and Medicine</w:t>
      </w:r>
      <w:r w:rsidRPr="005C7101">
        <w:rPr>
          <w:noProof/>
        </w:rPr>
        <w:t>. Oxford: Oxford University Press. Retrieved from https://doi.org/10.1093/acprof:oso/9780190492939.001.0001</w:t>
      </w:r>
    </w:p>
    <w:p w14:paraId="4DB4C2B2"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Peñaloza Ramos, M. C., Barton, P., Jowett, S., &amp; Sutton, A. J. (2015). A Systematic Review of Research Guidelines in Decision-Analytic Modeling. </w:t>
      </w:r>
      <w:r w:rsidRPr="005C7101">
        <w:rPr>
          <w:i/>
          <w:iCs/>
          <w:noProof/>
        </w:rPr>
        <w:t>Value in Health</w:t>
      </w:r>
      <w:r w:rsidRPr="005C7101">
        <w:rPr>
          <w:noProof/>
        </w:rPr>
        <w:t>, 18(4), 512–529. Retrieved 3 September 2018 from https://doi.org/10.1016/J.JVAL.2014.12.014</w:t>
      </w:r>
    </w:p>
    <w:p w14:paraId="2A9DF9B0"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lastRenderedPageBreak/>
        <w:t xml:space="preserve">Pharmaceutical Benefits Advisory Committee. (2016). </w:t>
      </w:r>
      <w:r w:rsidRPr="005C7101">
        <w:rPr>
          <w:i/>
          <w:iCs/>
          <w:noProof/>
        </w:rPr>
        <w:t>Guidelines for preparing submissions to the Pharmaceutical Benefits Advisory Committee</w:t>
      </w:r>
      <w:r w:rsidRPr="005C7101">
        <w:rPr>
          <w:noProof/>
        </w:rPr>
        <w:t>. Retrieved from http://www.pbac.pbs.gov.au/information/printable-version-of-guidelines.html</w:t>
      </w:r>
    </w:p>
    <w:p w14:paraId="0980924F"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Philips, Z., Ginnelly, L., Sculpher, M., Claxton, K., Golder, S., Riemsma, R., … Glanville, J. (2004). Review of guidelines for good practice in decision-analytic modelling in health technology assessment. </w:t>
      </w:r>
      <w:r w:rsidRPr="005C7101">
        <w:rPr>
          <w:i/>
          <w:iCs/>
          <w:noProof/>
        </w:rPr>
        <w:t>Health Technology Assessment (Winchester, England)</w:t>
      </w:r>
      <w:r w:rsidRPr="005C7101">
        <w:rPr>
          <w:noProof/>
        </w:rPr>
        <w:t>, 8(36), iii–iv, ix–xi, 1–158. Retrieved from https://doi.org/02-32-01 [pii]</w:t>
      </w:r>
    </w:p>
    <w:p w14:paraId="24798B1C"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Prosser, L. A., &amp; Wittenberg, E. (2019, April 1). Advances in Methods and Novel Applications for Measuring Family Spillover Effects of Illness. </w:t>
      </w:r>
      <w:r w:rsidRPr="005C7101">
        <w:rPr>
          <w:i/>
          <w:iCs/>
          <w:noProof/>
        </w:rPr>
        <w:t>PharmacoEconomics</w:t>
      </w:r>
      <w:r w:rsidRPr="005C7101">
        <w:rPr>
          <w:noProof/>
        </w:rPr>
        <w:t>. Springer International Publishing. Retrieved from https://doi.org/10.1007/s40273-019-00794-5</w:t>
      </w:r>
    </w:p>
    <w:p w14:paraId="65DA83AA"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Ramos, G. F. P., Kuiper, S., Dompeling, E., Van Asselt, A. D. I., De Grauw, W. J. C., Knottnerus, J., … Severens, J. L. (2011). Structuring and validating a cost-effectiveness model of primary asthma prevention amongst children. </w:t>
      </w:r>
      <w:r w:rsidRPr="005C7101">
        <w:rPr>
          <w:i/>
          <w:iCs/>
          <w:noProof/>
        </w:rPr>
        <w:t>BMC Medical Research Methodology</w:t>
      </w:r>
      <w:r w:rsidRPr="005C7101">
        <w:rPr>
          <w:noProof/>
        </w:rPr>
        <w:t>, 11(1), 150. Retrieved 3 May 2020 from https://doi.org/10.1186/1471-2288-11-150</w:t>
      </w:r>
    </w:p>
    <w:p w14:paraId="0AFA1070"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Roberts, M., Russell, L., Paltiel, A. D., Chambers, M., &amp; McEwan, P. (2012). Conceptualizing a Model: A Report of the ISPOR-SMDM Modeling Good Research Practices Task Force-2. </w:t>
      </w:r>
      <w:r w:rsidRPr="005C7101">
        <w:rPr>
          <w:i/>
          <w:iCs/>
          <w:noProof/>
        </w:rPr>
        <w:t>Value in Health</w:t>
      </w:r>
      <w:r w:rsidRPr="005C7101">
        <w:rPr>
          <w:noProof/>
        </w:rPr>
        <w:t>, 15, 804–811. Retrieved 29 March 2018 from https://doi.org/10.1016/j.jval.2012.06.012</w:t>
      </w:r>
    </w:p>
    <w:p w14:paraId="36555FF2"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Rothery, C., Strong, M., Koffijberg, H. E., Basu, A., Ghabri, S., Knies, S., … Fenwick, E. (2020). Value of Information Analytical Methods: Report 2 of the ISPOR Value of Information Analysis Emerging Good Practices Task Force. </w:t>
      </w:r>
      <w:r w:rsidRPr="005C7101">
        <w:rPr>
          <w:i/>
          <w:iCs/>
          <w:noProof/>
        </w:rPr>
        <w:t>Value in Health</w:t>
      </w:r>
      <w:r w:rsidRPr="005C7101">
        <w:rPr>
          <w:noProof/>
        </w:rPr>
        <w:t>, 23(3), 277–286. Retrieved 26 March 2020 from https://doi.org/10.1016/j.jval.2020.01.004</w:t>
      </w:r>
    </w:p>
    <w:p w14:paraId="044E96CB"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lastRenderedPageBreak/>
        <w:t xml:space="preserve">Salomon, J. A., Trikalinos, T. A., Sanders, G. D., &amp; Mandelblatt, J. S. (2016). Identifying and Quantifying the Consequences of Interventions. In P. J. Neumann, T. G. Ganiats, L. B. Russell, G. D. Sanders, &amp; J. Siegel (Eds.), </w:t>
      </w:r>
      <w:r w:rsidRPr="005C7101">
        <w:rPr>
          <w:i/>
          <w:iCs/>
          <w:noProof/>
        </w:rPr>
        <w:t>Cost-Effectiveness in Health and Medicine</w:t>
      </w:r>
      <w:r w:rsidRPr="005C7101">
        <w:rPr>
          <w:noProof/>
        </w:rPr>
        <w:t xml:space="preserve"> (pp. 137–166). Oxford: Oxford University Press. Retrieved from https://doi.org/10.1093/acprof:oso/9780190492939.001.0001</w:t>
      </w:r>
    </w:p>
    <w:p w14:paraId="55FB8EFC"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Schroeder, M., Shah, D., Risebrough, N., Martin, A., Zhang, S., Ndirangu, K., … Ismaila, A. S. (2019). Cost-effectiveness analysis of a single-inhaler triple therapy for patients with advanced chronic obstructive pulmonary disease (COPD) using the FULFIL trial: A UK perspective. </w:t>
      </w:r>
      <w:r w:rsidRPr="005C7101">
        <w:rPr>
          <w:i/>
          <w:iCs/>
          <w:noProof/>
        </w:rPr>
        <w:t>Respiratory Medicine: X</w:t>
      </w:r>
      <w:r w:rsidRPr="005C7101">
        <w:rPr>
          <w:noProof/>
        </w:rPr>
        <w:t>, 1, 100008. Retrieved from https://doi.org/10.1016/j.yrmex.2019.100008</w:t>
      </w:r>
    </w:p>
    <w:p w14:paraId="2EA93DF4"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Sculpher, M., Fenwick, E., &amp; Claxton, K. (2000). Assessing quality in decision-analytic models: a suggested framework and example of application. </w:t>
      </w:r>
      <w:r w:rsidRPr="005C7101">
        <w:rPr>
          <w:i/>
          <w:iCs/>
          <w:noProof/>
        </w:rPr>
        <w:t>PharmacoEconomics</w:t>
      </w:r>
      <w:r w:rsidRPr="005C7101">
        <w:rPr>
          <w:noProof/>
        </w:rPr>
        <w:t>, 17(5), 461–477. Retrieved 19 June 2018 from https://link-springer-com.libproxy.york.ac.uk/content/pdf/10.2165%2F00019053-200017050-00005.pdf</w:t>
      </w:r>
    </w:p>
    <w:p w14:paraId="2DBA7C67"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Sculpher, M. J., Basu, A., Kuntz, K. M., &amp; Meltzer, D. O. (2016). Reflecting uncertainty in cost-effectiveness analysis. In P. J. Neumann, T. G. Ganiats, L. B. Russell, G. D. Sanders, &amp; J. D. Siegel (Eds.), </w:t>
      </w:r>
      <w:r w:rsidRPr="005C7101">
        <w:rPr>
          <w:i/>
          <w:iCs/>
          <w:noProof/>
        </w:rPr>
        <w:t>Cost Effectiveness in Health and Medicine</w:t>
      </w:r>
      <w:r w:rsidRPr="005C7101">
        <w:rPr>
          <w:noProof/>
        </w:rPr>
        <w:t>. Oxford: Oxford University Press. Retrieved from https://doi.org/10.1093/acprof:oso/9780190492939.003.0011</w:t>
      </w:r>
    </w:p>
    <w:p w14:paraId="66434F30"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Sculpher, M. J., Claxton, K., Drummond, M., &amp; McCabe, C. (2006). Whither trial-based economic evaluation for health care decision making? </w:t>
      </w:r>
      <w:r w:rsidRPr="005C7101">
        <w:rPr>
          <w:i/>
          <w:iCs/>
          <w:noProof/>
        </w:rPr>
        <w:t>Health Economics</w:t>
      </w:r>
      <w:r w:rsidRPr="005C7101">
        <w:rPr>
          <w:noProof/>
        </w:rPr>
        <w:t>, 15(7), 677–687. Retrieved 18 May 2018 from https://doi.org/10.1002/hec.1093</w:t>
      </w:r>
    </w:p>
    <w:p w14:paraId="3F41C120"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Squires, H., Chilcott, J., Akehurst, R., Burr, J., &amp; Kelly, M. P. (2016). A Framework for Developing the Structure of Public Health Economic Models. </w:t>
      </w:r>
      <w:r w:rsidRPr="005C7101">
        <w:rPr>
          <w:i/>
          <w:iCs/>
          <w:noProof/>
        </w:rPr>
        <w:t>Value in Health</w:t>
      </w:r>
      <w:r w:rsidRPr="005C7101">
        <w:rPr>
          <w:noProof/>
        </w:rPr>
        <w:t xml:space="preserve">, 19(5), </w:t>
      </w:r>
      <w:r w:rsidRPr="005C7101">
        <w:rPr>
          <w:noProof/>
        </w:rPr>
        <w:lastRenderedPageBreak/>
        <w:t>588–601. Retrieved 3 September 2018 from https://doi.org/10.1016/j.jval.2016.02.011</w:t>
      </w:r>
    </w:p>
    <w:p w14:paraId="589AB68D"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Stahl, J. E. (2008). Modelling methods for pharmacoeconomics and health technology assessment: An overview and guide. </w:t>
      </w:r>
      <w:r w:rsidRPr="005C7101">
        <w:rPr>
          <w:i/>
          <w:iCs/>
          <w:noProof/>
        </w:rPr>
        <w:t>PharmacoEconomics</w:t>
      </w:r>
      <w:r w:rsidRPr="005C7101">
        <w:rPr>
          <w:noProof/>
        </w:rPr>
        <w:t>. Springer International Publishing. Retrieved 5 September 2019 from https://doi.org/10.2165/00019053-200826020-00004</w:t>
      </w:r>
    </w:p>
    <w:p w14:paraId="425A1577"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Tabberer, M., Gonzalez-McQuire, S., Muellerova, H., Briggs, A. H., Rutten-van Mölken, M. P. M. H., Chambers, M., &amp; Lomas, D. A. (2017). Development of a Conceptual Model of Disease Progression for Use in Economic Modeling of Chronic Obstructive Pulmonary Disease. </w:t>
      </w:r>
      <w:r w:rsidRPr="005C7101">
        <w:rPr>
          <w:i/>
          <w:iCs/>
          <w:noProof/>
        </w:rPr>
        <w:t>Medical Decision Making : An International Journal of the Society for Medical Decision Making</w:t>
      </w:r>
      <w:r w:rsidRPr="005C7101">
        <w:rPr>
          <w:noProof/>
        </w:rPr>
        <w:t>, 37(4), 440–452. Retrieved 14 April 2020 from https://doi.org/10.1177/0272989X16662009</w:t>
      </w:r>
    </w:p>
    <w:p w14:paraId="14F652B2"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Tappenden, P. (2014). Problem Structuring for Health Economic Model Development. In </w:t>
      </w:r>
      <w:r w:rsidRPr="005C7101">
        <w:rPr>
          <w:i/>
          <w:iCs/>
          <w:noProof/>
        </w:rPr>
        <w:t>Encyclopedia of Health Economics</w:t>
      </w:r>
      <w:r w:rsidRPr="005C7101">
        <w:rPr>
          <w:noProof/>
        </w:rPr>
        <w:t xml:space="preserve"> (pp. 168–179). Retrieved from https://doi.org/10.1016/B978-0-12-375678-7.01410-3</w:t>
      </w:r>
    </w:p>
    <w:p w14:paraId="48CF2FAF"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Tappenden, Paul, Chilcott, J., Brennan, A., Squires, H., Glynne-Jones, R., &amp; Tappenden, J. (2013). Using whole disease modeling to inform resource allocation decisions: Economic evaluation of a clinical guideline for colorectal cancer using a single model. </w:t>
      </w:r>
      <w:r w:rsidRPr="005C7101">
        <w:rPr>
          <w:i/>
          <w:iCs/>
          <w:noProof/>
        </w:rPr>
        <w:t>Value in Health</w:t>
      </w:r>
      <w:r w:rsidRPr="005C7101">
        <w:rPr>
          <w:noProof/>
        </w:rPr>
        <w:t>, 16(4), 542–553. Retrieved from https://doi.org/10.1016/j.jval.2013.02.012</w:t>
      </w:r>
    </w:p>
    <w:p w14:paraId="4F652F2E"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Tappenden, Paul, Chilcott, J., Brennan, A., Squires, H., &amp; Stevenson, M. (2012). Whole disease modeling to inform resource allocation decisions in cancer: A methodological framework. </w:t>
      </w:r>
      <w:r w:rsidRPr="005C7101">
        <w:rPr>
          <w:i/>
          <w:iCs/>
          <w:noProof/>
        </w:rPr>
        <w:t>Value in Health</w:t>
      </w:r>
      <w:r w:rsidRPr="005C7101">
        <w:rPr>
          <w:noProof/>
        </w:rPr>
        <w:t>, 15(8), 1127–1136. Retrieved from https://doi.org/10.1016/j.jval.2012.07.008</w:t>
      </w:r>
    </w:p>
    <w:p w14:paraId="77CFD30C"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Van Houtven, C., Carmichael, F., Jacobs, J., Coyte, P. C., Van Houtven, C., Carmichael, F., </w:t>
      </w:r>
      <w:r w:rsidRPr="005C7101">
        <w:rPr>
          <w:noProof/>
        </w:rPr>
        <w:lastRenderedPageBreak/>
        <w:t xml:space="preserve">… Coyte, P. C. (2019). The Economics of Informal Care. In </w:t>
      </w:r>
      <w:r w:rsidRPr="005C7101">
        <w:rPr>
          <w:i/>
          <w:iCs/>
          <w:noProof/>
        </w:rPr>
        <w:t>Oxford Research Encyclopedia of Economics and Finance</w:t>
      </w:r>
      <w:r w:rsidRPr="005C7101">
        <w:rPr>
          <w:noProof/>
        </w:rPr>
        <w:t>. Retrieved from https://doi.org/10.1093/acrefore/9780190625979.013.265</w:t>
      </w:r>
    </w:p>
    <w:p w14:paraId="7AE05D4E"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Varghese, S., Ohlow, M.-A., &amp; Kumar, N. (2019). Cross-country comparison in the evaluation of evolocumab by health technology assessment agencies in England, Canada, and Australia. </w:t>
      </w:r>
      <w:r w:rsidRPr="005C7101">
        <w:rPr>
          <w:i/>
          <w:iCs/>
          <w:noProof/>
        </w:rPr>
        <w:t>Heart and Mind</w:t>
      </w:r>
      <w:r w:rsidRPr="005C7101">
        <w:rPr>
          <w:noProof/>
        </w:rPr>
        <w:t>, 3(4), 140. Retrieved 9 April 2020 from https://doi.org/10.4103/hm.hm_17_19</w:t>
      </w:r>
    </w:p>
    <w:p w14:paraId="0C68738C"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Wailoo, A., Trowman, R., &amp; Stevens, A. (n.d.). </w:t>
      </w:r>
      <w:r w:rsidRPr="005C7101">
        <w:rPr>
          <w:i/>
          <w:iCs/>
          <w:noProof/>
        </w:rPr>
        <w:t>Briefing paper for methods review working party on choosing comparators</w:t>
      </w:r>
      <w:r w:rsidRPr="005C7101">
        <w:rPr>
          <w:noProof/>
        </w:rPr>
        <w:t>.</w:t>
      </w:r>
    </w:p>
    <w:p w14:paraId="1E257F3A"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Weatherly, H., Faria, R., &amp; Van den Berg, B. (2014). Valuing Informal Care for Economic Evaluation. In </w:t>
      </w:r>
      <w:r w:rsidRPr="005C7101">
        <w:rPr>
          <w:i/>
          <w:iCs/>
          <w:noProof/>
        </w:rPr>
        <w:t>Encyclopedia of Health Economics</w:t>
      </w:r>
      <w:r w:rsidRPr="005C7101">
        <w:rPr>
          <w:noProof/>
        </w:rPr>
        <w:t xml:space="preserve"> (pp. 459–467). Retrieved from https://doi.org/10.1016/B978-0-12-375678-7.01413-9</w:t>
      </w:r>
    </w:p>
    <w:p w14:paraId="1F8EA4D8"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Woolacott, N., Hawkins, N., Mason, A., Kainth, A., Khadjesari, Z., Bravo Vergel, Y., … Riemsma, R. (2006). Etanercept and efalizumab for the treatment of adults with psoriasis. </w:t>
      </w:r>
      <w:r w:rsidRPr="005C7101">
        <w:rPr>
          <w:i/>
          <w:iCs/>
          <w:noProof/>
        </w:rPr>
        <w:t>Technology Appraisal Guidance TA103</w:t>
      </w:r>
      <w:r w:rsidRPr="005C7101">
        <w:rPr>
          <w:noProof/>
        </w:rPr>
        <w:t>, 10(46), 38. Retrieved from https://doi.org/10.3310/hta10460</w:t>
      </w:r>
    </w:p>
    <w:p w14:paraId="3E56C4F7"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Yang, Y., Abel, L., Buchanan, J., Fanshawe, T., &amp; Shinkins, B. (2019). Use of Decision Modelling in Economic Evaluations of Diagnostic Tests: An Appraisal and Review of Health Technology Assessments in the UK. </w:t>
      </w:r>
      <w:r w:rsidRPr="005C7101">
        <w:rPr>
          <w:i/>
          <w:iCs/>
          <w:noProof/>
        </w:rPr>
        <w:t>PharmacoEconomics - Open</w:t>
      </w:r>
      <w:r w:rsidRPr="005C7101">
        <w:rPr>
          <w:noProof/>
        </w:rPr>
        <w:t>, 3(3), 281–291. Retrieved 5 September 2019 from https://doi.org/10.1007/s41669-018-0109-9</w:t>
      </w:r>
    </w:p>
    <w:p w14:paraId="21CF110C" w14:textId="77777777" w:rsidR="00451BA3" w:rsidRPr="005C7101" w:rsidRDefault="00451BA3" w:rsidP="00C0402E">
      <w:pPr>
        <w:widowControl w:val="0"/>
        <w:autoSpaceDE w:val="0"/>
        <w:autoSpaceDN w:val="0"/>
        <w:adjustRightInd w:val="0"/>
        <w:spacing w:line="480" w:lineRule="auto"/>
        <w:ind w:left="480" w:hanging="480"/>
        <w:rPr>
          <w:noProof/>
        </w:rPr>
      </w:pPr>
      <w:r w:rsidRPr="005C7101">
        <w:rPr>
          <w:noProof/>
        </w:rPr>
        <w:t xml:space="preserve">Zheng, Y., Pan, F., &amp; Sorensen, S. (2017). Modeling Treatment Sequences in Pharmacoeconomic Models. </w:t>
      </w:r>
      <w:r w:rsidRPr="005C7101">
        <w:rPr>
          <w:i/>
          <w:iCs/>
          <w:noProof/>
        </w:rPr>
        <w:t>PharmacoEconomics</w:t>
      </w:r>
      <w:r w:rsidRPr="005C7101">
        <w:rPr>
          <w:noProof/>
        </w:rPr>
        <w:t>, 35(1), 15–24. Retrieved 29 March 2018 from https://doi.org/10.1007/s40273-016-0455-3</w:t>
      </w:r>
    </w:p>
    <w:p w14:paraId="20B79BC0" w14:textId="150CCBC0" w:rsidR="0001301E" w:rsidRPr="00642AB3" w:rsidRDefault="00C1286B" w:rsidP="00C0402E">
      <w:pPr>
        <w:widowControl w:val="0"/>
        <w:autoSpaceDE w:val="0"/>
        <w:autoSpaceDN w:val="0"/>
        <w:adjustRightInd w:val="0"/>
        <w:spacing w:line="480" w:lineRule="auto"/>
        <w:ind w:left="480" w:hanging="480"/>
      </w:pPr>
      <w:r w:rsidRPr="00642AB3">
        <w:fldChar w:fldCharType="end"/>
      </w:r>
    </w:p>
    <w:p w14:paraId="00C616C7" w14:textId="77777777" w:rsidR="0001301E" w:rsidRPr="00642AB3" w:rsidRDefault="0001301E" w:rsidP="00D35786">
      <w:pPr>
        <w:spacing w:line="480" w:lineRule="auto"/>
      </w:pPr>
    </w:p>
    <w:p w14:paraId="7ABC98EF" w14:textId="304400A3" w:rsidR="00631F43" w:rsidRPr="00642AB3" w:rsidRDefault="00631F43" w:rsidP="00D35786">
      <w:pPr>
        <w:spacing w:line="480" w:lineRule="auto"/>
      </w:pPr>
    </w:p>
    <w:p w14:paraId="3BD931C6" w14:textId="77777777" w:rsidR="00631F43" w:rsidRPr="00642AB3" w:rsidRDefault="00631F43" w:rsidP="00D35786">
      <w:pPr>
        <w:spacing w:line="480" w:lineRule="auto"/>
      </w:pPr>
    </w:p>
    <w:p w14:paraId="64ADEAD3" w14:textId="7F168EF1" w:rsidR="00631F43" w:rsidRPr="00642AB3" w:rsidRDefault="00631F43" w:rsidP="00D35786">
      <w:pPr>
        <w:spacing w:line="480" w:lineRule="auto"/>
      </w:pPr>
    </w:p>
    <w:p w14:paraId="1F76C224" w14:textId="14125C8F" w:rsidR="00631F43" w:rsidRPr="00367E3D" w:rsidRDefault="00367E3D" w:rsidP="00D35786">
      <w:pPr>
        <w:spacing w:line="480" w:lineRule="auto"/>
        <w:rPr>
          <w:b/>
          <w:bCs/>
        </w:rPr>
      </w:pPr>
      <w:r w:rsidRPr="00367E3D">
        <w:rPr>
          <w:b/>
          <w:bCs/>
        </w:rPr>
        <w:t>Notes</w:t>
      </w:r>
    </w:p>
    <w:sectPr w:rsidR="00631F43" w:rsidRPr="00367E3D" w:rsidSect="008E5E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37361" w14:textId="77777777" w:rsidR="00C0402E" w:rsidRDefault="00C0402E" w:rsidP="00A55EB3">
      <w:r>
        <w:separator/>
      </w:r>
    </w:p>
  </w:endnote>
  <w:endnote w:type="continuationSeparator" w:id="0">
    <w:p w14:paraId="67D83302" w14:textId="77777777" w:rsidR="00C0402E" w:rsidRDefault="00C0402E" w:rsidP="00A55EB3">
      <w:r>
        <w:continuationSeparator/>
      </w:r>
    </w:p>
  </w:endnote>
  <w:endnote w:id="1">
    <w:p w14:paraId="5EDF2304" w14:textId="0A103A7E" w:rsidR="00C0402E" w:rsidRPr="00367E3D" w:rsidRDefault="00C0402E" w:rsidP="00BE55DD">
      <w:pPr>
        <w:spacing w:line="240" w:lineRule="auto"/>
      </w:pPr>
      <w:r w:rsidRPr="00367E3D">
        <w:rPr>
          <w:rStyle w:val="EndnoteReference"/>
        </w:rPr>
        <w:endnoteRef/>
      </w:r>
      <w:r w:rsidRPr="00367E3D">
        <w:t xml:space="preserve"> Throughout this chapter, and following the terminology by the European Medicines Agency </w:t>
      </w:r>
      <w:r w:rsidRPr="00367E3D">
        <w:fldChar w:fldCharType="begin" w:fldLock="1"/>
      </w:r>
      <w:r>
        <w:instrText>ADDIN CSL_CITATION {"citationItems":[{"id":"ITEM-1","itemData":{"DOI":"subgroup","author":[{"dropping-particle":"","family":"Committee for Medicinal Products for Human Use (CHMP)","given":"","non-dropping-particle":"","parse-names":false,"suffix":""}],"id":"ITEM-1","issued":{"date-parts":[["2019"]]},"number-of-pages":"20","publisher-place":"London","title":"Guideline on the investigation of subgroups in confirmatory clinical trials","type":"report"},"uris":["http://www.mendeley.com/documents/?uuid=8d89af26-3ec8-3f3b-a030-f16f37a16bb1"]}],"mendeley":{"formattedCitation":"(Committee for Medicinal Products for Human Use (CHMP), 2019)","plainTextFormattedCitation":"(Committee for Medicinal Products for Human Use (CHMP), 2019)","previouslyFormattedCitation":"(Committee for Medicinal Products for Human Use (CHMP), 2019)"},"properties":{"noteIndex":0},"schema":"https://github.com/citation-style-language/schema/raw/master/csl-citation.json"}</w:instrText>
      </w:r>
      <w:r w:rsidRPr="00367E3D">
        <w:fldChar w:fldCharType="separate"/>
      </w:r>
      <w:r w:rsidRPr="00367E3D">
        <w:rPr>
          <w:noProof/>
        </w:rPr>
        <w:t>(Committee for Medicinal Products for Human Use (CHMP), 2019)</w:t>
      </w:r>
      <w:r w:rsidRPr="00367E3D">
        <w:fldChar w:fldCharType="end"/>
      </w:r>
      <w:r w:rsidRPr="00367E3D">
        <w:t xml:space="preserve">, the term subpopulation refers to a subset of the target population whereas the term subgroup refers to a subset of the population in a primary research study (e.g. a clinical trial). </w:t>
      </w:r>
    </w:p>
  </w:endnote>
  <w:endnote w:id="2">
    <w:p w14:paraId="413BB3DA" w14:textId="0643E5DA" w:rsidR="00C0402E" w:rsidRPr="00367E3D" w:rsidRDefault="00C0402E" w:rsidP="005859B6">
      <w:r w:rsidRPr="00367E3D">
        <w:rPr>
          <w:rStyle w:val="EndnoteReference"/>
        </w:rPr>
        <w:endnoteRef/>
      </w:r>
      <w:r w:rsidRPr="00367E3D">
        <w:t xml:space="preserve"> The NICE </w:t>
      </w:r>
      <w:r w:rsidR="002542EA">
        <w:t>Guideline</w:t>
      </w:r>
      <w:r w:rsidRPr="00367E3D">
        <w:t xml:space="preserve"> states upfront that heterogeneity in treatment costs related to social characteristics or related to geographical location are not relevant to the assessment </w:t>
      </w:r>
      <w:r w:rsidRPr="00367E3D">
        <w:fldChar w:fldCharType="begin" w:fldLock="1"/>
      </w:r>
      <w:r>
        <w:instrText>ADDIN CSL_CITATION {"citationItems":[{"id":"ITEM-1","itemData":{"author":[{"dropping-particle":"","family":"National Institute for Health and Care Excellence (NICE)","given":"","non-dropping-particle":"","parse-names":false,"suffix":""}],"id":"ITEM-1","issued":{"date-parts":[["2013"]]},"note":"5.7 Modelling methods\n5.7.1 Full documentation and justification of structural assumptions and data inputs should be provided. When there are alternative plausible assumptions and inputs, sensitivity analyses of their effects on model outputs should be undertaken.\n5.7.2\nModelling provides an important framework for synthesising available evidence and generating estimates of clinical and cost effectiveness in a format relevant to the Appraisal Committee's decision-making process. Models are required formost technology appraisals. Situations when modelling is likely to be required include those when:\nall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period.\n\n5.7.3 all the relevant evidence is not contained in a single trial\npatients participating in trials do not represent the typical patients likely to use the technology within the NHS\nintermediate outcome measures are used rather than effect on health-related quality of life and survival\nrelevant comparators have not been used or trials do not include evidence on relevant populations\nclinical trial design includes crossover (treatment switching) that would not occur in clinical practice\ncosts and benefits of the technologies extend beyond the trial follow-up period.\nProviding an all-embracing definition of what constitutes a high-quality model is not possible. In general, estimates of treatment effect should be based on the results of the systematic review, structural assumptions should be fully justified and data inputs should be clearly documented and justified in the context of a valid review of the alternatives.\n\n5.7.5\nClinical end points that reflect how a patient feels, functions, or how long a patient survives are regarded as more informative than surrogate end points (such as laboratory tests and imaging findings). When the use of 'final' clinical end points is not possible and 'surrogate' data on other outcomes are used to infer the effect of treatment on mortality and health-related quality of life, evidence in support of the surrogate-to-final end point outcome relationship must be provided together with an explanation of how the relationship is quantified for use in modelling. The usefulness of the surrogate end point for estimating QALYs will be greatest when there is strong evidence that it predicts health-related quality of life and/or survival. In all cases, the uncertainty associated with the relationship between the end point and health-related quality of life or survival should be explored and quantified.\n\n5.7.7\nModelling is usually required to extrapolate costs and health benefits over an extended time horizon. Assumptions used to extrapolate the impact of treatment over the relevant time horizon should have both external and internal validity and be reported transparently. The external validity of the extrapolation should be assessed by considering both clinical and biological plausibility of the inferred outcome as well as its coherence with external data sources such as historical cohort data sets or other relevant clinical trials. Internal validity should be explored and when statistical measures are used to assess the internal validity of alternative models of extrapolation based on their relative fit to the observed trial data, the limitations of these statistical measures should be documented. Alternative scenarios should also be routinely considered to compare the implications of different methods for extrapolation of the results. For example, for duration of treatment effects, scenarios might include when the treatment benefit in the extrapolated phase is: (i) nil; (ii) the same as during the treatment phase and continues at the same level; or (iii) diminishes in the long term.\n\n6.2.17 The Committee's judgements on cost effectiveness are influenced by the following factors:\nThe strength of the supporting clinical-effectiveness evidence.\nThe robustness and appropriateness of the structure of the economic models. In particular, the Committee considers carefully whether the model reflects the decision problem at hand and the uncertainties around the assumptions on which the model structure is based.\nThe plausibility of the inputs into, and the assumptions made, in the economic models.\nThe Committee's preferred modelling approach, taking into account all of the economic evidence submitted. The range and plausibility of the ICERs generated by the models reviewed. The likelihood of decision error and its consequences","publisher-place":"London","title":"Guide to the methods of technology appraisal 2013","type":"report"},"uris":["http://www.mendeley.com/documents/?uuid=63ed8dfc-b348-31dc-aeaa-c7d1757d8e1c"]}],"mendeley":{"formattedCitation":"(National Institute for Health and Care Excellence (NICE), 2013)","plainTextFormattedCitation":"(National Institute for Health and Care Excellence (NICE), 2013)","previouslyFormattedCitation":"(National Institute for Health and Care Excellence (NICE), 2013)"},"properties":{"noteIndex":0},"schema":"https://github.com/citation-style-language/schema/raw/master/csl-citation.json"}</w:instrText>
      </w:r>
      <w:r w:rsidRPr="00367E3D">
        <w:fldChar w:fldCharType="separate"/>
      </w:r>
      <w:r w:rsidRPr="00367E3D">
        <w:rPr>
          <w:noProof/>
        </w:rPr>
        <w:t>(National Institute for Health and Care Excellence (NICE), 2013)</w:t>
      </w:r>
      <w:r w:rsidRPr="00367E3D">
        <w:fldChar w:fldCharType="end"/>
      </w:r>
      <w:r w:rsidRPr="00367E3D">
        <w:t>.</w:t>
      </w:r>
    </w:p>
  </w:endnote>
  <w:endnote w:id="3">
    <w:p w14:paraId="2A6F8BF6" w14:textId="344F588F" w:rsidR="00C0402E" w:rsidRPr="00367E3D" w:rsidRDefault="00C0402E" w:rsidP="005859B6">
      <w:pPr>
        <w:pStyle w:val="EndnoteText"/>
        <w:rPr>
          <w:sz w:val="24"/>
          <w:szCs w:val="24"/>
        </w:rPr>
      </w:pPr>
      <w:r w:rsidRPr="00367E3D">
        <w:rPr>
          <w:rStyle w:val="EndnoteReference"/>
          <w:sz w:val="24"/>
          <w:szCs w:val="24"/>
        </w:rPr>
        <w:endnoteRef/>
      </w:r>
      <w:r w:rsidRPr="00367E3D">
        <w:rPr>
          <w:sz w:val="24"/>
          <w:szCs w:val="24"/>
        </w:rPr>
        <w:t xml:space="preserve"> Although the NICE </w:t>
      </w:r>
      <w:r w:rsidR="002542EA" w:rsidRPr="002542EA">
        <w:rPr>
          <w:sz w:val="24"/>
          <w:szCs w:val="24"/>
        </w:rPr>
        <w:t xml:space="preserve">Guideline </w:t>
      </w:r>
      <w:r w:rsidRPr="00367E3D">
        <w:rPr>
          <w:sz w:val="24"/>
          <w:szCs w:val="24"/>
        </w:rPr>
        <w:t xml:space="preserve">allows exploration of heterogeneity in the treatment effect, there is a strong preference for pre-specified subgroup analysis with a clear rationale for differential effectiveness; it advises caution against post hoc subgroup analysis due to the risk of finding differential treatment effect caused by chance. </w:t>
      </w:r>
    </w:p>
  </w:endnote>
  <w:endnote w:id="4">
    <w:p w14:paraId="14592713" w14:textId="2185DA2F" w:rsidR="00C0402E" w:rsidRPr="00367E3D" w:rsidRDefault="00C0402E" w:rsidP="005859B6">
      <w:pPr>
        <w:pStyle w:val="EndnoteText"/>
        <w:rPr>
          <w:sz w:val="24"/>
          <w:szCs w:val="24"/>
        </w:rPr>
      </w:pPr>
      <w:r w:rsidRPr="00367E3D">
        <w:rPr>
          <w:rStyle w:val="EndnoteReference"/>
          <w:sz w:val="24"/>
          <w:szCs w:val="24"/>
        </w:rPr>
        <w:endnoteRef/>
      </w:r>
      <w:r w:rsidRPr="00367E3D">
        <w:rPr>
          <w:sz w:val="24"/>
          <w:szCs w:val="24"/>
        </w:rPr>
        <w:t xml:space="preserve"> The NICE </w:t>
      </w:r>
      <w:r w:rsidR="002542EA" w:rsidRPr="002542EA">
        <w:rPr>
          <w:sz w:val="24"/>
          <w:szCs w:val="24"/>
        </w:rPr>
        <w:t xml:space="preserve">Guideline </w:t>
      </w:r>
      <w:r w:rsidRPr="00367E3D">
        <w:rPr>
          <w:sz w:val="24"/>
          <w:szCs w:val="24"/>
        </w:rPr>
        <w:t xml:space="preserve">does not mention spillover effects explicitly but recommends that the perspective on outcomes is all direct health effects, whether for patients or other people. </w:t>
      </w:r>
    </w:p>
  </w:endnote>
  <w:endnote w:id="5">
    <w:p w14:paraId="6C9599CB" w14:textId="04E61C92" w:rsidR="00C0402E" w:rsidRPr="00367E3D" w:rsidRDefault="00C0402E" w:rsidP="005859B6">
      <w:pPr>
        <w:pStyle w:val="EndnoteText"/>
        <w:rPr>
          <w:sz w:val="24"/>
          <w:szCs w:val="24"/>
        </w:rPr>
      </w:pPr>
      <w:r w:rsidRPr="00367E3D">
        <w:rPr>
          <w:rStyle w:val="EndnoteReference"/>
          <w:sz w:val="24"/>
          <w:szCs w:val="24"/>
        </w:rPr>
        <w:endnoteRef/>
      </w:r>
      <w:r w:rsidRPr="00367E3D">
        <w:rPr>
          <w:sz w:val="24"/>
          <w:szCs w:val="24"/>
        </w:rPr>
        <w:t xml:space="preserve"> The NICE </w:t>
      </w:r>
      <w:r w:rsidR="002542EA" w:rsidRPr="002542EA">
        <w:rPr>
          <w:sz w:val="24"/>
          <w:szCs w:val="24"/>
        </w:rPr>
        <w:t xml:space="preserve">Guideline </w:t>
      </w:r>
      <w:r w:rsidRPr="00367E3D">
        <w:rPr>
          <w:sz w:val="24"/>
          <w:szCs w:val="24"/>
        </w:rPr>
        <w:t>defines the comparator as the “</w:t>
      </w:r>
      <w:r w:rsidRPr="00367E3D">
        <w:rPr>
          <w:i/>
          <w:sz w:val="24"/>
          <w:szCs w:val="24"/>
        </w:rPr>
        <w:t>the standard technology against which the technology under appraisal is compared</w:t>
      </w:r>
      <w:r w:rsidRPr="00367E3D">
        <w:rPr>
          <w:sz w:val="24"/>
          <w:szCs w:val="24"/>
        </w:rPr>
        <w:t xml:space="preserve">” (p.80) but advices that, at the scoping stage, all potentially relevant comparators are identified. The Committee is tasked with selecting the most appropriate comparators given established clinical practice in England, natural history of the condition without suitable treatment, existing NICE Guidance, </w:t>
      </w:r>
      <w:proofErr w:type="gramStart"/>
      <w:r w:rsidRPr="00367E3D">
        <w:rPr>
          <w:sz w:val="24"/>
          <w:szCs w:val="24"/>
        </w:rPr>
        <w:t>cost-effectiveness</w:t>
      </w:r>
      <w:proofErr w:type="gramEnd"/>
      <w:r w:rsidRPr="00367E3D">
        <w:rPr>
          <w:sz w:val="24"/>
          <w:szCs w:val="24"/>
        </w:rPr>
        <w:t xml:space="preserve"> and licensing status of the comparator. </w:t>
      </w:r>
    </w:p>
  </w:endnote>
  <w:endnote w:id="6">
    <w:p w14:paraId="423A0080" w14:textId="285CB96E" w:rsidR="00C0402E" w:rsidRPr="00367E3D" w:rsidRDefault="00C0402E" w:rsidP="005859B6">
      <w:pPr>
        <w:pStyle w:val="EndnoteText"/>
        <w:rPr>
          <w:sz w:val="24"/>
          <w:szCs w:val="24"/>
        </w:rPr>
      </w:pPr>
      <w:r w:rsidRPr="00367E3D">
        <w:rPr>
          <w:rStyle w:val="EndnoteReference"/>
          <w:sz w:val="24"/>
          <w:szCs w:val="24"/>
        </w:rPr>
        <w:endnoteRef/>
      </w:r>
      <w:r w:rsidRPr="00367E3D">
        <w:rPr>
          <w:sz w:val="24"/>
          <w:szCs w:val="24"/>
        </w:rPr>
        <w:t xml:space="preserve"> </w:t>
      </w:r>
      <w:r w:rsidR="002542EA">
        <w:rPr>
          <w:sz w:val="24"/>
          <w:szCs w:val="24"/>
        </w:rPr>
        <w:t>The CADTH Guideline</w:t>
      </w:r>
      <w:r w:rsidRPr="00367E3D">
        <w:rPr>
          <w:sz w:val="24"/>
          <w:szCs w:val="24"/>
        </w:rPr>
        <w:t xml:space="preserve"> suggests that the options should include the technologies which will be replaced by the new technology if the evaluation aims to inform a reimbursement decision; but the options should include all currently available, relevant technologies if the evaluation aims to inform efficient practice (p.24). </w:t>
      </w:r>
    </w:p>
  </w:endnote>
  <w:endnote w:id="7">
    <w:p w14:paraId="4631FCCD" w14:textId="376F0F6E" w:rsidR="00C0402E" w:rsidRPr="00367E3D" w:rsidRDefault="00C0402E" w:rsidP="005859B6">
      <w:pPr>
        <w:pStyle w:val="EndnoteText"/>
        <w:rPr>
          <w:sz w:val="24"/>
          <w:szCs w:val="24"/>
        </w:rPr>
      </w:pPr>
      <w:r w:rsidRPr="00367E3D">
        <w:rPr>
          <w:rStyle w:val="EndnoteReference"/>
          <w:sz w:val="24"/>
          <w:szCs w:val="24"/>
        </w:rPr>
        <w:endnoteRef/>
      </w:r>
      <w:r w:rsidRPr="00367E3D">
        <w:rPr>
          <w:sz w:val="24"/>
          <w:szCs w:val="24"/>
        </w:rPr>
        <w:t xml:space="preserve"> The NICE </w:t>
      </w:r>
      <w:r w:rsidR="002542EA" w:rsidRPr="002542EA">
        <w:rPr>
          <w:sz w:val="24"/>
          <w:szCs w:val="24"/>
        </w:rPr>
        <w:t>Guideline</w:t>
      </w:r>
      <w:r w:rsidRPr="00367E3D">
        <w:rPr>
          <w:sz w:val="24"/>
          <w:szCs w:val="24"/>
        </w:rPr>
        <w:t xml:space="preserve"> accepts unlicensed technologies as options only if used in the NHS as standard practice. </w:t>
      </w:r>
    </w:p>
  </w:endnote>
  <w:endnote w:id="8">
    <w:p w14:paraId="06BC1733" w14:textId="1BB3954E" w:rsidR="00C0402E" w:rsidRPr="00367E3D" w:rsidRDefault="00C0402E" w:rsidP="005859B6">
      <w:pPr>
        <w:pStyle w:val="EndnoteText"/>
        <w:rPr>
          <w:sz w:val="24"/>
          <w:szCs w:val="24"/>
        </w:rPr>
      </w:pPr>
      <w:r w:rsidRPr="00367E3D">
        <w:rPr>
          <w:rStyle w:val="EndnoteReference"/>
          <w:sz w:val="24"/>
          <w:szCs w:val="24"/>
        </w:rPr>
        <w:endnoteRef/>
      </w:r>
      <w:r w:rsidRPr="00367E3D">
        <w:rPr>
          <w:sz w:val="24"/>
          <w:szCs w:val="24"/>
        </w:rPr>
        <w:t xml:space="preserve"> The NICE </w:t>
      </w:r>
      <w:r w:rsidR="002542EA" w:rsidRPr="002542EA">
        <w:rPr>
          <w:sz w:val="24"/>
          <w:szCs w:val="24"/>
        </w:rPr>
        <w:t xml:space="preserve">Guideline </w:t>
      </w:r>
      <w:r w:rsidRPr="00367E3D">
        <w:rPr>
          <w:sz w:val="24"/>
          <w:szCs w:val="24"/>
        </w:rPr>
        <w:t xml:space="preserve">accepts technologies to be evaluated as a therapeutic class only in exceptional circumstances. </w:t>
      </w:r>
    </w:p>
  </w:endnote>
  <w:endnote w:id="9">
    <w:p w14:paraId="0B93231D" w14:textId="122B0C32" w:rsidR="00C0402E" w:rsidRPr="00367E3D" w:rsidRDefault="00C0402E" w:rsidP="008008EE">
      <w:pPr>
        <w:pStyle w:val="EndnoteText"/>
        <w:rPr>
          <w:sz w:val="24"/>
          <w:szCs w:val="24"/>
        </w:rPr>
      </w:pPr>
      <w:r w:rsidRPr="00367E3D">
        <w:rPr>
          <w:rStyle w:val="EndnoteReference"/>
          <w:sz w:val="24"/>
          <w:szCs w:val="24"/>
        </w:rPr>
        <w:endnoteRef/>
      </w:r>
      <w:r w:rsidRPr="00367E3D">
        <w:rPr>
          <w:sz w:val="24"/>
          <w:szCs w:val="24"/>
        </w:rPr>
        <w:t xml:space="preserve"> The EUnetHTA </w:t>
      </w:r>
      <w:r w:rsidR="002542EA">
        <w:rPr>
          <w:sz w:val="24"/>
          <w:szCs w:val="24"/>
        </w:rPr>
        <w:t>G</w:t>
      </w:r>
      <w:r w:rsidRPr="00367E3D">
        <w:rPr>
          <w:sz w:val="24"/>
          <w:szCs w:val="24"/>
        </w:rPr>
        <w:t xml:space="preserve">uideline recommends the use of models for economic evaluation.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3D340" w14:textId="77777777" w:rsidR="00C0402E" w:rsidRDefault="00C04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432351"/>
      <w:docPartObj>
        <w:docPartGallery w:val="Page Numbers (Bottom of Page)"/>
        <w:docPartUnique/>
      </w:docPartObj>
    </w:sdtPr>
    <w:sdtEndPr>
      <w:rPr>
        <w:noProof/>
      </w:rPr>
    </w:sdtEndPr>
    <w:sdtContent>
      <w:p w14:paraId="536E1623" w14:textId="36A8AC9F" w:rsidR="00C0402E" w:rsidRDefault="00C0402E">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66AADDDA" w14:textId="77777777" w:rsidR="00C0402E" w:rsidRDefault="00C0402E" w:rsidP="00A55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EB1F2" w14:textId="77777777" w:rsidR="00C0402E" w:rsidRDefault="00C0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B2AD1" w14:textId="77777777" w:rsidR="00C0402E" w:rsidRDefault="00C0402E" w:rsidP="00A55EB3">
      <w:r>
        <w:separator/>
      </w:r>
    </w:p>
  </w:footnote>
  <w:footnote w:type="continuationSeparator" w:id="0">
    <w:p w14:paraId="49E97B05" w14:textId="77777777" w:rsidR="00C0402E" w:rsidRDefault="00C0402E" w:rsidP="00A55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B69D" w14:textId="77777777" w:rsidR="00C0402E" w:rsidRDefault="00C04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6166C" w14:textId="77777777" w:rsidR="00C0402E" w:rsidRDefault="00C04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1F6CC" w14:textId="77777777" w:rsidR="00C0402E" w:rsidRDefault="00C0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792"/>
    <w:multiLevelType w:val="hybridMultilevel"/>
    <w:tmpl w:val="1B001622"/>
    <w:lvl w:ilvl="0" w:tplc="5288853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A4CE5"/>
    <w:multiLevelType w:val="hybridMultilevel"/>
    <w:tmpl w:val="4B74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C60C8"/>
    <w:multiLevelType w:val="multilevel"/>
    <w:tmpl w:val="FC48E386"/>
    <w:lvl w:ilvl="0">
      <w:start w:val="1"/>
      <w:numFmt w:val="decimal"/>
      <w:lvlText w:val="%1."/>
      <w:lvlJc w:val="left"/>
      <w:pPr>
        <w:ind w:left="720" w:hanging="360"/>
      </w:pPr>
      <w:rPr>
        <w:rFonts w:hint="default"/>
      </w:rPr>
    </w:lvl>
    <w:lvl w:ilvl="1">
      <w:start w:val="3"/>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7E0CE9"/>
    <w:multiLevelType w:val="hybridMultilevel"/>
    <w:tmpl w:val="DEEE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6DC5"/>
    <w:multiLevelType w:val="hybridMultilevel"/>
    <w:tmpl w:val="E436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12FFE"/>
    <w:multiLevelType w:val="hybridMultilevel"/>
    <w:tmpl w:val="9F4A734C"/>
    <w:lvl w:ilvl="0" w:tplc="33B05DE4">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865A9F"/>
    <w:multiLevelType w:val="hybridMultilevel"/>
    <w:tmpl w:val="82CC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45D2C"/>
    <w:multiLevelType w:val="hybridMultilevel"/>
    <w:tmpl w:val="3BC4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357D7"/>
    <w:multiLevelType w:val="hybridMultilevel"/>
    <w:tmpl w:val="1F066B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611EB2"/>
    <w:multiLevelType w:val="multilevel"/>
    <w:tmpl w:val="FC028D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A906ED"/>
    <w:multiLevelType w:val="hybridMultilevel"/>
    <w:tmpl w:val="E63E8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72FAE"/>
    <w:multiLevelType w:val="hybridMultilevel"/>
    <w:tmpl w:val="B0064D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0A2CFC"/>
    <w:multiLevelType w:val="multilevel"/>
    <w:tmpl w:val="FC028D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431763"/>
    <w:multiLevelType w:val="hybridMultilevel"/>
    <w:tmpl w:val="C230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F412B8"/>
    <w:multiLevelType w:val="hybridMultilevel"/>
    <w:tmpl w:val="F294C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370F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E63778"/>
    <w:multiLevelType w:val="hybridMultilevel"/>
    <w:tmpl w:val="7BC8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F434E3"/>
    <w:multiLevelType w:val="hybridMultilevel"/>
    <w:tmpl w:val="5FB418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1280C"/>
    <w:multiLevelType w:val="hybridMultilevel"/>
    <w:tmpl w:val="64EC251A"/>
    <w:lvl w:ilvl="0" w:tplc="33B05DE4">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80F195F"/>
    <w:multiLevelType w:val="hybridMultilevel"/>
    <w:tmpl w:val="B6486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9C6311"/>
    <w:multiLevelType w:val="hybridMultilevel"/>
    <w:tmpl w:val="A8206E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A81448"/>
    <w:multiLevelType w:val="hybridMultilevel"/>
    <w:tmpl w:val="7DD0F698"/>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2" w15:restartNumberingAfterBreak="0">
    <w:nsid w:val="51C1244F"/>
    <w:multiLevelType w:val="hybridMultilevel"/>
    <w:tmpl w:val="852421B0"/>
    <w:lvl w:ilvl="0" w:tplc="0B4229F8">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11878"/>
    <w:multiLevelType w:val="hybridMultilevel"/>
    <w:tmpl w:val="E3B8C058"/>
    <w:lvl w:ilvl="0" w:tplc="F1F4AF66">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356396"/>
    <w:multiLevelType w:val="hybridMultilevel"/>
    <w:tmpl w:val="86C239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F2B4308"/>
    <w:multiLevelType w:val="hybridMultilevel"/>
    <w:tmpl w:val="903A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7A175E"/>
    <w:multiLevelType w:val="hybridMultilevel"/>
    <w:tmpl w:val="68C6DC1A"/>
    <w:lvl w:ilvl="0" w:tplc="5288853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2D6D18"/>
    <w:multiLevelType w:val="hybridMultilevel"/>
    <w:tmpl w:val="62FE3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175D06"/>
    <w:multiLevelType w:val="hybridMultilevel"/>
    <w:tmpl w:val="F94C5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3545F8"/>
    <w:multiLevelType w:val="hybridMultilevel"/>
    <w:tmpl w:val="81507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EB6EA0"/>
    <w:multiLevelType w:val="hybridMultilevel"/>
    <w:tmpl w:val="83F86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E15FF"/>
    <w:multiLevelType w:val="hybridMultilevel"/>
    <w:tmpl w:val="296EB934"/>
    <w:lvl w:ilvl="0" w:tplc="A6EC3FA6">
      <w:start w:val="1"/>
      <w:numFmt w:val="decimal"/>
      <w:pStyle w:val="Heading6"/>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72372C"/>
    <w:multiLevelType w:val="hybridMultilevel"/>
    <w:tmpl w:val="26526950"/>
    <w:lvl w:ilvl="0" w:tplc="658E74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E40CF"/>
    <w:multiLevelType w:val="hybridMultilevel"/>
    <w:tmpl w:val="005C3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674CBA"/>
    <w:multiLevelType w:val="hybridMultilevel"/>
    <w:tmpl w:val="6ECE5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A13791"/>
    <w:multiLevelType w:val="hybridMultilevel"/>
    <w:tmpl w:val="A8985FD2"/>
    <w:lvl w:ilvl="0" w:tplc="377AC228">
      <w:start w:val="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782BFE"/>
    <w:multiLevelType w:val="hybridMultilevel"/>
    <w:tmpl w:val="93105E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8D335F"/>
    <w:multiLevelType w:val="hybridMultilevel"/>
    <w:tmpl w:val="10B0ACAA"/>
    <w:lvl w:ilvl="0" w:tplc="377AC22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421F47"/>
    <w:multiLevelType w:val="hybridMultilevel"/>
    <w:tmpl w:val="46443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810D8D"/>
    <w:multiLevelType w:val="hybridMultilevel"/>
    <w:tmpl w:val="4FC221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5"/>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31"/>
  </w:num>
  <w:num w:numId="7">
    <w:abstractNumId w:val="23"/>
  </w:num>
  <w:num w:numId="8">
    <w:abstractNumId w:val="17"/>
  </w:num>
  <w:num w:numId="9">
    <w:abstractNumId w:val="2"/>
  </w:num>
  <w:num w:numId="10">
    <w:abstractNumId w:val="36"/>
  </w:num>
  <w:num w:numId="11">
    <w:abstractNumId w:val="28"/>
  </w:num>
  <w:num w:numId="12">
    <w:abstractNumId w:val="33"/>
  </w:num>
  <w:num w:numId="13">
    <w:abstractNumId w:val="34"/>
  </w:num>
  <w:num w:numId="14">
    <w:abstractNumId w:val="9"/>
  </w:num>
  <w:num w:numId="15">
    <w:abstractNumId w:val="30"/>
  </w:num>
  <w:num w:numId="16">
    <w:abstractNumId w:val="1"/>
  </w:num>
  <w:num w:numId="17">
    <w:abstractNumId w:val="15"/>
  </w:num>
  <w:num w:numId="18">
    <w:abstractNumId w:val="3"/>
  </w:num>
  <w:num w:numId="19">
    <w:abstractNumId w:val="16"/>
  </w:num>
  <w:num w:numId="20">
    <w:abstractNumId w:val="13"/>
  </w:num>
  <w:num w:numId="21">
    <w:abstractNumId w:val="25"/>
  </w:num>
  <w:num w:numId="22">
    <w:abstractNumId w:val="8"/>
  </w:num>
  <w:num w:numId="23">
    <w:abstractNumId w:val="11"/>
  </w:num>
  <w:num w:numId="24">
    <w:abstractNumId w:val="39"/>
  </w:num>
  <w:num w:numId="25">
    <w:abstractNumId w:val="4"/>
  </w:num>
  <w:num w:numId="26">
    <w:abstractNumId w:val="29"/>
  </w:num>
  <w:num w:numId="27">
    <w:abstractNumId w:val="19"/>
  </w:num>
  <w:num w:numId="28">
    <w:abstractNumId w:val="26"/>
  </w:num>
  <w:num w:numId="29">
    <w:abstractNumId w:val="0"/>
  </w:num>
  <w:num w:numId="30">
    <w:abstractNumId w:val="27"/>
  </w:num>
  <w:num w:numId="31">
    <w:abstractNumId w:val="7"/>
  </w:num>
  <w:num w:numId="32">
    <w:abstractNumId w:val="14"/>
  </w:num>
  <w:num w:numId="33">
    <w:abstractNumId w:val="32"/>
  </w:num>
  <w:num w:numId="34">
    <w:abstractNumId w:val="24"/>
  </w:num>
  <w:num w:numId="35">
    <w:abstractNumId w:val="18"/>
  </w:num>
  <w:num w:numId="36">
    <w:abstractNumId w:val="5"/>
  </w:num>
  <w:num w:numId="37">
    <w:abstractNumId w:val="22"/>
  </w:num>
  <w:num w:numId="38">
    <w:abstractNumId w:val="6"/>
  </w:num>
  <w:num w:numId="39">
    <w:abstractNumId w:val="20"/>
  </w:num>
  <w:num w:numId="40">
    <w:abstractNumId w:val="38"/>
  </w:num>
  <w:num w:numId="41">
    <w:abstractNumId w:val="10"/>
  </w:num>
  <w:num w:numId="4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0"/>
  <w:proofState w:spelling="clean" w:grammar="clean"/>
  <w:documentProtection w:edit="trackedChange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AF"/>
    <w:rsid w:val="00005F66"/>
    <w:rsid w:val="000061AF"/>
    <w:rsid w:val="00006578"/>
    <w:rsid w:val="000071F2"/>
    <w:rsid w:val="00011348"/>
    <w:rsid w:val="0001301E"/>
    <w:rsid w:val="00013A5C"/>
    <w:rsid w:val="00013DA9"/>
    <w:rsid w:val="00014D94"/>
    <w:rsid w:val="00016F22"/>
    <w:rsid w:val="00030F4F"/>
    <w:rsid w:val="000312D1"/>
    <w:rsid w:val="00033808"/>
    <w:rsid w:val="00034415"/>
    <w:rsid w:val="00034F12"/>
    <w:rsid w:val="000353B3"/>
    <w:rsid w:val="00036819"/>
    <w:rsid w:val="0004045D"/>
    <w:rsid w:val="00041387"/>
    <w:rsid w:val="00043EF3"/>
    <w:rsid w:val="00043F5E"/>
    <w:rsid w:val="000441C4"/>
    <w:rsid w:val="00044381"/>
    <w:rsid w:val="00052A85"/>
    <w:rsid w:val="000555E5"/>
    <w:rsid w:val="0005771C"/>
    <w:rsid w:val="00057DFF"/>
    <w:rsid w:val="0006043C"/>
    <w:rsid w:val="0006108F"/>
    <w:rsid w:val="00061E7E"/>
    <w:rsid w:val="000641B7"/>
    <w:rsid w:val="00064E7F"/>
    <w:rsid w:val="000654E2"/>
    <w:rsid w:val="00065940"/>
    <w:rsid w:val="00066FA7"/>
    <w:rsid w:val="00071DCA"/>
    <w:rsid w:val="0007351A"/>
    <w:rsid w:val="00076437"/>
    <w:rsid w:val="00077B9E"/>
    <w:rsid w:val="00080AC6"/>
    <w:rsid w:val="0008218A"/>
    <w:rsid w:val="00082FC4"/>
    <w:rsid w:val="00084C8D"/>
    <w:rsid w:val="0008677A"/>
    <w:rsid w:val="00086F89"/>
    <w:rsid w:val="00087A02"/>
    <w:rsid w:val="00091C4B"/>
    <w:rsid w:val="00094714"/>
    <w:rsid w:val="000955E3"/>
    <w:rsid w:val="00096509"/>
    <w:rsid w:val="000A14E9"/>
    <w:rsid w:val="000A29B7"/>
    <w:rsid w:val="000A2D16"/>
    <w:rsid w:val="000A353F"/>
    <w:rsid w:val="000A44ED"/>
    <w:rsid w:val="000A504D"/>
    <w:rsid w:val="000B0889"/>
    <w:rsid w:val="000B2293"/>
    <w:rsid w:val="000B22D7"/>
    <w:rsid w:val="000B5D89"/>
    <w:rsid w:val="000B5E72"/>
    <w:rsid w:val="000C191F"/>
    <w:rsid w:val="000C2212"/>
    <w:rsid w:val="000C237D"/>
    <w:rsid w:val="000C23B1"/>
    <w:rsid w:val="000C3F99"/>
    <w:rsid w:val="000C4120"/>
    <w:rsid w:val="000C47E2"/>
    <w:rsid w:val="000C4C7B"/>
    <w:rsid w:val="000C51C0"/>
    <w:rsid w:val="000C6ADA"/>
    <w:rsid w:val="000C7E46"/>
    <w:rsid w:val="000D270F"/>
    <w:rsid w:val="000D2999"/>
    <w:rsid w:val="000D3DC1"/>
    <w:rsid w:val="000D4BCE"/>
    <w:rsid w:val="000D4F26"/>
    <w:rsid w:val="000D5A5A"/>
    <w:rsid w:val="000D72F1"/>
    <w:rsid w:val="000E1975"/>
    <w:rsid w:val="000E5088"/>
    <w:rsid w:val="000E6370"/>
    <w:rsid w:val="000F1B5A"/>
    <w:rsid w:val="000F2078"/>
    <w:rsid w:val="000F2135"/>
    <w:rsid w:val="000F3851"/>
    <w:rsid w:val="000F76D2"/>
    <w:rsid w:val="000F774F"/>
    <w:rsid w:val="00101E05"/>
    <w:rsid w:val="00102B76"/>
    <w:rsid w:val="0010389F"/>
    <w:rsid w:val="0010400A"/>
    <w:rsid w:val="00104D92"/>
    <w:rsid w:val="0010552E"/>
    <w:rsid w:val="001062CC"/>
    <w:rsid w:val="00107DDC"/>
    <w:rsid w:val="00110FEF"/>
    <w:rsid w:val="001114CD"/>
    <w:rsid w:val="00112ACB"/>
    <w:rsid w:val="00112B5D"/>
    <w:rsid w:val="0011398B"/>
    <w:rsid w:val="001139B2"/>
    <w:rsid w:val="00116053"/>
    <w:rsid w:val="0012051F"/>
    <w:rsid w:val="0012066F"/>
    <w:rsid w:val="001208A5"/>
    <w:rsid w:val="00121DFB"/>
    <w:rsid w:val="001229D3"/>
    <w:rsid w:val="001231D2"/>
    <w:rsid w:val="00125B40"/>
    <w:rsid w:val="00125F3C"/>
    <w:rsid w:val="001268FB"/>
    <w:rsid w:val="00126AF9"/>
    <w:rsid w:val="00126D6C"/>
    <w:rsid w:val="001278A0"/>
    <w:rsid w:val="00130670"/>
    <w:rsid w:val="00131ECB"/>
    <w:rsid w:val="00134695"/>
    <w:rsid w:val="0013470D"/>
    <w:rsid w:val="00134D53"/>
    <w:rsid w:val="00135AA7"/>
    <w:rsid w:val="00136600"/>
    <w:rsid w:val="00137CA7"/>
    <w:rsid w:val="00140411"/>
    <w:rsid w:val="00140AF2"/>
    <w:rsid w:val="00141DAF"/>
    <w:rsid w:val="00142602"/>
    <w:rsid w:val="001438A3"/>
    <w:rsid w:val="00144BA5"/>
    <w:rsid w:val="00145085"/>
    <w:rsid w:val="00146B85"/>
    <w:rsid w:val="00150C23"/>
    <w:rsid w:val="0015278B"/>
    <w:rsid w:val="0015543C"/>
    <w:rsid w:val="0015763B"/>
    <w:rsid w:val="0015784F"/>
    <w:rsid w:val="0016165E"/>
    <w:rsid w:val="00161FE3"/>
    <w:rsid w:val="0016634A"/>
    <w:rsid w:val="00166EC2"/>
    <w:rsid w:val="001745F5"/>
    <w:rsid w:val="001779D3"/>
    <w:rsid w:val="00183950"/>
    <w:rsid w:val="00183C6D"/>
    <w:rsid w:val="00183E08"/>
    <w:rsid w:val="001877CA"/>
    <w:rsid w:val="001879C6"/>
    <w:rsid w:val="00190871"/>
    <w:rsid w:val="00191CC2"/>
    <w:rsid w:val="001939CA"/>
    <w:rsid w:val="00197320"/>
    <w:rsid w:val="001A07AA"/>
    <w:rsid w:val="001A2833"/>
    <w:rsid w:val="001A53D3"/>
    <w:rsid w:val="001A55B7"/>
    <w:rsid w:val="001A61D4"/>
    <w:rsid w:val="001A6254"/>
    <w:rsid w:val="001A6BF1"/>
    <w:rsid w:val="001A6DE7"/>
    <w:rsid w:val="001A76C6"/>
    <w:rsid w:val="001B06D3"/>
    <w:rsid w:val="001B2150"/>
    <w:rsid w:val="001B261D"/>
    <w:rsid w:val="001B5632"/>
    <w:rsid w:val="001B7FB8"/>
    <w:rsid w:val="001C150B"/>
    <w:rsid w:val="001C41E8"/>
    <w:rsid w:val="001C48AF"/>
    <w:rsid w:val="001C5DF0"/>
    <w:rsid w:val="001C7FD2"/>
    <w:rsid w:val="001D2A3E"/>
    <w:rsid w:val="001D4AFD"/>
    <w:rsid w:val="001D6210"/>
    <w:rsid w:val="001D783E"/>
    <w:rsid w:val="001E1044"/>
    <w:rsid w:val="001E2C47"/>
    <w:rsid w:val="001E392C"/>
    <w:rsid w:val="001E3B9D"/>
    <w:rsid w:val="001E5110"/>
    <w:rsid w:val="001E5DC0"/>
    <w:rsid w:val="001E6CE9"/>
    <w:rsid w:val="001E725C"/>
    <w:rsid w:val="001F4117"/>
    <w:rsid w:val="001F59CE"/>
    <w:rsid w:val="001F5C2E"/>
    <w:rsid w:val="001F62BB"/>
    <w:rsid w:val="0020048E"/>
    <w:rsid w:val="002015C8"/>
    <w:rsid w:val="00201CF8"/>
    <w:rsid w:val="00202195"/>
    <w:rsid w:val="00204377"/>
    <w:rsid w:val="00204C27"/>
    <w:rsid w:val="00204D09"/>
    <w:rsid w:val="002052AB"/>
    <w:rsid w:val="0020564E"/>
    <w:rsid w:val="0020658A"/>
    <w:rsid w:val="00206633"/>
    <w:rsid w:val="002127BD"/>
    <w:rsid w:val="00215E1D"/>
    <w:rsid w:val="0021624C"/>
    <w:rsid w:val="00222EDE"/>
    <w:rsid w:val="002232D8"/>
    <w:rsid w:val="002243CA"/>
    <w:rsid w:val="0022490F"/>
    <w:rsid w:val="00224FC9"/>
    <w:rsid w:val="002257DE"/>
    <w:rsid w:val="00227212"/>
    <w:rsid w:val="002276BD"/>
    <w:rsid w:val="00231CD2"/>
    <w:rsid w:val="002324B7"/>
    <w:rsid w:val="00232A1B"/>
    <w:rsid w:val="0023477F"/>
    <w:rsid w:val="00240AD0"/>
    <w:rsid w:val="0024259E"/>
    <w:rsid w:val="0024659E"/>
    <w:rsid w:val="00247B3F"/>
    <w:rsid w:val="002511CB"/>
    <w:rsid w:val="002518FD"/>
    <w:rsid w:val="0025219C"/>
    <w:rsid w:val="002524EA"/>
    <w:rsid w:val="002542EA"/>
    <w:rsid w:val="00255D80"/>
    <w:rsid w:val="00261DB7"/>
    <w:rsid w:val="002620B9"/>
    <w:rsid w:val="00263CB2"/>
    <w:rsid w:val="00263D23"/>
    <w:rsid w:val="00265499"/>
    <w:rsid w:val="002655FC"/>
    <w:rsid w:val="00265868"/>
    <w:rsid w:val="0026734A"/>
    <w:rsid w:val="0027047A"/>
    <w:rsid w:val="0027234B"/>
    <w:rsid w:val="00272A12"/>
    <w:rsid w:val="00274450"/>
    <w:rsid w:val="002772D1"/>
    <w:rsid w:val="00280952"/>
    <w:rsid w:val="00280BB7"/>
    <w:rsid w:val="00283489"/>
    <w:rsid w:val="00285BAF"/>
    <w:rsid w:val="002861CE"/>
    <w:rsid w:val="00287FB9"/>
    <w:rsid w:val="00290F18"/>
    <w:rsid w:val="002954E1"/>
    <w:rsid w:val="0029588D"/>
    <w:rsid w:val="00297210"/>
    <w:rsid w:val="002A09A5"/>
    <w:rsid w:val="002A1683"/>
    <w:rsid w:val="002A2640"/>
    <w:rsid w:val="002A2BB1"/>
    <w:rsid w:val="002A4E3B"/>
    <w:rsid w:val="002B144B"/>
    <w:rsid w:val="002B3792"/>
    <w:rsid w:val="002B3DD5"/>
    <w:rsid w:val="002B6CE9"/>
    <w:rsid w:val="002B6F90"/>
    <w:rsid w:val="002C00D3"/>
    <w:rsid w:val="002C0EDA"/>
    <w:rsid w:val="002C27E5"/>
    <w:rsid w:val="002C5F75"/>
    <w:rsid w:val="002C6102"/>
    <w:rsid w:val="002C7C9C"/>
    <w:rsid w:val="002D0002"/>
    <w:rsid w:val="002D1131"/>
    <w:rsid w:val="002D1AB7"/>
    <w:rsid w:val="002D1DBE"/>
    <w:rsid w:val="002D27E8"/>
    <w:rsid w:val="002D51DC"/>
    <w:rsid w:val="002D6ABE"/>
    <w:rsid w:val="002D71B4"/>
    <w:rsid w:val="002E020D"/>
    <w:rsid w:val="002E1020"/>
    <w:rsid w:val="002E1A8C"/>
    <w:rsid w:val="002E38C4"/>
    <w:rsid w:val="002E793C"/>
    <w:rsid w:val="002F0726"/>
    <w:rsid w:val="002F1645"/>
    <w:rsid w:val="002F1B8A"/>
    <w:rsid w:val="002F3E89"/>
    <w:rsid w:val="002F4221"/>
    <w:rsid w:val="002F508B"/>
    <w:rsid w:val="003006C0"/>
    <w:rsid w:val="003029A5"/>
    <w:rsid w:val="00303645"/>
    <w:rsid w:val="003043C3"/>
    <w:rsid w:val="00305742"/>
    <w:rsid w:val="00306EAF"/>
    <w:rsid w:val="003134F8"/>
    <w:rsid w:val="0031470C"/>
    <w:rsid w:val="00314C7A"/>
    <w:rsid w:val="00315EA5"/>
    <w:rsid w:val="00316DB5"/>
    <w:rsid w:val="00321A06"/>
    <w:rsid w:val="003221D1"/>
    <w:rsid w:val="0032303D"/>
    <w:rsid w:val="00323942"/>
    <w:rsid w:val="0032421B"/>
    <w:rsid w:val="00324372"/>
    <w:rsid w:val="0032572A"/>
    <w:rsid w:val="0032695C"/>
    <w:rsid w:val="003269C1"/>
    <w:rsid w:val="00326FFE"/>
    <w:rsid w:val="0033297F"/>
    <w:rsid w:val="0034234B"/>
    <w:rsid w:val="00343238"/>
    <w:rsid w:val="00344A9D"/>
    <w:rsid w:val="00344B5C"/>
    <w:rsid w:val="003451B8"/>
    <w:rsid w:val="00345A3A"/>
    <w:rsid w:val="0034714F"/>
    <w:rsid w:val="003511BE"/>
    <w:rsid w:val="00351A5B"/>
    <w:rsid w:val="0035226C"/>
    <w:rsid w:val="0035264F"/>
    <w:rsid w:val="0035364B"/>
    <w:rsid w:val="00353A19"/>
    <w:rsid w:val="00355062"/>
    <w:rsid w:val="00355A9B"/>
    <w:rsid w:val="00364169"/>
    <w:rsid w:val="00364A64"/>
    <w:rsid w:val="00364F90"/>
    <w:rsid w:val="0036627B"/>
    <w:rsid w:val="00367391"/>
    <w:rsid w:val="0036749B"/>
    <w:rsid w:val="00367E3D"/>
    <w:rsid w:val="00370F5C"/>
    <w:rsid w:val="003721AA"/>
    <w:rsid w:val="00374023"/>
    <w:rsid w:val="00374196"/>
    <w:rsid w:val="00375771"/>
    <w:rsid w:val="00377D9B"/>
    <w:rsid w:val="00381F30"/>
    <w:rsid w:val="00383B72"/>
    <w:rsid w:val="003847FA"/>
    <w:rsid w:val="00386329"/>
    <w:rsid w:val="00386AC8"/>
    <w:rsid w:val="0038736F"/>
    <w:rsid w:val="00392021"/>
    <w:rsid w:val="00392204"/>
    <w:rsid w:val="00393F45"/>
    <w:rsid w:val="00395AE0"/>
    <w:rsid w:val="00396B1D"/>
    <w:rsid w:val="003A08AC"/>
    <w:rsid w:val="003A144F"/>
    <w:rsid w:val="003A28F1"/>
    <w:rsid w:val="003A67CE"/>
    <w:rsid w:val="003A741B"/>
    <w:rsid w:val="003B01C9"/>
    <w:rsid w:val="003B0C33"/>
    <w:rsid w:val="003B1393"/>
    <w:rsid w:val="003B18EE"/>
    <w:rsid w:val="003B246B"/>
    <w:rsid w:val="003B256B"/>
    <w:rsid w:val="003B467D"/>
    <w:rsid w:val="003B5929"/>
    <w:rsid w:val="003C0114"/>
    <w:rsid w:val="003C06A4"/>
    <w:rsid w:val="003C0A12"/>
    <w:rsid w:val="003C1E64"/>
    <w:rsid w:val="003C3074"/>
    <w:rsid w:val="003C30F2"/>
    <w:rsid w:val="003C5525"/>
    <w:rsid w:val="003D10D2"/>
    <w:rsid w:val="003D1B13"/>
    <w:rsid w:val="003D254B"/>
    <w:rsid w:val="003D3683"/>
    <w:rsid w:val="003D3AC8"/>
    <w:rsid w:val="003D3C43"/>
    <w:rsid w:val="003D5F90"/>
    <w:rsid w:val="003D7601"/>
    <w:rsid w:val="003E0CAF"/>
    <w:rsid w:val="003E0EAC"/>
    <w:rsid w:val="003E1992"/>
    <w:rsid w:val="003E1F5D"/>
    <w:rsid w:val="003E30BA"/>
    <w:rsid w:val="003E5794"/>
    <w:rsid w:val="003E672A"/>
    <w:rsid w:val="003F1218"/>
    <w:rsid w:val="004020BB"/>
    <w:rsid w:val="00403AD5"/>
    <w:rsid w:val="00404ADE"/>
    <w:rsid w:val="00404B9E"/>
    <w:rsid w:val="00404D66"/>
    <w:rsid w:val="00410E15"/>
    <w:rsid w:val="00412AB5"/>
    <w:rsid w:val="00413051"/>
    <w:rsid w:val="00413A17"/>
    <w:rsid w:val="00413B48"/>
    <w:rsid w:val="00415118"/>
    <w:rsid w:val="0041765A"/>
    <w:rsid w:val="00417B8A"/>
    <w:rsid w:val="00420438"/>
    <w:rsid w:val="004211B3"/>
    <w:rsid w:val="0042286D"/>
    <w:rsid w:val="00422A9A"/>
    <w:rsid w:val="00430E53"/>
    <w:rsid w:val="0043294C"/>
    <w:rsid w:val="00436FFD"/>
    <w:rsid w:val="004372D5"/>
    <w:rsid w:val="0044161E"/>
    <w:rsid w:val="00441D09"/>
    <w:rsid w:val="0044354F"/>
    <w:rsid w:val="0044432D"/>
    <w:rsid w:val="00444CE2"/>
    <w:rsid w:val="00445602"/>
    <w:rsid w:val="00450B8A"/>
    <w:rsid w:val="00451BA3"/>
    <w:rsid w:val="00452534"/>
    <w:rsid w:val="0045413E"/>
    <w:rsid w:val="00454411"/>
    <w:rsid w:val="004545E2"/>
    <w:rsid w:val="00457BCD"/>
    <w:rsid w:val="00457CCF"/>
    <w:rsid w:val="00461E89"/>
    <w:rsid w:val="00464601"/>
    <w:rsid w:val="004675A8"/>
    <w:rsid w:val="00473739"/>
    <w:rsid w:val="00474582"/>
    <w:rsid w:val="00480F8F"/>
    <w:rsid w:val="004810BB"/>
    <w:rsid w:val="00483689"/>
    <w:rsid w:val="0048373A"/>
    <w:rsid w:val="00483A4A"/>
    <w:rsid w:val="004842D4"/>
    <w:rsid w:val="004907BD"/>
    <w:rsid w:val="00495C76"/>
    <w:rsid w:val="00496A89"/>
    <w:rsid w:val="0049785E"/>
    <w:rsid w:val="004A0A26"/>
    <w:rsid w:val="004A0A8D"/>
    <w:rsid w:val="004A2CAD"/>
    <w:rsid w:val="004A3960"/>
    <w:rsid w:val="004A4881"/>
    <w:rsid w:val="004A6524"/>
    <w:rsid w:val="004A72D7"/>
    <w:rsid w:val="004C0D31"/>
    <w:rsid w:val="004C14D3"/>
    <w:rsid w:val="004C2713"/>
    <w:rsid w:val="004C6B4D"/>
    <w:rsid w:val="004C7C93"/>
    <w:rsid w:val="004D044B"/>
    <w:rsid w:val="004D0622"/>
    <w:rsid w:val="004D18E2"/>
    <w:rsid w:val="004D2AE5"/>
    <w:rsid w:val="004D2D65"/>
    <w:rsid w:val="004D324A"/>
    <w:rsid w:val="004D3F57"/>
    <w:rsid w:val="004D453E"/>
    <w:rsid w:val="004D45B0"/>
    <w:rsid w:val="004D51AE"/>
    <w:rsid w:val="004D5A8E"/>
    <w:rsid w:val="004D6165"/>
    <w:rsid w:val="004E1B51"/>
    <w:rsid w:val="004E1FA9"/>
    <w:rsid w:val="004E3444"/>
    <w:rsid w:val="004E34CE"/>
    <w:rsid w:val="004E4ECD"/>
    <w:rsid w:val="004E7377"/>
    <w:rsid w:val="004E7451"/>
    <w:rsid w:val="004F052C"/>
    <w:rsid w:val="004F172C"/>
    <w:rsid w:val="004F272D"/>
    <w:rsid w:val="004F4510"/>
    <w:rsid w:val="004F5D25"/>
    <w:rsid w:val="004F5DEA"/>
    <w:rsid w:val="0050004A"/>
    <w:rsid w:val="0050022C"/>
    <w:rsid w:val="00500440"/>
    <w:rsid w:val="00501281"/>
    <w:rsid w:val="005012C2"/>
    <w:rsid w:val="00501D9C"/>
    <w:rsid w:val="00502AEA"/>
    <w:rsid w:val="005053A2"/>
    <w:rsid w:val="005059EB"/>
    <w:rsid w:val="00505AAB"/>
    <w:rsid w:val="00505D47"/>
    <w:rsid w:val="00506658"/>
    <w:rsid w:val="00507C40"/>
    <w:rsid w:val="00510998"/>
    <w:rsid w:val="005117B6"/>
    <w:rsid w:val="005118AD"/>
    <w:rsid w:val="00511CE4"/>
    <w:rsid w:val="00516FEF"/>
    <w:rsid w:val="00520718"/>
    <w:rsid w:val="0052159F"/>
    <w:rsid w:val="00523832"/>
    <w:rsid w:val="005238D9"/>
    <w:rsid w:val="005253A9"/>
    <w:rsid w:val="0053018F"/>
    <w:rsid w:val="00533A6E"/>
    <w:rsid w:val="0053476A"/>
    <w:rsid w:val="00535D0E"/>
    <w:rsid w:val="00537575"/>
    <w:rsid w:val="0054057D"/>
    <w:rsid w:val="00540F40"/>
    <w:rsid w:val="00546EB3"/>
    <w:rsid w:val="005477F8"/>
    <w:rsid w:val="005513B5"/>
    <w:rsid w:val="00553900"/>
    <w:rsid w:val="00554ADF"/>
    <w:rsid w:val="005555ED"/>
    <w:rsid w:val="00555DF1"/>
    <w:rsid w:val="00557D53"/>
    <w:rsid w:val="005604A6"/>
    <w:rsid w:val="00560C70"/>
    <w:rsid w:val="00561339"/>
    <w:rsid w:val="00562AEB"/>
    <w:rsid w:val="00566BF7"/>
    <w:rsid w:val="0056707A"/>
    <w:rsid w:val="0057462A"/>
    <w:rsid w:val="00576977"/>
    <w:rsid w:val="00576BB8"/>
    <w:rsid w:val="00577033"/>
    <w:rsid w:val="00581224"/>
    <w:rsid w:val="005822A8"/>
    <w:rsid w:val="005859B6"/>
    <w:rsid w:val="005874C3"/>
    <w:rsid w:val="00587FC1"/>
    <w:rsid w:val="0059183D"/>
    <w:rsid w:val="005933D0"/>
    <w:rsid w:val="00596D13"/>
    <w:rsid w:val="005975C1"/>
    <w:rsid w:val="005A2BA6"/>
    <w:rsid w:val="005A37A2"/>
    <w:rsid w:val="005A4810"/>
    <w:rsid w:val="005A4C40"/>
    <w:rsid w:val="005A6A22"/>
    <w:rsid w:val="005B22E9"/>
    <w:rsid w:val="005B24D8"/>
    <w:rsid w:val="005B2736"/>
    <w:rsid w:val="005B51BC"/>
    <w:rsid w:val="005B5E1B"/>
    <w:rsid w:val="005C127C"/>
    <w:rsid w:val="005C235F"/>
    <w:rsid w:val="005C2516"/>
    <w:rsid w:val="005C3C45"/>
    <w:rsid w:val="005C7101"/>
    <w:rsid w:val="005D06D8"/>
    <w:rsid w:val="005D1CB0"/>
    <w:rsid w:val="005D1D70"/>
    <w:rsid w:val="005D3432"/>
    <w:rsid w:val="005D642A"/>
    <w:rsid w:val="005D6881"/>
    <w:rsid w:val="005E0A41"/>
    <w:rsid w:val="005E2987"/>
    <w:rsid w:val="005E38A2"/>
    <w:rsid w:val="005E3C80"/>
    <w:rsid w:val="005E5EE6"/>
    <w:rsid w:val="005F0B95"/>
    <w:rsid w:val="005F1895"/>
    <w:rsid w:val="005F398E"/>
    <w:rsid w:val="005F458E"/>
    <w:rsid w:val="005F4772"/>
    <w:rsid w:val="005F4F7F"/>
    <w:rsid w:val="005F77E5"/>
    <w:rsid w:val="005F7B19"/>
    <w:rsid w:val="00600893"/>
    <w:rsid w:val="00601018"/>
    <w:rsid w:val="00606D44"/>
    <w:rsid w:val="00607705"/>
    <w:rsid w:val="0061070C"/>
    <w:rsid w:val="006166FD"/>
    <w:rsid w:val="006169F7"/>
    <w:rsid w:val="00616E0C"/>
    <w:rsid w:val="00617FC3"/>
    <w:rsid w:val="00623454"/>
    <w:rsid w:val="0062384A"/>
    <w:rsid w:val="00623EEC"/>
    <w:rsid w:val="0062502C"/>
    <w:rsid w:val="006271E0"/>
    <w:rsid w:val="00630B1B"/>
    <w:rsid w:val="00630FC4"/>
    <w:rsid w:val="00631F43"/>
    <w:rsid w:val="00633638"/>
    <w:rsid w:val="00634AF8"/>
    <w:rsid w:val="00634D81"/>
    <w:rsid w:val="00636CDF"/>
    <w:rsid w:val="0063741A"/>
    <w:rsid w:val="00642784"/>
    <w:rsid w:val="0064288F"/>
    <w:rsid w:val="00642AB3"/>
    <w:rsid w:val="00644F5F"/>
    <w:rsid w:val="00646DF9"/>
    <w:rsid w:val="006476FF"/>
    <w:rsid w:val="006519C5"/>
    <w:rsid w:val="00653052"/>
    <w:rsid w:val="00657FB4"/>
    <w:rsid w:val="00660D53"/>
    <w:rsid w:val="00660EF2"/>
    <w:rsid w:val="00662A3F"/>
    <w:rsid w:val="00664A63"/>
    <w:rsid w:val="00664ABF"/>
    <w:rsid w:val="00665DBE"/>
    <w:rsid w:val="00667F39"/>
    <w:rsid w:val="006700AE"/>
    <w:rsid w:val="00670998"/>
    <w:rsid w:val="0067221C"/>
    <w:rsid w:val="006750CB"/>
    <w:rsid w:val="006753D4"/>
    <w:rsid w:val="006761F2"/>
    <w:rsid w:val="00677BA3"/>
    <w:rsid w:val="006811AF"/>
    <w:rsid w:val="00682E9A"/>
    <w:rsid w:val="0068314B"/>
    <w:rsid w:val="00683888"/>
    <w:rsid w:val="00684572"/>
    <w:rsid w:val="006847DA"/>
    <w:rsid w:val="0069119B"/>
    <w:rsid w:val="006915D6"/>
    <w:rsid w:val="0069391C"/>
    <w:rsid w:val="006954A9"/>
    <w:rsid w:val="00695574"/>
    <w:rsid w:val="006969BB"/>
    <w:rsid w:val="006A073C"/>
    <w:rsid w:val="006A32F1"/>
    <w:rsid w:val="006A3B01"/>
    <w:rsid w:val="006A3B75"/>
    <w:rsid w:val="006A5877"/>
    <w:rsid w:val="006A635C"/>
    <w:rsid w:val="006A6EC5"/>
    <w:rsid w:val="006B0942"/>
    <w:rsid w:val="006B18F8"/>
    <w:rsid w:val="006B250E"/>
    <w:rsid w:val="006B4DD1"/>
    <w:rsid w:val="006B5FC7"/>
    <w:rsid w:val="006B73FE"/>
    <w:rsid w:val="006C34B9"/>
    <w:rsid w:val="006C6FB7"/>
    <w:rsid w:val="006D0D27"/>
    <w:rsid w:val="006D0F0B"/>
    <w:rsid w:val="006D461A"/>
    <w:rsid w:val="006E167D"/>
    <w:rsid w:val="006E2049"/>
    <w:rsid w:val="006E2FA1"/>
    <w:rsid w:val="006E310E"/>
    <w:rsid w:val="006E31F3"/>
    <w:rsid w:val="006E4115"/>
    <w:rsid w:val="006E47EB"/>
    <w:rsid w:val="006E59F5"/>
    <w:rsid w:val="006E678E"/>
    <w:rsid w:val="006E6C07"/>
    <w:rsid w:val="006F034C"/>
    <w:rsid w:val="006F03C2"/>
    <w:rsid w:val="006F0A32"/>
    <w:rsid w:val="006F134B"/>
    <w:rsid w:val="006F2B6E"/>
    <w:rsid w:val="006F34D8"/>
    <w:rsid w:val="006F4377"/>
    <w:rsid w:val="007011C9"/>
    <w:rsid w:val="007014A1"/>
    <w:rsid w:val="0070254F"/>
    <w:rsid w:val="00702DD9"/>
    <w:rsid w:val="00703343"/>
    <w:rsid w:val="007034F5"/>
    <w:rsid w:val="00703DF3"/>
    <w:rsid w:val="00704DFF"/>
    <w:rsid w:val="007055DA"/>
    <w:rsid w:val="00707029"/>
    <w:rsid w:val="00710B6E"/>
    <w:rsid w:val="007116D1"/>
    <w:rsid w:val="007124AC"/>
    <w:rsid w:val="007124C9"/>
    <w:rsid w:val="00713264"/>
    <w:rsid w:val="007166FA"/>
    <w:rsid w:val="007167EC"/>
    <w:rsid w:val="0071741D"/>
    <w:rsid w:val="00721A6F"/>
    <w:rsid w:val="00722252"/>
    <w:rsid w:val="00724112"/>
    <w:rsid w:val="00730AB1"/>
    <w:rsid w:val="00730BE6"/>
    <w:rsid w:val="00731234"/>
    <w:rsid w:val="007359E9"/>
    <w:rsid w:val="00736F1C"/>
    <w:rsid w:val="0074131E"/>
    <w:rsid w:val="007413F9"/>
    <w:rsid w:val="00742A0F"/>
    <w:rsid w:val="007438A0"/>
    <w:rsid w:val="00744A01"/>
    <w:rsid w:val="00744D97"/>
    <w:rsid w:val="00745B62"/>
    <w:rsid w:val="00747E7A"/>
    <w:rsid w:val="007501C1"/>
    <w:rsid w:val="00751AFC"/>
    <w:rsid w:val="0075481C"/>
    <w:rsid w:val="00756824"/>
    <w:rsid w:val="007615BF"/>
    <w:rsid w:val="00763A0D"/>
    <w:rsid w:val="00764816"/>
    <w:rsid w:val="007660F4"/>
    <w:rsid w:val="007669A2"/>
    <w:rsid w:val="0076763E"/>
    <w:rsid w:val="00767A8E"/>
    <w:rsid w:val="00771542"/>
    <w:rsid w:val="00773ABB"/>
    <w:rsid w:val="00776DCE"/>
    <w:rsid w:val="00782A4E"/>
    <w:rsid w:val="0078447E"/>
    <w:rsid w:val="0078458F"/>
    <w:rsid w:val="00785C6B"/>
    <w:rsid w:val="007877F9"/>
    <w:rsid w:val="00787B42"/>
    <w:rsid w:val="007904C0"/>
    <w:rsid w:val="0079099F"/>
    <w:rsid w:val="00794606"/>
    <w:rsid w:val="00794789"/>
    <w:rsid w:val="007971F2"/>
    <w:rsid w:val="007A1AD2"/>
    <w:rsid w:val="007A3648"/>
    <w:rsid w:val="007A4A54"/>
    <w:rsid w:val="007A7520"/>
    <w:rsid w:val="007A7890"/>
    <w:rsid w:val="007A7E26"/>
    <w:rsid w:val="007B54CF"/>
    <w:rsid w:val="007B6551"/>
    <w:rsid w:val="007B66EC"/>
    <w:rsid w:val="007B68E0"/>
    <w:rsid w:val="007B7CA3"/>
    <w:rsid w:val="007B7FAB"/>
    <w:rsid w:val="007C226F"/>
    <w:rsid w:val="007C28D3"/>
    <w:rsid w:val="007C3CD2"/>
    <w:rsid w:val="007C4E93"/>
    <w:rsid w:val="007C5AFC"/>
    <w:rsid w:val="007C5D8D"/>
    <w:rsid w:val="007C600E"/>
    <w:rsid w:val="007C613D"/>
    <w:rsid w:val="007C79F5"/>
    <w:rsid w:val="007C7DCA"/>
    <w:rsid w:val="007D08D4"/>
    <w:rsid w:val="007D0F95"/>
    <w:rsid w:val="007D12E5"/>
    <w:rsid w:val="007D1616"/>
    <w:rsid w:val="007D37E7"/>
    <w:rsid w:val="007D3C41"/>
    <w:rsid w:val="007D446C"/>
    <w:rsid w:val="007D4DDC"/>
    <w:rsid w:val="007E0706"/>
    <w:rsid w:val="007E1CDD"/>
    <w:rsid w:val="007E2DF6"/>
    <w:rsid w:val="007F6EBE"/>
    <w:rsid w:val="00800086"/>
    <w:rsid w:val="008002BE"/>
    <w:rsid w:val="008008EE"/>
    <w:rsid w:val="00800D38"/>
    <w:rsid w:val="0080135A"/>
    <w:rsid w:val="008013E5"/>
    <w:rsid w:val="008027BB"/>
    <w:rsid w:val="00803639"/>
    <w:rsid w:val="008038FA"/>
    <w:rsid w:val="0080431F"/>
    <w:rsid w:val="00804B1E"/>
    <w:rsid w:val="00807C34"/>
    <w:rsid w:val="00811BD0"/>
    <w:rsid w:val="00813DFD"/>
    <w:rsid w:val="00815E1E"/>
    <w:rsid w:val="0081601E"/>
    <w:rsid w:val="00820EFC"/>
    <w:rsid w:val="0082119E"/>
    <w:rsid w:val="008217D3"/>
    <w:rsid w:val="00822925"/>
    <w:rsid w:val="00824C72"/>
    <w:rsid w:val="008263FB"/>
    <w:rsid w:val="0082743F"/>
    <w:rsid w:val="008276E9"/>
    <w:rsid w:val="00830C3E"/>
    <w:rsid w:val="00832076"/>
    <w:rsid w:val="008320AB"/>
    <w:rsid w:val="0083669C"/>
    <w:rsid w:val="0083684E"/>
    <w:rsid w:val="00840BB5"/>
    <w:rsid w:val="00841502"/>
    <w:rsid w:val="00841F2D"/>
    <w:rsid w:val="0084252B"/>
    <w:rsid w:val="008454FA"/>
    <w:rsid w:val="0084588D"/>
    <w:rsid w:val="00846D19"/>
    <w:rsid w:val="00846DA5"/>
    <w:rsid w:val="008470C5"/>
    <w:rsid w:val="00847121"/>
    <w:rsid w:val="0085034A"/>
    <w:rsid w:val="00852726"/>
    <w:rsid w:val="00855D8D"/>
    <w:rsid w:val="00861625"/>
    <w:rsid w:val="0086269F"/>
    <w:rsid w:val="00866457"/>
    <w:rsid w:val="0086713F"/>
    <w:rsid w:val="008711E0"/>
    <w:rsid w:val="008715CB"/>
    <w:rsid w:val="00871801"/>
    <w:rsid w:val="008729E8"/>
    <w:rsid w:val="00874A4C"/>
    <w:rsid w:val="0087766D"/>
    <w:rsid w:val="00880B8A"/>
    <w:rsid w:val="0088117C"/>
    <w:rsid w:val="0088293E"/>
    <w:rsid w:val="00883EFE"/>
    <w:rsid w:val="00887214"/>
    <w:rsid w:val="00893CAA"/>
    <w:rsid w:val="00893EE2"/>
    <w:rsid w:val="00895976"/>
    <w:rsid w:val="00895CEE"/>
    <w:rsid w:val="008A1AD4"/>
    <w:rsid w:val="008A226C"/>
    <w:rsid w:val="008A2716"/>
    <w:rsid w:val="008A39F8"/>
    <w:rsid w:val="008A3FDC"/>
    <w:rsid w:val="008A42A5"/>
    <w:rsid w:val="008B0268"/>
    <w:rsid w:val="008B2C89"/>
    <w:rsid w:val="008B4F14"/>
    <w:rsid w:val="008C03C6"/>
    <w:rsid w:val="008C3B68"/>
    <w:rsid w:val="008C4720"/>
    <w:rsid w:val="008C5EE1"/>
    <w:rsid w:val="008C7BB3"/>
    <w:rsid w:val="008C7C7B"/>
    <w:rsid w:val="008D0D8D"/>
    <w:rsid w:val="008D2295"/>
    <w:rsid w:val="008D7F3D"/>
    <w:rsid w:val="008E0866"/>
    <w:rsid w:val="008E30FF"/>
    <w:rsid w:val="008E3F1A"/>
    <w:rsid w:val="008E5A2B"/>
    <w:rsid w:val="008E5E08"/>
    <w:rsid w:val="008E6AF3"/>
    <w:rsid w:val="008E7770"/>
    <w:rsid w:val="008F189F"/>
    <w:rsid w:val="008F2803"/>
    <w:rsid w:val="008F3EDD"/>
    <w:rsid w:val="008F4536"/>
    <w:rsid w:val="008F5162"/>
    <w:rsid w:val="008F68A6"/>
    <w:rsid w:val="008F6CCA"/>
    <w:rsid w:val="00901FEE"/>
    <w:rsid w:val="009027BE"/>
    <w:rsid w:val="009029E2"/>
    <w:rsid w:val="009104A9"/>
    <w:rsid w:val="00911295"/>
    <w:rsid w:val="00912E61"/>
    <w:rsid w:val="009167BC"/>
    <w:rsid w:val="00921F20"/>
    <w:rsid w:val="009254AF"/>
    <w:rsid w:val="0092592C"/>
    <w:rsid w:val="009278A7"/>
    <w:rsid w:val="00930273"/>
    <w:rsid w:val="00931C8F"/>
    <w:rsid w:val="009323C1"/>
    <w:rsid w:val="00934152"/>
    <w:rsid w:val="00936D11"/>
    <w:rsid w:val="00937995"/>
    <w:rsid w:val="009438A3"/>
    <w:rsid w:val="009440DB"/>
    <w:rsid w:val="0094443C"/>
    <w:rsid w:val="00945023"/>
    <w:rsid w:val="009461E9"/>
    <w:rsid w:val="00951BFC"/>
    <w:rsid w:val="00954322"/>
    <w:rsid w:val="0095546B"/>
    <w:rsid w:val="00956176"/>
    <w:rsid w:val="00956DE9"/>
    <w:rsid w:val="00956F13"/>
    <w:rsid w:val="0095734B"/>
    <w:rsid w:val="00963B37"/>
    <w:rsid w:val="00973C4E"/>
    <w:rsid w:val="00975743"/>
    <w:rsid w:val="009768BC"/>
    <w:rsid w:val="00980D11"/>
    <w:rsid w:val="00983CC3"/>
    <w:rsid w:val="00983D75"/>
    <w:rsid w:val="00991712"/>
    <w:rsid w:val="009937C6"/>
    <w:rsid w:val="009942D4"/>
    <w:rsid w:val="00994372"/>
    <w:rsid w:val="00995079"/>
    <w:rsid w:val="00995AB0"/>
    <w:rsid w:val="00995ED1"/>
    <w:rsid w:val="00996101"/>
    <w:rsid w:val="009967E4"/>
    <w:rsid w:val="00996A91"/>
    <w:rsid w:val="0099776B"/>
    <w:rsid w:val="009A1A13"/>
    <w:rsid w:val="009A1E11"/>
    <w:rsid w:val="009A364C"/>
    <w:rsid w:val="009A3EA8"/>
    <w:rsid w:val="009A76E0"/>
    <w:rsid w:val="009B0024"/>
    <w:rsid w:val="009B1476"/>
    <w:rsid w:val="009B55B1"/>
    <w:rsid w:val="009B5FBD"/>
    <w:rsid w:val="009B769E"/>
    <w:rsid w:val="009C058B"/>
    <w:rsid w:val="009C0DBC"/>
    <w:rsid w:val="009C122B"/>
    <w:rsid w:val="009C23E8"/>
    <w:rsid w:val="009C5095"/>
    <w:rsid w:val="009C7988"/>
    <w:rsid w:val="009C7A24"/>
    <w:rsid w:val="009C7E4C"/>
    <w:rsid w:val="009D111C"/>
    <w:rsid w:val="009D5591"/>
    <w:rsid w:val="009D590B"/>
    <w:rsid w:val="009D7156"/>
    <w:rsid w:val="009E0135"/>
    <w:rsid w:val="009E1584"/>
    <w:rsid w:val="009E1CBC"/>
    <w:rsid w:val="009E28C6"/>
    <w:rsid w:val="009E4DD2"/>
    <w:rsid w:val="009E5493"/>
    <w:rsid w:val="009E674C"/>
    <w:rsid w:val="009F007D"/>
    <w:rsid w:val="009F1F8F"/>
    <w:rsid w:val="009F5D46"/>
    <w:rsid w:val="009F6733"/>
    <w:rsid w:val="009F6F2D"/>
    <w:rsid w:val="00A0037D"/>
    <w:rsid w:val="00A00FD5"/>
    <w:rsid w:val="00A040B9"/>
    <w:rsid w:val="00A051A7"/>
    <w:rsid w:val="00A0634B"/>
    <w:rsid w:val="00A079CF"/>
    <w:rsid w:val="00A12C38"/>
    <w:rsid w:val="00A12FC1"/>
    <w:rsid w:val="00A14E4C"/>
    <w:rsid w:val="00A163A8"/>
    <w:rsid w:val="00A171A8"/>
    <w:rsid w:val="00A17468"/>
    <w:rsid w:val="00A21944"/>
    <w:rsid w:val="00A21EEB"/>
    <w:rsid w:val="00A25EC9"/>
    <w:rsid w:val="00A306CF"/>
    <w:rsid w:val="00A30781"/>
    <w:rsid w:val="00A3082A"/>
    <w:rsid w:val="00A30B1E"/>
    <w:rsid w:val="00A30B44"/>
    <w:rsid w:val="00A3149D"/>
    <w:rsid w:val="00A31631"/>
    <w:rsid w:val="00A32966"/>
    <w:rsid w:val="00A33BA4"/>
    <w:rsid w:val="00A40E77"/>
    <w:rsid w:val="00A410B4"/>
    <w:rsid w:val="00A4359F"/>
    <w:rsid w:val="00A4390B"/>
    <w:rsid w:val="00A44EAD"/>
    <w:rsid w:val="00A454EB"/>
    <w:rsid w:val="00A51BBD"/>
    <w:rsid w:val="00A5499E"/>
    <w:rsid w:val="00A54EC9"/>
    <w:rsid w:val="00A5576B"/>
    <w:rsid w:val="00A55EB3"/>
    <w:rsid w:val="00A55ED2"/>
    <w:rsid w:val="00A57268"/>
    <w:rsid w:val="00A5765B"/>
    <w:rsid w:val="00A60342"/>
    <w:rsid w:val="00A60960"/>
    <w:rsid w:val="00A61E4D"/>
    <w:rsid w:val="00A62E4A"/>
    <w:rsid w:val="00A640F7"/>
    <w:rsid w:val="00A64857"/>
    <w:rsid w:val="00A655C1"/>
    <w:rsid w:val="00A6671D"/>
    <w:rsid w:val="00A70872"/>
    <w:rsid w:val="00A71361"/>
    <w:rsid w:val="00A7160B"/>
    <w:rsid w:val="00A726FF"/>
    <w:rsid w:val="00A736C1"/>
    <w:rsid w:val="00A741C3"/>
    <w:rsid w:val="00A7553D"/>
    <w:rsid w:val="00A76FE1"/>
    <w:rsid w:val="00A8099F"/>
    <w:rsid w:val="00A815D2"/>
    <w:rsid w:val="00A83CF2"/>
    <w:rsid w:val="00A83FD1"/>
    <w:rsid w:val="00A87F38"/>
    <w:rsid w:val="00A9000F"/>
    <w:rsid w:val="00A9024E"/>
    <w:rsid w:val="00A9045D"/>
    <w:rsid w:val="00A928CB"/>
    <w:rsid w:val="00A93975"/>
    <w:rsid w:val="00A94BAF"/>
    <w:rsid w:val="00A961D6"/>
    <w:rsid w:val="00A972B6"/>
    <w:rsid w:val="00A97D65"/>
    <w:rsid w:val="00AA4C35"/>
    <w:rsid w:val="00AA5391"/>
    <w:rsid w:val="00AA7BD2"/>
    <w:rsid w:val="00AB0018"/>
    <w:rsid w:val="00AB1319"/>
    <w:rsid w:val="00AB1496"/>
    <w:rsid w:val="00AB2E25"/>
    <w:rsid w:val="00AB49AD"/>
    <w:rsid w:val="00AC0AB6"/>
    <w:rsid w:val="00AC3BD2"/>
    <w:rsid w:val="00AC403D"/>
    <w:rsid w:val="00AC4C2C"/>
    <w:rsid w:val="00AC5B64"/>
    <w:rsid w:val="00AC649B"/>
    <w:rsid w:val="00AC6D45"/>
    <w:rsid w:val="00AC71AC"/>
    <w:rsid w:val="00AD1638"/>
    <w:rsid w:val="00AD3CCB"/>
    <w:rsid w:val="00AD50BB"/>
    <w:rsid w:val="00AE2487"/>
    <w:rsid w:val="00AE545F"/>
    <w:rsid w:val="00AE5868"/>
    <w:rsid w:val="00AE688D"/>
    <w:rsid w:val="00AE6A6F"/>
    <w:rsid w:val="00AE72E6"/>
    <w:rsid w:val="00AE7E44"/>
    <w:rsid w:val="00AF03AF"/>
    <w:rsid w:val="00AF5186"/>
    <w:rsid w:val="00AF51FC"/>
    <w:rsid w:val="00AF6F9A"/>
    <w:rsid w:val="00B0065A"/>
    <w:rsid w:val="00B014ED"/>
    <w:rsid w:val="00B023F6"/>
    <w:rsid w:val="00B065FF"/>
    <w:rsid w:val="00B175C8"/>
    <w:rsid w:val="00B2077A"/>
    <w:rsid w:val="00B219E8"/>
    <w:rsid w:val="00B21A5E"/>
    <w:rsid w:val="00B2227D"/>
    <w:rsid w:val="00B23B8C"/>
    <w:rsid w:val="00B31102"/>
    <w:rsid w:val="00B32C4B"/>
    <w:rsid w:val="00B331AB"/>
    <w:rsid w:val="00B33C2A"/>
    <w:rsid w:val="00B37530"/>
    <w:rsid w:val="00B40BA4"/>
    <w:rsid w:val="00B42D77"/>
    <w:rsid w:val="00B43C9F"/>
    <w:rsid w:val="00B43DC9"/>
    <w:rsid w:val="00B46E14"/>
    <w:rsid w:val="00B51193"/>
    <w:rsid w:val="00B52284"/>
    <w:rsid w:val="00B52532"/>
    <w:rsid w:val="00B56F48"/>
    <w:rsid w:val="00B62F2D"/>
    <w:rsid w:val="00B63CB2"/>
    <w:rsid w:val="00B67B36"/>
    <w:rsid w:val="00B72C88"/>
    <w:rsid w:val="00B72DF7"/>
    <w:rsid w:val="00B73F6F"/>
    <w:rsid w:val="00B76CFE"/>
    <w:rsid w:val="00B810C8"/>
    <w:rsid w:val="00B816D7"/>
    <w:rsid w:val="00B81C7C"/>
    <w:rsid w:val="00B81DBE"/>
    <w:rsid w:val="00B86BF1"/>
    <w:rsid w:val="00B871CC"/>
    <w:rsid w:val="00B87C02"/>
    <w:rsid w:val="00B91F34"/>
    <w:rsid w:val="00B94676"/>
    <w:rsid w:val="00B954F3"/>
    <w:rsid w:val="00B972EA"/>
    <w:rsid w:val="00B97564"/>
    <w:rsid w:val="00BA26F5"/>
    <w:rsid w:val="00BA3584"/>
    <w:rsid w:val="00BA564C"/>
    <w:rsid w:val="00BA77A9"/>
    <w:rsid w:val="00BA7AC6"/>
    <w:rsid w:val="00BA7D65"/>
    <w:rsid w:val="00BB06C4"/>
    <w:rsid w:val="00BB06FB"/>
    <w:rsid w:val="00BB0BC5"/>
    <w:rsid w:val="00BB1521"/>
    <w:rsid w:val="00BB1B42"/>
    <w:rsid w:val="00BB2CB7"/>
    <w:rsid w:val="00BB3314"/>
    <w:rsid w:val="00BB5FFA"/>
    <w:rsid w:val="00BB6148"/>
    <w:rsid w:val="00BC42D6"/>
    <w:rsid w:val="00BC5CD0"/>
    <w:rsid w:val="00BD0B5D"/>
    <w:rsid w:val="00BD0D8E"/>
    <w:rsid w:val="00BD175E"/>
    <w:rsid w:val="00BD2376"/>
    <w:rsid w:val="00BD3675"/>
    <w:rsid w:val="00BD4FDD"/>
    <w:rsid w:val="00BD7EF9"/>
    <w:rsid w:val="00BE15C0"/>
    <w:rsid w:val="00BE208B"/>
    <w:rsid w:val="00BE391F"/>
    <w:rsid w:val="00BE55DD"/>
    <w:rsid w:val="00BE6BB6"/>
    <w:rsid w:val="00BE72FD"/>
    <w:rsid w:val="00BE7A2C"/>
    <w:rsid w:val="00BF0739"/>
    <w:rsid w:val="00BF0C0E"/>
    <w:rsid w:val="00BF2E86"/>
    <w:rsid w:val="00BF31F0"/>
    <w:rsid w:val="00BF7F7D"/>
    <w:rsid w:val="00C00CD9"/>
    <w:rsid w:val="00C015FD"/>
    <w:rsid w:val="00C018A7"/>
    <w:rsid w:val="00C0402E"/>
    <w:rsid w:val="00C04DA9"/>
    <w:rsid w:val="00C0501E"/>
    <w:rsid w:val="00C05058"/>
    <w:rsid w:val="00C05DBA"/>
    <w:rsid w:val="00C05FA0"/>
    <w:rsid w:val="00C07DC8"/>
    <w:rsid w:val="00C11BB3"/>
    <w:rsid w:val="00C1286B"/>
    <w:rsid w:val="00C13051"/>
    <w:rsid w:val="00C13E6E"/>
    <w:rsid w:val="00C14450"/>
    <w:rsid w:val="00C14BF4"/>
    <w:rsid w:val="00C14BF6"/>
    <w:rsid w:val="00C155E7"/>
    <w:rsid w:val="00C1678E"/>
    <w:rsid w:val="00C173F2"/>
    <w:rsid w:val="00C202B1"/>
    <w:rsid w:val="00C221B8"/>
    <w:rsid w:val="00C22CB8"/>
    <w:rsid w:val="00C267A7"/>
    <w:rsid w:val="00C26EF8"/>
    <w:rsid w:val="00C33525"/>
    <w:rsid w:val="00C34C29"/>
    <w:rsid w:val="00C3501C"/>
    <w:rsid w:val="00C353DD"/>
    <w:rsid w:val="00C37906"/>
    <w:rsid w:val="00C432F5"/>
    <w:rsid w:val="00C44D1A"/>
    <w:rsid w:val="00C541C0"/>
    <w:rsid w:val="00C57700"/>
    <w:rsid w:val="00C60532"/>
    <w:rsid w:val="00C61568"/>
    <w:rsid w:val="00C62199"/>
    <w:rsid w:val="00C635D5"/>
    <w:rsid w:val="00C638A2"/>
    <w:rsid w:val="00C65D6E"/>
    <w:rsid w:val="00C661B2"/>
    <w:rsid w:val="00C75E35"/>
    <w:rsid w:val="00C7620A"/>
    <w:rsid w:val="00C81A53"/>
    <w:rsid w:val="00C84E82"/>
    <w:rsid w:val="00C8515C"/>
    <w:rsid w:val="00C85C85"/>
    <w:rsid w:val="00C864CB"/>
    <w:rsid w:val="00C875EF"/>
    <w:rsid w:val="00C91A71"/>
    <w:rsid w:val="00C92137"/>
    <w:rsid w:val="00C92782"/>
    <w:rsid w:val="00C928EE"/>
    <w:rsid w:val="00C938B2"/>
    <w:rsid w:val="00C938B6"/>
    <w:rsid w:val="00C94D2C"/>
    <w:rsid w:val="00C94EC6"/>
    <w:rsid w:val="00C96ED3"/>
    <w:rsid w:val="00C972EA"/>
    <w:rsid w:val="00CA08DF"/>
    <w:rsid w:val="00CA17A7"/>
    <w:rsid w:val="00CA2213"/>
    <w:rsid w:val="00CA2860"/>
    <w:rsid w:val="00CA32AF"/>
    <w:rsid w:val="00CA3F3A"/>
    <w:rsid w:val="00CA3F85"/>
    <w:rsid w:val="00CA4863"/>
    <w:rsid w:val="00CA59BA"/>
    <w:rsid w:val="00CA66E2"/>
    <w:rsid w:val="00CA6729"/>
    <w:rsid w:val="00CB0CE6"/>
    <w:rsid w:val="00CB3236"/>
    <w:rsid w:val="00CB37E3"/>
    <w:rsid w:val="00CB3DEF"/>
    <w:rsid w:val="00CB48CE"/>
    <w:rsid w:val="00CB4A4D"/>
    <w:rsid w:val="00CB68BD"/>
    <w:rsid w:val="00CB7F24"/>
    <w:rsid w:val="00CC5B9E"/>
    <w:rsid w:val="00CC5C81"/>
    <w:rsid w:val="00CC75C7"/>
    <w:rsid w:val="00CD0190"/>
    <w:rsid w:val="00CD0C07"/>
    <w:rsid w:val="00CD3DE6"/>
    <w:rsid w:val="00CE21AD"/>
    <w:rsid w:val="00CE377D"/>
    <w:rsid w:val="00CE4516"/>
    <w:rsid w:val="00CE4700"/>
    <w:rsid w:val="00CE49F1"/>
    <w:rsid w:val="00CE60A7"/>
    <w:rsid w:val="00CF1A6A"/>
    <w:rsid w:val="00CF23A4"/>
    <w:rsid w:val="00CF3860"/>
    <w:rsid w:val="00CF582F"/>
    <w:rsid w:val="00CF7D58"/>
    <w:rsid w:val="00D00C52"/>
    <w:rsid w:val="00D015B3"/>
    <w:rsid w:val="00D02E9A"/>
    <w:rsid w:val="00D03A8E"/>
    <w:rsid w:val="00D04DB6"/>
    <w:rsid w:val="00D06266"/>
    <w:rsid w:val="00D10E0F"/>
    <w:rsid w:val="00D10F89"/>
    <w:rsid w:val="00D12C14"/>
    <w:rsid w:val="00D138F7"/>
    <w:rsid w:val="00D13D2F"/>
    <w:rsid w:val="00D1545F"/>
    <w:rsid w:val="00D17F04"/>
    <w:rsid w:val="00D20164"/>
    <w:rsid w:val="00D22CE0"/>
    <w:rsid w:val="00D23744"/>
    <w:rsid w:val="00D259CC"/>
    <w:rsid w:val="00D309C8"/>
    <w:rsid w:val="00D30B8E"/>
    <w:rsid w:val="00D32297"/>
    <w:rsid w:val="00D35786"/>
    <w:rsid w:val="00D35CB0"/>
    <w:rsid w:val="00D37EE5"/>
    <w:rsid w:val="00D41227"/>
    <w:rsid w:val="00D418A6"/>
    <w:rsid w:val="00D42435"/>
    <w:rsid w:val="00D42C70"/>
    <w:rsid w:val="00D43188"/>
    <w:rsid w:val="00D446A0"/>
    <w:rsid w:val="00D47B54"/>
    <w:rsid w:val="00D47E08"/>
    <w:rsid w:val="00D50A9F"/>
    <w:rsid w:val="00D51068"/>
    <w:rsid w:val="00D5114F"/>
    <w:rsid w:val="00D53C82"/>
    <w:rsid w:val="00D55F18"/>
    <w:rsid w:val="00D55F39"/>
    <w:rsid w:val="00D56314"/>
    <w:rsid w:val="00D578DE"/>
    <w:rsid w:val="00D606B2"/>
    <w:rsid w:val="00D627E4"/>
    <w:rsid w:val="00D63C16"/>
    <w:rsid w:val="00D63C4A"/>
    <w:rsid w:val="00D64AB2"/>
    <w:rsid w:val="00D64E5F"/>
    <w:rsid w:val="00D6556B"/>
    <w:rsid w:val="00D71BEB"/>
    <w:rsid w:val="00D71C80"/>
    <w:rsid w:val="00D71F87"/>
    <w:rsid w:val="00D71FF6"/>
    <w:rsid w:val="00D72444"/>
    <w:rsid w:val="00D73572"/>
    <w:rsid w:val="00D76073"/>
    <w:rsid w:val="00D76E83"/>
    <w:rsid w:val="00D777A8"/>
    <w:rsid w:val="00D80E0D"/>
    <w:rsid w:val="00D821A6"/>
    <w:rsid w:val="00D82908"/>
    <w:rsid w:val="00D863D3"/>
    <w:rsid w:val="00D871FF"/>
    <w:rsid w:val="00D927CB"/>
    <w:rsid w:val="00D93E7B"/>
    <w:rsid w:val="00D940B4"/>
    <w:rsid w:val="00D95C44"/>
    <w:rsid w:val="00DA004F"/>
    <w:rsid w:val="00DA00D5"/>
    <w:rsid w:val="00DA08D2"/>
    <w:rsid w:val="00DA2005"/>
    <w:rsid w:val="00DA391F"/>
    <w:rsid w:val="00DA44BB"/>
    <w:rsid w:val="00DB4BBC"/>
    <w:rsid w:val="00DB7F4B"/>
    <w:rsid w:val="00DC2EEE"/>
    <w:rsid w:val="00DC4CCD"/>
    <w:rsid w:val="00DC7385"/>
    <w:rsid w:val="00DD0518"/>
    <w:rsid w:val="00DD1AD4"/>
    <w:rsid w:val="00DD3FF3"/>
    <w:rsid w:val="00DE18AF"/>
    <w:rsid w:val="00DE32E5"/>
    <w:rsid w:val="00DE3451"/>
    <w:rsid w:val="00DE499A"/>
    <w:rsid w:val="00DE4DB5"/>
    <w:rsid w:val="00DE5162"/>
    <w:rsid w:val="00DE6703"/>
    <w:rsid w:val="00DF07CB"/>
    <w:rsid w:val="00DF161C"/>
    <w:rsid w:val="00DF1DD1"/>
    <w:rsid w:val="00DF1FED"/>
    <w:rsid w:val="00DF1FF0"/>
    <w:rsid w:val="00DF21E6"/>
    <w:rsid w:val="00DF57F7"/>
    <w:rsid w:val="00DF5989"/>
    <w:rsid w:val="00DF5E0C"/>
    <w:rsid w:val="00E01F6A"/>
    <w:rsid w:val="00E037F4"/>
    <w:rsid w:val="00E03E1C"/>
    <w:rsid w:val="00E04322"/>
    <w:rsid w:val="00E05609"/>
    <w:rsid w:val="00E059B4"/>
    <w:rsid w:val="00E05AB9"/>
    <w:rsid w:val="00E06B48"/>
    <w:rsid w:val="00E10797"/>
    <w:rsid w:val="00E13B60"/>
    <w:rsid w:val="00E13D43"/>
    <w:rsid w:val="00E13F06"/>
    <w:rsid w:val="00E16AED"/>
    <w:rsid w:val="00E177BD"/>
    <w:rsid w:val="00E17E6F"/>
    <w:rsid w:val="00E22291"/>
    <w:rsid w:val="00E22B50"/>
    <w:rsid w:val="00E2562C"/>
    <w:rsid w:val="00E26B1C"/>
    <w:rsid w:val="00E319CA"/>
    <w:rsid w:val="00E34D9C"/>
    <w:rsid w:val="00E361A0"/>
    <w:rsid w:val="00E36B51"/>
    <w:rsid w:val="00E37D39"/>
    <w:rsid w:val="00E40DF9"/>
    <w:rsid w:val="00E42052"/>
    <w:rsid w:val="00E44493"/>
    <w:rsid w:val="00E512AD"/>
    <w:rsid w:val="00E51466"/>
    <w:rsid w:val="00E53676"/>
    <w:rsid w:val="00E540E8"/>
    <w:rsid w:val="00E54A00"/>
    <w:rsid w:val="00E54DF4"/>
    <w:rsid w:val="00E57848"/>
    <w:rsid w:val="00E607F7"/>
    <w:rsid w:val="00E61FB9"/>
    <w:rsid w:val="00E63626"/>
    <w:rsid w:val="00E654D4"/>
    <w:rsid w:val="00E67DDB"/>
    <w:rsid w:val="00E67DEE"/>
    <w:rsid w:val="00E702A8"/>
    <w:rsid w:val="00E729E0"/>
    <w:rsid w:val="00E7516B"/>
    <w:rsid w:val="00E761FC"/>
    <w:rsid w:val="00E76C4B"/>
    <w:rsid w:val="00E82061"/>
    <w:rsid w:val="00E82332"/>
    <w:rsid w:val="00E83332"/>
    <w:rsid w:val="00E84656"/>
    <w:rsid w:val="00E857AF"/>
    <w:rsid w:val="00E876F3"/>
    <w:rsid w:val="00E87870"/>
    <w:rsid w:val="00E909FC"/>
    <w:rsid w:val="00E910E8"/>
    <w:rsid w:val="00E91CE7"/>
    <w:rsid w:val="00E940B9"/>
    <w:rsid w:val="00E95342"/>
    <w:rsid w:val="00E95777"/>
    <w:rsid w:val="00E96F83"/>
    <w:rsid w:val="00EA044F"/>
    <w:rsid w:val="00EA1D95"/>
    <w:rsid w:val="00EA241D"/>
    <w:rsid w:val="00EA273A"/>
    <w:rsid w:val="00EA2FF4"/>
    <w:rsid w:val="00EA5811"/>
    <w:rsid w:val="00EA65EA"/>
    <w:rsid w:val="00EB10F4"/>
    <w:rsid w:val="00EB14D9"/>
    <w:rsid w:val="00EB515E"/>
    <w:rsid w:val="00EB5988"/>
    <w:rsid w:val="00EB670E"/>
    <w:rsid w:val="00EB682F"/>
    <w:rsid w:val="00EB6C0B"/>
    <w:rsid w:val="00EC1665"/>
    <w:rsid w:val="00EC3A07"/>
    <w:rsid w:val="00EC3D8B"/>
    <w:rsid w:val="00EC4B22"/>
    <w:rsid w:val="00EC4D95"/>
    <w:rsid w:val="00EC57B5"/>
    <w:rsid w:val="00EC60FB"/>
    <w:rsid w:val="00EC6FEA"/>
    <w:rsid w:val="00ED1B3F"/>
    <w:rsid w:val="00ED1D0C"/>
    <w:rsid w:val="00ED40CE"/>
    <w:rsid w:val="00ED446C"/>
    <w:rsid w:val="00ED48C9"/>
    <w:rsid w:val="00ED714E"/>
    <w:rsid w:val="00ED72F8"/>
    <w:rsid w:val="00ED76D7"/>
    <w:rsid w:val="00EE10BD"/>
    <w:rsid w:val="00EE2E19"/>
    <w:rsid w:val="00EF006B"/>
    <w:rsid w:val="00EF1215"/>
    <w:rsid w:val="00EF2C92"/>
    <w:rsid w:val="00EF4883"/>
    <w:rsid w:val="00EF4FD9"/>
    <w:rsid w:val="00EF6359"/>
    <w:rsid w:val="00F00368"/>
    <w:rsid w:val="00F00CE7"/>
    <w:rsid w:val="00F01F75"/>
    <w:rsid w:val="00F02BAE"/>
    <w:rsid w:val="00F02E23"/>
    <w:rsid w:val="00F03EA4"/>
    <w:rsid w:val="00F04CBA"/>
    <w:rsid w:val="00F04E18"/>
    <w:rsid w:val="00F12381"/>
    <w:rsid w:val="00F13B79"/>
    <w:rsid w:val="00F15631"/>
    <w:rsid w:val="00F166B9"/>
    <w:rsid w:val="00F166FE"/>
    <w:rsid w:val="00F17A3B"/>
    <w:rsid w:val="00F213F5"/>
    <w:rsid w:val="00F23167"/>
    <w:rsid w:val="00F23D97"/>
    <w:rsid w:val="00F25248"/>
    <w:rsid w:val="00F2724D"/>
    <w:rsid w:val="00F310FB"/>
    <w:rsid w:val="00F323CA"/>
    <w:rsid w:val="00F323EF"/>
    <w:rsid w:val="00F33DA6"/>
    <w:rsid w:val="00F34141"/>
    <w:rsid w:val="00F36DEE"/>
    <w:rsid w:val="00F3732C"/>
    <w:rsid w:val="00F4283C"/>
    <w:rsid w:val="00F44C01"/>
    <w:rsid w:val="00F47C49"/>
    <w:rsid w:val="00F5079E"/>
    <w:rsid w:val="00F53D22"/>
    <w:rsid w:val="00F54A03"/>
    <w:rsid w:val="00F56021"/>
    <w:rsid w:val="00F61C98"/>
    <w:rsid w:val="00F61CBD"/>
    <w:rsid w:val="00F6245B"/>
    <w:rsid w:val="00F632B9"/>
    <w:rsid w:val="00F63D58"/>
    <w:rsid w:val="00F677B5"/>
    <w:rsid w:val="00F70148"/>
    <w:rsid w:val="00F70855"/>
    <w:rsid w:val="00F71402"/>
    <w:rsid w:val="00F73149"/>
    <w:rsid w:val="00F73792"/>
    <w:rsid w:val="00F75784"/>
    <w:rsid w:val="00F77259"/>
    <w:rsid w:val="00F77F05"/>
    <w:rsid w:val="00F824BD"/>
    <w:rsid w:val="00F826C4"/>
    <w:rsid w:val="00F837B0"/>
    <w:rsid w:val="00F84CF9"/>
    <w:rsid w:val="00F8552C"/>
    <w:rsid w:val="00F90BD1"/>
    <w:rsid w:val="00F91CEF"/>
    <w:rsid w:val="00F948B2"/>
    <w:rsid w:val="00F95C9C"/>
    <w:rsid w:val="00F9612B"/>
    <w:rsid w:val="00FA187C"/>
    <w:rsid w:val="00FA2F7E"/>
    <w:rsid w:val="00FA45C8"/>
    <w:rsid w:val="00FA4955"/>
    <w:rsid w:val="00FA4C6D"/>
    <w:rsid w:val="00FB0268"/>
    <w:rsid w:val="00FB2654"/>
    <w:rsid w:val="00FB5282"/>
    <w:rsid w:val="00FB53E5"/>
    <w:rsid w:val="00FB5952"/>
    <w:rsid w:val="00FB6DBF"/>
    <w:rsid w:val="00FB6E54"/>
    <w:rsid w:val="00FC0B50"/>
    <w:rsid w:val="00FC5E8F"/>
    <w:rsid w:val="00FC6D4A"/>
    <w:rsid w:val="00FC76EC"/>
    <w:rsid w:val="00FC7A34"/>
    <w:rsid w:val="00FD2285"/>
    <w:rsid w:val="00FD291A"/>
    <w:rsid w:val="00FD628A"/>
    <w:rsid w:val="00FE33C8"/>
    <w:rsid w:val="00FE40AF"/>
    <w:rsid w:val="00FE46E4"/>
    <w:rsid w:val="00FE5458"/>
    <w:rsid w:val="00FE5FD4"/>
    <w:rsid w:val="00FF1905"/>
    <w:rsid w:val="00FF354C"/>
    <w:rsid w:val="00FF48DC"/>
    <w:rsid w:val="00FF549D"/>
    <w:rsid w:val="00FF5DE8"/>
    <w:rsid w:val="00FF6A2D"/>
    <w:rsid w:val="00FF6B1B"/>
    <w:rsid w:val="00FF6D02"/>
    <w:rsid w:val="00FF748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A1FC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D97"/>
    <w:pPr>
      <w:spacing w:after="120" w:line="36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92021"/>
    <w:pPr>
      <w:keepNext/>
      <w:keepLines/>
      <w:spacing w:before="240" w:line="480" w:lineRule="auto"/>
      <w:outlineLvl w:val="0"/>
    </w:pPr>
    <w:rPr>
      <w:rFonts w:eastAsiaTheme="majorEastAsia" w:cstheme="minorHAnsi"/>
      <w:b/>
      <w:color w:val="262626" w:themeColor="text1" w:themeTint="D9"/>
      <w:sz w:val="32"/>
      <w:szCs w:val="32"/>
    </w:rPr>
  </w:style>
  <w:style w:type="paragraph" w:styleId="Heading2">
    <w:name w:val="heading 2"/>
    <w:basedOn w:val="Normal"/>
    <w:next w:val="Normal"/>
    <w:link w:val="Heading2Char"/>
    <w:uiPriority w:val="9"/>
    <w:unhideWhenUsed/>
    <w:qFormat/>
    <w:rsid w:val="00392021"/>
    <w:pPr>
      <w:keepNext/>
      <w:keepLines/>
      <w:spacing w:before="240" w:line="480" w:lineRule="auto"/>
      <w:outlineLvl w:val="1"/>
    </w:pPr>
    <w:rPr>
      <w:rFonts w:eastAsiaTheme="majorEastAsia"/>
      <w:b/>
      <w:i/>
      <w:iCs/>
      <w:color w:val="262626" w:themeColor="text1" w:themeTint="D9"/>
    </w:rPr>
  </w:style>
  <w:style w:type="paragraph" w:styleId="Heading3">
    <w:name w:val="heading 3"/>
    <w:basedOn w:val="Normal"/>
    <w:next w:val="Normal"/>
    <w:link w:val="Heading3Char"/>
    <w:uiPriority w:val="9"/>
    <w:unhideWhenUsed/>
    <w:qFormat/>
    <w:rsid w:val="00392021"/>
    <w:pPr>
      <w:keepNext/>
      <w:keepLines/>
      <w:spacing w:before="240" w:line="480" w:lineRule="auto"/>
      <w:outlineLvl w:val="2"/>
    </w:pPr>
    <w:rPr>
      <w:rFonts w:eastAsiaTheme="majorEastAsia"/>
      <w:bCs/>
      <w:i/>
      <w:iCs/>
      <w:color w:val="0D0D0D" w:themeColor="text1" w:themeTint="F2"/>
    </w:rPr>
  </w:style>
  <w:style w:type="paragraph" w:styleId="Heading4">
    <w:name w:val="heading 4"/>
    <w:basedOn w:val="Normal"/>
    <w:next w:val="Normal"/>
    <w:link w:val="Heading4Char"/>
    <w:uiPriority w:val="9"/>
    <w:unhideWhenUsed/>
    <w:qFormat/>
    <w:rsid w:val="00EA65EA"/>
    <w:pPr>
      <w:keepNext/>
      <w:keepLines/>
      <w:spacing w:before="240"/>
      <w:outlineLvl w:val="3"/>
    </w:pPr>
    <w:rPr>
      <w:rFonts w:asciiTheme="majorHAnsi" w:eastAsiaTheme="majorEastAsia" w:hAnsiTheme="majorHAnsi" w:cstheme="majorBidi"/>
      <w:b/>
      <w:i/>
      <w:iCs/>
      <w:color w:val="404040" w:themeColor="text1" w:themeTint="BF"/>
    </w:rPr>
  </w:style>
  <w:style w:type="paragraph" w:styleId="Heading5">
    <w:name w:val="heading 5"/>
    <w:basedOn w:val="Normal"/>
    <w:next w:val="Normal"/>
    <w:link w:val="Heading5Char"/>
    <w:uiPriority w:val="9"/>
    <w:unhideWhenUsed/>
    <w:qFormat/>
    <w:rsid w:val="00CA08DF"/>
    <w:pPr>
      <w:keepNext/>
      <w:keepLines/>
      <w:spacing w:before="240"/>
      <w:outlineLvl w:val="4"/>
    </w:pPr>
    <w:rPr>
      <w:rFonts w:asciiTheme="majorHAnsi" w:eastAsiaTheme="majorEastAsia" w:hAnsiTheme="majorHAnsi" w:cstheme="majorBidi"/>
      <w:i/>
      <w:color w:val="404040" w:themeColor="text1" w:themeTint="BF"/>
    </w:rPr>
  </w:style>
  <w:style w:type="paragraph" w:styleId="Heading6">
    <w:name w:val="heading 6"/>
    <w:basedOn w:val="Normal"/>
    <w:next w:val="Normal"/>
    <w:link w:val="Heading6Char"/>
    <w:uiPriority w:val="9"/>
    <w:unhideWhenUsed/>
    <w:qFormat/>
    <w:rsid w:val="00CA08DF"/>
    <w:pPr>
      <w:keepNext/>
      <w:keepLines/>
      <w:numPr>
        <w:numId w:val="6"/>
      </w:numPr>
      <w:spacing w:before="2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631F4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631F4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31F4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021"/>
    <w:rPr>
      <w:rFonts w:ascii="Times New Roman" w:eastAsiaTheme="majorEastAsia" w:hAnsi="Times New Roman" w:cstheme="minorHAnsi"/>
      <w:b/>
      <w:color w:val="262626" w:themeColor="text1" w:themeTint="D9"/>
      <w:sz w:val="32"/>
      <w:szCs w:val="32"/>
    </w:rPr>
  </w:style>
  <w:style w:type="character" w:customStyle="1" w:styleId="Heading2Char">
    <w:name w:val="Heading 2 Char"/>
    <w:basedOn w:val="DefaultParagraphFont"/>
    <w:link w:val="Heading2"/>
    <w:uiPriority w:val="9"/>
    <w:rsid w:val="00392021"/>
    <w:rPr>
      <w:rFonts w:ascii="Times New Roman" w:eastAsiaTheme="majorEastAsia" w:hAnsi="Times New Roman" w:cs="Times New Roman"/>
      <w:b/>
      <w:i/>
      <w:iCs/>
      <w:color w:val="262626" w:themeColor="text1" w:themeTint="D9"/>
      <w:sz w:val="24"/>
      <w:szCs w:val="24"/>
    </w:rPr>
  </w:style>
  <w:style w:type="character" w:customStyle="1" w:styleId="Heading3Char">
    <w:name w:val="Heading 3 Char"/>
    <w:basedOn w:val="DefaultParagraphFont"/>
    <w:link w:val="Heading3"/>
    <w:uiPriority w:val="9"/>
    <w:rsid w:val="00392021"/>
    <w:rPr>
      <w:rFonts w:ascii="Times New Roman" w:eastAsiaTheme="majorEastAsia" w:hAnsi="Times New Roman" w:cs="Times New Roman"/>
      <w:bCs/>
      <w:i/>
      <w:iCs/>
      <w:color w:val="0D0D0D" w:themeColor="text1" w:themeTint="F2"/>
      <w:sz w:val="24"/>
      <w:szCs w:val="24"/>
    </w:rPr>
  </w:style>
  <w:style w:type="character" w:customStyle="1" w:styleId="Heading4Char">
    <w:name w:val="Heading 4 Char"/>
    <w:basedOn w:val="DefaultParagraphFont"/>
    <w:link w:val="Heading4"/>
    <w:uiPriority w:val="9"/>
    <w:rsid w:val="00EA65EA"/>
    <w:rPr>
      <w:rFonts w:asciiTheme="majorHAnsi" w:eastAsiaTheme="majorEastAsia" w:hAnsiTheme="majorHAnsi" w:cstheme="majorBidi"/>
      <w:b/>
      <w:i/>
      <w:iCs/>
      <w:color w:val="404040" w:themeColor="text1" w:themeTint="BF"/>
    </w:rPr>
  </w:style>
  <w:style w:type="character" w:customStyle="1" w:styleId="Heading5Char">
    <w:name w:val="Heading 5 Char"/>
    <w:basedOn w:val="DefaultParagraphFont"/>
    <w:link w:val="Heading5"/>
    <w:uiPriority w:val="9"/>
    <w:rsid w:val="00CA08DF"/>
    <w:rPr>
      <w:rFonts w:asciiTheme="majorHAnsi" w:eastAsiaTheme="majorEastAsia" w:hAnsiTheme="majorHAnsi" w:cstheme="majorBidi"/>
      <w:i/>
      <w:color w:val="404040" w:themeColor="text1" w:themeTint="BF"/>
    </w:rPr>
  </w:style>
  <w:style w:type="character" w:customStyle="1" w:styleId="Heading6Char">
    <w:name w:val="Heading 6 Char"/>
    <w:basedOn w:val="DefaultParagraphFont"/>
    <w:link w:val="Heading6"/>
    <w:uiPriority w:val="9"/>
    <w:rsid w:val="00CA08DF"/>
    <w:rPr>
      <w:rFonts w:asciiTheme="majorHAnsi" w:eastAsiaTheme="majorEastAsia" w:hAnsiTheme="majorHAnsi" w:cstheme="majorBidi"/>
    </w:rPr>
  </w:style>
  <w:style w:type="character" w:customStyle="1" w:styleId="Heading7Char">
    <w:name w:val="Heading 7 Char"/>
    <w:basedOn w:val="DefaultParagraphFont"/>
    <w:link w:val="Heading7"/>
    <w:uiPriority w:val="9"/>
    <w:rsid w:val="00631F43"/>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631F4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31F4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631F4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AC6D45"/>
    <w:pPr>
      <w:spacing w:after="480" w:line="240" w:lineRule="auto"/>
    </w:pPr>
    <w:rPr>
      <w:rFonts w:asciiTheme="majorHAnsi" w:eastAsiaTheme="majorEastAsia" w:hAnsiTheme="majorHAnsi" w:cstheme="majorBidi"/>
      <w:spacing w:val="-10"/>
      <w:sz w:val="44"/>
      <w:szCs w:val="56"/>
    </w:rPr>
  </w:style>
  <w:style w:type="character" w:customStyle="1" w:styleId="TitleChar">
    <w:name w:val="Title Char"/>
    <w:basedOn w:val="DefaultParagraphFont"/>
    <w:link w:val="Title"/>
    <w:uiPriority w:val="10"/>
    <w:rsid w:val="00AC6D45"/>
    <w:rPr>
      <w:rFonts w:asciiTheme="majorHAnsi" w:eastAsiaTheme="majorEastAsia" w:hAnsiTheme="majorHAnsi" w:cstheme="majorBidi"/>
      <w:spacing w:val="-10"/>
      <w:sz w:val="44"/>
      <w:szCs w:val="56"/>
    </w:rPr>
  </w:style>
  <w:style w:type="paragraph" w:styleId="Subtitle">
    <w:name w:val="Subtitle"/>
    <w:basedOn w:val="Normal"/>
    <w:next w:val="Normal"/>
    <w:link w:val="SubtitleChar"/>
    <w:uiPriority w:val="11"/>
    <w:qFormat/>
    <w:rsid w:val="00631F4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31F43"/>
    <w:rPr>
      <w:color w:val="5A5A5A" w:themeColor="text1" w:themeTint="A5"/>
      <w:spacing w:val="15"/>
    </w:rPr>
  </w:style>
  <w:style w:type="character" w:styleId="Strong">
    <w:name w:val="Strong"/>
    <w:basedOn w:val="DefaultParagraphFont"/>
    <w:uiPriority w:val="22"/>
    <w:qFormat/>
    <w:rsid w:val="00631F43"/>
    <w:rPr>
      <w:b/>
      <w:bCs/>
      <w:color w:val="auto"/>
    </w:rPr>
  </w:style>
  <w:style w:type="character" w:styleId="Emphasis">
    <w:name w:val="Emphasis"/>
    <w:basedOn w:val="DefaultParagraphFont"/>
    <w:uiPriority w:val="20"/>
    <w:qFormat/>
    <w:rsid w:val="00631F43"/>
    <w:rPr>
      <w:i/>
      <w:iCs/>
      <w:color w:val="auto"/>
    </w:rPr>
  </w:style>
  <w:style w:type="paragraph" w:styleId="NoSpacing">
    <w:name w:val="No Spacing"/>
    <w:uiPriority w:val="1"/>
    <w:qFormat/>
    <w:rsid w:val="00631F43"/>
    <w:pPr>
      <w:spacing w:after="0" w:line="240" w:lineRule="auto"/>
    </w:pPr>
  </w:style>
  <w:style w:type="paragraph" w:styleId="Quote">
    <w:name w:val="Quote"/>
    <w:basedOn w:val="Normal"/>
    <w:next w:val="Normal"/>
    <w:link w:val="QuoteChar"/>
    <w:uiPriority w:val="29"/>
    <w:qFormat/>
    <w:rsid w:val="00631F4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31F43"/>
    <w:rPr>
      <w:i/>
      <w:iCs/>
      <w:color w:val="404040" w:themeColor="text1" w:themeTint="BF"/>
    </w:rPr>
  </w:style>
  <w:style w:type="paragraph" w:styleId="IntenseQuote">
    <w:name w:val="Intense Quote"/>
    <w:basedOn w:val="Normal"/>
    <w:next w:val="Normal"/>
    <w:link w:val="IntenseQuoteChar"/>
    <w:uiPriority w:val="30"/>
    <w:qFormat/>
    <w:rsid w:val="00631F4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631F43"/>
    <w:rPr>
      <w:i/>
      <w:iCs/>
      <w:color w:val="404040" w:themeColor="text1" w:themeTint="BF"/>
    </w:rPr>
  </w:style>
  <w:style w:type="character" w:styleId="SubtleEmphasis">
    <w:name w:val="Subtle Emphasis"/>
    <w:uiPriority w:val="19"/>
    <w:qFormat/>
    <w:rsid w:val="00F53D22"/>
    <w:rPr>
      <w:i/>
    </w:rPr>
  </w:style>
  <w:style w:type="character" w:styleId="IntenseEmphasis">
    <w:name w:val="Intense Emphasis"/>
    <w:basedOn w:val="DefaultParagraphFont"/>
    <w:uiPriority w:val="21"/>
    <w:qFormat/>
    <w:rsid w:val="00631F43"/>
    <w:rPr>
      <w:b/>
      <w:bCs/>
      <w:i/>
      <w:iCs/>
      <w:color w:val="auto"/>
    </w:rPr>
  </w:style>
  <w:style w:type="character" w:styleId="SubtleReference">
    <w:name w:val="Subtle Reference"/>
    <w:basedOn w:val="DefaultParagraphFont"/>
    <w:uiPriority w:val="31"/>
    <w:qFormat/>
    <w:rsid w:val="00631F43"/>
    <w:rPr>
      <w:smallCaps/>
      <w:color w:val="404040" w:themeColor="text1" w:themeTint="BF"/>
    </w:rPr>
  </w:style>
  <w:style w:type="character" w:styleId="IntenseReference">
    <w:name w:val="Intense Reference"/>
    <w:basedOn w:val="DefaultParagraphFont"/>
    <w:uiPriority w:val="32"/>
    <w:qFormat/>
    <w:rsid w:val="00631F43"/>
    <w:rPr>
      <w:b/>
      <w:bCs/>
      <w:smallCaps/>
      <w:color w:val="404040" w:themeColor="text1" w:themeTint="BF"/>
      <w:spacing w:val="5"/>
    </w:rPr>
  </w:style>
  <w:style w:type="character" w:styleId="BookTitle">
    <w:name w:val="Book Title"/>
    <w:basedOn w:val="DefaultParagraphFont"/>
    <w:uiPriority w:val="33"/>
    <w:qFormat/>
    <w:rsid w:val="00631F43"/>
    <w:rPr>
      <w:b/>
      <w:bCs/>
      <w:i/>
      <w:iCs/>
      <w:spacing w:val="5"/>
    </w:rPr>
  </w:style>
  <w:style w:type="paragraph" w:styleId="TOCHeading">
    <w:name w:val="TOC Heading"/>
    <w:basedOn w:val="Heading1"/>
    <w:next w:val="Normal"/>
    <w:uiPriority w:val="39"/>
    <w:unhideWhenUsed/>
    <w:qFormat/>
    <w:rsid w:val="00631F43"/>
    <w:pPr>
      <w:outlineLvl w:val="9"/>
    </w:pPr>
  </w:style>
  <w:style w:type="paragraph" w:styleId="ListParagraph">
    <w:name w:val="List Paragraph"/>
    <w:basedOn w:val="Normal"/>
    <w:uiPriority w:val="34"/>
    <w:qFormat/>
    <w:rsid w:val="00BF7F7D"/>
    <w:pPr>
      <w:ind w:left="360"/>
    </w:pPr>
  </w:style>
  <w:style w:type="paragraph" w:styleId="FootnoteText">
    <w:name w:val="footnote text"/>
    <w:basedOn w:val="Normal"/>
    <w:link w:val="FootnoteTextChar"/>
    <w:uiPriority w:val="99"/>
    <w:unhideWhenUsed/>
    <w:rsid w:val="00F3732C"/>
    <w:pPr>
      <w:spacing w:after="0" w:line="240" w:lineRule="auto"/>
      <w:jc w:val="both"/>
    </w:pPr>
    <w:rPr>
      <w:sz w:val="20"/>
      <w:szCs w:val="20"/>
    </w:rPr>
  </w:style>
  <w:style w:type="character" w:customStyle="1" w:styleId="FootnoteTextChar">
    <w:name w:val="Footnote Text Char"/>
    <w:basedOn w:val="DefaultParagraphFont"/>
    <w:link w:val="FootnoteText"/>
    <w:uiPriority w:val="99"/>
    <w:rsid w:val="00F3732C"/>
    <w:rPr>
      <w:sz w:val="20"/>
      <w:szCs w:val="20"/>
    </w:rPr>
  </w:style>
  <w:style w:type="character" w:styleId="FootnoteReference">
    <w:name w:val="footnote reference"/>
    <w:basedOn w:val="DefaultParagraphFont"/>
    <w:uiPriority w:val="99"/>
    <w:semiHidden/>
    <w:unhideWhenUsed/>
    <w:rsid w:val="00F3732C"/>
    <w:rPr>
      <w:vertAlign w:val="superscript"/>
    </w:rPr>
  </w:style>
  <w:style w:type="paragraph" w:styleId="Footer">
    <w:name w:val="footer"/>
    <w:basedOn w:val="Normal"/>
    <w:link w:val="FooterChar"/>
    <w:uiPriority w:val="99"/>
    <w:unhideWhenUsed/>
    <w:rsid w:val="00F3732C"/>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F3732C"/>
  </w:style>
  <w:style w:type="character" w:styleId="CommentReference">
    <w:name w:val="annotation reference"/>
    <w:basedOn w:val="DefaultParagraphFont"/>
    <w:uiPriority w:val="99"/>
    <w:semiHidden/>
    <w:unhideWhenUsed/>
    <w:rsid w:val="00F3732C"/>
    <w:rPr>
      <w:sz w:val="16"/>
      <w:szCs w:val="16"/>
    </w:rPr>
  </w:style>
  <w:style w:type="paragraph" w:styleId="CommentText">
    <w:name w:val="annotation text"/>
    <w:basedOn w:val="Normal"/>
    <w:link w:val="CommentTextChar"/>
    <w:uiPriority w:val="99"/>
    <w:unhideWhenUsed/>
    <w:rsid w:val="00F3732C"/>
    <w:pPr>
      <w:spacing w:after="160" w:line="240" w:lineRule="auto"/>
      <w:jc w:val="both"/>
    </w:pPr>
    <w:rPr>
      <w:sz w:val="20"/>
      <w:szCs w:val="20"/>
    </w:rPr>
  </w:style>
  <w:style w:type="character" w:customStyle="1" w:styleId="CommentTextChar">
    <w:name w:val="Comment Text Char"/>
    <w:basedOn w:val="DefaultParagraphFont"/>
    <w:link w:val="CommentText"/>
    <w:uiPriority w:val="99"/>
    <w:rsid w:val="00F3732C"/>
    <w:rPr>
      <w:sz w:val="20"/>
      <w:szCs w:val="20"/>
    </w:rPr>
  </w:style>
  <w:style w:type="paragraph" w:styleId="BalloonText">
    <w:name w:val="Balloon Text"/>
    <w:basedOn w:val="Normal"/>
    <w:link w:val="BalloonTextChar"/>
    <w:uiPriority w:val="99"/>
    <w:semiHidden/>
    <w:unhideWhenUsed/>
    <w:rsid w:val="00F37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32C"/>
    <w:rPr>
      <w:rFonts w:ascii="Segoe UI" w:hAnsi="Segoe UI" w:cs="Segoe UI"/>
      <w:sz w:val="18"/>
      <w:szCs w:val="18"/>
    </w:rPr>
  </w:style>
  <w:style w:type="paragraph" w:styleId="NormalWeb">
    <w:name w:val="Normal (Web)"/>
    <w:basedOn w:val="Normal"/>
    <w:uiPriority w:val="99"/>
    <w:semiHidden/>
    <w:unhideWhenUsed/>
    <w:rsid w:val="0083669C"/>
    <w:pPr>
      <w:spacing w:before="100" w:beforeAutospacing="1" w:after="100" w:afterAutospacing="1" w:line="240" w:lineRule="auto"/>
    </w:pPr>
    <w:rPr>
      <w:rFonts w:eastAsia="Times New Roman"/>
      <w:lang w:eastAsia="en-GB"/>
    </w:rPr>
  </w:style>
  <w:style w:type="character" w:customStyle="1" w:styleId="Title1">
    <w:name w:val="Title1"/>
    <w:basedOn w:val="DefaultParagraphFont"/>
    <w:rsid w:val="00995079"/>
  </w:style>
  <w:style w:type="character" w:customStyle="1" w:styleId="Subtitle1">
    <w:name w:val="Subtitle1"/>
    <w:basedOn w:val="DefaultParagraphFont"/>
    <w:rsid w:val="00995079"/>
  </w:style>
  <w:style w:type="character" w:styleId="Hyperlink">
    <w:name w:val="Hyperlink"/>
    <w:basedOn w:val="DefaultParagraphFont"/>
    <w:uiPriority w:val="99"/>
    <w:unhideWhenUsed/>
    <w:rsid w:val="00995079"/>
    <w:rPr>
      <w:color w:val="0000FF"/>
      <w:u w:val="single"/>
    </w:rPr>
  </w:style>
  <w:style w:type="paragraph" w:styleId="CommentSubject">
    <w:name w:val="annotation subject"/>
    <w:basedOn w:val="CommentText"/>
    <w:next w:val="CommentText"/>
    <w:link w:val="CommentSubjectChar"/>
    <w:uiPriority w:val="99"/>
    <w:semiHidden/>
    <w:unhideWhenUsed/>
    <w:rsid w:val="00044381"/>
    <w:pPr>
      <w:spacing w:after="120"/>
      <w:jc w:val="left"/>
    </w:pPr>
    <w:rPr>
      <w:b/>
      <w:bCs/>
    </w:rPr>
  </w:style>
  <w:style w:type="character" w:customStyle="1" w:styleId="CommentSubjectChar">
    <w:name w:val="Comment Subject Char"/>
    <w:basedOn w:val="CommentTextChar"/>
    <w:link w:val="CommentSubject"/>
    <w:uiPriority w:val="99"/>
    <w:semiHidden/>
    <w:rsid w:val="00044381"/>
    <w:rPr>
      <w:b/>
      <w:bCs/>
      <w:sz w:val="20"/>
      <w:szCs w:val="20"/>
    </w:rPr>
  </w:style>
  <w:style w:type="table" w:styleId="TableGrid">
    <w:name w:val="Table Grid"/>
    <w:basedOn w:val="TableNormal"/>
    <w:uiPriority w:val="39"/>
    <w:rsid w:val="00FF1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1521"/>
    <w:pPr>
      <w:spacing w:after="100"/>
    </w:pPr>
  </w:style>
  <w:style w:type="paragraph" w:styleId="TOC2">
    <w:name w:val="toc 2"/>
    <w:basedOn w:val="Normal"/>
    <w:next w:val="Normal"/>
    <w:autoRedefine/>
    <w:uiPriority w:val="39"/>
    <w:unhideWhenUsed/>
    <w:rsid w:val="00BB1521"/>
    <w:pPr>
      <w:spacing w:after="100"/>
      <w:ind w:left="220"/>
    </w:pPr>
  </w:style>
  <w:style w:type="paragraph" w:styleId="TOC3">
    <w:name w:val="toc 3"/>
    <w:basedOn w:val="Normal"/>
    <w:next w:val="Normal"/>
    <w:autoRedefine/>
    <w:uiPriority w:val="39"/>
    <w:unhideWhenUsed/>
    <w:rsid w:val="00BB1521"/>
    <w:pPr>
      <w:spacing w:after="100"/>
      <w:ind w:left="440"/>
    </w:pPr>
  </w:style>
  <w:style w:type="paragraph" w:styleId="Header">
    <w:name w:val="header"/>
    <w:basedOn w:val="Normal"/>
    <w:link w:val="HeaderChar"/>
    <w:uiPriority w:val="99"/>
    <w:unhideWhenUsed/>
    <w:rsid w:val="00B42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D77"/>
  </w:style>
  <w:style w:type="table" w:styleId="PlainTable3">
    <w:name w:val="Plain Table 3"/>
    <w:basedOn w:val="TableNormal"/>
    <w:uiPriority w:val="43"/>
    <w:rsid w:val="007D37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7D37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
    <w:name w:val="Grid Table 2"/>
    <w:basedOn w:val="TableNormal"/>
    <w:uiPriority w:val="47"/>
    <w:rsid w:val="007D37E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EB59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5988"/>
    <w:rPr>
      <w:sz w:val="20"/>
      <w:szCs w:val="20"/>
    </w:rPr>
  </w:style>
  <w:style w:type="character" w:styleId="EndnoteReference">
    <w:name w:val="endnote reference"/>
    <w:basedOn w:val="DefaultParagraphFont"/>
    <w:uiPriority w:val="99"/>
    <w:semiHidden/>
    <w:unhideWhenUsed/>
    <w:rsid w:val="00EB5988"/>
    <w:rPr>
      <w:vertAlign w:val="superscript"/>
    </w:rPr>
  </w:style>
  <w:style w:type="character" w:styleId="PlaceholderText">
    <w:name w:val="Placeholder Text"/>
    <w:basedOn w:val="DefaultParagraphFont"/>
    <w:uiPriority w:val="99"/>
    <w:semiHidden/>
    <w:rsid w:val="00A25EC9"/>
    <w:rPr>
      <w:color w:val="808080"/>
    </w:rPr>
  </w:style>
  <w:style w:type="character" w:styleId="FollowedHyperlink">
    <w:name w:val="FollowedHyperlink"/>
    <w:basedOn w:val="DefaultParagraphFont"/>
    <w:uiPriority w:val="99"/>
    <w:semiHidden/>
    <w:unhideWhenUsed/>
    <w:rsid w:val="00E63626"/>
    <w:rPr>
      <w:color w:val="954F72" w:themeColor="followedHyperlink"/>
      <w:u w:val="single"/>
    </w:rPr>
  </w:style>
  <w:style w:type="paragraph" w:styleId="TOC4">
    <w:name w:val="toc 4"/>
    <w:basedOn w:val="Normal"/>
    <w:next w:val="Normal"/>
    <w:autoRedefine/>
    <w:uiPriority w:val="39"/>
    <w:unhideWhenUsed/>
    <w:rsid w:val="00CE60A7"/>
    <w:pPr>
      <w:spacing w:after="100"/>
      <w:ind w:left="660"/>
    </w:pPr>
  </w:style>
  <w:style w:type="numbering" w:customStyle="1" w:styleId="NoList1">
    <w:name w:val="No List1"/>
    <w:next w:val="NoList"/>
    <w:uiPriority w:val="99"/>
    <w:semiHidden/>
    <w:unhideWhenUsed/>
    <w:rsid w:val="00A55EB3"/>
  </w:style>
  <w:style w:type="table" w:customStyle="1" w:styleId="TableGrid1">
    <w:name w:val="Table Grid1"/>
    <w:basedOn w:val="TableNormal"/>
    <w:next w:val="TableGrid"/>
    <w:uiPriority w:val="39"/>
    <w:rsid w:val="00A55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next w:val="PlainTable3"/>
    <w:uiPriority w:val="43"/>
    <w:rsid w:val="00A55E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next w:val="PlainTable2"/>
    <w:uiPriority w:val="42"/>
    <w:rsid w:val="00A55E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1">
    <w:name w:val="Grid Table 21"/>
    <w:basedOn w:val="TableNormal"/>
    <w:next w:val="GridTable2"/>
    <w:uiPriority w:val="47"/>
    <w:rsid w:val="00A55EB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TableNormal"/>
    <w:next w:val="TableGrid"/>
    <w:uiPriority w:val="39"/>
    <w:rsid w:val="00F2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2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72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7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7/s40273-018-07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ec1998</b:Tag>
    <b:SourceType>Report</b:SourceType>
    <b:Guid>{7DB1E0C8-2C5D-4CE4-8765-420CCBE87ABE}</b:Guid>
    <b:Author>
      <b:Author>
        <b:NameList>
          <b:Person>
            <b:Last>Alves da Silva</b:Last>
            <b:First>Emília</b:First>
          </b:Person>
          <b:Person>
            <b:Last>Gouveia Pinto</b:Last>
            <b:First>Carlos</b:First>
          </b:Person>
          <b:Person>
            <b:Last>Sampaio</b:Last>
            <b:First>Cristina</b:First>
          </b:Person>
          <b:Person>
            <b:Last>Pereira</b:Last>
            <b:First>João</b:First>
            <b:Middle>António</b:Middle>
          </b:Person>
          <b:Person>
            <b:Last>Drummond</b:Last>
            <b:First>Michael</b:First>
          </b:Person>
          <b:Person>
            <b:Last>Trindade</b:Last>
            <b:First>Rosário</b:First>
          </b:Person>
        </b:NameList>
      </b:Author>
    </b:Author>
    <b:Title>Orientações Metodológicas para Estudos de Avaliação Económica de Medicamentos</b:Title>
    <b:Year>1998</b:Year>
    <b:Publisher>INFARMED</b:Publisher>
    <b:City>Lisbon</b:City>
    <b:RefOrder>1</b:RefOrder>
  </b:Source>
</b:Sources>
</file>

<file path=customXml/itemProps1.xml><?xml version="1.0" encoding="utf-8"?>
<ds:datastoreItem xmlns:ds="http://schemas.openxmlformats.org/officeDocument/2006/customXml" ds:itemID="{8D5AA83D-C306-407A-B5A8-77B2930B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138990</Words>
  <Characters>792244</Characters>
  <Application>Microsoft Office Word</Application>
  <DocSecurity>0</DocSecurity>
  <Lines>6602</Lines>
  <Paragraphs>1858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2020-09-11T14:46:00Z</dcterms:created>
  <dcterms:modified xsi:type="dcterms:W3CDTF">2020-09-11T15:37:00Z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http://www.zotero.org/styles/university-of-york-apa</vt:lpwstr>
  </property>
  <property fmtid="{D5CDD505-2E9C-101B-9397-08002B2CF9AE}" pid="21" name="Mendeley Recent Style Name 9_1">
    <vt:lpwstr>University of York - APA 6th edition</vt:lpwstr>
  </property>
  <property fmtid="{D5CDD505-2E9C-101B-9397-08002B2CF9AE}" pid="22" name="Mendeley Document_1">
    <vt:lpwstr>True</vt:lpwstr>
  </property>
  <property fmtid="{D5CDD505-2E9C-101B-9397-08002B2CF9AE}" pid="23" name="Mendeley Unique User Id_1">
    <vt:lpwstr>67dded78-b677-391e-be9d-9e2f9c5d5f08</vt:lpwstr>
  </property>
  <property fmtid="{D5CDD505-2E9C-101B-9397-08002B2CF9AE}" pid="24" name="Mendeley Citation Style_1">
    <vt:lpwstr>http://www.zotero.org/styles/university-of-york-apa</vt:lpwstr>
  </property>
  <property fmtid="{D5CDD505-2E9C-101B-9397-08002B2CF9AE}" pid="25" name="MSIP_Label_89f61502-7731-4690-a118-333634878cc9_Enabled">
    <vt:lpwstr>true</vt:lpwstr>
  </property>
  <property fmtid="{D5CDD505-2E9C-101B-9397-08002B2CF9AE}" pid="26" name="MSIP_Label_89f61502-7731-4690-a118-333634878cc9_SetDate">
    <vt:lpwstr>2020-09-02T15:29:13Z</vt:lpwstr>
  </property>
  <property fmtid="{D5CDD505-2E9C-101B-9397-08002B2CF9AE}" pid="27" name="MSIP_Label_89f61502-7731-4690-a118-333634878cc9_Method">
    <vt:lpwstr>Standard</vt:lpwstr>
  </property>
  <property fmtid="{D5CDD505-2E9C-101B-9397-08002B2CF9AE}" pid="28" name="MSIP_Label_89f61502-7731-4690-a118-333634878cc9_Name">
    <vt:lpwstr>Internal</vt:lpwstr>
  </property>
  <property fmtid="{D5CDD505-2E9C-101B-9397-08002B2CF9AE}" pid="29" name="MSIP_Label_89f61502-7731-4690-a118-333634878cc9_SiteId">
    <vt:lpwstr>91761b62-4c45-43f5-9f0e-be8ad9b551ff</vt:lpwstr>
  </property>
  <property fmtid="{D5CDD505-2E9C-101B-9397-08002B2CF9AE}" pid="30" name="MSIP_Label_89f61502-7731-4690-a118-333634878cc9_ActionId">
    <vt:lpwstr>7e31289f-589d-441d-827b-0000f8b155f8</vt:lpwstr>
  </property>
</Properties>
</file>