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3A5AB" w14:textId="77777777" w:rsidR="00904A4B" w:rsidRPr="00BC59F2" w:rsidRDefault="00904A4B" w:rsidP="00476FA4">
      <w:pPr>
        <w:spacing w:before="0" w:after="0" w:line="276" w:lineRule="auto"/>
        <w:jc w:val="left"/>
        <w:rPr>
          <w:rFonts w:cs="Arial"/>
          <w:b/>
        </w:rPr>
      </w:pPr>
      <w:bookmarkStart w:id="0" w:name="_Toc405634842"/>
      <w:bookmarkStart w:id="1" w:name="_GoBack"/>
      <w:bookmarkEnd w:id="1"/>
      <w:r w:rsidRPr="00BC59F2">
        <w:rPr>
          <w:rFonts w:cs="Arial"/>
          <w:b/>
        </w:rPr>
        <w:t>Identification of mesenchymal stromal cell survival responses to antimicrobial silver ion concentrations released from orthopaedic implants</w:t>
      </w:r>
    </w:p>
    <w:p w14:paraId="55975EF8" w14:textId="77777777" w:rsidR="00904A4B" w:rsidRPr="00BC59F2" w:rsidRDefault="00904A4B" w:rsidP="00476FA4">
      <w:pPr>
        <w:spacing w:before="0" w:after="0" w:line="276" w:lineRule="auto"/>
        <w:jc w:val="left"/>
        <w:rPr>
          <w:rFonts w:cs="Arial"/>
        </w:rPr>
      </w:pPr>
    </w:p>
    <w:p w14:paraId="2B2345BC" w14:textId="1A4A8ADA" w:rsidR="00904A4B" w:rsidRPr="00BC59F2" w:rsidRDefault="00904A4B" w:rsidP="00476FA4">
      <w:pPr>
        <w:spacing w:before="0" w:after="0" w:line="276" w:lineRule="auto"/>
        <w:jc w:val="left"/>
        <w:rPr>
          <w:rFonts w:cs="Arial"/>
        </w:rPr>
      </w:pPr>
      <w:r w:rsidRPr="00BC59F2">
        <w:rPr>
          <w:rFonts w:cs="Arial"/>
        </w:rPr>
        <w:t>Paul Souter</w:t>
      </w:r>
      <w:r w:rsidR="005A5D75" w:rsidRPr="00BC59F2">
        <w:rPr>
          <w:rFonts w:cs="Arial"/>
          <w:vertAlign w:val="superscript"/>
        </w:rPr>
        <w:t>1</w:t>
      </w:r>
      <w:r w:rsidRPr="00BC59F2">
        <w:rPr>
          <w:rFonts w:cs="Arial"/>
        </w:rPr>
        <w:t>, John Vaughan</w:t>
      </w:r>
      <w:r w:rsidR="005A5D75" w:rsidRPr="00BC59F2">
        <w:rPr>
          <w:rFonts w:cs="Arial"/>
          <w:vertAlign w:val="superscript"/>
        </w:rPr>
        <w:t>1</w:t>
      </w:r>
      <w:r w:rsidRPr="00BC59F2">
        <w:rPr>
          <w:rFonts w:cs="Arial"/>
        </w:rPr>
        <w:t>, Kerry Butcher</w:t>
      </w:r>
      <w:r w:rsidR="005A5D75" w:rsidRPr="00BC59F2">
        <w:rPr>
          <w:rFonts w:cs="Arial"/>
          <w:vertAlign w:val="superscript"/>
        </w:rPr>
        <w:t>1</w:t>
      </w:r>
      <w:r w:rsidRPr="00BC59F2">
        <w:rPr>
          <w:rFonts w:cs="Arial"/>
        </w:rPr>
        <w:t>, Adam Dowle</w:t>
      </w:r>
      <w:r w:rsidR="005A5D75" w:rsidRPr="00BC59F2">
        <w:rPr>
          <w:rFonts w:cs="Arial"/>
          <w:vertAlign w:val="superscript"/>
        </w:rPr>
        <w:t>2</w:t>
      </w:r>
      <w:r w:rsidRPr="00BC59F2">
        <w:rPr>
          <w:rFonts w:cs="Arial"/>
        </w:rPr>
        <w:t>, Jim Cunningham</w:t>
      </w:r>
      <w:r w:rsidR="005A5D75" w:rsidRPr="00BC59F2">
        <w:rPr>
          <w:rFonts w:cs="Arial"/>
          <w:vertAlign w:val="superscript"/>
        </w:rPr>
        <w:t>1</w:t>
      </w:r>
      <w:r w:rsidRPr="00BC59F2">
        <w:rPr>
          <w:rFonts w:cs="Arial"/>
        </w:rPr>
        <w:t>, James Dodd</w:t>
      </w:r>
      <w:r w:rsidR="005A5D75" w:rsidRPr="00BC59F2">
        <w:rPr>
          <w:rFonts w:cs="Arial"/>
          <w:vertAlign w:val="superscript"/>
        </w:rPr>
        <w:t>1</w:t>
      </w:r>
      <w:r w:rsidRPr="00BC59F2">
        <w:rPr>
          <w:rFonts w:cs="Arial"/>
        </w:rPr>
        <w:t>, Michael Hall</w:t>
      </w:r>
      <w:r w:rsidR="005A5D75" w:rsidRPr="00BC59F2">
        <w:rPr>
          <w:rFonts w:cs="Arial"/>
          <w:vertAlign w:val="superscript"/>
        </w:rPr>
        <w:t>1</w:t>
      </w:r>
      <w:r w:rsidRPr="00BC59F2">
        <w:rPr>
          <w:rFonts w:cs="Arial"/>
        </w:rPr>
        <w:t>, Darren Wilson</w:t>
      </w:r>
      <w:r w:rsidR="005A5D75" w:rsidRPr="00BC59F2">
        <w:rPr>
          <w:rFonts w:cs="Arial"/>
          <w:vertAlign w:val="superscript"/>
        </w:rPr>
        <w:t>1</w:t>
      </w:r>
      <w:r w:rsidRPr="00BC59F2">
        <w:rPr>
          <w:rFonts w:cs="Arial"/>
        </w:rPr>
        <w:t>, Alan Horner</w:t>
      </w:r>
      <w:r w:rsidR="005A5D75" w:rsidRPr="00BC59F2">
        <w:rPr>
          <w:rFonts w:cs="Arial"/>
          <w:vertAlign w:val="superscript"/>
        </w:rPr>
        <w:t>1</w:t>
      </w:r>
      <w:r w:rsidRPr="00BC59F2">
        <w:rPr>
          <w:rFonts w:cs="Arial"/>
        </w:rPr>
        <w:t>, Paul Genever</w:t>
      </w:r>
      <w:r w:rsidR="005A5D75" w:rsidRPr="00BC59F2">
        <w:rPr>
          <w:rFonts w:cs="Arial"/>
          <w:vertAlign w:val="superscript"/>
        </w:rPr>
        <w:t>2</w:t>
      </w:r>
      <w:r w:rsidRPr="00BC59F2">
        <w:rPr>
          <w:rFonts w:cs="Arial"/>
        </w:rPr>
        <w:t>*</w:t>
      </w:r>
    </w:p>
    <w:p w14:paraId="0336F785" w14:textId="77777777" w:rsidR="00904A4B" w:rsidRPr="00BC59F2" w:rsidRDefault="00904A4B" w:rsidP="00476FA4">
      <w:pPr>
        <w:spacing w:before="0" w:after="0" w:line="276" w:lineRule="auto"/>
        <w:jc w:val="left"/>
        <w:rPr>
          <w:rFonts w:cs="Arial"/>
        </w:rPr>
      </w:pPr>
    </w:p>
    <w:p w14:paraId="6EC261F6" w14:textId="77777777" w:rsidR="00904A4B" w:rsidRPr="00BC59F2" w:rsidRDefault="00904A4B" w:rsidP="00476FA4">
      <w:pPr>
        <w:spacing w:before="0" w:after="0" w:line="276" w:lineRule="auto"/>
        <w:jc w:val="left"/>
        <w:rPr>
          <w:rFonts w:cs="Arial"/>
        </w:rPr>
      </w:pPr>
      <w:r w:rsidRPr="00BC59F2">
        <w:rPr>
          <w:rFonts w:cs="Arial"/>
        </w:rPr>
        <w:t>* Corresponding author: paul.genever@york.ac.uk</w:t>
      </w:r>
    </w:p>
    <w:p w14:paraId="3235007F" w14:textId="77777777" w:rsidR="00904A4B" w:rsidRPr="00BC59F2" w:rsidRDefault="00904A4B" w:rsidP="00476FA4">
      <w:pPr>
        <w:spacing w:before="0" w:after="0" w:line="276" w:lineRule="auto"/>
        <w:jc w:val="left"/>
        <w:rPr>
          <w:rFonts w:cs="Arial"/>
        </w:rPr>
      </w:pPr>
    </w:p>
    <w:p w14:paraId="3660E8B8" w14:textId="17527B7B" w:rsidR="00904A4B" w:rsidRPr="00BC59F2" w:rsidRDefault="005A5D75" w:rsidP="00476FA4">
      <w:pPr>
        <w:spacing w:before="0" w:after="0" w:line="276" w:lineRule="auto"/>
        <w:jc w:val="left"/>
        <w:rPr>
          <w:rFonts w:cs="Arial"/>
        </w:rPr>
      </w:pPr>
      <w:r w:rsidRPr="00BC59F2">
        <w:rPr>
          <w:rFonts w:cs="Arial"/>
          <w:vertAlign w:val="superscript"/>
        </w:rPr>
        <w:t>1</w:t>
      </w:r>
      <w:r w:rsidR="00904A4B" w:rsidRPr="00BC59F2">
        <w:rPr>
          <w:rFonts w:cs="Arial"/>
        </w:rPr>
        <w:t xml:space="preserve"> Smith &amp; Nephew plc, 101 Hessle Road, Hull, HU3 4DJ, UK</w:t>
      </w:r>
    </w:p>
    <w:p w14:paraId="3ECCB9DA" w14:textId="7ECDD862" w:rsidR="00904A4B" w:rsidRPr="00BC59F2" w:rsidRDefault="005A5D75" w:rsidP="00476FA4">
      <w:pPr>
        <w:spacing w:before="0" w:after="0" w:line="276" w:lineRule="auto"/>
        <w:jc w:val="left"/>
        <w:rPr>
          <w:rFonts w:cs="Arial"/>
        </w:rPr>
      </w:pPr>
      <w:r w:rsidRPr="00BC59F2">
        <w:rPr>
          <w:rFonts w:cs="Arial"/>
          <w:vertAlign w:val="superscript"/>
        </w:rPr>
        <w:t>2</w:t>
      </w:r>
      <w:r w:rsidR="00904A4B" w:rsidRPr="00BC59F2">
        <w:rPr>
          <w:rFonts w:cs="Arial"/>
          <w:vertAlign w:val="superscript"/>
        </w:rPr>
        <w:t xml:space="preserve"> </w:t>
      </w:r>
      <w:r w:rsidR="00904A4B" w:rsidRPr="00BC59F2">
        <w:rPr>
          <w:rFonts w:cs="Arial"/>
        </w:rPr>
        <w:t>Department of Biology, University of York, Wentworth Way, York, YO10 5DD, UK</w:t>
      </w:r>
    </w:p>
    <w:p w14:paraId="70033833" w14:textId="0B6C4ECC" w:rsidR="00476FA4" w:rsidRPr="00BC59F2" w:rsidRDefault="00476FA4">
      <w:pPr>
        <w:spacing w:before="0" w:after="0" w:line="240" w:lineRule="auto"/>
        <w:jc w:val="left"/>
        <w:rPr>
          <w:rFonts w:cs="Arial"/>
          <w:b/>
        </w:rPr>
      </w:pPr>
      <w:r w:rsidRPr="00BC59F2">
        <w:rPr>
          <w:rFonts w:cs="Arial"/>
          <w:b/>
        </w:rPr>
        <w:br w:type="page"/>
      </w:r>
    </w:p>
    <w:p w14:paraId="0871F96F" w14:textId="2AF40F7F" w:rsidR="00DB58E4" w:rsidRPr="00BC59F2" w:rsidRDefault="00DB58E4" w:rsidP="00476FA4">
      <w:pPr>
        <w:spacing w:before="0" w:after="0" w:line="276" w:lineRule="auto"/>
        <w:jc w:val="left"/>
        <w:rPr>
          <w:rFonts w:cs="Arial"/>
          <w:b/>
        </w:rPr>
      </w:pPr>
      <w:r w:rsidRPr="00BC59F2">
        <w:rPr>
          <w:rFonts w:cs="Arial"/>
          <w:b/>
        </w:rPr>
        <w:lastRenderedPageBreak/>
        <w:t>Abstract</w:t>
      </w:r>
      <w:bookmarkEnd w:id="0"/>
    </w:p>
    <w:p w14:paraId="21140F3E" w14:textId="77777777" w:rsidR="00770574" w:rsidRPr="00BC59F2" w:rsidRDefault="00A4010E" w:rsidP="00476FA4">
      <w:pPr>
        <w:spacing w:before="0" w:after="0" w:line="276" w:lineRule="auto"/>
        <w:jc w:val="left"/>
        <w:rPr>
          <w:rFonts w:cs="Arial"/>
          <w:b/>
        </w:rPr>
      </w:pPr>
      <w:r w:rsidRPr="00BC59F2">
        <w:rPr>
          <w:rFonts w:cs="Arial"/>
        </w:rPr>
        <w:t>Antimicrobial silver</w:t>
      </w:r>
      <w:r w:rsidR="00B65456" w:rsidRPr="00BC59F2">
        <w:rPr>
          <w:rFonts w:cs="Arial"/>
        </w:rPr>
        <w:t xml:space="preserve"> </w:t>
      </w:r>
      <w:r w:rsidR="00FA26F8" w:rsidRPr="00BC59F2">
        <w:rPr>
          <w:rFonts w:cs="Arial"/>
        </w:rPr>
        <w:t>(Ag</w:t>
      </w:r>
      <w:r w:rsidR="00FA26F8" w:rsidRPr="00BC59F2">
        <w:rPr>
          <w:rFonts w:cs="Arial"/>
          <w:vertAlign w:val="superscript"/>
        </w:rPr>
        <w:t>+</w:t>
      </w:r>
      <w:r w:rsidR="00FA26F8" w:rsidRPr="00BC59F2">
        <w:rPr>
          <w:rFonts w:cs="Arial"/>
        </w:rPr>
        <w:t xml:space="preserve">) </w:t>
      </w:r>
      <w:r w:rsidR="00B65456" w:rsidRPr="00BC59F2">
        <w:rPr>
          <w:rFonts w:cs="Arial"/>
        </w:rPr>
        <w:t xml:space="preserve">coatings </w:t>
      </w:r>
      <w:r w:rsidR="0030047C" w:rsidRPr="00BC59F2">
        <w:rPr>
          <w:rFonts w:cs="Arial"/>
        </w:rPr>
        <w:t xml:space="preserve">on orthopaedic implants </w:t>
      </w:r>
      <w:r w:rsidR="00B65456" w:rsidRPr="00BC59F2">
        <w:rPr>
          <w:rFonts w:cs="Arial"/>
        </w:rPr>
        <w:t xml:space="preserve">may reduce infection rates, but </w:t>
      </w:r>
      <w:r w:rsidR="00FA26F8" w:rsidRPr="00BC59F2">
        <w:rPr>
          <w:rFonts w:cs="Arial"/>
        </w:rPr>
        <w:t xml:space="preserve">should </w:t>
      </w:r>
      <w:r w:rsidR="005D7FAB" w:rsidRPr="00BC59F2">
        <w:rPr>
          <w:rFonts w:cs="Arial"/>
        </w:rPr>
        <w:t xml:space="preserve">not </w:t>
      </w:r>
      <w:r w:rsidR="00FA26F8" w:rsidRPr="00BC59F2">
        <w:rPr>
          <w:rFonts w:cs="Arial"/>
        </w:rPr>
        <w:t xml:space="preserve">be </w:t>
      </w:r>
      <w:r w:rsidR="005D7FAB" w:rsidRPr="00BC59F2">
        <w:rPr>
          <w:rFonts w:cs="Arial"/>
        </w:rPr>
        <w:t>to the detriment of</w:t>
      </w:r>
      <w:r w:rsidR="00B65456" w:rsidRPr="00BC59F2">
        <w:rPr>
          <w:rFonts w:cs="Arial"/>
        </w:rPr>
        <w:t xml:space="preserve"> regenerative cell populations, primarily mesen</w:t>
      </w:r>
      <w:r w:rsidRPr="00BC59F2">
        <w:rPr>
          <w:rFonts w:cs="Arial"/>
        </w:rPr>
        <w:t>chymal stem</w:t>
      </w:r>
      <w:r w:rsidR="00825251" w:rsidRPr="00BC59F2">
        <w:rPr>
          <w:rFonts w:cs="Arial"/>
        </w:rPr>
        <w:t>/stromal</w:t>
      </w:r>
      <w:r w:rsidRPr="00BC59F2">
        <w:rPr>
          <w:rFonts w:cs="Arial"/>
        </w:rPr>
        <w:t xml:space="preserve"> cells</w:t>
      </w:r>
      <w:r w:rsidR="00FA26F8" w:rsidRPr="00BC59F2">
        <w:rPr>
          <w:rFonts w:cs="Arial"/>
        </w:rPr>
        <w:t xml:space="preserve"> (MSCs)</w:t>
      </w:r>
      <w:r w:rsidRPr="00BC59F2">
        <w:rPr>
          <w:rFonts w:cs="Arial"/>
        </w:rPr>
        <w:t>. W</w:t>
      </w:r>
      <w:r w:rsidR="00B65456" w:rsidRPr="00BC59F2">
        <w:rPr>
          <w:rFonts w:cs="Arial"/>
        </w:rPr>
        <w:t>e</w:t>
      </w:r>
      <w:r w:rsidR="00780AD3" w:rsidRPr="00BC59F2">
        <w:rPr>
          <w:rFonts w:cs="Arial"/>
        </w:rPr>
        <w:t xml:space="preserve"> </w:t>
      </w:r>
      <w:r w:rsidR="00B65456" w:rsidRPr="00BC59F2">
        <w:rPr>
          <w:rFonts w:cs="Arial"/>
        </w:rPr>
        <w:t xml:space="preserve">determined intramedullary silver release profiles </w:t>
      </w:r>
      <w:r w:rsidR="00B65456" w:rsidRPr="00BC59F2">
        <w:rPr>
          <w:rFonts w:cs="Arial"/>
          <w:i/>
        </w:rPr>
        <w:t>in vivo</w:t>
      </w:r>
      <w:r w:rsidR="00B65456" w:rsidRPr="00BC59F2">
        <w:rPr>
          <w:rFonts w:cs="Arial"/>
        </w:rPr>
        <w:t>, which were used to test relevant Ag</w:t>
      </w:r>
      <w:r w:rsidR="00B65456" w:rsidRPr="00BC59F2">
        <w:rPr>
          <w:rFonts w:cs="Arial"/>
          <w:vertAlign w:val="superscript"/>
        </w:rPr>
        <w:t>+</w:t>
      </w:r>
      <w:r w:rsidR="00B65456" w:rsidRPr="00BC59F2">
        <w:rPr>
          <w:rFonts w:cs="Arial"/>
        </w:rPr>
        <w:t xml:space="preserve"> concentrations on MSC function </w:t>
      </w:r>
      <w:r w:rsidR="00B65456" w:rsidRPr="00BC59F2">
        <w:rPr>
          <w:rFonts w:cs="Arial"/>
          <w:i/>
        </w:rPr>
        <w:t>in vitro</w:t>
      </w:r>
      <w:r w:rsidR="00780AD3" w:rsidRPr="00BC59F2">
        <w:rPr>
          <w:rFonts w:cs="Arial"/>
        </w:rPr>
        <w:t xml:space="preserve">. </w:t>
      </w:r>
      <w:r w:rsidR="00B65456" w:rsidRPr="00BC59F2">
        <w:rPr>
          <w:rFonts w:cs="Arial"/>
        </w:rPr>
        <w:t>We measured a rapid elution of Ag</w:t>
      </w:r>
      <w:r w:rsidR="00B65456" w:rsidRPr="00BC59F2">
        <w:rPr>
          <w:rFonts w:cs="Arial"/>
          <w:vertAlign w:val="superscript"/>
        </w:rPr>
        <w:t>+</w:t>
      </w:r>
      <w:r w:rsidR="00B65456" w:rsidRPr="00BC59F2">
        <w:rPr>
          <w:rFonts w:cs="Arial"/>
        </w:rPr>
        <w:t xml:space="preserve"> from intramedullary pins</w:t>
      </w:r>
      <w:r w:rsidR="00D54E8A" w:rsidRPr="00BC59F2">
        <w:rPr>
          <w:rFonts w:cs="Arial"/>
        </w:rPr>
        <w:t xml:space="preserve"> in a rat femoral implantation model</w:t>
      </w:r>
      <w:r w:rsidR="00B65456" w:rsidRPr="00BC59F2">
        <w:rPr>
          <w:rFonts w:cs="Arial"/>
        </w:rPr>
        <w:t>, delivering a maximum potential concentration of 7.8</w:t>
      </w:r>
      <w:r w:rsidR="002B6825" w:rsidRPr="00BC59F2">
        <w:rPr>
          <w:rFonts w:cs="Arial"/>
        </w:rPr>
        <w:t xml:space="preserve"> </w:t>
      </w:r>
      <w:r w:rsidR="00B65456" w:rsidRPr="00BC59F2">
        <w:rPr>
          <w:rFonts w:cs="Arial"/>
        </w:rPr>
        <w:t xml:space="preserve">µM, which was below toxic levels determined for MSCs </w:t>
      </w:r>
      <w:r w:rsidR="00B65456" w:rsidRPr="00BC59F2">
        <w:rPr>
          <w:rFonts w:cs="Arial"/>
          <w:i/>
        </w:rPr>
        <w:t>in vitro</w:t>
      </w:r>
      <w:r w:rsidR="00B65456" w:rsidRPr="00BC59F2">
        <w:rPr>
          <w:rFonts w:cs="Arial"/>
        </w:rPr>
        <w:t xml:space="preserve"> (EC</w:t>
      </w:r>
      <w:r w:rsidR="00B65456" w:rsidRPr="00BC59F2">
        <w:rPr>
          <w:rFonts w:cs="Arial"/>
          <w:vertAlign w:val="subscript"/>
        </w:rPr>
        <w:t>50</w:t>
      </w:r>
      <w:r w:rsidR="00B65456" w:rsidRPr="00BC59F2">
        <w:rPr>
          <w:rFonts w:cs="Arial"/>
        </w:rPr>
        <w:t>, 33</w:t>
      </w:r>
      <w:r w:rsidR="002B6825" w:rsidRPr="00BC59F2">
        <w:rPr>
          <w:rFonts w:cs="Arial"/>
        </w:rPr>
        <w:t xml:space="preserve"> </w:t>
      </w:r>
      <w:r w:rsidR="00B65456" w:rsidRPr="00BC59F2">
        <w:rPr>
          <w:rFonts w:cs="Arial"/>
        </w:rPr>
        <w:t>µM).</w:t>
      </w:r>
      <w:r w:rsidR="003E7940" w:rsidRPr="00BC59F2">
        <w:rPr>
          <w:rFonts w:cs="Arial"/>
        </w:rPr>
        <w:t xml:space="preserve"> Additionally, we present </w:t>
      </w:r>
      <w:r w:rsidR="003E7940" w:rsidRPr="00BC59F2">
        <w:rPr>
          <w:rFonts w:cs="Arial"/>
          <w:i/>
        </w:rPr>
        <w:t>in vitro</w:t>
      </w:r>
      <w:r w:rsidR="003E7940" w:rsidRPr="00BC59F2">
        <w:rPr>
          <w:rFonts w:cs="Arial"/>
        </w:rPr>
        <w:t xml:space="preserve"> data of the reduced colonisation of implants by </w:t>
      </w:r>
      <w:r w:rsidR="003E7940" w:rsidRPr="00BC59F2">
        <w:rPr>
          <w:rFonts w:cs="Arial"/>
          <w:i/>
        </w:rPr>
        <w:t>Staphylococcus aureus</w:t>
      </w:r>
      <w:r w:rsidR="003E7940" w:rsidRPr="00BC59F2">
        <w:rPr>
          <w:rFonts w:cs="Arial"/>
        </w:rPr>
        <w:t>.</w:t>
      </w:r>
      <w:r w:rsidR="00B65456" w:rsidRPr="00BC59F2">
        <w:rPr>
          <w:rFonts w:cs="Arial"/>
        </w:rPr>
        <w:t xml:space="preserve"> MSCs exposed to Ag</w:t>
      </w:r>
      <w:r w:rsidR="00B65456" w:rsidRPr="00BC59F2">
        <w:rPr>
          <w:rFonts w:cs="Arial"/>
          <w:vertAlign w:val="superscript"/>
        </w:rPr>
        <w:t>+</w:t>
      </w:r>
      <w:r w:rsidR="0007375F" w:rsidRPr="00BC59F2">
        <w:rPr>
          <w:rFonts w:cs="Arial"/>
        </w:rPr>
        <w:t xml:space="preserve"> prior to/</w:t>
      </w:r>
      <w:r w:rsidR="005D7FAB" w:rsidRPr="00BC59F2">
        <w:rPr>
          <w:rFonts w:cs="Arial"/>
        </w:rPr>
        <w:t xml:space="preserve">during osteogenic </w:t>
      </w:r>
      <w:r w:rsidR="00B65456" w:rsidRPr="00BC59F2">
        <w:rPr>
          <w:rFonts w:cs="Arial"/>
        </w:rPr>
        <w:t xml:space="preserve">differentiation </w:t>
      </w:r>
      <w:r w:rsidR="005D7FAB" w:rsidRPr="00BC59F2">
        <w:rPr>
          <w:rFonts w:cs="Arial"/>
        </w:rPr>
        <w:t>were not statistically affected</w:t>
      </w:r>
      <w:r w:rsidR="00B65456" w:rsidRPr="00BC59F2">
        <w:rPr>
          <w:rFonts w:cs="Arial"/>
        </w:rPr>
        <w:t xml:space="preserve">. </w:t>
      </w:r>
      <w:r w:rsidR="0030047C" w:rsidRPr="00BC59F2">
        <w:rPr>
          <w:rFonts w:cs="Arial"/>
        </w:rPr>
        <w:t>Notably, at clonal density, the colony-forming capacity of MSCs was significantly reduced in the presence of 10µM Ag</w:t>
      </w:r>
      <w:r w:rsidR="0030047C" w:rsidRPr="00BC59F2">
        <w:rPr>
          <w:rFonts w:cs="Arial"/>
          <w:vertAlign w:val="superscript"/>
        </w:rPr>
        <w:t>+</w:t>
      </w:r>
      <w:r w:rsidR="0030047C" w:rsidRPr="00BC59F2">
        <w:rPr>
          <w:rFonts w:cs="Arial"/>
        </w:rPr>
        <w:t>, suggesting that a subpopulation of clonal MSCs was sensitive to Ag</w:t>
      </w:r>
      <w:r w:rsidR="0030047C" w:rsidRPr="00BC59F2">
        <w:rPr>
          <w:rFonts w:cs="Arial"/>
          <w:vertAlign w:val="superscript"/>
        </w:rPr>
        <w:t>+</w:t>
      </w:r>
      <w:r w:rsidR="0030047C" w:rsidRPr="00BC59F2">
        <w:rPr>
          <w:rFonts w:cs="Arial"/>
        </w:rPr>
        <w:t xml:space="preserve"> exposure. At a molecular level, surviving colony-forming MSCs treated with Ag</w:t>
      </w:r>
      <w:r w:rsidR="0030047C" w:rsidRPr="00BC59F2">
        <w:rPr>
          <w:rFonts w:cs="Arial"/>
          <w:vertAlign w:val="superscript"/>
        </w:rPr>
        <w:t>+</w:t>
      </w:r>
      <w:r w:rsidR="0030047C" w:rsidRPr="00BC59F2">
        <w:rPr>
          <w:rFonts w:cs="Arial"/>
        </w:rPr>
        <w:t xml:space="preserve"> demonstrated a significant upregulation of components of the peroxiredoxin/thioredoxin pathway and processes involved in glutathione metabolism compared to untreated controls. Inhibition of glutathione synthesis using L-Buthionine sulfoxamine eliminated MSC clonogenicity in the presence of Ag</w:t>
      </w:r>
      <w:r w:rsidR="0030047C" w:rsidRPr="00BC59F2">
        <w:rPr>
          <w:rFonts w:cs="Arial"/>
          <w:vertAlign w:val="superscript"/>
        </w:rPr>
        <w:t>+</w:t>
      </w:r>
      <w:r w:rsidR="0030047C" w:rsidRPr="00BC59F2">
        <w:rPr>
          <w:rFonts w:cs="Arial"/>
        </w:rPr>
        <w:t>, which was rescued by exogenous glutathione.</w:t>
      </w:r>
      <w:r w:rsidR="0030047C" w:rsidRPr="00BC59F2">
        <w:rPr>
          <w:rFonts w:cs="Arial"/>
          <w:b/>
        </w:rPr>
        <w:t xml:space="preserve"> </w:t>
      </w:r>
    </w:p>
    <w:p w14:paraId="517DA491" w14:textId="77777777" w:rsidR="00770574" w:rsidRPr="00BC59F2" w:rsidRDefault="00770574" w:rsidP="00476FA4">
      <w:pPr>
        <w:spacing w:before="0" w:after="0" w:line="276" w:lineRule="auto"/>
        <w:jc w:val="left"/>
        <w:rPr>
          <w:rFonts w:cs="Arial"/>
          <w:b/>
        </w:rPr>
      </w:pPr>
    </w:p>
    <w:p w14:paraId="4FCD81E3" w14:textId="77777777" w:rsidR="00770574" w:rsidRPr="00BC59F2" w:rsidRDefault="00770574" w:rsidP="00476FA4">
      <w:pPr>
        <w:spacing w:before="0" w:after="0" w:line="276" w:lineRule="auto"/>
        <w:jc w:val="left"/>
        <w:rPr>
          <w:rFonts w:cs="Arial"/>
          <w:b/>
        </w:rPr>
      </w:pPr>
      <w:r w:rsidRPr="00BC59F2">
        <w:rPr>
          <w:rFonts w:cs="Arial"/>
          <w:b/>
        </w:rPr>
        <w:t>Keywords</w:t>
      </w:r>
    </w:p>
    <w:p w14:paraId="19FCB576" w14:textId="1C968176" w:rsidR="00770574" w:rsidRPr="00BC59F2" w:rsidRDefault="00770574" w:rsidP="00476FA4">
      <w:pPr>
        <w:spacing w:before="0" w:after="0" w:line="276" w:lineRule="auto"/>
        <w:jc w:val="left"/>
        <w:rPr>
          <w:rFonts w:cs="Arial"/>
        </w:rPr>
      </w:pPr>
      <w:r w:rsidRPr="00BC59F2">
        <w:rPr>
          <w:rFonts w:cs="Arial"/>
        </w:rPr>
        <w:t>MSC, oxidative stress, glutathione metabolism, antimicrobial silver, infection, orthopaedics</w:t>
      </w:r>
    </w:p>
    <w:p w14:paraId="177AC52F" w14:textId="336F5787" w:rsidR="00CE4EE6" w:rsidRPr="00BC59F2" w:rsidRDefault="00CE4EE6" w:rsidP="00476FA4">
      <w:pPr>
        <w:spacing w:before="0" w:after="0" w:line="276" w:lineRule="auto"/>
        <w:jc w:val="left"/>
        <w:rPr>
          <w:rFonts w:cs="Arial"/>
        </w:rPr>
      </w:pPr>
      <w:r w:rsidRPr="00BC59F2">
        <w:rPr>
          <w:rFonts w:cs="Arial"/>
          <w:b/>
        </w:rPr>
        <w:br w:type="page"/>
      </w:r>
    </w:p>
    <w:p w14:paraId="5BEB55D8" w14:textId="1DDAC5C8" w:rsidR="00E46428" w:rsidRPr="00BC59F2" w:rsidRDefault="00E46428" w:rsidP="00476FA4">
      <w:pPr>
        <w:pStyle w:val="Heading1"/>
        <w:spacing w:line="276" w:lineRule="auto"/>
      </w:pPr>
      <w:r w:rsidRPr="00BC59F2">
        <w:lastRenderedPageBreak/>
        <w:t>Introduction</w:t>
      </w:r>
    </w:p>
    <w:p w14:paraId="2252D3D8" w14:textId="7E13E83F" w:rsidR="001809B7" w:rsidRPr="00BC59F2" w:rsidRDefault="00F9500B" w:rsidP="00476FA4">
      <w:pPr>
        <w:spacing w:before="0" w:after="160" w:line="276" w:lineRule="auto"/>
        <w:contextualSpacing/>
        <w:jc w:val="left"/>
        <w:rPr>
          <w:rFonts w:cs="Arial"/>
        </w:rPr>
      </w:pPr>
      <w:r w:rsidRPr="00BC59F2">
        <w:rPr>
          <w:rFonts w:cs="Arial"/>
        </w:rPr>
        <w:t>Surgical site infection following orthopaedic trauma</w:t>
      </w:r>
      <w:r w:rsidR="000F5A26" w:rsidRPr="00BC59F2">
        <w:rPr>
          <w:rFonts w:cs="Arial"/>
        </w:rPr>
        <w:t xml:space="preserve"> </w:t>
      </w:r>
      <w:r w:rsidR="00AB7C29" w:rsidRPr="00BC59F2">
        <w:rPr>
          <w:rFonts w:cs="Arial"/>
        </w:rPr>
        <w:t xml:space="preserve">imparts </w:t>
      </w:r>
      <w:r w:rsidR="000F5A26" w:rsidRPr="00BC59F2">
        <w:rPr>
          <w:rFonts w:cs="Arial"/>
        </w:rPr>
        <w:t>a significant clinical and economic burden</w:t>
      </w:r>
      <w:r w:rsidR="00AB7C29" w:rsidRPr="00BC59F2">
        <w:rPr>
          <w:rFonts w:cs="Arial"/>
        </w:rPr>
        <w:t xml:space="preserve"> on patients and healthcare systems</w:t>
      </w:r>
      <w:r w:rsidR="000F5A26" w:rsidRPr="00BC59F2">
        <w:rPr>
          <w:rFonts w:cs="Arial"/>
        </w:rPr>
        <w:t>. It</w:t>
      </w:r>
      <w:r w:rsidRPr="00BC59F2">
        <w:rPr>
          <w:rFonts w:cs="Arial"/>
        </w:rPr>
        <w:t xml:space="preserve"> is estimated to double the</w:t>
      </w:r>
      <w:r w:rsidR="009C4235" w:rsidRPr="00BC59F2">
        <w:rPr>
          <w:rFonts w:cs="Arial"/>
        </w:rPr>
        <w:t xml:space="preserve"> median</w:t>
      </w:r>
      <w:r w:rsidRPr="00BC59F2">
        <w:rPr>
          <w:rFonts w:cs="Arial"/>
        </w:rPr>
        <w:t xml:space="preserve"> healthcare costs </w:t>
      </w:r>
      <w:r w:rsidR="00EB1EAD" w:rsidRPr="00BC59F2">
        <w:rPr>
          <w:rFonts w:cs="Arial"/>
        </w:rPr>
        <w:t>and patient hospitalisation time</w:t>
      </w:r>
      <w:r w:rsidRPr="00BC59F2">
        <w:rPr>
          <w:rFonts w:cs="Arial"/>
        </w:rPr>
        <w:t xml:space="preserve"> at centres within the United States</w:t>
      </w:r>
      <w:r w:rsidR="00B04A27" w:rsidRPr="00BC59F2">
        <w:rPr>
          <w:rFonts w:cs="Arial"/>
        </w:rPr>
        <w:t xml:space="preserve"> </w:t>
      </w:r>
      <w:r w:rsidRPr="00BC59F2">
        <w:rPr>
          <w:rFonts w:cs="Arial"/>
        </w:rPr>
        <w:fldChar w:fldCharType="begin" w:fldLock="1"/>
      </w:r>
      <w:r w:rsidR="00E37F00" w:rsidRPr="00BC59F2">
        <w:rPr>
          <w:rFonts w:cs="Arial"/>
        </w:rPr>
        <w:instrText>ADDIN CSL_CITATION {"citationItems":[{"id":"ITEM-1","itemData":{"DOI":"10.1016/j.jcot.2015.04.004","ISSN":"22133445","PMID":"26566333","abstract":"Background: With the shift of our healthcare system toward a value-based system of reimbursement, complications such as surgical site infections (SSI) may not be reimbursed. The purpose of our study was to investigate the costs and risk factors of SSI for orthopedic trauma patients. Methods: Through retrospective analysis, 1819 patients with isolated fractures were identified. Of those, 78 patients who developed SSIs were compared to 78 uninfected control patients. Patients were matched by fracture location, type of fracture, duration of surgery, and as close as possible to age, year of surgery, and type of procedure. Costs for treatment during primary hospitalization and initial readmission were determined and potential risk factors were collected from patient charts. A Wilcoxon test was used to compare the overall costs of treatment for case and control patients. Costs were further broken down into professional fees and technical charges for analysis. Risk factors for SSIs were analyzed through a chi-squared analysis. Results: Median cost for treatment for patients with SSIs was $108,782 compared to $57,418 for uninfected patients (p&lt;. 0.001). Professional fees and technical charges were found to be significantly higher for infected patients. No significant risk factors for SSIs were determined. Conclusions: Our findings indicate the potential for financial losses in our new healthcare system due to uncompensated care. SSIs nearly double the cost of treatment for orthopedic trauma patients. There is no single driver of these costs. Reducing postoperative stay may be one method for reducing the cost of treating SSIs, whereas quality management programs may decrease risk of infection.","author":[{"dropping-particle":"V.","family":"Thakore","given":"Rachel","non-dropping-particle":"","parse-names":false,"suffix":""},{"dropping-particle":"","family":"Greenberg","given":"Sarah E.","non-dropping-particle":"","parse-names":false,"suffix":""},{"dropping-particle":"","family":"Shi","given":"Hanyuan","non-dropping-particle":"","parse-names":false,"suffix":""},{"dropping-particle":"","family":"Foxx","given":"Alexandra M.","non-dropping-particle":"","parse-names":false,"suffix":""},{"dropping-particle":"","family":"Francois","given":"Elvis L.","non-dropping-particle":"","parse-names":false,"suffix":""},{"dropping-particle":"","family":"Prablek","given":"Marc A.","non-dropping-particle":"","parse-names":false,"suffix":""},{"dropping-particle":"","family":"Nwosu","given":"Samuel K.","non-dropping-particle":"","parse-names":false,"suffix":""},{"dropping-particle":"","family":"Archer","given":"Kristin R.","non-dropping-particle":"","parse-names":false,"suffix":""},{"dropping-particle":"","family":"Ehrenfeld","given":"Jesse M.","non-dropping-particle":"","parse-names":false,"suffix":""},{"dropping-particle":"","family":"Obremskey","given":"William T.","non-dropping-particle":"","parse-names":false,"suffix":""},{"dropping-particle":"","family":"Sethi","given":"Manish K.","non-dropping-particle":"","parse-names":false,"suffix":""}],"container-title":"Journal of Clinical Orthopaedics and Trauma","id":"ITEM-1","issue":"4","issued":{"date-parts":[["2015"]]},"page":"220-226","title":"Surgical site infection in orthopedic trauma: A case-control study evaluating risk factors and cost","type":"article-journal","volume":"6"},"uris":["http://www.mendeley.com/documents/?uuid=64e5beff-6607-46f8-8090-a24208ffaeac"]}],"mendeley":{"formattedCitation":"&lt;sup&gt;1&lt;/sup&gt;","plainTextFormattedCitation":"1","previouslyFormattedCitation":"&lt;sup&gt;1&lt;/sup&gt;"},"properties":{"noteIndex":0},"schema":"https://github.com/citation-style-language/schema/raw/master/csl-citation.json"}</w:instrText>
      </w:r>
      <w:r w:rsidRPr="00BC59F2">
        <w:rPr>
          <w:rFonts w:cs="Arial"/>
        </w:rPr>
        <w:fldChar w:fldCharType="separate"/>
      </w:r>
      <w:r w:rsidR="00AC6175" w:rsidRPr="00BC59F2">
        <w:rPr>
          <w:rFonts w:cs="Arial"/>
          <w:noProof/>
          <w:vertAlign w:val="superscript"/>
        </w:rPr>
        <w:t>1</w:t>
      </w:r>
      <w:r w:rsidRPr="00BC59F2">
        <w:rPr>
          <w:rFonts w:cs="Arial"/>
        </w:rPr>
        <w:fldChar w:fldCharType="end"/>
      </w:r>
      <w:r w:rsidR="00B04A27" w:rsidRPr="00BC59F2">
        <w:rPr>
          <w:rFonts w:cs="Arial"/>
        </w:rPr>
        <w:t>.</w:t>
      </w:r>
      <w:r w:rsidRPr="00BC59F2">
        <w:rPr>
          <w:rFonts w:cs="Arial"/>
        </w:rPr>
        <w:t xml:space="preserve"> </w:t>
      </w:r>
      <w:r w:rsidR="00761159" w:rsidRPr="00BC59F2">
        <w:rPr>
          <w:rFonts w:cs="Arial"/>
        </w:rPr>
        <w:t>In a European study specifically investigating infection of tibial fractures, treatment costs were estimated to increase by 6.5-times compared to patients with no complications</w:t>
      </w:r>
      <w:r w:rsidR="00B04A27" w:rsidRPr="00BC59F2">
        <w:rPr>
          <w:rFonts w:cs="Arial"/>
        </w:rPr>
        <w:t xml:space="preserve"> </w:t>
      </w:r>
      <w:r w:rsidR="00761159" w:rsidRPr="00BC59F2">
        <w:rPr>
          <w:rFonts w:cs="Arial"/>
        </w:rPr>
        <w:fldChar w:fldCharType="begin" w:fldLock="1"/>
      </w:r>
      <w:r w:rsidR="00E37F00" w:rsidRPr="00BC59F2">
        <w:rPr>
          <w:rFonts w:cs="Arial"/>
        </w:rPr>
        <w:instrText>ADDIN CSL_CITATION {"citationItems":[{"id":"ITEM-1","itemData":{"DOI":"10.1016/j.injury.2017.03.030","ISSN":"18790267","PMID":"28377260","abstract":"Introduction One of the most challenging complications in musculoskeletal trauma surgery is the development of infection after fracture fixation (IAFF). It can delay healing, lead to permanent functional loss, or even amputation of the affected limb. The main goal of this study was to investigate the total healthcare costs and length-of-stay (LOS) related to the surgical treatment of tibia fractures and furthermore identify the subset of clinical variables driving these costs within the Belgian healthcare system. The hypothesis was that deep infection would be the most important driver for total healthcare costs. Patients and methods Overall, 358 patients treated operatively for AO/OTA type 41, 42, and 43 tibia fractures between January 1, 2009 and January 1, 2014 were included in this study. A total of 26 clinical and process variables were defined. Calculated costs were limited to hospital care covered by the Belgian healthcare financing system. The five main cost categories studied were: honoraria, materials, hospitalization, day care admission, and pharmaceuticals. Results Multivariate analysis showed that deep infection was the most significant characteristic driving total healthcare costs and LOS related to the surgical treatment of tibia fractures. Furthermore, this complication resulted in the highest overall increase in total healthcare costs and LOS. Treatment costs were approximately 6.5-times higher compared to uninfected patients. Conclusion This study shows the enormous hospital-related healthcare costs associated with IAFF of the tibia. Treatment costs for patients with deep infection are higher than previously mentioned in the literature. Therefore, future research should focus more on prevention rather than treatment strategies, not only to reduce patient morbidity but also to reduce the socio-economic impact.","author":[{"dropping-particle":"","family":"Metsemakers","given":"W. J.","non-dropping-particle":"","parse-names":false,"suffix":""},{"dropping-particle":"","family":"Smeets","given":"B.","non-dropping-particle":"","parse-names":false,"suffix":""},{"dropping-particle":"","family":"Nijs","given":"S.","non-dropping-particle":"","parse-names":false,"suffix":""},{"dropping-particle":"","family":"Hoekstra","given":"H.","non-dropping-particle":"","parse-names":false,"suffix":""}],"container-title":"Injury","id":"ITEM-1","issue":"6","issued":{"date-parts":[["2017"]]},"page":"1204-1210","title":"Infection after fracture fixation of the tibia: Analysis of healthcare utilization and related costs","type":"article-journal","volume":"48"},"uris":["http://www.mendeley.com/documents/?uuid=64c0db34-d3c9-4c81-b814-3dfdf8aeccf7"]}],"mendeley":{"formattedCitation":"&lt;sup&gt;2&lt;/sup&gt;","plainTextFormattedCitation":"2","previouslyFormattedCitation":"&lt;sup&gt;2&lt;/sup&gt;"},"properties":{"noteIndex":0},"schema":"https://github.com/citation-style-language/schema/raw/master/csl-citation.json"}</w:instrText>
      </w:r>
      <w:r w:rsidR="00761159" w:rsidRPr="00BC59F2">
        <w:rPr>
          <w:rFonts w:cs="Arial"/>
        </w:rPr>
        <w:fldChar w:fldCharType="separate"/>
      </w:r>
      <w:r w:rsidR="00AC6175" w:rsidRPr="00BC59F2">
        <w:rPr>
          <w:rFonts w:cs="Arial"/>
          <w:noProof/>
          <w:vertAlign w:val="superscript"/>
        </w:rPr>
        <w:t>2</w:t>
      </w:r>
      <w:r w:rsidR="00761159" w:rsidRPr="00BC59F2">
        <w:rPr>
          <w:rFonts w:cs="Arial"/>
        </w:rPr>
        <w:fldChar w:fldCharType="end"/>
      </w:r>
      <w:r w:rsidR="00B04A27" w:rsidRPr="00BC59F2">
        <w:rPr>
          <w:rFonts w:cs="Arial"/>
        </w:rPr>
        <w:t>.</w:t>
      </w:r>
      <w:r w:rsidR="00483CBC" w:rsidRPr="00BC59F2">
        <w:rPr>
          <w:rFonts w:cs="Arial"/>
        </w:rPr>
        <w:t xml:space="preserve"> </w:t>
      </w:r>
    </w:p>
    <w:p w14:paraId="0EA0A3CA" w14:textId="562F07F8" w:rsidR="001809B7" w:rsidRPr="00BC59F2" w:rsidRDefault="001809B7" w:rsidP="00476FA4">
      <w:pPr>
        <w:spacing w:before="0" w:after="160" w:line="276" w:lineRule="auto"/>
        <w:contextualSpacing/>
        <w:jc w:val="left"/>
        <w:rPr>
          <w:rFonts w:cs="Arial"/>
        </w:rPr>
      </w:pPr>
      <w:r w:rsidRPr="00BC59F2">
        <w:rPr>
          <w:rFonts w:cs="Arial"/>
        </w:rPr>
        <w:t>Persistent infections are primarily caused by the presence of bacterial biofilms attached to the surfaces of implanted materials</w:t>
      </w:r>
      <w:r w:rsidR="00C65048" w:rsidRPr="00BC59F2">
        <w:rPr>
          <w:rFonts w:cs="Arial"/>
        </w:rPr>
        <w:t xml:space="preserve">, with colonisation </w:t>
      </w:r>
      <w:r w:rsidR="00E37F00" w:rsidRPr="00BC59F2">
        <w:rPr>
          <w:rFonts w:cs="Arial"/>
        </w:rPr>
        <w:t xml:space="preserve">of fracture fixation devices </w:t>
      </w:r>
      <w:r w:rsidR="00C65048" w:rsidRPr="00BC59F2">
        <w:rPr>
          <w:rFonts w:cs="Arial"/>
        </w:rPr>
        <w:t xml:space="preserve">caused by </w:t>
      </w:r>
      <w:r w:rsidR="00C65048" w:rsidRPr="00BC59F2">
        <w:rPr>
          <w:rFonts w:cs="Arial"/>
          <w:i/>
        </w:rPr>
        <w:t>Staphylococcus aureus</w:t>
      </w:r>
      <w:r w:rsidR="00C65048" w:rsidRPr="00BC59F2">
        <w:rPr>
          <w:rFonts w:cs="Arial"/>
        </w:rPr>
        <w:t xml:space="preserve"> in approximately 30 %</w:t>
      </w:r>
      <w:r w:rsidR="00E37F00" w:rsidRPr="00BC59F2">
        <w:rPr>
          <w:rFonts w:cs="Arial"/>
        </w:rPr>
        <w:t xml:space="preserve"> of cases</w:t>
      </w:r>
      <w:r w:rsidR="00151A78" w:rsidRPr="00BC59F2">
        <w:rPr>
          <w:rFonts w:cs="Arial"/>
        </w:rPr>
        <w:t xml:space="preserve"> </w:t>
      </w:r>
      <w:r w:rsidR="00E37F00" w:rsidRPr="00BC59F2">
        <w:rPr>
          <w:rFonts w:cs="Arial"/>
        </w:rPr>
        <w:fldChar w:fldCharType="begin" w:fldLock="1"/>
      </w:r>
      <w:r w:rsidR="00E37F00" w:rsidRPr="00BC59F2">
        <w:rPr>
          <w:rFonts w:cs="Arial"/>
        </w:rPr>
        <w:instrText>ADDIN CSL_CITATION {"citationItems":[{"id":"ITEM-1","itemData":{"DOI":"10.1016/j.injury.2006.04.010","ISSN":"0020-1383","PMID":"16651073","abstract":"The pathogenesis of infections associated with fracture-fixation devices is related to microorganisms growing in biofilms, which render these infections difficult to treat. These infections are classified as early (&lt;2 weeks), delayed (2-10 weeks) or late infections (&gt;10 weeks) according to the implant surgery. Most infections are caused by staphylococci and are acquired during trauma (in penetrating injuries) or subsequent fracture-fixation procedures. A combination of clinical, laboratory, histopathology, microbiology, and imaging studies are usually needed to accurately diagnose infection. Magnetic resonance imaging (MRI) and computed tomography (CT) scans are often used to diagnose infection and plan surgical treatment. Positron emission tomography (PET) and PET-CT are promising new tools for diagnosing implant-associated osteomyelitis. The treatment goal is achieving bone consolidation and avoiding development of chronic osteomyelitis. Successful treatment requires adequate surgical procedures combined with 6-12 weeks of antimicrobial therapy acting on adhering stationary-phase microorganisms. In chronic osteomyelitis, orthopedic and plastic- reconstructive surgery is combined in the same procedure or within a short time span. In this article, pathogenesis, classification, diagnosis, and treatment of infections associated with intramedullary nails, external-fixation pins, plates, and screws are reviewed.","author":[{"dropping-particle":"","family":"Trampuz","given":"Andrej","non-dropping-particle":"","parse-names":false,"suffix":""},{"dropping-particle":"","family":"Zimmerli","given":"Werner","non-dropping-particle":"","parse-names":false,"suffix":""}],"container-title":"Injury","id":"ITEM-1","issued":{"date-parts":[["2006"]]},"page":"S59-66","title":"Diagnosis and treatment of infections associated with fracture-fixation devices.","type":"article-journal","volume":"37 Suppl 2"},"uris":["http://www.mendeley.com/documents/?uuid=55394447-0d4e-4adf-aa56-71a64b42b7b6"]}],"mendeley":{"formattedCitation":"&lt;sup&gt;3&lt;/sup&gt;","plainTextFormattedCitation":"3","previouslyFormattedCitation":"&lt;sup&gt;3&lt;/sup&gt;"},"properties":{"noteIndex":0},"schema":"https://github.com/citation-style-language/schema/raw/master/csl-citation.json"}</w:instrText>
      </w:r>
      <w:r w:rsidR="00E37F00" w:rsidRPr="00BC59F2">
        <w:rPr>
          <w:rFonts w:cs="Arial"/>
        </w:rPr>
        <w:fldChar w:fldCharType="separate"/>
      </w:r>
      <w:r w:rsidR="00E37F00" w:rsidRPr="00BC59F2">
        <w:rPr>
          <w:rFonts w:cs="Arial"/>
          <w:noProof/>
          <w:vertAlign w:val="superscript"/>
        </w:rPr>
        <w:t>3</w:t>
      </w:r>
      <w:r w:rsidR="00E37F00" w:rsidRPr="00BC59F2">
        <w:rPr>
          <w:rFonts w:cs="Arial"/>
        </w:rPr>
        <w:fldChar w:fldCharType="end"/>
      </w:r>
      <w:r w:rsidR="00151A78" w:rsidRPr="00BC59F2">
        <w:rPr>
          <w:rFonts w:cs="Arial"/>
        </w:rPr>
        <w:t>.</w:t>
      </w:r>
      <w:r w:rsidRPr="00BC59F2">
        <w:rPr>
          <w:rFonts w:cs="Arial"/>
        </w:rPr>
        <w:t xml:space="preserve"> These micro-colonies are highly organised, sessile communities surrounded by extracellular polymeric substances that are able to evade both the hosts defence mechanisms and antibiotics </w:t>
      </w:r>
      <w:r w:rsidRPr="00BC59F2">
        <w:rPr>
          <w:rFonts w:cs="Arial"/>
        </w:rPr>
        <w:fldChar w:fldCharType="begin" w:fldLock="1"/>
      </w:r>
      <w:r w:rsidR="00E37F00" w:rsidRPr="00BC59F2">
        <w:rPr>
          <w:rFonts w:cs="Arial"/>
        </w:rPr>
        <w:instrText>ADDIN CSL_CITATION {"citationItems":[{"id":"ITEM-1","itemData":{"DOI":"10.1099/00221287-143-7-2407","ISBN":"1350-0872","ISSN":"13500872","PMID":"9245822","abstract":"Sensitivity of Staphylococcus aureus to the antibiotics tetracycline, benzylpenicillin and vancomycin was found to decrease by 2-10 fold when cells were grown adherent to silicone catheter surfaces. Sensitivity to rifampicin and fusidic acid was not significantly altered in adherent cells. Susceptibility further decreased with increased adherence time prior to antibiotic challenge. The resistance observed was not genotypic, or due to the presence of a specialized subpopulation of bacteria, as it disappeared when the bacteria were removed from the catheter, subcultured and retested. Also, adherent bacteria were found to grow more slowly than bacteria growing planktonically. It is concluded that the decrease in antibiotic susceptibility of adherent bacteria is a function of the physiological status of the individual cells rather than a function of biofilm formation or slime production. The decrease in growth rate of the adherent bacteria is a result of the adherence process rather than a result of nutrient depletion. The decrease in growth rate is implicated, but is not the sole factor, in the decreased antibiotic susceptibility of adherent bacteria.","author":[{"dropping-particle":"","family":"Williams","given":"Ian","non-dropping-particle":"","parse-names":false,"suffix":""},{"dropping-particle":"","family":"Venables","given":"W. Alfred","non-dropping-particle":"","parse-names":false,"suffix":""},{"dropping-particle":"","family":"Lloyd","given":"David","non-dropping-particle":"","parse-names":false,"suffix":""},{"dropping-particle":"","family":"Paul","given":"Frank","non-dropping-particle":"","parse-names":false,"suffix":""},{"dropping-particle":"","family":"Critchley","given":"Ian","non-dropping-particle":"","parse-names":false,"suffix":""}],"container-title":"Microbiology","id":"ITEM-1","issue":"7","issued":{"date-parts":[["1997"]]},"page":"2407-2413","title":"The effects of adherence to silicone surfaces on antibiotic susceptibility in Staphylococcus aureus","type":"article-journal","volume":"143"},"uris":["http://www.mendeley.com/documents/?uuid=7c29485a-2168-4e0f-b419-d095cb19424e"]},{"id":"ITEM-2","itemData":{"DOI":"10.1016/j.ijantimicag.2009.12.011","ISBN":"0924-8579","ISSN":"09248579","PMID":"20149602","abstract":"A biofilm is a structured consortium of bacteria embedded in a self-produced polymer matrix consisting of polysaccharide, protein and DNA. Bacterial biofilms cause chronic infections because they show increased tolerance to antibiotics and disinfectant chemicals as well as resisting phagocytosis and other components of the body's defence system. The persistence of, for example, staphylococcal infections related to foreign bodies is due to biofilm formation. Likewise, chronic Pseudomonas aeruginosa lung infection in cystic fibrosis patients is caused by biofilm-growing mucoid strains. Characteristically, gradients of nutrients and oxygen exist from the top to the bottom of biofilms and these gradients are associated with decreased bacterial metabolic activity and increased doubling times of the bacterial cells; it is these more or less dormant cells that are responsible for some of the tolerance to antibiotics. Biofilm growth is associated with an increased level of mutations as well as with quorum-sensing-regulated mechanisms. Conventional resistance mechanisms such as chromosomal β-lactamase, upregulated efflux pumps and mutations in antibiotic target molecules in bacteria also contribute to the survival of biofilms. Biofilms can be prevented by early aggressive antibiotic prophylaxis or therapy and they can be treated by chronic suppressive therapy. A promising strategy may be the use of enzymes that can dissolve the biofilm matrix (e.g. DNase and alginate lyase) as well as quorum-sensing inhibitors that increase biofilm susceptibility to antibiotics. © 2010 Elsevier B.V. and the International Society of Chemotherapy.","author":[{"dropping-particle":"","family":"Høiby","given":"Niels","non-dropping-particle":"","parse-names":false,"suffix":""},{"dropping-particle":"","family":"Bjarnsholt","given":"Thomas","non-dropping-particle":"","parse-names":false,"suffix":""},{"dropping-particle":"","family":"Givskov","given":"Michael","non-dropping-particle":"","parse-names":false,"suffix":""},{"dropping-particle":"","family":"Molin","given":"Søren","non-dropping-particle":"","parse-names":false,"suffix":""},{"dropping-particle":"","family":"Ciofu","given":"Oana","non-dropping-particle":"","parse-names":false,"suffix":""}],"container-title":"International Journal of Antimicrobial Agents","id":"ITEM-2","issue":"4","issued":{"date-parts":[["2010"]]},"page":"322-332","title":"Antibiotic resistance of bacterial biofilms","type":"article-journal","volume":"35"},"uris":["http://www.mendeley.com/documents/?uuid=b1be592b-4496-4782-ab50-4c23613a9033"]},{"id":"ITEM-3","itemData":{"DOI":"10.1093/jac/dkq257","ISBN":"1460-2091; 0305-7453","ISSN":"03057453","PMID":"20615927","abstract":"OBJECTIVES: This study was carried out to elucidate the role of reduced antibiotic penetration in the resistance of Staphylococcus aureus and Staphylococcus epidermidis biofilms to different antibiotics. METHODS: The biofilms of S. aureus ATCC 29213 and S. epidermidis ATCC 35984 were grown on black, polycarbonate membranes (diameter, 13 mm; pore size, 0.4 microm) placed on tryptic soy agar plates at 37 degrees C for 48 h. The penetration of oxacillin, cefotaxime, amikacin, ciprofloxacin and vancomycin through the biofilms was determined by measuring the diameter of zones of growth inhibition (of S. aureus ATCC 25923, a quality control strain) on Mueller-Hinton agar plates following diffusion of each antibiotic from an overlying antibiotic disc through the biofilm to the agar medium versus the respective control assemblies. RESULTS: The penetration of oxacillin and cefotaxime (beta-lactams) and vancomycin (a glycopeptide) was significantly reduced through S. aureus and S. epidermidis biofilms whereas that of amikacin (an aminoglycoside) and ciprofloxacin (a fluoroquinolone) was unaffected. CONCLUSIONS: The results of this study indicate that the role of reduced antibiotic penetration in the drug resistance of S. aureus and S. epidermidis biofilms may vary with the antibiotic being used.","author":[{"dropping-particle":"","family":"Singh","given":"Rachna","non-dropping-particle":"","parse-names":false,"suffix":""},{"dropping-particle":"","family":"Ray","given":"Pallab","non-dropping-particle":"","parse-names":false,"suffix":""},{"dropping-particle":"","family":"Das","given":"Anindita","non-dropping-particle":"","parse-names":false,"suffix":""},{"dropping-particle":"","family":"Sharma","given":"Meera","non-dropping-particle":"","parse-names":false,"suffix":""}],"container-title":"Journal of Antimicrobial Chemotherapy","id":"ITEM-3","issue":"9","issued":{"date-parts":[["2010"]]},"page":"1955-1958","title":"Penetration of antibiotics through Staphylococcus aureus and Staphylococcus epidermidis biofilms","type":"article-journal","volume":"65"},"uris":["http://www.mendeley.com/documents/?uuid=b55c21e4-d9df-4b80-957e-f875b441e76d"]},{"id":"ITEM-4","itemData":{"DOI":"10.4049/jimmunol.171.8.4329","ISBN":"0022-1767 (Print)","ISSN":"0022-1767","PMID":"12289","abstract":"Pseudomonas aeruginosa is an opportunistic pathogen that forms biofilms on tissues and other surfaces. We characterized the interaction of purified human neutrophils with P. aeruginosa, growing in biofilms, with regard to morphology, oxygen consumption, phagocytosis, and degranulation. Scanning electron and confocal laser microscopy indicated that the neutrophils retained a round, unpolarized, unstimulated morphology when exposed to P. aeruginosa PAO1 biofilms. However, transmission electron microscopy demonstrated that neutrophils, although rounded on their dorsal side, were phagocytically active with moderate membrane rearrangement on their bacteria-adjacent surfaces. The settled neutrophils lacked pseudopodia, were impaired in motility, and were enveloped by a cloud of planktonic bacteria released from the biofilms. The oxygen consumption of the biofilm/neutrophil system increased 6- and 8-fold over that of the biofilm alone or unstimulated neutrophils in suspension, respectively. H2O2 accumulation was transient, reaching a maximal measured value of 1 {micro}M. Following contact, stimulated degranulation was 20-40% (myeloperoxidase, {beta}-glucuronidase) and 40-80% (lactoferrin) of maximal when compared with formylmethionylleucylphenylalanine plus cytochalasin B stimulation. In summary, after neutrophils settle on P. aeruginosa biofilms, they become phagocytically engorged, partially degranulated, immobilized, and rounded. The settling also causes an increase in oxygen consumption of the system, apparently resulting from a combination of a bacterial respiration and escape response and the neutrophil respiratory burst but with little increase in the soluble concentration of H2O2. Thus, host defense becomes compromised as biofilm bacteria escape while neutrophils remain immobilized with a diminished oxidative potential","author":[{"dropping-particle":"","family":"Jesaitis","given":"A. J.","non-dropping-particle":"","parse-names":false,"suffix":""},{"dropping-particle":"","family":"Franklin","given":"M. J.","non-dropping-particle":"","parse-names":false,"suffix":""},{"dropping-particle":"","family":"Berglund","given":"D.","non-dropping-particle":"","parse-names":false,"suffix":""},{"dropping-particle":"","family":"Sasaki","given":"M.","non-dropping-particle":"","parse-names":false,"suffix":""},{"dropping-particle":"","family":"Lord","given":"C. I.","non-dropping-particle":"","parse-names":false,"suffix":""},{"dropping-particle":"","family":"Bleazard","given":"J. B.","non-dropping-particle":"","parse-names":false,"suffix":""},{"dropping-particle":"","family":"Duffy","given":"J. E.","non-dropping-particle":"","parse-names":false,"suffix":""},{"dropping-particle":"","family":"Beyenal","given":"H.","non-dropping-particle":"","parse-names":false,"suffix":""},{"dropping-particle":"","family":"Lewandowski","given":"Z.","non-dropping-particle":"","parse-names":false,"suffix":""}],"container-title":"The Journal of Immunology","id":"ITEM-4","issue":"8","issued":{"date-parts":[["2003"]]},"page":"4329-4339","title":"Compromised Host Defense on Pseudomonas aeruginosa Biofilms: Characterization of Neutrophil and Biofilm Interactions","type":"article-journal","volume":"171"},"uris":["http://www.mendeley.com/documents/?uuid=506d9a87-34ba-41fb-8835-00ac05128eee"]},{"id":"ITEM-5","itemData":{"DOI":"10.1086/528992","ISBN":"0022-1899 (Print)\\r0022-1899 (Linking)","ISSN":"0022-1899","PMID":"18419540","abstract":"BACKGROUND: Biofilm formation is considered to be an important virulence factor of the opportunistic pathogen Staphylococcus epidermidis. We hypothesized that biofilm formation could interfere with the deposition of immunoglobulins and complement on the bacterial surface, leading to diminished activation of the complement system and protection from killing by human phagocytes. METHODS: The killing of biofilm-encased and planktonically grown wild-type (wt) S. epidermidis and the killing of an isogenic biofilm-negative ica mutant (ica(-)) by human polymorphonuclear neutrophils (PMNs) were compared. C3a induction and deposition of C3b and immunoglobulin G (IgG) on the bacteria after opsonization with human serum were assessed by enzyme-linked immunosorbent assay, flow cytometry, and electron microscopy. The virulence of the bacterial strains was compared in a mouse model of catheter-associated infection. RESULTS: Biofilm-embedded wt S. epidermidis was killed less well by human PMNs and induced more C3a than planktonically grown wt and ica(-) S. epidermidis. However, the deposition of C3b and IgG on the bacterial surface was diminished in biofilm-encased staphylococci. wt S. epidermidis was more virulent in implant-associated infections and was killed more slowly than ica(-) in ex vivo assays of killing by PMNs. CONCLUSIONS: The results indicate that prevention of C3b and IgG deposition on the bacterial surface contributes to the biofilm-mediated protection of S. epidermidis from killing by PMNs","author":[{"dropping-particle":"","family":"Kristian","given":"Sascha A.","non-dropping-particle":"","parse-names":false,"suffix":""},{"dropping-particle":"","family":"Birkenstock","given":"Timo A.","non-dropping-particle":"","parse-names":false,"suffix":""},{"dropping-particle":"","family":"Sauder","given":"Ursula","non-dropping-particle":"","parse-names":false,"suffix":""},{"dropping-particle":"","family":"Mack","given":"Dietrich","non-dropping-particle":"","parse-names":false,"suffix":""},{"dropping-particle":"","family":"Götz","given":"Friedrich","non-dropping-particle":"","parse-names":false,"suffix":""},{"dropping-particle":"","family":"Landmann","given":"Regine","non-dropping-particle":"","parse-names":false,"suffix":""}],"container-title":"The Journal of Infectious Diseases","id":"ITEM-5","issue":"7","issued":{"date-parts":[["2008"]]},"page":"1028-1035","title":"Biofilm Formation Induces C3a Release and Protects &lt;i&gt;Staphylococcus epidermidis&lt;/i&gt; from IgG and Complement Deposition and from Neutrophil</w:instrText>
      </w:r>
      <w:r w:rsidR="00E37F00" w:rsidRPr="00BC59F2">
        <w:rPr>
          <w:rFonts w:ascii="American Typewriter" w:hAnsi="American Typewriter" w:cs="American Typewriter"/>
        </w:rPr>
        <w:instrText>‐</w:instrText>
      </w:r>
      <w:r w:rsidR="00E37F00" w:rsidRPr="00BC59F2">
        <w:rPr>
          <w:rFonts w:cs="Arial"/>
        </w:rPr>
        <w:instrText>Dependent Killing","type":"article-journal","volume":"197"},"uris":["http://www.mendeley.com/documents/?uuid=b9c4d7b3-c356-4ed7-b535-e5970fbd0081"]},{"id":"ITEM-6","itemData":{"DOI":"10.4049/jimmunol.1002794","ISBN":"1550-6606 (Electronic)\\r0022-1767 (Linking)","ISSN":"0022-1767","PMID":"21525381","abstract":"Biofilms are complex communities of bacteria encased in a matrix composed primarily of polysaccharides, extracellular DNA, and protein. Staphylococcus aureus can form biofilm infections, which are often debilitating due to their chronicity and recalcitrance to antibiotic therapy. Currently, the immune mechanisms elicited during biofilm growth and their impact on bacterial clearance remain to be defined. We used a mouse model of catheter-associated biofilm infection to assess the functional importance of TLR2 and TLR9 in the host immune response during biofilm formation, because ligands for both receptors are present within the biofilm. Interestingly, neither TLR2 nor TLR9 impacted bacterial density or inflammatory mediator secretion during biofilm growth in vivo, suggesting that S. aureus biofilms circumvent these traditional bacterial recognition pathways. Several potential mechanisms were identified to account for biofilm evasion of innate immunity, including significant reductions in IL-1beta, TNF-alpha, CXCL2, and CCL2 expression during biofilm infection compared with the wound healing response elicited by sterile catheters, limited macrophage invasion into biofilms in vivo, and a skewing of the immune response away from a microbicidal phenotype as evidenced by decreases in inducible NO synthase expression concomitant with robust arginase-1 induction. Coculture studies of macrophages with S. aureus biofilms in vitro revealed that macrophages successful at biofilm invasion displayed limited phagocytosis and gene expression patterns reminiscent of alternatively activated M2 macrophages. Collectively, these findings demonstrate that S. aureus biofilms are capable of attenuating traditional host proinflammatory responses, which may explain why biofilm infections persist in an immunocompetent host.","author":[{"dropping-particle":"","family":"Thurlow","given":"L. R.","non-dropping-particle":"","parse-names":false,"suffix":""},{"dropping-particle":"","family":"Hanke","given":"M. L.","non-dropping-particle":"","parse-names":false,"suffix":""},{"dropping-particle":"","family":"Fritz","given":"T.","non-dropping-particle":"","parse-names":false,"suffix":""},{"dropping-particle":"","family":"Angle","given":"A.","non-dropping-particle":"","parse-names":false,"suffix":""},{"dropping-particle":"","family":"Aldrich","given":"A.","non-dropping-particle":"","parse-names":false,"suffix":""},{"dropping-particle":"","family":"Williams","given":"S. H.","non-dropping-particle":"","parse-names":false,"suffix":""},{"dropping-particle":"","family":"Engebretsen","given":"I. L.","non-dropping-particle":"","parse-names":false,"suffix":""},{"dropping-particle":"","family":"Bayles","given":"K. W.","non-dropping-particle":"","parse-names":false,"suffix":""},{"dropping-particle":"","family":"Horswill","given":"A. R.","non-dropping-particle":"","parse-names":false,"suffix":""},{"dropping-particle":"","family":"Kielian","given":"T.","non-dropping-particle":"","parse-names":false,"suffix":""}],"container-title":"The Journal of Immunology","id":"ITEM-6","issue":"11","issued":{"date-parts":[["2011"]]},"page":"6585-6596","title":"Staphylococcus aureus Biofilms Prevent Macrophage Phagocytosis and Attenuate Inflammation In Vivo","type":"article-journal","volume":"186"},"uris":["http://www.mendeley.com/documents/?uuid=4e6f86fa-00cd-4278-9116-9a08d742086f"]}],"mendeley":{"formattedCitation":"&lt;sup&gt;4–9&lt;/sup&gt;","plainTextFormattedCitation":"4–9","previouslyFormattedCitation":"&lt;sup&gt;4–9&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4–9</w:t>
      </w:r>
      <w:r w:rsidRPr="00BC59F2">
        <w:rPr>
          <w:rFonts w:cs="Arial"/>
        </w:rPr>
        <w:fldChar w:fldCharType="end"/>
      </w:r>
      <w:r w:rsidRPr="00BC59F2">
        <w:rPr>
          <w:rFonts w:cs="Arial"/>
        </w:rPr>
        <w:t xml:space="preserve">. </w:t>
      </w:r>
      <w:r w:rsidRPr="00BC59F2">
        <w:rPr>
          <w:rFonts w:cs="Arial"/>
          <w:i/>
        </w:rPr>
        <w:t>In vivo</w:t>
      </w:r>
      <w:r w:rsidRPr="00BC59F2">
        <w:rPr>
          <w:rFonts w:cs="Arial"/>
        </w:rPr>
        <w:t xml:space="preserve">, the formation of a biofilm is greatly enhanced by the implantation of an inert material, and was the cause of failure observed in many patients </w:t>
      </w:r>
      <w:r w:rsidRPr="00BC59F2">
        <w:rPr>
          <w:rFonts w:cs="Arial"/>
        </w:rPr>
        <w:fldChar w:fldCharType="begin" w:fldLock="1"/>
      </w:r>
      <w:r w:rsidR="00E37F00" w:rsidRPr="00BC59F2">
        <w:rPr>
          <w:rFonts w:cs="Arial"/>
        </w:rPr>
        <w:instrText>ADDIN CSL_CITATION {"citationItems":[{"id":"ITEM-1","itemData":{"author":[{"dropping-particle":"","family":"Elek","given":"S. D.","non-dropping-particle":"","parse-names":false,"suffix":""},{"dropping-particle":"","family":"Conen","given":"P. E.","non-dropping-particle":"","parse-names":false,"suffix":""}],"container-title":"British Journal of Experimental Pathology","id":"ITEM-1","issue":"6","issued":{"date-parts":[["1957"]]},"page":"573-586","title":"The virulence of Staphylococcus pyogenes for man. A study of the problems of wound infection","type":"article-journal","volume":"38"},"uris":["http://www.mendeley.com/documents/?uuid=3d1b055a-e223-4234-a5a5-8311d39ac55e"]},{"id":"ITEM-2","itemData":{"author":[{"dropping-particle":"","family":"Gristina","given":"A. G.","non-dropping-particle":"","parse-names":false,"suffix":""},{"dropping-particle":"","family":"Costerton","given":"J. W.","non-dropping-particle":"","parse-names":false,"suffix":""},{"dropping-particle":"","family":"McGainty","given":"P. L. J.","non-dropping-particle":"","parse-names":false,"suffix":""}],"container-title":"Infections in surgery","id":"ITEM-2","issued":{"date-parts":[["1984"]]},"note":"Resistance of biofilms to antibiotics\nBlood clot containing more bacteria\nInfection removed following removal of the implant\nRecovery method of biofilm (sonication)","page":"655-62","title":"Bacteria-Laden Biofilms: A hazard of orthopedic prostheses","type":"article-journal"},"uris":["http://www.mendeley.com/documents/?uuid=196956a6-be10-46b8-a688-9efc3853b5d9"]}],"mendeley":{"formattedCitation":"&lt;sup&gt;10,11&lt;/sup&gt;","plainTextFormattedCitation":"10,11","previouslyFormattedCitation":"&lt;sup&gt;10,11&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10,11</w:t>
      </w:r>
      <w:r w:rsidRPr="00BC59F2">
        <w:rPr>
          <w:rFonts w:cs="Arial"/>
        </w:rPr>
        <w:fldChar w:fldCharType="end"/>
      </w:r>
      <w:r w:rsidRPr="00BC59F2">
        <w:rPr>
          <w:rFonts w:cs="Arial"/>
        </w:rPr>
        <w:t xml:space="preserve">. It is therefore evident that the prevention of bacterial adhesion and subsequent biofilm formation can prevent implant-associated infection. With this in mind, gentamicin-coated intramedullary (IM) nails for use in fracture repair have been commercialised to block implant associated infection by gram-negative bacteria </w:t>
      </w:r>
      <w:r w:rsidRPr="00BC59F2">
        <w:rPr>
          <w:rFonts w:cs="Arial"/>
        </w:rPr>
        <w:fldChar w:fldCharType="begin" w:fldLock="1"/>
      </w:r>
      <w:r w:rsidR="00E37F00" w:rsidRPr="00BC59F2">
        <w:rPr>
          <w:rFonts w:cs="Arial"/>
        </w:rPr>
        <w:instrText>ADDIN CSL_CITATION {"citationItems":[{"id":"ITEM-1","itemData":{"DOI":"10.1007/s00402-011-1321-6","ISBN":"0936-8051\\n1434-3916","ISSN":"09368051","PMID":"21617934","abstract":"BACKGROUND: The use of antibiotic-coated implants may reduce the rate of infection and facilitate fracture healing after surgical treatment of tibial shaft fractures. A new biodegradable gentamicin-loaded coating of an implant (UTN PROtect) was CE-certified in August 2005. In this prospective, non-randomized case series, we investigated the clinical, laboratory and radiological outcomes of 21 patients who underwent surgical treatment in closed or open tibial fractures, as well as revisions with the UTN PROtect gentamicin-coated intramedullary nail.\\n\\nMETHODS: Of 21 patients (13 men, 8 women), 19 completed the 6-month follow-up. The study population included patients with complex tibial fractures and late revision cases. Clinical outcomes comprised adverse events, including infections and the SF-36 physical score. Laboratory outcomes, including C-reactive protein and leukocyte count as inflammatory markers, haemoglobin and serum gentamicin, were measured at baseline and up to 6 months post operatively. Radiographic assessments of fracture healing and weight-bearing capacity were determined at 5 weeks, 3 and 6 months after surgery.\\n\\nRESULTS: No implant-related infections occurred; one patient had superficial wound healing problems. Mean C-reactive protein levels remained below 5 mg/L throughout the study, with a peak at 4-7 days after surgery (4.4 mg/L; range 0.5-16.1 mg/L). Leukocyte counts and haemoglobin levels did not vary over time during the study. The mean SF-36 physical score at 6 months was 42.6 (range 19.4-56.7). Radiographic union defined as three or four bridged cortices was achieved in 11 patients (58%) after 6 months. The remaining eight patients showed partial fracture healing with one or two bridged cortices. Additionally, 13 patients (68%) demonstrated full weight-bearing capacity after 6 months.\\n\\nCONCLUSIONS: The use of the UTN PROtect intramedullary nail was associated with good clinical, laboratory and radiological outcomes after 6 months. These preliminary results support the use of gentamicin-coated implants as a new potential treatment option for the prevention of infection in trauma patients and in revision cases.\\n\\nLEVEL OF EVIDENCE: Level II.","author":[{"dropping-particle":"","family":"Fuchs","given":"Thomas","non-dropping-particle":"","parse-names":false,"suffix":""},{"dropping-particle":"","family":"Stange","given":"Richard","non-dropping-particle":"","parse-names":false,"suffix":""},{"dropping-particle":"","family":"Schmidmaier","given":"Gerhard","non-dropping-particle":"","parse-names":false,"suffix":""},{"dropping-particle":"","family":"Raschke","given":"Michael J.","non-dropping-particle":"","parse-names":false,"suffix":""}],"container-title":"Archives of Orthopaedic and Trauma Surgery","id":"ITEM-1","issue":"10","issued":{"date-parts":[["2011"]]},"page":"1419-1425","title":"The use of gentamicin-coated nails in the tibia: Preliminary results of a prospective study","type":"article-journal","volume":"131"},"uris":["http://www.mendeley.com/documents/?uuid=6771bdd4-1cce-427c-9411-ba70eb62858a"]}],"mendeley":{"formattedCitation":"&lt;sup&gt;12&lt;/sup&gt;","plainTextFormattedCitation":"12","previouslyFormattedCitation":"&lt;sup&gt;12&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12</w:t>
      </w:r>
      <w:r w:rsidRPr="00BC59F2">
        <w:rPr>
          <w:rFonts w:cs="Arial"/>
        </w:rPr>
        <w:fldChar w:fldCharType="end"/>
      </w:r>
      <w:r w:rsidRPr="00BC59F2">
        <w:rPr>
          <w:rFonts w:cs="Arial"/>
        </w:rPr>
        <w:t xml:space="preserve">. </w:t>
      </w:r>
    </w:p>
    <w:p w14:paraId="3A2D4276" w14:textId="1E03F470" w:rsidR="00E46428" w:rsidRPr="00BC59F2" w:rsidRDefault="00E46428" w:rsidP="00476FA4">
      <w:pPr>
        <w:spacing w:before="0" w:after="160" w:line="276" w:lineRule="auto"/>
        <w:contextualSpacing/>
        <w:jc w:val="left"/>
        <w:rPr>
          <w:rFonts w:cs="Arial"/>
        </w:rPr>
      </w:pPr>
      <w:r w:rsidRPr="00BC59F2">
        <w:rPr>
          <w:rFonts w:cs="Arial"/>
        </w:rPr>
        <w:t xml:space="preserve">However, with the rise in antibiotic resistance, </w:t>
      </w:r>
      <w:r w:rsidR="00F2227A" w:rsidRPr="00BC59F2">
        <w:rPr>
          <w:rFonts w:cs="Arial"/>
        </w:rPr>
        <w:t xml:space="preserve">the use of a broad spectrum antimicrobial may be more appropriate. As a result, there has been growing </w:t>
      </w:r>
      <w:r w:rsidR="00726660" w:rsidRPr="00BC59F2">
        <w:rPr>
          <w:rFonts w:cs="Arial"/>
        </w:rPr>
        <w:t>interest</w:t>
      </w:r>
      <w:r w:rsidRPr="00BC59F2">
        <w:rPr>
          <w:rFonts w:cs="Arial"/>
        </w:rPr>
        <w:t xml:space="preserve"> in the use of silv</w:t>
      </w:r>
      <w:r w:rsidR="00825251" w:rsidRPr="00BC59F2">
        <w:rPr>
          <w:rFonts w:cs="Arial"/>
        </w:rPr>
        <w:t>er for orthopaedic applications</w:t>
      </w:r>
      <w:r w:rsidR="00205D76" w:rsidRPr="00BC59F2">
        <w:rPr>
          <w:rFonts w:cs="Arial"/>
        </w:rPr>
        <w:t xml:space="preserve">. In addition to the direct action on many </w:t>
      </w:r>
      <w:r w:rsidR="0089150E" w:rsidRPr="00BC59F2">
        <w:rPr>
          <w:rFonts w:cs="Arial"/>
        </w:rPr>
        <w:t xml:space="preserve">microbial strains, </w:t>
      </w:r>
      <w:r w:rsidR="00205D76" w:rsidRPr="00BC59F2">
        <w:rPr>
          <w:rFonts w:cs="Arial"/>
        </w:rPr>
        <w:t xml:space="preserve">the use of silver </w:t>
      </w:r>
      <w:r w:rsidRPr="00BC59F2">
        <w:rPr>
          <w:rFonts w:cs="Arial"/>
        </w:rPr>
        <w:t xml:space="preserve">has also been shown </w:t>
      </w:r>
      <w:r w:rsidR="0089150E" w:rsidRPr="00BC59F2">
        <w:rPr>
          <w:rFonts w:cs="Arial"/>
        </w:rPr>
        <w:t xml:space="preserve">to </w:t>
      </w:r>
      <w:r w:rsidR="00205D76" w:rsidRPr="00BC59F2">
        <w:rPr>
          <w:rFonts w:cs="Arial"/>
        </w:rPr>
        <w:t>potentiate the effectiveness and broaden the bacterial species activity of</w:t>
      </w:r>
      <w:r w:rsidR="00560CD3" w:rsidRPr="00BC59F2">
        <w:rPr>
          <w:rFonts w:cs="Arial"/>
        </w:rPr>
        <w:t xml:space="preserve"> </w:t>
      </w:r>
      <w:r w:rsidR="0089150E" w:rsidRPr="00BC59F2">
        <w:rPr>
          <w:rFonts w:cs="Arial"/>
        </w:rPr>
        <w:t>antibiotics</w:t>
      </w:r>
      <w:r w:rsidR="00B04A27" w:rsidRPr="00BC59F2">
        <w:rPr>
          <w:rFonts w:cs="Arial"/>
        </w:rPr>
        <w:t xml:space="preserve"> </w:t>
      </w:r>
      <w:r w:rsidRPr="00BC59F2">
        <w:rPr>
          <w:rFonts w:cs="Arial"/>
        </w:rPr>
        <w:fldChar w:fldCharType="begin" w:fldLock="1"/>
      </w:r>
      <w:r w:rsidR="00E37F00" w:rsidRPr="00BC59F2">
        <w:rPr>
          <w:rFonts w:cs="Arial"/>
        </w:rPr>
        <w:instrText>ADDIN CSL_CITATION {"citationItems":[{"id":"ITEM-1","itemData":{"DOI":"10.1016/j.nano.2007.02.001","ISBN":"1549-9634","ISSN":"15499634","PMID":"17468052","abstract":"Silver nanoparticles (Ag-NPs) have been known to have inhibitory and bactericidal effects. Resistance to antimicrobial agents by pathogenic bacteria has emerged in recent years and is a major health problem. The combination effects of Ag-NPs with the antibacterial activity of antibiotics have not been studied. Here, we report on the synthesis of metallic nanoparticles of silver using a reduction of aqueous Ag+ion with the culture supernatants of Klebsiella pneumoniae. Also in this article these nanoparticles are evaluated for their part in increasing the antimicrobial activities of various antibiotics against Staphylococcus aureus and Escherichia coli. The antibacterial activities of penicillin G, amoxicillin, erythromycin, clindamycin, and vancomycin were increased in the presence of Ag-NPs against both test strains. The highest enhancing effects were observed for vancomycin, amoxicillin, and penicillin G against S. aureus. © 2007 Elsevier Inc. All rights reserved.","author":[{"dropping-particle":"","family":"Shahverdi","given":"Ahmad R.","non-dropping-particle":"","parse-names":false,"suffix":""},{"dropping-particle":"","family":"Fakhimi","given":"Ali","non-dropping-particle":"","parse-names":false,"suffix":""},{"dropping-particle":"","family":"Shahverdi","given":"Hamid R.","non-dropping-particle":"","parse-names":false,"suffix":""},{"dropping-particle":"","family":"Minaian","given":"Sara","non-dropping-particle":"","parse-names":false,"suffix":""}],"container-title":"Nanomedicine: Nanotechnology, Biology, and Medicine","id":"ITEM-1","issue":"2","issued":{"date-parts":[["2007"]]},"page":"168-171","title":"Synthesis and effect of silver nanoparticles on the antibacterial activity of different antibiotics against Staphylococcus aureus and Escherichia coli","type":"article-journal","volume":"3"},"uris":["http://www.mendeley.com/documents/?uuid=8deeb512-96be-49e0-907d-1d7ce733bf94"]},{"id":"ITEM-2","itemData":{"DOI":"10.1126/scitranslmed.3006276.Silver","author":[{"dropping-particle":"","family":"Morones-Ramirez","given":"Jose R.","non-dropping-particle":"","parse-names":false,"suffix":""},{"dropping-particle":"","family":"Winkler","given":"Jonathan A.","non-dropping-particle":"","parse-names":false,"suffix":""},{"dropping-particle":"","family":"Spina","given":"Catherine S.","non-dropping-particle":"","parse-names":false,"suffix":""},{"dropping-particle":"","family":"Collins","given":"James J.","non-dropping-particle":"","parse-names":false,"suffix":""}],"container-title":"Science Translational Medicine","id":"ITEM-2","issue":"190","issued":{"date-parts":[["2013"]]},"page":"1-11","title":"Silver Enhances Antibiotic Activity Against Gram-Negative Bacteria.","type":"article-journal","volume":"5"},"uris":["http://www.mendeley.com/documents/?uuid=4c1d0ea9-36a3-4b88-b821-5028282bc688"]},{"id":"ITEM-3","itemData":{"DOI":"10.1128/AAC.02934-15","ISSN":"10986596","PMID":"26883700","abstract":"Implant-associated infections (IAIs) are a dreaded complication mainly caused by biofilm-forming staphylococci. Implant surfaces preventing microbial colonization would be desirable. We examined the preventive effect of a silver-coated titanium-aluminum-niobium (TiAlNb) alloy. The surface elicited a strong, inoculum-dependent activity against Staphylococcus epidermidis and Staphylococcus aureus in an agar inhibition assay. Gamma sterilization and alcohol disinfection did not alter the effect. In a tissue cage mouse model, silver coating of TiAlNb cages prevented perioperative infections in an inoculum-dependent manner and led to a 100% prevention rate after challenge with 2 × 10 6 CFU of S. epidermidis per cage. In S. aureus infections, silver coating had only limited effect. Similarly, daptomycin or vancomycin prophylaxis alone did not prevent S. aureus infections. However, silver coating combined with daptomycin or vancomycin prophylaxis thwarted methicillin-resistant S. aureus infections at a prevention rate of 100% or 33%, respectively. Moreover, silver release from the surface was independent of infection and occurred rapidly after implantation. On day 2, a peak of 82 μg Ag/ml was reached in the cage fluid, corresponding to almost 6× the MIC of the staphylococci. Cytotoxicity toward leukocytes in the cage was low and temporary. Surrounding tissue did not reveal histological signs of silver toxicity. In vitro , no emergence of silver resistance was observed in several clinical strains of staphylococci upon serial subinhibitory silver exposures. In conclusion, our data demonstrate that silver-coated TiAlNb is potent for prevention of IAIs and thus can be considered for clinical application.","author":[{"dropping-particle":"","family":"Kuehl","given":"Richard","non-dropping-particle":"","parse-names":false,"suffix":""},{"dropping-particle":"","family":"Brunetto","given":"Priscilla S.","non-dropping-particle":"","parse-names":false,"suffix":""},{"dropping-particle":"","family":"Woischnig","given":"Anne Kathrin","non-dropping-particle":"","parse-names":false,"suffix":""},{"dropping-particle":"","family":"Varisco","given":"Massimo","non-dropping-particle":"","parse-names":false,"suffix":""},{"dropping-particle":"","family":"Rajacic","given":"Zarko","non-dropping-particle":"","parse-names":false,"suffix":""},{"dropping-particle":"","family":"Vosbeck","given":"Juerg","non-dropping-particle":"","parse-names":false,"suffix":""},{"dropping-particle":"","family":"Terracciano","given":"Luigi","non-dropping-particle":"","parse-names":false,"suffix":""},{"dropping-particle":"","family":"Fromm","given":"Katharina M.","non-dropping-particle":"","parse-names":false,"suffix":""},{"dropping-particle":"","family":"Khanna","given":"Nina","non-dropping-particle":"","parse-names":false,"suffix":""}],"container-title":"Antimicrobial Agents and Chemotherapy","id":"ITEM-3","issue":"4","issued":{"date-parts":[["2016"]]},"page":"2467-2475","title":"Preventing Implant-Associated infections by silver coating","type":"article-journal","volume":"60"},"uris":["http://www.mendeley.com/documents/?uuid=39120557-5e29-4f7f-b379-5c2ff39fbc34"]}],"mendeley":{"formattedCitation":"&lt;sup&gt;13–15&lt;/sup&gt;","plainTextFormattedCitation":"13–15","previouslyFormattedCitation":"&lt;sup&gt;13–15&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13–15</w:t>
      </w:r>
      <w:r w:rsidRPr="00BC59F2">
        <w:rPr>
          <w:rFonts w:cs="Arial"/>
        </w:rPr>
        <w:fldChar w:fldCharType="end"/>
      </w:r>
      <w:r w:rsidR="00B04A27" w:rsidRPr="00BC59F2">
        <w:rPr>
          <w:rFonts w:cs="Arial"/>
        </w:rPr>
        <w:t>.</w:t>
      </w:r>
      <w:r w:rsidRPr="00BC59F2">
        <w:rPr>
          <w:rFonts w:cs="Arial"/>
        </w:rPr>
        <w:t xml:space="preserve"> The</w:t>
      </w:r>
      <w:r w:rsidR="00205D76" w:rsidRPr="00BC59F2">
        <w:rPr>
          <w:rFonts w:cs="Arial"/>
        </w:rPr>
        <w:t xml:space="preserve"> wide</w:t>
      </w:r>
      <w:r w:rsidRPr="00BC59F2">
        <w:rPr>
          <w:rFonts w:cs="Arial"/>
        </w:rPr>
        <w:t xml:space="preserve"> bactericidal </w:t>
      </w:r>
      <w:r w:rsidR="00A81F8A" w:rsidRPr="00BC59F2">
        <w:rPr>
          <w:rFonts w:cs="Arial"/>
        </w:rPr>
        <w:t>effects of silver</w:t>
      </w:r>
      <w:r w:rsidRPr="00BC59F2">
        <w:rPr>
          <w:rFonts w:cs="Arial"/>
        </w:rPr>
        <w:t xml:space="preserve"> are </w:t>
      </w:r>
      <w:r w:rsidR="00A81F8A" w:rsidRPr="00BC59F2">
        <w:rPr>
          <w:rFonts w:cs="Arial"/>
        </w:rPr>
        <w:t xml:space="preserve">caused by </w:t>
      </w:r>
      <w:r w:rsidRPr="00BC59F2">
        <w:rPr>
          <w:rFonts w:cs="Arial"/>
        </w:rPr>
        <w:t>disruption of the cell membrane, damage to DNA and prevention of replication, denaturation of proteins and enzymes that</w:t>
      </w:r>
      <w:r w:rsidR="001213A8" w:rsidRPr="00BC59F2">
        <w:rPr>
          <w:rFonts w:cs="Arial"/>
        </w:rPr>
        <w:t xml:space="preserve"> contribute to the loss of cell</w:t>
      </w:r>
      <w:r w:rsidRPr="00BC59F2">
        <w:rPr>
          <w:rFonts w:cs="Arial"/>
        </w:rPr>
        <w:t xml:space="preserve"> integrity as well as the disruption of energy metabolism, in part caused by the generation of reactive oxygen species (ROS)</w:t>
      </w:r>
      <w:r w:rsidR="00B03BB7" w:rsidRPr="00BC59F2">
        <w:rPr>
          <w:rFonts w:cs="Arial"/>
        </w:rPr>
        <w:t xml:space="preserve"> </w:t>
      </w:r>
      <w:r w:rsidRPr="00BC59F2">
        <w:rPr>
          <w:rFonts w:cs="Arial"/>
        </w:rPr>
        <w:fldChar w:fldCharType="begin" w:fldLock="1"/>
      </w:r>
      <w:r w:rsidR="00E37F00" w:rsidRPr="00BC59F2">
        <w:rPr>
          <w:rFonts w:cs="Arial"/>
        </w:rPr>
        <w:instrText>ADDIN CSL_CITATION {"citationItems":[{"id":"ITEM-1","itemData":{"ISSN":"0021-9304","PMID":"11033548","abstract":"To investigate the mechanism of inhibition of silver ions on microorganisms, two strains of bacteria, namely Gram-negative Escherichia coli (E. coli) and Gram-positive Staphylococcus aureus (S. aureus), were treated with AgNO(3) and studied using combined electron microscopy and X-ray microanalysis. Similar morphological changes occurred in both E. coli and S. aureus cells after Ag(+) treatment. The cytoplasm membrane detached from the cell wall. A remarkable electron-light region appeared in the center of the cells, which contained condensed deoxyribonucleic acid (DNA) molecules. There are many small electron-dense granules either surrounding the cell wall or depositing inside the cells. The existence of elements of silver and sulfur in the electron-dense granules and cytoplasm detected by X-ray microanalysis suggested the antibacterial mechanism of silver: DNA lost its replication ability and the protein became inactivated after Ag(+) treatment. The slighter morphological changes of S. aureus compared with E. coli recommended a defense system of S. aureus against the inhibitory effects of Ag(+) ions.","author":[{"dropping-particle":"","family":"Feng","given":"Q L","non-dropping-particle":"","parse-names":false,"suffix":""},{"dropping-particle":"","family":"Wu","given":"J","non-dropping-particle":"","parse-names":false,"suffix":""},{"dropping-particle":"","family":"Chen","given":"G Q","non-dropping-particle":"","parse-names":false,"suffix":""},{"dropping-particle":"","family":"Cui","given":"F Z","non-dropping-particle":"","parse-names":false,"suffix":""},{"dropping-particle":"","family":"Kim","given":"T N","non-dropping-particle":"","parse-names":false,"suffix":""},{"dropping-particle":"","family":"Kim","given":"J O","non-dropping-particle":"","parse-names":false,"suffix":""}],"container-title":"Journal of biomedical materials research","id":"ITEM-1","issue":"4","issued":{"date-parts":[["2000"]]},"page":"662-8","title":"A mechanistic study of the antibacterial effect of silver ions on Escherichia coli and Staphylococcus aureus.","type":"article-journal","volume":"52"},"uris":["http://www.mendeley.com/documents/?uuid=f84a50c7-b5fd-4a6a-81e3-f20ed4fe6d41"]},{"id":"ITEM-2","itemData":{"DOI":"10.1128/AEM.71.11.7589","ISBN":"0099-2240","ISSN":"00992240","PMID":"16269810","abstract":"Bactericidal actions of the silver ion on Escherichia coli as a model microorganism were studied using energy-filtering transmission electron microscopy (EFTEM), two-dimensional electrophoresis (2-DE), and matrix-assisted laser desorption ionization–time-of-flight mass spectrometry (MALDI-TOF MS). EFTEM observations demonstrated that the silver ion readily infiltrates the interior of E. coli, contrary to the early hypothesis that it resides initially in the cell membrane area. Furthermore, 2-DE and MALDI-TOF MS indicated that the expression of a ribosomal subunit protein as well as that of some other enzymes and proteins is affected by the silver ion. The present results demonstrate for the first time that one of the major bactericidal functions of the silver ion is its interaction with the ribosome and the ensuing inhibition in expression of the enzymes and proteins essential to ATP production. The silver ion is known to have antimicrobial effects, and it is increasingly utilized in electric appliances, such as washing machines. Many papers have been published on its effects, and early authors hypothesized that the silver ion primarily affects the function of membrane-bound enzymes, such as those in the respiratory chain, through binding to thiol groups (1, 4, 7). However, proteomic insight into the detailed mechanism is still lacking. In this paper, bactericidal actions of a silver ion solution on Escherichia coli as a model microorganism was studied using energy-filtering transmission electron microscopy (EFTEM), two-dimensional electrophoresis (2-DE), and ma-trix-assisted laser desorption ionization–time-of-flight mass spectrometry (MALDI-TOF MS). Experimental details are as follows. An aqueous solution with a silver ion concentration of 900 ppb was electrolytically prepared by applying a current of 12.5 mA for 28 s between two silver plate electrodes installed in water. The residual chlorine content in water was less than 0.2 mg/liter. The silver ion concentration in the obtained solution was measured with a Hitachi Z-5010 polarized Zeeman atomic absorption spec-trophotometer. As a reference, a 0-ppb solution was also pre-pared, without electrolysis. As a model microorganism, gram-negative E. coli NBRC-3972 was used. Ten milliliters of the aqueous suspension with 10 7 to ϳ10 8 CFU/ml E. coli reacted with 90 ml of a silver ion solution for 30 min, 3 h, and 24 h. Viable cells were enumer-ated on an agar plate containing 1 g/liter glucose, 2.5 g/liter…","author":[{"dropping-particle":"","family":"Yamanaka","given":"Mikihiro","non-dropping-particle":"","parse-names":false,"suffix":""},{"dropping-particle":"","family":"Hara","given":"Keita","non-dropping-particle":"","parse-names":false,"suffix":""},{"dropping-particle":"","family":"Kudo","given":"Jun","non-dropping-particle":"","parse-names":false,"suffix":""}],"container-title":"Applied and Environment Microbiology","id":"ITEM-2","issue":"11","issued":{"date-parts":[["2005"]]},"page":"7589–7593","title":"Bactericidal Actions of a Silver Ion Solution on Escherichia coli, Studied by Energy-Filtering Transmission Electron Microscopy and Proteomic Analysis","type":"article-journal","volume":"71"},"uris":["http://www.mendeley.com/documents/?uuid=0d45c7f9-8fec-4051-8db7-6cd64fe62cbe"]},{"id":"ITEM-3","itemData":{"DOI":"10.1021/bi0508542","ISBN":"0006-2960","ISSN":"00062960","PMID":"16185089","abstract":"Electrochemical techniques were used to study the behavior of Escherichia coli on the addition ofe10 µMAgNO3. Respiration in the presence of glucose was measured using a Clark ultramicroelectrode to determine the oxygen concentration as a function of time. The rate of respiration increased initially upon the addition of silver(I) because of the uncoupling of the respiratory chain, followed by cessation of respiration. The toxicity of 1 µMAgNO3, as determined by the time until respiration ceased, increased in the absence of glucose and in the presence of K+. The uptake of 1 µMAg+, measured from the stripping peak height of Ag electrodeposited on a 25 µm Pt ultramicroelectrode, showed a fastest uptake in the presence of glucose, although glucose was not required for uptake. Efflux of Ag+ from cells was also detected in the presence of glucose. Scanning electrochemical microscopy (SECM) was used to follow the uptake of 1 µMAg+ by living and dead E. coli immobilized on a glass slide coated with poly-L- lysine. Ferricyanide was used as an alternative electron acceptor to oxygen to probe the site of inhibition of Ag+ in the respiratory chain.","author":[{"dropping-particle":"","family":"Holt","given":"Katherine B.","non-dropping-particle":"","parse-names":false,"suffix":""},{"dropping-particle":"","family":"Bard","given":"Allen J.","non-dropping-particle":"","parse-names":false,"suffix":""}],"container-title":"Biochemistry","id":"ITEM-3","issue":"39","issued":{"date-parts":[["2005"]]},"page":"13214-13223","title":"Interaction of silver(I) ions with the respiratory chain of Escherichia coli: An electrochemical and scanning electrochemical microscopy study of the antimicrobial mechanism of micromolar Ag","type":"article-journal","volume":"44"},"uris":["http://www.mendeley.com/documents/?uuid=781ed7f0-77ad-4405-aabc-8a1323bea49b"]},{"id":"ITEM-4","itemData":{"DOI":"10.1128/AEM.02001-07","ISSN":"1098-5336","PMID":"18245232","abstract":"The antibacterial effect and mechanism of action of a silver ion solution that was electrically generated were investigated for Staphylococcus aureus and Escherichia coli by analyzing the growth, morphology, and ultrastructure of the bacterial cells following treatment with the silver ion solution. Bacteria were exposed to the silver ion solution for various lengths of time, and the antibacterial effect of the solution was tested using the conventional plate count method and flow cytometric (FC) analysis. Reductions of more than 5 log(10) CFU/ml of both S. aureus and E. coli bacteria were confirmed after 90 min of treatment with the silver ion solution. Significant reduction of S. aureus and E. coli cells was also observed by FC analysis; however, the reduction rate determined by FC analysis was less than that determined by the conventional plate count method. These differences may be attributed to the presence of bacteria in an active but nonculturable (ABNC) state after treatment with the silver ion solution. Transmission electron microscopy showed considerable changes in the bacterial cell membranes upon silver ion treatment, which might be the cause or consequence of cell death. In conclusion, the results of the present study suggest that silver ions may cause S. aureus and E. coli bacteria to reach an ABNC state and eventually die.","author":[{"dropping-particle":"","family":"Jung","given":"Woo Kyung","non-dropping-particle":"","parse-names":false,"suffix":""},{"dropping-particle":"","family":"Koo","given":"Hye Cheong","non-dropping-particle":"","parse-names":false,"suffix":""},{"dropping-particle":"","family":"Kim","given":"Ki Woo","non-dropping-particle":"","parse-names":false,"suffix":""},{"dropping-particle":"","family":"Shin","given":"Sook","non-dropping-particle":"","parse-names":false,"suffix":""},{"dropping-particle":"","family":"Kim","given":"So Hyun","non-dropping-particle":"","parse-names":false,"suffix":""},{"dropping-particle":"","family":"Park","given":"Yong Ho","non-dropping-particle":"","parse-names":false,"suffix":""}],"container-title":"Applied and environmental microbiology","id":"ITEM-4","issue":"7","issued":{"date-parts":[["2008"]]},"note":"1ppm = 1mg/L\n\n0.2ppm = 0.2mg/L (~1.85uM)\n\nAg MW = 107.9","page":"2171-8","title":"Antibacterial activity and mechanism of action of the silver ion in Staphylococcus aureus and Escherichia coli.","type":"article-journal","volume":"74"},"uris":["http://www.mendeley.com/documents/?uuid=455a1338-6b8b-4cd9-8603-8d176b999ab6"]},{"id":"ITEM-5","itemData":{"DOI":"10.1111/lam.12015","ISBN":"0266-8254","ISSN":"02668254","PMID":"23083417","abstract":"The study was carried out to understand the effect of silversilica nanocomposite (AgSiO2NC) on the cell wall integrity, metabolism and genetic stability of Pseudomonas aeruginosa, a multiple drug-resistant bacterium. Bacterial sensitivity towards antibiotics and AgSiO2NC was studied using standard disc diffusion and death rate assay, respectively. The effect of AgSiO2NC on cell wall integrity was monitored using SDS assay and fatty acid profile analysis, while the effect on metabolism and genetic stability was assayed microscopically, using CTC viability staining and comet assay, respectively. Pseudomonas aeruginosa was found to be resistant to beta-lactamase, glycopeptidase, sulfonamide, quinolones, nitrofurantoin and macrolides classes of antibiotics. Complete mortality of the bacterium was achieved with 80 mu gml-1 concentration of AgSiO2NC. The cell wall integrity reduced with increasing time and reached a plateau of 70% in 110min. Changes were also noticed in the proportion of fatty acids after the treatment. Inside the cytoplasm, a complete inhibition of electron transport system was achieved with 100 mu gml-1 AgSiO2NC, followed by DNA breakage. The study thus demonstrates that AgSiO2NC invades the cytoplasm of the multiple drug-resistant P.aeruginosa by impinging upon the cell wall integrity and kills the cells by interfering with electron transport chain and the genetic stability. Significance and Impact of Study Although the synthesis, structural characteristics and biofunction of silver nanoparticles are well understood, their application in antimicrobial therapy is still at its infancy as only a small number of microorganisms are tested to be sensitive to nanoparticles. A thorough knowledge of the mode of interaction of nanoparticles with bacteria at subcellular level is mandatory for any clinical application. The present study deals with the interactions of AgSiO2NC with the cell wall integrity, metabolism and genetic stability of Pseudomonas aeruginosa, which would contribute substantially in strengthening the therapeutic applications of silver nanoparticles.","author":[{"dropping-particle":"","family":"Anas","given":"A.","non-dropping-particle":"","parse-names":false,"suffix":""},{"dropping-particle":"","family":"Jiya","given":"J.","non-dropping-particle":"","parse-names":false,"suffix":""},{"dropping-particle":"","family":"Rameez","given":"M. J.","non-dropping-particle":"","parse-names":false,"suffix":""},{"dropping-particle":"","family":"Anand","given":"P. B.","non-dropping-particle":"","parse-names":false,"suffix":""},{"dropping-particle":"","family":"Anantharaman","given":"M. R.","non-dropping-particle":"","parse-names":false,"suffix":""},{"dropping-particle":"","family":"Nair","given":"S.","non-dropping-particle":"","parse-names":false,"suffix":""}],"container-title":"Letters in Applied Microbiology","id":"ITEM-5","issue":"1","issued":{"date-parts":[["2013"]]},"page":"57-62","title":"Sequential interactions of silver-silica nanocomposite (Ag-SiO2NC) with cell wall, metabolism and genetic stability of Pseudomonas aeruginosa, a multiple antibiotic-resistant bacterium","type":"article-journal","volume":"56"},"uris":["http://www.mendeley.com/documents/?uuid=9e982b1e-eeff-426d-a5b0-ab4afcc5f096"]}],"mendeley":{"formattedCitation":"&lt;sup&gt;16–20&lt;/sup&gt;","plainTextFormattedCitation":"16–20","previouslyFormattedCitation":"&lt;sup&gt;16–20&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16–20</w:t>
      </w:r>
      <w:r w:rsidRPr="00BC59F2">
        <w:rPr>
          <w:rFonts w:cs="Arial"/>
        </w:rPr>
        <w:fldChar w:fldCharType="end"/>
      </w:r>
      <w:r w:rsidR="00B03BB7" w:rsidRPr="00BC59F2">
        <w:rPr>
          <w:rFonts w:cs="Arial"/>
        </w:rPr>
        <w:t>.</w:t>
      </w:r>
      <w:r w:rsidRPr="00BC59F2">
        <w:rPr>
          <w:rFonts w:cs="Arial"/>
        </w:rPr>
        <w:t xml:space="preserve"> Currently, the application of silver to orthopaedic megaprostheses implanted during bone resection as a result of osteosarcoma has proven to reduce the incidence of infection in these compromised patients</w:t>
      </w:r>
      <w:r w:rsidR="00B03BB7" w:rsidRPr="00BC59F2">
        <w:rPr>
          <w:rFonts w:cs="Arial"/>
        </w:rPr>
        <w:t xml:space="preserve"> </w:t>
      </w:r>
      <w:r w:rsidRPr="00BC59F2">
        <w:rPr>
          <w:rFonts w:cs="Arial"/>
        </w:rPr>
        <w:fldChar w:fldCharType="begin" w:fldLock="1"/>
      </w:r>
      <w:r w:rsidR="00E37F00" w:rsidRPr="00BC59F2">
        <w:rPr>
          <w:rFonts w:cs="Arial"/>
        </w:rPr>
        <w:instrText>ADDIN CSL_CITATION {"citationItems":[{"id":"ITEM-1","itemData":{"DOI":"10.1002/jso.21498","ISSN":"00224790","PMID":"20119985","abstract":"BACKGROUND AND OBJECTIVES: The placement of megaprostheses in patients with bone sarcoma is associated with high rates of infection, despite prophylactic antibiotic administration. In individual cases, secondary amputation is unavoidable in the effort to cure infection. METHODS: The infection rate in 51 patients with sarcoma (proximal femur, n = 22; proximal tibia, n = 29) who underwent placement of a silver-coated megaprosthesis was assessed prospectively over a 5-year period, along with the treatment administered for infection. The infection rate was compared with the data for 74 patients in whom an uncoated titanium megaprosthesis (proximal femur, n = 33; proximal tibia, n = 41) was implanted. RESULTS: The infection rate was substantially reduced from 17.6% in the titanium to 5.9% in the silver group. Whereas 38.5% of patients in the titanium group ultimately had to undergo amputation when periprosthetic infection developed, these mutilating surgical procedures were not necessary in the study group. CONCLUSIONS: The use of silver-coated prostheses reduced the infection rate in the medium term. In addition, less aggressive treatment of infection was possible in the group with silver-coated prostheses. Further studies with longer term follow-up periods and larger numbers of patients are warranted in order to confirm these encouraging results.","author":[{"dropping-particle":"","family":"Hardes","given":"Jendrik","non-dropping-particle":"","parse-names":false,"suffix":""},{"dropping-particle":"","family":"Eiff","given":"Christof","non-dropping-particle":"Von","parse-names":false,"suffix":""},{"dropping-particle":"","family":"Streitbuerger","given":"Arne","non-dropping-particle":"","parse-names":false,"suffix":""},{"dropping-particle":"","family":"Balke","given":"Maurice","non-dropping-particle":"","parse-names":false,"suffix":""},{"dropping-particle":"","family":"Budny","given":"Tymoteus","non-dropping-particle":"","parse-names":false,"suffix":""},{"dropping-particle":"","family":"Henrichs","given":"Marcel P.","non-dropping-particle":"","parse-names":false,"suffix":""},{"dropping-particle":"","family":"Hauschild","given":"Gregor","non-dropping-particle":"","parse-names":false,"suffix":""},{"dropping-particle":"","family":"Ahrens","given":"Helmut","non-dropping-particle":"","parse-names":false,"suffix":""}],"container-title":"Journal of Surgical Oncology","id":"ITEM-1","issue":"5","issued":{"date-parts":[["2010"]]},"page":"389-395","title":"Reduction of periprosthetic infection with silver-coated megaprostheses in patients with bone sarcoma","type":"article-journal","volume":"101"},"uris":["http://www.mendeley.com/documents/?uuid=8b32abd0-1bf6-4866-ae0a-afd381dd7d75"]},{"id":"ITEM-2","itemData":{"DOI":"10.1302/0301-620X.97B2.34554","ISBN":"2049-4394","ISSN":"20494408","PMID":"25628291","abstract":"We conducted a case-control study to examine the merit of silver-coated tumour prostheses. We reviewed 85 patients with Agluna-treated (silver-coated) tumour implants treated between 2006 and 2011 and matched them with 85 control patients treated between 2001 and 2011 with identical, but uncoated, tumour prostheses. In all, 106 men and 64 women with a mean age of 42.2 years (18.4 to 90.4) were included in the study. There were 50 primary reconstructions (29.4%); 79 one-stage revisions (46.5%) and 41 two-stage revisions for infection (24.1%).The overall post-operative infection rate of the silver-coated group was 11.8% compared with 22.4% for the control group (p = 0.033, chi-square test). A total of seven of the ten infected prostheses in the silver-coated group were treated successfully with debridement, antibiotics, and implant retention compared with only six of the 19 patients (31.6%) in the control group (p = 0.048, chi-square test). Three patients in the silver-coated group (3.5%) and 13 controls (15.3%) had chronic periprosthetic infection (p = 0.009, chi-square test).The overall success rates in controlling infection by two-stage revision in the silver-coated group was 85% (17/20) compared with 57.1% (12/21) in the control group (p = 0.05, chi-square test). The Agluna-treated endoprostheses were associated with a lower rate of early periprosthetic infection. These silver-treated implants were particularly useful in two-stage revisions for infection and in those patients with incidental positive cultures at the time of implantation of the prosthesis. Debridement with antibiotic treatment and retention of the implant appeared to be more successful with silver-coated implants.Cite this article: Bone Joint J 2015;97-B:252–7.","author":[{"dropping-particle":"","family":"Wafa","given":"H.","non-dropping-particle":"","parse-names":false,"suffix":""},{"dropping-particle":"","family":"Grimer","given":"R. J.","non-dropping-particle":"","parse-names":false,"suffix":""},{"dropping-particle":"","family":"Reddy","given":"K.","non-dropping-particle":"","parse-names":false,"suffix":""},{"dropping-particle":"","family":"Jeys","given":"L.","non-dropping-particle":"","parse-names":false,"suffix":""},{"dropping-particle":"","family":"Abudu","given":"A.","non-dropping-particle":"","parse-names":false,"suffix":""},{"dropping-particle":"","family":"Carter","given":"S. R.","non-dropping-particle":"","parse-names":false,"suffix":""},{"dropping-particle":"","family":"Tillman","given":"R. M.","non-dropping-particle":"","parse-names":false,"suffix":""}],"container-title":"The Bone &amp; Joint Journal","id":"ITEM-2","issue":"2","issued":{"date-parts":[["2015"]]},"page":"252-257","title":"Retrospective evaluation of the incidence of early periprosthetic infection with silver-treated endoprostheses in high-risk patients: Case-control study","type":"article-journal","volume":"97-B"},"uris":["http://www.mendeley.com/documents/?uuid=c19f7b0d-d162-45d3-89fe-450293ac6f54"]},{"id":"ITEM-3","itemData":{"DOI":"10.1155/2016/9079041","ISSN":"23146141","PMID":"27642605","abstract":"Silver coating has demonstrated good antimicrobial activity and low toxicity. Silver-coated megaprostheses have been introduced in oncological musculoskeletal surgery considering the high rate of infection. We conducted a retrospective analysis on 68 cases of primary or metastatic bone tumors, affecting the proximal femur, treated between 2005 and 2016 with wide margins resection and tumor implants reconstruction. All patients were treated by the same surgeon, with antibiotic prophylaxis according to a standard protocol. In 55.9% of patients silver-coated hip hemiarthroplasty was implanted; in the remaining 44.1% uncoated megaprostheses were implanted. Patients were reevaluated recording the complications and focusing the analysis on infective complications. The average follow-up was 46.5 months. No patient has shown any sign of local or general silver toxicity. A SEM analysis was conducted on the 3-silver-coated hip hemiarthroplasty explanted confirming a severe degradation with a small amount of residual silver on the coating surface. Silver-coated hip prostheses have a lower rate of early infection than traditional implants but showed a reduction of antimicrobial activity for silver coating wear. We recommend using silver-coated prosthesis as primary implants for limb salvage surgery, in primary or metastatic bone tumors affecting the proximal femur, considering the absence of signs of toxicity and the lower rate of early infection.","author":[{"dropping-particle":"","family":"Donati","given":"F.","non-dropping-particle":"","parse-names":false,"suffix":""},{"dropping-particle":"","family":"Giacomo","given":"G.","non-dropping-particle":"Di","parse-names":false,"suffix":""},{"dropping-particle":"","family":"D'Adamio","given":"S.","non-dropping-particle":"","parse-names":false,"suffix":""},{"dropping-particle":"","family":"Ziranu","given":"A.","non-dropping-particle":"","parse-names":false,"suffix":""},{"dropping-particle":"","family":"Careri","given":"S.","non-dropping-particle":"","parse-names":false,"suffix":""},{"dropping-particle":"","family":"Rosa","given":"M. A.","non-dropping-particle":"","parse-names":false,"suffix":""},{"dropping-particle":"","family":"Maccauro","given":"G.","non-dropping-particle":"","parse-names":false,"suffix":""}],"container-title":"BioMed Research International","id":"ITEM-3","issued":{"date-parts":[["2016"]]},"title":"Silver-Coated Hip Megaprosthesis in Oncological Limb Savage Surgery","type":"article-journal","volume":"2016"},"uris":["http://www.mendeley.com/documents/?uuid=0023d6c4-2d7c-4844-b533-1d315dcd7c7a"]}],"mendeley":{"formattedCitation":"&lt;sup&gt;21–23&lt;/sup&gt;","plainTextFormattedCitation":"21–23","previouslyFormattedCitation":"&lt;sup&gt;21–23&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21–23</w:t>
      </w:r>
      <w:r w:rsidRPr="00BC59F2">
        <w:rPr>
          <w:rFonts w:cs="Arial"/>
        </w:rPr>
        <w:fldChar w:fldCharType="end"/>
      </w:r>
      <w:r w:rsidR="00B03BB7" w:rsidRPr="00BC59F2">
        <w:rPr>
          <w:rFonts w:cs="Arial"/>
        </w:rPr>
        <w:t>.</w:t>
      </w:r>
      <w:r w:rsidRPr="00BC59F2">
        <w:rPr>
          <w:rFonts w:cs="Arial"/>
        </w:rPr>
        <w:t xml:space="preserve"> The application of silver to orthopaedic trauma devices such as intramedullary nails, could therefore have a similar clinical impact. </w:t>
      </w:r>
    </w:p>
    <w:p w14:paraId="755B86AD" w14:textId="066F9F55" w:rsidR="00E46428" w:rsidRPr="00BC59F2" w:rsidRDefault="00B1120F" w:rsidP="00476FA4">
      <w:pPr>
        <w:spacing w:before="0" w:after="160" w:line="276" w:lineRule="auto"/>
        <w:contextualSpacing/>
        <w:jc w:val="left"/>
        <w:rPr>
          <w:rFonts w:cs="Arial"/>
        </w:rPr>
      </w:pPr>
      <w:r w:rsidRPr="00BC59F2">
        <w:rPr>
          <w:rFonts w:cs="Arial"/>
        </w:rPr>
        <w:t>Fracture repair requires the action of immune cells, chondrocytes and osteoblasts, the numbers and regulation of which are influenced by</w:t>
      </w:r>
      <w:r w:rsidR="008B6EA9" w:rsidRPr="00BC59F2">
        <w:rPr>
          <w:rFonts w:cs="Arial"/>
        </w:rPr>
        <w:t xml:space="preserve"> mesenchymal stem</w:t>
      </w:r>
      <w:r w:rsidR="00825251" w:rsidRPr="00BC59F2">
        <w:rPr>
          <w:rFonts w:cs="Arial"/>
        </w:rPr>
        <w:t>/stromal</w:t>
      </w:r>
      <w:r w:rsidR="008B6EA9" w:rsidRPr="00BC59F2">
        <w:rPr>
          <w:rFonts w:cs="Arial"/>
        </w:rPr>
        <w:t xml:space="preserve"> cells</w:t>
      </w:r>
      <w:r w:rsidRPr="00BC59F2">
        <w:rPr>
          <w:rFonts w:cs="Arial"/>
        </w:rPr>
        <w:t xml:space="preserve"> </w:t>
      </w:r>
      <w:r w:rsidR="008B6EA9" w:rsidRPr="00BC59F2">
        <w:rPr>
          <w:rFonts w:cs="Arial"/>
        </w:rPr>
        <w:t>(</w:t>
      </w:r>
      <w:r w:rsidRPr="00BC59F2">
        <w:rPr>
          <w:rFonts w:cs="Arial"/>
        </w:rPr>
        <w:t>MSCs</w:t>
      </w:r>
      <w:r w:rsidR="008B6EA9" w:rsidRPr="00BC59F2">
        <w:rPr>
          <w:rFonts w:cs="Arial"/>
        </w:rPr>
        <w:t>)</w:t>
      </w:r>
      <w:r w:rsidRPr="00BC59F2">
        <w:rPr>
          <w:rFonts w:cs="Arial"/>
        </w:rPr>
        <w:t xml:space="preserve"> that act as a source or progenitors, giving rise to </w:t>
      </w:r>
      <w:r w:rsidR="00B03BB7" w:rsidRPr="00BC59F2">
        <w:rPr>
          <w:rFonts w:cs="Arial"/>
        </w:rPr>
        <w:t>reparative osteochondral tissue</w:t>
      </w:r>
      <w:r w:rsidRPr="00BC59F2">
        <w:rPr>
          <w:rFonts w:cs="Arial"/>
        </w:rPr>
        <w:t xml:space="preserve"> </w:t>
      </w:r>
      <w:r w:rsidRPr="00BC59F2">
        <w:rPr>
          <w:rFonts w:cs="Arial"/>
        </w:rPr>
        <w:fldChar w:fldCharType="begin" w:fldLock="1"/>
      </w:r>
      <w:r w:rsidR="00E37F00" w:rsidRPr="00BC59F2">
        <w:rPr>
          <w:rFonts w:cs="Arial"/>
        </w:rPr>
        <w:instrText>ADDIN CSL_CITATION {"citationItems":[{"id":"ITEM-1","itemData":{"DOI":"10.1016/j.injury.2007.02.007","ISBN":"0020-1383 (Print)\\r0020-1383 (Linking)","ISSN":"00201383","PMID":"17383482","abstract":"The maintenance of stable bone mass during adult life, following rapid skeletal growth during childhood, is the result of a carefully controlled balance between the activities of bone forming (osteoblast) and bone resorbing (osteoclast) cells. Although skeletal turnover continues throughout adult life, the net effect of formation and resorption on bone mass is zero in healthy individuals. Later in life, bone mass begins to fall as resorption outpaces formation, particularly in post-menopausal women, which leads to increased fracture risk. The opposing actions of these two cell types are coupled by molecular interactions between them that are thought to be influenced by the actions of the precursor cells of the osteoblast lineage, mesenchymal stem cells (MSCs). In addition to regulating normal skeletal homeostasis, MSCs also play an important role in fracture repair. Bone fracture or injury initiates a series of cellular and molecular pathways that commence with hematoma formation and an inflammatory cascade that regulates MSCs activity leading to fracture healing and the reestablishment of skeletal integrity. Although tremendous strides have been made in increasing our understanding of bone biology, there is surprisingly little data about the role of MSCs in vivo in the maintenance of skeletal integrity or fracture repair. In recent years, the pivotal importance of anabolic therapies in the setting of osteoporosis in which bone mass is substantially increased above and beyond what is attainable with the bisphosphonate class of drugs has put MSC biology firmly on the scientific agenda. Although the biology of cultured MSCs is reasonably well understood, the biology of MSCs in vivo in both bone turnover and fracture repair remains poorly understood. The recent phenotypic characterization of in vivo MSCs and the ability to prospectively purify such cells will open up new avenues of research into a better understanding of the role of MSCs in bone turnover. The purpose of this article is to review bone and fracture biology from the perspective of recent advances in our understanding of MSCs and to highlight the major deficiencies in our current knowledge. ?? 2007.","author":[{"dropping-particle":"","family":"Bielby","given":"Robert","non-dropping-particle":"","parse-names":false,"suffix":""},{"dropping-particle":"","family":"Jones","given":"Elena","non-dropping-particle":"","parse-names":false,"suffix":""},{"dropping-particle":"","family":"McGonagle","given":"Dennis","non-dropping-particle":"","parse-names":false,"suffix":""}],"container-title":"Injury","id":"ITEM-1","issue":"SUPPL. 1","issued":{"date-parts":[["2007"]]},"title":"The role of mesenchymal stem cells in maintenance and repair of bone","type":"article-journal","volume":"38"},"uris":["http://www.mendeley.com/documents/?uuid=e8662f33-bb75-4a17-af01-850c9d227403"]}],"mendeley":{"formattedCitation":"&lt;sup&gt;24&lt;/sup&gt;","plainTextFormattedCitation":"24","previouslyFormattedCitation":"&lt;sup&gt;24&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24</w:t>
      </w:r>
      <w:r w:rsidRPr="00BC59F2">
        <w:rPr>
          <w:rFonts w:cs="Arial"/>
        </w:rPr>
        <w:fldChar w:fldCharType="end"/>
      </w:r>
      <w:r w:rsidR="00B03BB7" w:rsidRPr="00BC59F2">
        <w:rPr>
          <w:rFonts w:cs="Arial"/>
        </w:rPr>
        <w:t xml:space="preserve">. </w:t>
      </w:r>
      <w:r w:rsidR="00E46428" w:rsidRPr="00BC59F2">
        <w:rPr>
          <w:rFonts w:cs="Arial"/>
        </w:rPr>
        <w:t xml:space="preserve">MSCs are supplied to the fracture site from the surrounding soft tissue, periosteum and bone marrow, all or which may be disrupted in a </w:t>
      </w:r>
      <w:r w:rsidRPr="00BC59F2">
        <w:rPr>
          <w:rFonts w:cs="Arial"/>
        </w:rPr>
        <w:t>severe</w:t>
      </w:r>
      <w:r w:rsidR="00E46428" w:rsidRPr="00BC59F2">
        <w:rPr>
          <w:rFonts w:cs="Arial"/>
        </w:rPr>
        <w:t xml:space="preserve"> fracture, therefore preservation of existing MSC populations and their function is of importance</w:t>
      </w:r>
      <w:r w:rsidR="00B03BB7" w:rsidRPr="00BC59F2">
        <w:rPr>
          <w:rFonts w:cs="Arial"/>
        </w:rPr>
        <w:t xml:space="preserve"> </w:t>
      </w:r>
      <w:r w:rsidR="00E46428" w:rsidRPr="00BC59F2">
        <w:rPr>
          <w:rFonts w:cs="Arial"/>
        </w:rPr>
        <w:fldChar w:fldCharType="begin" w:fldLock="1"/>
      </w:r>
      <w:r w:rsidR="00E37F00" w:rsidRPr="00BC59F2">
        <w:rPr>
          <w:rFonts w:cs="Arial"/>
        </w:rPr>
        <w:instrText>ADDIN CSL_CITATION {"citationItems":[{"id":"ITEM-1","itemData":{"DOI":"10.1016/j.injury.2011.03.031.THE","author":[{"dropping-particle":"","family":"Marsell","given":"Richard","non-dropping-particle":"","parse-names":false,"suffix":""},{"dropping-particle":"","family":"Einhorn","given":"Thomas A.","non-dropping-particle":"","parse-names":false,"suffix":""}],"container-title":"Injury","id":"ITEM-1","issue":"6","issued":{"date-parts":[["2011"]]},"page":"551-555","title":"The biology of fracture healing","type":"article-journal","volume":"42"},"uris":["http://www.mendeley.com/documents/?uuid=42dde72d-ce4f-4e22-8f40-63ef31c73429"]}],"mendeley":{"formattedCitation":"&lt;sup&gt;25&lt;/sup&gt;","plainTextFormattedCitation":"25","previouslyFormattedCitation":"&lt;sup&gt;25&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25</w:t>
      </w:r>
      <w:r w:rsidR="00E46428" w:rsidRPr="00BC59F2">
        <w:rPr>
          <w:rFonts w:cs="Arial"/>
        </w:rPr>
        <w:fldChar w:fldCharType="end"/>
      </w:r>
      <w:r w:rsidR="00B03BB7" w:rsidRPr="00BC59F2">
        <w:rPr>
          <w:rFonts w:cs="Arial"/>
        </w:rPr>
        <w:t>.</w:t>
      </w:r>
      <w:r w:rsidR="00E46428" w:rsidRPr="00BC59F2">
        <w:rPr>
          <w:rFonts w:cs="Arial"/>
        </w:rPr>
        <w:t xml:space="preserve"> </w:t>
      </w:r>
      <w:r w:rsidR="00772ECF" w:rsidRPr="00BC59F2">
        <w:rPr>
          <w:rFonts w:cs="Arial"/>
        </w:rPr>
        <w:t>Specifically, the impact of silver ions</w:t>
      </w:r>
      <w:r w:rsidR="00E46428" w:rsidRPr="00BC59F2">
        <w:rPr>
          <w:rFonts w:cs="Arial"/>
        </w:rPr>
        <w:t xml:space="preserve"> </w:t>
      </w:r>
      <w:r w:rsidR="00EF2BD0" w:rsidRPr="00BC59F2">
        <w:rPr>
          <w:rFonts w:cs="Arial"/>
        </w:rPr>
        <w:t>(Ag</w:t>
      </w:r>
      <w:r w:rsidR="00EF2BD0" w:rsidRPr="00BC59F2">
        <w:rPr>
          <w:rFonts w:cs="Arial"/>
          <w:vertAlign w:val="superscript"/>
        </w:rPr>
        <w:t>+</w:t>
      </w:r>
      <w:r w:rsidR="00EF2BD0" w:rsidRPr="00BC59F2">
        <w:rPr>
          <w:rFonts w:cs="Arial"/>
        </w:rPr>
        <w:t>) o</w:t>
      </w:r>
      <w:r w:rsidR="00E46428" w:rsidRPr="00BC59F2">
        <w:rPr>
          <w:rFonts w:cs="Arial"/>
        </w:rPr>
        <w:t>n repair of the fracture site and the subsequent generation of ROS that also occurs in eukaryotic cells</w:t>
      </w:r>
      <w:r w:rsidR="00772ECF" w:rsidRPr="00BC59F2">
        <w:rPr>
          <w:rFonts w:cs="Arial"/>
        </w:rPr>
        <w:t>, needs to be considered</w:t>
      </w:r>
      <w:r w:rsidR="00B04A27" w:rsidRPr="00BC59F2">
        <w:rPr>
          <w:rFonts w:cs="Arial"/>
        </w:rPr>
        <w:t xml:space="preserve">, </w:t>
      </w:r>
      <w:r w:rsidR="008B6EA9" w:rsidRPr="00BC59F2">
        <w:rPr>
          <w:rFonts w:cs="Arial"/>
        </w:rPr>
        <w:t>particularly</w:t>
      </w:r>
      <w:r w:rsidRPr="00BC59F2">
        <w:rPr>
          <w:rFonts w:cs="Arial"/>
        </w:rPr>
        <w:t xml:space="preserve"> since</w:t>
      </w:r>
      <w:r w:rsidR="00E46428" w:rsidRPr="00BC59F2">
        <w:rPr>
          <w:rFonts w:cs="Arial"/>
        </w:rPr>
        <w:t xml:space="preserve"> the level of ROS can affect the lineage divergence of MSCs, with decreased osteogenesis occurring under </w:t>
      </w:r>
      <w:r w:rsidR="00E46428" w:rsidRPr="00BC59F2">
        <w:rPr>
          <w:rFonts w:cs="Arial"/>
          <w:i/>
        </w:rPr>
        <w:t>in vitro</w:t>
      </w:r>
      <w:r w:rsidR="00E46428" w:rsidRPr="00BC59F2">
        <w:rPr>
          <w:rFonts w:cs="Arial"/>
        </w:rPr>
        <w:t xml:space="preserve"> conditions of oxidative stress</w:t>
      </w:r>
      <w:r w:rsidR="00B03BB7" w:rsidRPr="00BC59F2">
        <w:rPr>
          <w:rFonts w:cs="Arial"/>
        </w:rPr>
        <w:t xml:space="preserve"> </w:t>
      </w:r>
      <w:r w:rsidR="00B04A27" w:rsidRPr="00BC59F2">
        <w:rPr>
          <w:rFonts w:cs="Arial"/>
        </w:rPr>
        <w:fldChar w:fldCharType="begin" w:fldLock="1"/>
      </w:r>
      <w:r w:rsidR="00E37F00" w:rsidRPr="00BC59F2">
        <w:rPr>
          <w:rFonts w:cs="Arial"/>
        </w:rPr>
        <w:instrText>ADDIN CSL_CITATION {"citationItems":[{"id":"ITEM-1","itemData":{"DOI":"10.1016/j.lfs.2011.06.007","ISBN":"1879-0631 (Electronic)\\r0024-3205 (Linking)","ISSN":"00243205","PMID":"21722651","abstract":"Aims: Mesenchymal stem cells (MSC) have the potential to differentiate into various cell lineages, including adipocytes and osteoblasts. The formation of adipose tissue involves the commitment of MSC to the preadipocyte lineage and the differentiation of preadipocytes into mature adipocytes. In the present study, we investigated the involvement of reactive oxygen species (ROS) in adipocyte differentiation from MSC. Main methods: ROS signaling was evaluated by the effects of antioxidant N-acetyl-l-cysteine (NAC) or shRNA against NAD(P)H oxidase in the multipotent mesenchymal stem cell line 10T1/2 cells. Intracellular ROS was measured using an H2DCF dye. Key findings: We found that NAC blocked adipocyte differentiation in MSC. An H2DCF assay revealed that differentiation-inducing agents induced ROS generation. These data suggest that ROS is involved in adipocyte differentiation in MSC. Next, we examined the source of ROS. Knockdown of NAD(P)H oxidase 4 (Nox4) by RNA interference inhibited ROS production and adipocyte differentiation by differentiation-inducing agents. Furthermore, treatment with NAC blocked the transcriptional activation of CREB, and the expression of dominant-negative mutants of CREB inhibited adipocyte differentiation. Significance: The findings suggest that the increase in the intracellular ROS level via Nox4 mediates adipocyte differentiation through CREB in MSC. This data will provide new insight into the drug development for obesity. © 2011 Elsevier Inc. All rights reserved.","author":[{"dropping-particle":"","family":"Kanda","given":"Yasunari","non-dropping-particle":"","parse-names":false,"suffix":""},{"dropping-particle":"","family":"Hinata","given":"Takashi","non-dropping-particle":"","parse-names":false,"suffix":""},{"dropping-particle":"","family":"Kang","given":"Sang Won","non-dropping-particle":"","parse-names":false,"suffix":""},{"dropping-particle":"","family":"Watanabe","given":"Yasuhiro","non-dropping-particle":"","parse-names":false,"suffix":""}],"container-title":"Life Sciences","id":"ITEM-1","issue":"7-8","issued":{"date-parts":[["2011"]]},"page":"250-258","publisher":"Elsevier Inc.","title":"Reactive oxygen species mediate adipocyte differentiation in mesenchymal stem cells","type":"article-journal","volume":"89"},"uris":["http://www.mendeley.com/documents/?uuid=427a653a-0e3c-456a-8630-f45ac35b1752"]},{"id":"ITEM-2","itemData":{"DOI":"10.1016/j.freeradbiomed.2006.01.023","author":[{"dropping-particle":"","family":"Yoshimaru","given":"Tetsuro","non-dropping-particle":"","parse-names":false,"suffix":""},{"dropping-particle":"","family":"Suzuki","given":"Yoshihiro","non-dropping-particle":"","parse-names":false,"suffix":""},{"dropping-particle":"","family":"Inoue","given":"Toshio","non-dropping-particle":"","parse-names":false,"suffix":""},{"dropping-particle":"","family":"Niide","given":"Osamu","non-dropping-particle":"","parse-names":false,"suffix":""},{"dropping-particle":"","family":"Ra","given":"Chisei","non-dropping-particle":"","parse-names":false,"suffix":""}],"container-title":"Free Radical Biology &amp; Medicine","id":"ITEM-2","issued":{"date-parts":[["2006"]]},"page":"1949-1959","title":"Silver activates mast cells through reactive oxygen species production and a thiol-sensitive store-independent Ca2+ influx","type":"article-journal","volume":"40"},"uris":["http://www.mendeley.com/documents/?uuid=673af2c8-8bd9-4cfc-8c64-bba34a0191b9"]},{"id":"ITEM-3","itemData":{"DOI":"10.1016/j.freeradbiomed.2009.08.023","abstract":"Silver compounds used as topical antimicrobial agents are known to exert toxic effects on skin cells. The aim of this study was to investigate whether the toxicity of silver ions, in analogy to other transition metal ions, depends on pro-oxidant effects. We treated human skin fibroblasts with concentrations of AgNO3 not affecting cell proliferation, mitochondrial activity, or cell viability and found that Ag+ strongly increases the production of reactive oxygen species, including superoxide anion radicals. These effects correspond to a strong decrease in intracellular reduced glutathione and to an increased susceptibility to H2O2-induced cell death. In addition, AgNO3 down-regulates the expression of antioxidant genes such as the transcription factor Nrf2 and its target gene glutamate–cysteine ligase catalytic subunit. Furthermore Ag+ induces a transient intracellular zinc release and increases the mRNA and protein expression of the zinc-binding protein metallothionein by activating the metal-responsive transcription factor 1, as verified by RNA interference. In conclusion, we show for the first time that Ag+ induces oxidative stress and affects intracellular zinc homeostasis in human skin fibroblasts. The understanding of the mechanism involved in silver toxicity might contribute to new strategies for managing the therapy of skin infections.","author":[{"dropping-particle":"","family":"Cortese-Krott","given":"Miriam M","non-dropping-particle":"","parse-names":false,"suffix":""},{"dropping-particle":"","family":"Münchow","given":"Meike","non-dropping-particle":"","parse-names":false,"suffix":""},{"dropping-particle":"","family":"Pirev","given":"Elvis","non-dropping-particle":"","parse-names":false,"suffix":""},{"dropping-particle":"","family":"He","given":"Florian","non-dropping-particle":"","parse-names":false,"suffix":""},{"dropping-particle":"","family":"Bozkurt","given":"Ahmed","non-dropping-particle":"","parse-names":false,"suffix":""},{"dropping-particle":"","family":"Uciechowski","given":"Peter","non-dropping-particle":"","parse-names":false,"suffix":""},{"dropping-particle":"","family":"Pallua","given":"Norbert","non-dropping-particle":"","parse-names":false,"suffix":""},{"dropping-particle":"","family":"Kröncke","given":"Klaus-d","non-dropping-particle":"","parse-names":false,"suffix":""},{"dropping-particle":"V","family":"Suschek","given":"Christoph","non-dropping-particle":"","parse-names":false,"suffix":""}],"container-title":"Free Radical Biology &amp; Medicine","id":"ITEM-3","issued":{"date-parts":[["2009"]]},"note":"AgNO3 at sub-lethal doses not affecting proliferation, mitochondrial activity \n\n\n\n\nHuman skin fibroblasts\n\n\n\n\nUnclear if stated conc. of AgNO3 is Ag conc or AgNO3 conc. Probably AgNO3 (see Figure 1)\n- AgNO3 MW = 169.87 (Ag = 107.86)\n\n\n\n\nAnalysed:\nRT-PCR\nROS staining \nIntracellular glutathione (GSH)\nWestern blot\n\n\n\n\nResults:\nDownregulated antioxidant genes\nIncreased ROS\nReduced GSH\nIncreased MT expression - protein scavanger of heavy metal ions\n\n\n\n\nMention the effect of phenol red on interaction with ions, but discounted.\nSerum decreased ion toxicity\nAg+ enter 3T3 fibroblasts via voltage-sensitive potassium channel (Ref 35)","page":"1570-1577","title":"Silver ions induce oxidative stress and intracellular zinc release in human skin fibroblasts","type":"article-journal","volume":"47"},"uris":["http://www.mendeley.com/documents/?uuid=a23006b2-318f-4c5d-82c2-b33100979268"]}],"mendeley":{"formattedCitation":"&lt;sup&gt;26–28&lt;/sup&gt;","plainTextFormattedCitation":"26–28","previouslyFormattedCitation":"&lt;sup&gt;26–28&lt;/sup&gt;"},"properties":{"noteIndex":0},"schema":"https://github.com/citation-style-language/schema/raw/master/csl-citation.json"}</w:instrText>
      </w:r>
      <w:r w:rsidR="00B04A27" w:rsidRPr="00BC59F2">
        <w:rPr>
          <w:rFonts w:cs="Arial"/>
        </w:rPr>
        <w:fldChar w:fldCharType="separate"/>
      </w:r>
      <w:r w:rsidR="00E37F00" w:rsidRPr="00BC59F2">
        <w:rPr>
          <w:rFonts w:cs="Arial"/>
          <w:noProof/>
          <w:vertAlign w:val="superscript"/>
        </w:rPr>
        <w:t>26–28</w:t>
      </w:r>
      <w:r w:rsidR="00B04A27" w:rsidRPr="00BC59F2">
        <w:rPr>
          <w:rFonts w:cs="Arial"/>
        </w:rPr>
        <w:fldChar w:fldCharType="end"/>
      </w:r>
      <w:r w:rsidR="00B03BB7" w:rsidRPr="00BC59F2">
        <w:rPr>
          <w:rFonts w:cs="Arial"/>
        </w:rPr>
        <w:t>.</w:t>
      </w:r>
    </w:p>
    <w:p w14:paraId="5C92420A" w14:textId="55783EA7" w:rsidR="00825F8F" w:rsidRPr="00BC59F2" w:rsidRDefault="00BC2A3C" w:rsidP="00476FA4">
      <w:pPr>
        <w:spacing w:before="0" w:after="160" w:line="276" w:lineRule="auto"/>
        <w:contextualSpacing/>
        <w:jc w:val="left"/>
        <w:rPr>
          <w:rFonts w:cs="Arial"/>
        </w:rPr>
      </w:pPr>
      <w:r w:rsidRPr="00BC59F2">
        <w:rPr>
          <w:rFonts w:cs="Arial"/>
        </w:rPr>
        <w:t>Here, we determined the Ag</w:t>
      </w:r>
      <w:r w:rsidRPr="00BC59F2">
        <w:rPr>
          <w:rFonts w:cs="Arial"/>
          <w:vertAlign w:val="superscript"/>
        </w:rPr>
        <w:t>+</w:t>
      </w:r>
      <w:r w:rsidRPr="00BC59F2">
        <w:rPr>
          <w:rFonts w:cs="Arial"/>
        </w:rPr>
        <w:t xml:space="preserve"> release profile from intramedullary implants to identify how exposure to relevant </w:t>
      </w:r>
      <w:r w:rsidRPr="00BC59F2">
        <w:rPr>
          <w:rFonts w:cs="Arial"/>
          <w:i/>
        </w:rPr>
        <w:t>in vivo</w:t>
      </w:r>
      <w:r w:rsidRPr="00BC59F2">
        <w:rPr>
          <w:rFonts w:cs="Arial"/>
        </w:rPr>
        <w:t xml:space="preserve"> concentrations of silver ions affected MSC function and survival responses </w:t>
      </w:r>
      <w:r w:rsidRPr="00BC59F2">
        <w:rPr>
          <w:rFonts w:cs="Arial"/>
          <w:i/>
        </w:rPr>
        <w:t>in vitro</w:t>
      </w:r>
      <w:r w:rsidRPr="00BC59F2">
        <w:rPr>
          <w:rFonts w:cs="Arial"/>
        </w:rPr>
        <w:t>. Our findings provide insight into the potential clinical use of this metal for biofilm prevention in orthopaedic trauma situations.</w:t>
      </w:r>
    </w:p>
    <w:p w14:paraId="3853D811" w14:textId="77777777" w:rsidR="00E46428" w:rsidRPr="00BC59F2" w:rsidRDefault="00E46428" w:rsidP="00476FA4">
      <w:pPr>
        <w:pStyle w:val="Heading1"/>
        <w:spacing w:line="276" w:lineRule="auto"/>
      </w:pPr>
      <w:bookmarkStart w:id="2" w:name="_Toc405634883"/>
      <w:r w:rsidRPr="00BC59F2">
        <w:lastRenderedPageBreak/>
        <w:t>Results</w:t>
      </w:r>
      <w:bookmarkEnd w:id="2"/>
    </w:p>
    <w:p w14:paraId="0394CC8F" w14:textId="77777777" w:rsidR="00E46428" w:rsidRPr="00BC59F2" w:rsidRDefault="00E46428" w:rsidP="00476FA4">
      <w:pPr>
        <w:pStyle w:val="Heading2"/>
        <w:spacing w:line="276" w:lineRule="auto"/>
      </w:pPr>
      <w:r w:rsidRPr="00BC59F2">
        <w:t xml:space="preserve">Synthesis and characterisation of intramedullary </w:t>
      </w:r>
      <w:r w:rsidR="00FA35E7" w:rsidRPr="00BC59F2">
        <w:t xml:space="preserve">pin </w:t>
      </w:r>
      <w:r w:rsidRPr="00BC59F2">
        <w:t>implants</w:t>
      </w:r>
    </w:p>
    <w:p w14:paraId="6885717D" w14:textId="2E5EC8C9" w:rsidR="00E46428" w:rsidRPr="00BC59F2" w:rsidRDefault="00E46428" w:rsidP="00476FA4">
      <w:pPr>
        <w:spacing w:line="276" w:lineRule="auto"/>
        <w:contextualSpacing/>
        <w:jc w:val="left"/>
        <w:rPr>
          <w:rFonts w:cs="Arial"/>
        </w:rPr>
      </w:pPr>
      <w:r w:rsidRPr="00BC59F2">
        <w:rPr>
          <w:rFonts w:cs="Arial"/>
        </w:rPr>
        <w:t>Silver ions were integrated on to implant surfaces and</w:t>
      </w:r>
      <w:r w:rsidR="00877642" w:rsidRPr="00BC59F2">
        <w:rPr>
          <w:rFonts w:cs="Arial"/>
        </w:rPr>
        <w:t xml:space="preserve"> inductively coupled plasma mass spectrometry</w:t>
      </w:r>
      <w:r w:rsidRPr="00BC59F2">
        <w:rPr>
          <w:rFonts w:cs="Arial"/>
        </w:rPr>
        <w:t xml:space="preserve"> </w:t>
      </w:r>
      <w:r w:rsidR="00877642" w:rsidRPr="00BC59F2">
        <w:rPr>
          <w:rFonts w:cs="Arial"/>
        </w:rPr>
        <w:t>(</w:t>
      </w:r>
      <w:r w:rsidRPr="00BC59F2">
        <w:rPr>
          <w:rFonts w:cs="Arial"/>
        </w:rPr>
        <w:t>ICP-MS</w:t>
      </w:r>
      <w:r w:rsidR="00877642" w:rsidRPr="00BC59F2">
        <w:rPr>
          <w:rFonts w:cs="Arial"/>
        </w:rPr>
        <w:t>)</w:t>
      </w:r>
      <w:r w:rsidRPr="00BC59F2">
        <w:rPr>
          <w:rFonts w:cs="Arial"/>
        </w:rPr>
        <w:t xml:space="preserve"> quantification of total Ag</w:t>
      </w:r>
      <w:r w:rsidRPr="00BC59F2">
        <w:rPr>
          <w:rFonts w:cs="Arial"/>
          <w:vertAlign w:val="superscript"/>
        </w:rPr>
        <w:t>+</w:t>
      </w:r>
      <w:r w:rsidRPr="00BC59F2">
        <w:rPr>
          <w:rFonts w:cs="Arial"/>
        </w:rPr>
        <w:t xml:space="preserve"> confirmed nominal target loading of approximately 50 µg/cm</w:t>
      </w:r>
      <w:r w:rsidRPr="00BC59F2">
        <w:rPr>
          <w:rFonts w:cs="Arial"/>
          <w:vertAlign w:val="superscript"/>
        </w:rPr>
        <w:t>2</w:t>
      </w:r>
      <w:r w:rsidRPr="00BC59F2">
        <w:rPr>
          <w:rFonts w:cs="Arial"/>
        </w:rPr>
        <w:t xml:space="preserve"> (pins: mean, 50.36 µg/cm</w:t>
      </w:r>
      <w:r w:rsidRPr="00BC59F2">
        <w:rPr>
          <w:rFonts w:cs="Arial"/>
          <w:vertAlign w:val="superscript"/>
        </w:rPr>
        <w:t>2</w:t>
      </w:r>
      <w:r w:rsidR="00FC714C" w:rsidRPr="00BC59F2">
        <w:rPr>
          <w:rFonts w:cs="Arial"/>
        </w:rPr>
        <w:t xml:space="preserve"> SEM±0.76, n=6)</w:t>
      </w:r>
      <w:r w:rsidRPr="00BC59F2">
        <w:rPr>
          <w:rFonts w:cs="Arial"/>
        </w:rPr>
        <w:t>.</w:t>
      </w:r>
    </w:p>
    <w:p w14:paraId="625FB26F" w14:textId="77777777" w:rsidR="006B4876" w:rsidRPr="00BC59F2" w:rsidRDefault="006B4876" w:rsidP="00476FA4">
      <w:pPr>
        <w:pStyle w:val="Heading2"/>
        <w:spacing w:line="276" w:lineRule="auto"/>
      </w:pPr>
      <w:r w:rsidRPr="00BC59F2">
        <w:rPr>
          <w:i/>
        </w:rPr>
        <w:t>Staphylococcus aureus</w:t>
      </w:r>
      <w:r w:rsidRPr="00BC59F2">
        <w:t xml:space="preserve"> adhesion to silver coated Ti64 grit blasted pins</w:t>
      </w:r>
    </w:p>
    <w:p w14:paraId="0C4D26FE" w14:textId="03E3D1C7" w:rsidR="006B4876" w:rsidRPr="00BC59F2" w:rsidRDefault="00FA35E7" w:rsidP="00476FA4">
      <w:pPr>
        <w:autoSpaceDE w:val="0"/>
        <w:autoSpaceDN w:val="0"/>
        <w:adjustRightInd w:val="0"/>
        <w:spacing w:before="0" w:after="0" w:line="276" w:lineRule="auto"/>
        <w:jc w:val="left"/>
        <w:rPr>
          <w:rFonts w:cs="Arial"/>
        </w:rPr>
      </w:pPr>
      <w:r w:rsidRPr="00BC59F2">
        <w:rPr>
          <w:rFonts w:cs="Arial"/>
        </w:rPr>
        <w:t xml:space="preserve">Control pin implants, without </w:t>
      </w:r>
      <w:r w:rsidR="00EF2BD0" w:rsidRPr="00BC59F2">
        <w:rPr>
          <w:rFonts w:cs="Arial"/>
        </w:rPr>
        <w:t>Ag</w:t>
      </w:r>
      <w:r w:rsidR="00EF2BD0" w:rsidRPr="00BC59F2">
        <w:rPr>
          <w:rFonts w:cs="Arial"/>
          <w:vertAlign w:val="superscript"/>
        </w:rPr>
        <w:t xml:space="preserve">+ </w:t>
      </w:r>
      <w:r w:rsidRPr="00BC59F2">
        <w:rPr>
          <w:rFonts w:cs="Arial"/>
        </w:rPr>
        <w:t>coatings,</w:t>
      </w:r>
      <w:r w:rsidR="006B4876" w:rsidRPr="00BC59F2">
        <w:rPr>
          <w:rFonts w:cs="Arial"/>
        </w:rPr>
        <w:t xml:space="preserve"> supported </w:t>
      </w:r>
      <w:r w:rsidRPr="00BC59F2">
        <w:rPr>
          <w:rFonts w:cs="Arial"/>
        </w:rPr>
        <w:t xml:space="preserve">bacterial </w:t>
      </w:r>
      <w:r w:rsidR="006B4876" w:rsidRPr="00BC59F2">
        <w:rPr>
          <w:rFonts w:cs="Arial"/>
        </w:rPr>
        <w:t>colonisation over the test period, with a mean surface count of 5.00 log</w:t>
      </w:r>
      <w:r w:rsidR="006B4876" w:rsidRPr="00BC59F2">
        <w:rPr>
          <w:rFonts w:cs="Arial"/>
          <w:vertAlign w:val="subscript"/>
        </w:rPr>
        <w:t>10</w:t>
      </w:r>
      <w:r w:rsidR="006B4876" w:rsidRPr="00BC59F2">
        <w:rPr>
          <w:rFonts w:cs="Arial"/>
        </w:rPr>
        <w:t xml:space="preserve"> CFU/sample after </w:t>
      </w:r>
      <w:r w:rsidR="00A35FFD" w:rsidRPr="00BC59F2">
        <w:rPr>
          <w:rFonts w:cs="Arial"/>
        </w:rPr>
        <w:t>1 day</w:t>
      </w:r>
      <w:r w:rsidR="006B4876" w:rsidRPr="00BC59F2">
        <w:rPr>
          <w:rFonts w:cs="Arial"/>
        </w:rPr>
        <w:t xml:space="preserve"> rising to 7.11 log</w:t>
      </w:r>
      <w:r w:rsidR="006B4876" w:rsidRPr="00BC59F2">
        <w:rPr>
          <w:rFonts w:cs="Arial"/>
          <w:vertAlign w:val="subscript"/>
        </w:rPr>
        <w:t>10</w:t>
      </w:r>
      <w:r w:rsidR="006B4876" w:rsidRPr="00BC59F2">
        <w:rPr>
          <w:rFonts w:cs="Arial"/>
        </w:rPr>
        <w:t xml:space="preserve"> CFU/sample at day 33</w:t>
      </w:r>
      <w:r w:rsidR="00F90F59" w:rsidRPr="00BC59F2">
        <w:rPr>
          <w:rFonts w:cs="Arial"/>
        </w:rPr>
        <w:t xml:space="preserve"> (</w:t>
      </w:r>
      <w:r w:rsidR="00F90F59" w:rsidRPr="00BC59F2">
        <w:rPr>
          <w:rFonts w:cs="Arial"/>
          <w:b/>
        </w:rPr>
        <w:t>Fig</w:t>
      </w:r>
      <w:r w:rsidR="00926CC1" w:rsidRPr="00BC59F2">
        <w:rPr>
          <w:rFonts w:cs="Arial"/>
          <w:b/>
        </w:rPr>
        <w:t>.</w:t>
      </w:r>
      <w:r w:rsidR="00D15238" w:rsidRPr="00BC59F2">
        <w:rPr>
          <w:rFonts w:cs="Arial"/>
          <w:b/>
        </w:rPr>
        <w:t xml:space="preserve"> 1</w:t>
      </w:r>
      <w:r w:rsidR="00E541D2" w:rsidRPr="00BC59F2">
        <w:rPr>
          <w:rFonts w:cs="Arial"/>
          <w:b/>
        </w:rPr>
        <w:t>a</w:t>
      </w:r>
      <w:r w:rsidR="00F90F59" w:rsidRPr="00BC59F2">
        <w:rPr>
          <w:rFonts w:cs="Arial"/>
        </w:rPr>
        <w:t>)</w:t>
      </w:r>
      <w:r w:rsidRPr="00BC59F2">
        <w:rPr>
          <w:rFonts w:cs="Arial"/>
        </w:rPr>
        <w:t xml:space="preserve">. Colonisation was significantly reduced on </w:t>
      </w:r>
      <w:r w:rsidR="00EF2BD0" w:rsidRPr="00BC59F2">
        <w:rPr>
          <w:rFonts w:cs="Arial"/>
        </w:rPr>
        <w:t>Ag</w:t>
      </w:r>
      <w:r w:rsidR="00EF2BD0" w:rsidRPr="00BC59F2">
        <w:rPr>
          <w:rFonts w:cs="Arial"/>
          <w:vertAlign w:val="superscript"/>
        </w:rPr>
        <w:t>+</w:t>
      </w:r>
      <w:r w:rsidR="00EF2BD0" w:rsidRPr="00BC59F2">
        <w:rPr>
          <w:rFonts w:cs="Arial"/>
        </w:rPr>
        <w:t xml:space="preserve"> coated </w:t>
      </w:r>
      <w:r w:rsidR="006B4876" w:rsidRPr="00BC59F2">
        <w:rPr>
          <w:rFonts w:cs="Arial"/>
        </w:rPr>
        <w:t>pins (&gt;4 log</w:t>
      </w:r>
      <w:r w:rsidR="006B4876" w:rsidRPr="00BC59F2">
        <w:rPr>
          <w:rFonts w:cs="Arial"/>
          <w:vertAlign w:val="subscript"/>
        </w:rPr>
        <w:t>10</w:t>
      </w:r>
      <w:r w:rsidR="006B4876" w:rsidRPr="00BC59F2">
        <w:rPr>
          <w:rFonts w:cs="Arial"/>
        </w:rPr>
        <w:t xml:space="preserve"> CFU/sample) over control counts at 24 hours, maintaining this distinction at day 7 and 14 re-challenges (&gt;4 log</w:t>
      </w:r>
      <w:r w:rsidR="006B4876" w:rsidRPr="00BC59F2">
        <w:rPr>
          <w:rFonts w:cs="Arial"/>
          <w:vertAlign w:val="subscript"/>
        </w:rPr>
        <w:t>10</w:t>
      </w:r>
      <w:r w:rsidR="006B4876" w:rsidRPr="00BC59F2">
        <w:rPr>
          <w:rFonts w:cs="Arial"/>
        </w:rPr>
        <w:t xml:space="preserve"> CFU/sample). At these time points all replicates </w:t>
      </w:r>
      <w:r w:rsidR="001220EA" w:rsidRPr="00BC59F2">
        <w:rPr>
          <w:rFonts w:cs="Arial"/>
        </w:rPr>
        <w:t>displayed counts</w:t>
      </w:r>
      <w:r w:rsidR="006B4876" w:rsidRPr="00BC59F2">
        <w:rPr>
          <w:rFonts w:cs="Arial"/>
        </w:rPr>
        <w:t xml:space="preserve"> at or below the detection limit. At day 21, </w:t>
      </w:r>
      <w:r w:rsidR="00EF2BD0" w:rsidRPr="00BC59F2">
        <w:rPr>
          <w:rFonts w:cs="Arial"/>
        </w:rPr>
        <w:t>Ag</w:t>
      </w:r>
      <w:r w:rsidR="00EF2BD0" w:rsidRPr="00BC59F2">
        <w:rPr>
          <w:rFonts w:cs="Arial"/>
          <w:vertAlign w:val="superscript"/>
        </w:rPr>
        <w:t>+</w:t>
      </w:r>
      <w:r w:rsidR="00EF2BD0" w:rsidRPr="00BC59F2">
        <w:rPr>
          <w:rFonts w:cs="Arial"/>
        </w:rPr>
        <w:t xml:space="preserve"> coated </w:t>
      </w:r>
      <w:r w:rsidR="006B4876" w:rsidRPr="00BC59F2">
        <w:rPr>
          <w:rFonts w:cs="Arial"/>
        </w:rPr>
        <w:t xml:space="preserve">samples displayed a degree of colonisation, however </w:t>
      </w:r>
      <w:r w:rsidRPr="00BC59F2">
        <w:rPr>
          <w:rFonts w:cs="Arial"/>
        </w:rPr>
        <w:t>values remained below</w:t>
      </w:r>
      <w:r w:rsidR="006B4876" w:rsidRPr="00BC59F2">
        <w:rPr>
          <w:rFonts w:cs="Arial"/>
        </w:rPr>
        <w:t xml:space="preserve"> control counts</w:t>
      </w:r>
      <w:r w:rsidRPr="00BC59F2">
        <w:rPr>
          <w:rFonts w:cs="Arial"/>
        </w:rPr>
        <w:t xml:space="preserve"> by</w:t>
      </w:r>
      <w:r w:rsidR="006B4876" w:rsidRPr="00BC59F2">
        <w:rPr>
          <w:rFonts w:cs="Arial"/>
        </w:rPr>
        <w:t xml:space="preserve"> &gt;4 log</w:t>
      </w:r>
      <w:r w:rsidR="006B4876" w:rsidRPr="00BC59F2">
        <w:rPr>
          <w:rFonts w:cs="Arial"/>
          <w:vertAlign w:val="subscript"/>
        </w:rPr>
        <w:t>10</w:t>
      </w:r>
      <w:r w:rsidR="006B4876" w:rsidRPr="00BC59F2">
        <w:rPr>
          <w:rFonts w:cs="Arial"/>
        </w:rPr>
        <w:t xml:space="preserve"> CFU/sample. Colonisation was detected </w:t>
      </w:r>
      <w:r w:rsidRPr="00BC59F2">
        <w:rPr>
          <w:rFonts w:cs="Arial"/>
        </w:rPr>
        <w:t xml:space="preserve">in </w:t>
      </w:r>
      <w:r w:rsidR="00EF2BD0" w:rsidRPr="00BC59F2">
        <w:rPr>
          <w:rFonts w:cs="Arial"/>
        </w:rPr>
        <w:t>Ag</w:t>
      </w:r>
      <w:r w:rsidR="00EF2BD0" w:rsidRPr="00BC59F2">
        <w:rPr>
          <w:rFonts w:cs="Arial"/>
          <w:vertAlign w:val="superscript"/>
        </w:rPr>
        <w:t>+</w:t>
      </w:r>
      <w:r w:rsidR="00EF2BD0" w:rsidRPr="00BC59F2">
        <w:rPr>
          <w:rFonts w:cs="Arial"/>
        </w:rPr>
        <w:t xml:space="preserve"> coated </w:t>
      </w:r>
      <w:r w:rsidRPr="00BC59F2">
        <w:rPr>
          <w:rFonts w:cs="Arial"/>
        </w:rPr>
        <w:t xml:space="preserve">pins </w:t>
      </w:r>
      <w:r w:rsidR="006B4876" w:rsidRPr="00BC59F2">
        <w:rPr>
          <w:rFonts w:cs="Arial"/>
        </w:rPr>
        <w:t>at day 33 that was comparable to control samples at earlier time points (</w:t>
      </w:r>
      <w:r w:rsidR="00A35FFD" w:rsidRPr="00BC59F2">
        <w:rPr>
          <w:rFonts w:cs="Arial"/>
        </w:rPr>
        <w:t>day 1</w:t>
      </w:r>
      <w:r w:rsidR="006B4876" w:rsidRPr="00BC59F2">
        <w:rPr>
          <w:rFonts w:cs="Arial"/>
        </w:rPr>
        <w:t>, 7 and 14</w:t>
      </w:r>
      <w:r w:rsidR="00A35FFD" w:rsidRPr="00BC59F2">
        <w:rPr>
          <w:rFonts w:cs="Arial"/>
        </w:rPr>
        <w:t>)</w:t>
      </w:r>
      <w:r w:rsidR="008B6EA9" w:rsidRPr="00BC59F2">
        <w:rPr>
          <w:rFonts w:cs="Arial"/>
        </w:rPr>
        <w:t>, but still reduced compared to</w:t>
      </w:r>
      <w:r w:rsidR="001220EA" w:rsidRPr="00BC59F2">
        <w:rPr>
          <w:rFonts w:cs="Arial"/>
        </w:rPr>
        <w:t xml:space="preserve"> control</w:t>
      </w:r>
      <w:r w:rsidR="00A35FFD" w:rsidRPr="00BC59F2">
        <w:rPr>
          <w:rFonts w:cs="Arial"/>
        </w:rPr>
        <w:t xml:space="preserve"> (</w:t>
      </w:r>
      <w:r w:rsidR="00A35FFD" w:rsidRPr="00BC59F2">
        <w:rPr>
          <w:rFonts w:cs="Arial"/>
          <w:b/>
        </w:rPr>
        <w:t>Fig</w:t>
      </w:r>
      <w:r w:rsidR="00926CC1" w:rsidRPr="00BC59F2">
        <w:rPr>
          <w:rFonts w:cs="Arial"/>
          <w:b/>
        </w:rPr>
        <w:t>.</w:t>
      </w:r>
      <w:r w:rsidR="00A35FFD" w:rsidRPr="00BC59F2">
        <w:rPr>
          <w:rFonts w:cs="Arial"/>
          <w:b/>
        </w:rPr>
        <w:t xml:space="preserve"> 1</w:t>
      </w:r>
      <w:r w:rsidR="00E541D2" w:rsidRPr="00BC59F2">
        <w:rPr>
          <w:rFonts w:cs="Arial"/>
          <w:b/>
        </w:rPr>
        <w:t>a</w:t>
      </w:r>
      <w:r w:rsidR="00A35FFD" w:rsidRPr="00BC59F2">
        <w:rPr>
          <w:rFonts w:cs="Arial"/>
        </w:rPr>
        <w:t>).</w:t>
      </w:r>
    </w:p>
    <w:p w14:paraId="7BF112A5" w14:textId="77777777" w:rsidR="00E46428" w:rsidRPr="00BC59F2" w:rsidRDefault="00E46428" w:rsidP="00476FA4">
      <w:pPr>
        <w:pStyle w:val="Heading2"/>
        <w:spacing w:line="276" w:lineRule="auto"/>
      </w:pPr>
      <w:r w:rsidRPr="00BC59F2">
        <w:t>Rapid elution of Ag</w:t>
      </w:r>
      <w:r w:rsidRPr="00BC59F2">
        <w:rPr>
          <w:vertAlign w:val="superscript"/>
        </w:rPr>
        <w:t>+</w:t>
      </w:r>
      <w:r w:rsidRPr="00BC59F2">
        <w:t xml:space="preserve"> from implants within intramedullary canal environment</w:t>
      </w:r>
    </w:p>
    <w:p w14:paraId="6A653CA6" w14:textId="37DF87CB" w:rsidR="00E46428" w:rsidRPr="00BC59F2" w:rsidRDefault="00690D79" w:rsidP="00476FA4">
      <w:pPr>
        <w:spacing w:line="276" w:lineRule="auto"/>
        <w:contextualSpacing/>
        <w:jc w:val="left"/>
        <w:rPr>
          <w:rFonts w:cs="Arial"/>
          <w:color w:val="000000"/>
        </w:rPr>
      </w:pPr>
      <w:r w:rsidRPr="00BC59F2">
        <w:rPr>
          <w:rFonts w:cs="Arial"/>
        </w:rPr>
        <w:t xml:space="preserve">To determine </w:t>
      </w:r>
      <w:r w:rsidR="00EF2BD0" w:rsidRPr="00BC59F2">
        <w:rPr>
          <w:rFonts w:cs="Arial"/>
        </w:rPr>
        <w:t>Ag</w:t>
      </w:r>
      <w:r w:rsidR="00EF2BD0" w:rsidRPr="00BC59F2">
        <w:rPr>
          <w:rFonts w:cs="Arial"/>
          <w:vertAlign w:val="superscript"/>
        </w:rPr>
        <w:t xml:space="preserve">+ </w:t>
      </w:r>
      <w:r w:rsidR="001448BC" w:rsidRPr="00BC59F2">
        <w:rPr>
          <w:rFonts w:cs="Arial"/>
        </w:rPr>
        <w:t>elution kinetics</w:t>
      </w:r>
      <w:r w:rsidR="00475B8C" w:rsidRPr="00BC59F2">
        <w:rPr>
          <w:rFonts w:cs="Arial"/>
        </w:rPr>
        <w:t>, Ag</w:t>
      </w:r>
      <w:r w:rsidR="00475B8C" w:rsidRPr="00BC59F2">
        <w:rPr>
          <w:rFonts w:cs="Arial"/>
          <w:vertAlign w:val="superscript"/>
        </w:rPr>
        <w:t>+</w:t>
      </w:r>
      <w:r w:rsidR="00475B8C" w:rsidRPr="00BC59F2">
        <w:rPr>
          <w:rFonts w:cs="Arial"/>
        </w:rPr>
        <w:t xml:space="preserve"> coated titanium pins</w:t>
      </w:r>
      <w:r w:rsidR="00BC6649" w:rsidRPr="00BC59F2">
        <w:rPr>
          <w:rFonts w:cs="Arial"/>
        </w:rPr>
        <w:t xml:space="preserve"> (Ag</w:t>
      </w:r>
      <w:r w:rsidR="00BC6649" w:rsidRPr="00BC59F2">
        <w:rPr>
          <w:rFonts w:cs="Arial"/>
          <w:vertAlign w:val="superscript"/>
        </w:rPr>
        <w:t>+</w:t>
      </w:r>
      <w:r w:rsidR="00BC6649" w:rsidRPr="00BC59F2">
        <w:rPr>
          <w:rFonts w:cs="Arial"/>
        </w:rPr>
        <w:t>, 50.36 µg/cm</w:t>
      </w:r>
      <w:r w:rsidR="00BC6649" w:rsidRPr="00BC59F2">
        <w:rPr>
          <w:rFonts w:cs="Arial"/>
          <w:vertAlign w:val="superscript"/>
        </w:rPr>
        <w:t>2</w:t>
      </w:r>
      <w:r w:rsidR="00BC6649" w:rsidRPr="00BC59F2">
        <w:rPr>
          <w:rFonts w:cs="Arial"/>
        </w:rPr>
        <w:t xml:space="preserve"> SEM±0.76)</w:t>
      </w:r>
      <w:r w:rsidR="00475B8C" w:rsidRPr="00BC59F2">
        <w:rPr>
          <w:rFonts w:cs="Arial"/>
        </w:rPr>
        <w:t xml:space="preserve"> were implanted in to rat femoral intramedullary canals</w:t>
      </w:r>
      <w:r w:rsidR="00293EA6" w:rsidRPr="00BC59F2">
        <w:rPr>
          <w:rFonts w:cs="Arial"/>
        </w:rPr>
        <w:t xml:space="preserve"> (</w:t>
      </w:r>
      <w:r w:rsidR="00E541D2" w:rsidRPr="00BC59F2">
        <w:rPr>
          <w:rFonts w:cs="Arial"/>
          <w:b/>
        </w:rPr>
        <w:t>Fig. 1b</w:t>
      </w:r>
      <w:r w:rsidR="00EF2BD0" w:rsidRPr="00BC59F2">
        <w:rPr>
          <w:rFonts w:cs="Arial"/>
          <w:b/>
        </w:rPr>
        <w:t xml:space="preserve">, </w:t>
      </w:r>
      <w:r w:rsidR="00E541D2" w:rsidRPr="00BC59F2">
        <w:rPr>
          <w:rFonts w:cs="Arial"/>
          <w:b/>
        </w:rPr>
        <w:t>c</w:t>
      </w:r>
      <w:r w:rsidR="00293EA6" w:rsidRPr="00BC59F2">
        <w:rPr>
          <w:rFonts w:cs="Arial"/>
        </w:rPr>
        <w:t>)</w:t>
      </w:r>
      <w:r w:rsidR="00475B8C" w:rsidRPr="00BC59F2">
        <w:rPr>
          <w:rFonts w:cs="Arial"/>
        </w:rPr>
        <w:t xml:space="preserve"> and the </w:t>
      </w:r>
      <w:r w:rsidR="00EF2BD0" w:rsidRPr="00BC59F2">
        <w:rPr>
          <w:rFonts w:cs="Arial"/>
        </w:rPr>
        <w:t>Ag</w:t>
      </w:r>
      <w:r w:rsidR="00EF2BD0" w:rsidRPr="00BC59F2">
        <w:rPr>
          <w:rFonts w:cs="Arial"/>
          <w:vertAlign w:val="superscript"/>
        </w:rPr>
        <w:t xml:space="preserve">+ </w:t>
      </w:r>
      <w:r w:rsidR="00EF2BD0" w:rsidRPr="00BC59F2">
        <w:rPr>
          <w:rFonts w:cs="Arial"/>
        </w:rPr>
        <w:t>determined in the recovered implant (</w:t>
      </w:r>
      <w:r w:rsidR="00D15238" w:rsidRPr="00BC59F2">
        <w:rPr>
          <w:rFonts w:cs="Arial"/>
          <w:b/>
        </w:rPr>
        <w:t>Fig. 1</w:t>
      </w:r>
      <w:r w:rsidR="00E541D2" w:rsidRPr="00BC59F2">
        <w:rPr>
          <w:rFonts w:cs="Arial"/>
          <w:b/>
        </w:rPr>
        <w:t>d</w:t>
      </w:r>
      <w:r w:rsidR="00EF2BD0" w:rsidRPr="00BC59F2">
        <w:rPr>
          <w:rFonts w:cs="Arial"/>
        </w:rPr>
        <w:t>), the femurs receiving the implants (</w:t>
      </w:r>
      <w:r w:rsidR="00EF2BD0" w:rsidRPr="00BC59F2">
        <w:rPr>
          <w:rFonts w:cs="Arial"/>
          <w:b/>
        </w:rPr>
        <w:t>Fig. 1</w:t>
      </w:r>
      <w:r w:rsidR="00E541D2" w:rsidRPr="00BC59F2">
        <w:rPr>
          <w:rFonts w:cs="Arial"/>
          <w:b/>
        </w:rPr>
        <w:t>e</w:t>
      </w:r>
      <w:r w:rsidR="00EF2BD0" w:rsidRPr="00BC59F2">
        <w:rPr>
          <w:rFonts w:cs="Arial"/>
        </w:rPr>
        <w:t>) and plasma (</w:t>
      </w:r>
      <w:r w:rsidR="00EF2BD0" w:rsidRPr="00BC59F2">
        <w:rPr>
          <w:rFonts w:cs="Arial"/>
          <w:b/>
        </w:rPr>
        <w:t>Fig. 1</w:t>
      </w:r>
      <w:r w:rsidR="00E541D2" w:rsidRPr="00BC59F2">
        <w:rPr>
          <w:rFonts w:cs="Arial"/>
          <w:b/>
        </w:rPr>
        <w:t>f</w:t>
      </w:r>
      <w:r w:rsidR="00EF2BD0" w:rsidRPr="00BC59F2">
        <w:rPr>
          <w:rFonts w:cs="Arial"/>
        </w:rPr>
        <w:t>)</w:t>
      </w:r>
      <w:r w:rsidR="00DA39CB" w:rsidRPr="00BC59F2">
        <w:rPr>
          <w:rFonts w:cs="Arial"/>
        </w:rPr>
        <w:t>. Results</w:t>
      </w:r>
      <w:r w:rsidR="00E46428" w:rsidRPr="00BC59F2">
        <w:rPr>
          <w:rFonts w:cs="Arial"/>
        </w:rPr>
        <w:t xml:space="preserve"> revealed a burst release within the 24 hours following implantation, equating to approximately 70 % (mean 25.15 </w:t>
      </w:r>
      <w:r w:rsidR="00E46428" w:rsidRPr="00BC59F2">
        <w:rPr>
          <w:rFonts w:cs="Arial"/>
          <w:color w:val="000000"/>
        </w:rPr>
        <w:t>μg, SEM±1.45 μg</w:t>
      </w:r>
      <w:r w:rsidR="00E46428" w:rsidRPr="00BC59F2">
        <w:rPr>
          <w:rFonts w:cs="Arial"/>
        </w:rPr>
        <w:t>) of the pre</w:t>
      </w:r>
      <w:r w:rsidR="00E46428" w:rsidRPr="00BC59F2">
        <w:rPr>
          <w:rFonts w:cs="Arial"/>
        </w:rPr>
        <w:noBreakHyphen/>
        <w:t>implantation content, with little significant release over the remaining study period</w:t>
      </w:r>
      <w:r w:rsidR="00DA39CB" w:rsidRPr="00BC59F2">
        <w:rPr>
          <w:rFonts w:cs="Arial"/>
        </w:rPr>
        <w:t xml:space="preserve"> (</w:t>
      </w:r>
      <w:r w:rsidR="00D15238" w:rsidRPr="00BC59F2">
        <w:rPr>
          <w:rFonts w:cs="Arial"/>
          <w:b/>
        </w:rPr>
        <w:t>Fig. 1</w:t>
      </w:r>
      <w:r w:rsidR="00E541D2" w:rsidRPr="00BC59F2">
        <w:rPr>
          <w:rFonts w:cs="Arial"/>
          <w:b/>
        </w:rPr>
        <w:t>d</w:t>
      </w:r>
      <w:r w:rsidR="00DA39CB" w:rsidRPr="00BC59F2">
        <w:rPr>
          <w:rFonts w:cs="Arial"/>
        </w:rPr>
        <w:t>)</w:t>
      </w:r>
      <w:r w:rsidR="00E46428" w:rsidRPr="00BC59F2">
        <w:rPr>
          <w:rFonts w:cs="Arial"/>
        </w:rPr>
        <w:t>. A corresponding rapid elevation in plasma and femoral Ag</w:t>
      </w:r>
      <w:r w:rsidR="00E46428" w:rsidRPr="00BC59F2">
        <w:rPr>
          <w:rFonts w:cs="Arial"/>
          <w:vertAlign w:val="superscript"/>
        </w:rPr>
        <w:t>+</w:t>
      </w:r>
      <w:r w:rsidR="00E46428" w:rsidRPr="00BC59F2">
        <w:rPr>
          <w:rFonts w:cs="Arial"/>
        </w:rPr>
        <w:t xml:space="preserve"> content was detected at Day 1 </w:t>
      </w:r>
      <w:r w:rsidR="00FA25DD" w:rsidRPr="00BC59F2">
        <w:rPr>
          <w:rFonts w:cs="Arial"/>
        </w:rPr>
        <w:t xml:space="preserve">that remained elevated at Day </w:t>
      </w:r>
      <w:r w:rsidR="00E46428" w:rsidRPr="00BC59F2">
        <w:rPr>
          <w:rFonts w:cs="Arial"/>
        </w:rPr>
        <w:t>3</w:t>
      </w:r>
      <w:r w:rsidR="00FA25DD" w:rsidRPr="00BC59F2">
        <w:rPr>
          <w:rFonts w:cs="Arial"/>
        </w:rPr>
        <w:t xml:space="preserve"> </w:t>
      </w:r>
      <w:r w:rsidR="00DA39CB" w:rsidRPr="00BC59F2">
        <w:rPr>
          <w:rFonts w:cs="Arial"/>
        </w:rPr>
        <w:t>(</w:t>
      </w:r>
      <w:r w:rsidR="00E541D2" w:rsidRPr="00BC59F2">
        <w:rPr>
          <w:rFonts w:cs="Arial"/>
          <w:b/>
        </w:rPr>
        <w:t>Fig. 1e</w:t>
      </w:r>
      <w:r w:rsidR="00D15238" w:rsidRPr="00BC59F2">
        <w:rPr>
          <w:rFonts w:cs="Arial"/>
          <w:b/>
        </w:rPr>
        <w:t xml:space="preserve">, </w:t>
      </w:r>
      <w:r w:rsidR="00E541D2" w:rsidRPr="00BC59F2">
        <w:rPr>
          <w:rFonts w:cs="Arial"/>
          <w:b/>
        </w:rPr>
        <w:t>f</w:t>
      </w:r>
      <w:r w:rsidR="00DA39CB" w:rsidRPr="00BC59F2">
        <w:rPr>
          <w:rFonts w:cs="Arial"/>
        </w:rPr>
        <w:t>)</w:t>
      </w:r>
      <w:r w:rsidR="00E46428" w:rsidRPr="00BC59F2">
        <w:rPr>
          <w:rFonts w:cs="Arial"/>
        </w:rPr>
        <w:t>. Maximum plasma concentration (0.019</w:t>
      </w:r>
      <w:r w:rsidR="00E46428" w:rsidRPr="00BC59F2">
        <w:rPr>
          <w:rFonts w:cs="Arial"/>
          <w:color w:val="000000"/>
        </w:rPr>
        <w:t xml:space="preserve"> μg/mL, SEM±0.004 μg/mL) declined following the Day 1 peak and was</w:t>
      </w:r>
      <w:r w:rsidR="00E46428" w:rsidRPr="00BC59F2">
        <w:rPr>
          <w:rFonts w:cs="Arial"/>
        </w:rPr>
        <w:t xml:space="preserve"> reduced to baseline over the remaining study period. Femoral Ag</w:t>
      </w:r>
      <w:r w:rsidR="00E46428" w:rsidRPr="00BC59F2">
        <w:rPr>
          <w:rFonts w:cs="Arial"/>
          <w:vertAlign w:val="superscript"/>
        </w:rPr>
        <w:t>+</w:t>
      </w:r>
      <w:r w:rsidR="00E46428" w:rsidRPr="00BC59F2">
        <w:rPr>
          <w:rFonts w:cs="Arial"/>
        </w:rPr>
        <w:t xml:space="preserve"> content at Day 3 (</w:t>
      </w:r>
      <w:r w:rsidR="00E46428" w:rsidRPr="00BC59F2">
        <w:rPr>
          <w:rFonts w:cs="Arial"/>
          <w:color w:val="000000"/>
        </w:rPr>
        <w:t>7.00 μg; SEM±0.58 μg</w:t>
      </w:r>
      <w:r w:rsidR="00E46428" w:rsidRPr="00BC59F2">
        <w:rPr>
          <w:rFonts w:cs="Arial"/>
        </w:rPr>
        <w:t>) significantly decreased by</w:t>
      </w:r>
      <w:r w:rsidR="00745C63" w:rsidRPr="00BC59F2">
        <w:rPr>
          <w:rFonts w:cs="Arial"/>
          <w:color w:val="000000"/>
        </w:rPr>
        <w:t xml:space="preserve"> Day 28 (2 μg) (</w:t>
      </w:r>
      <w:r w:rsidR="00D15238" w:rsidRPr="00BC59F2">
        <w:rPr>
          <w:rFonts w:cs="Arial"/>
          <w:b/>
          <w:color w:val="000000"/>
        </w:rPr>
        <w:t>Fig. 1</w:t>
      </w:r>
      <w:r w:rsidR="00E541D2" w:rsidRPr="00BC59F2">
        <w:rPr>
          <w:rFonts w:cs="Arial"/>
          <w:b/>
          <w:color w:val="000000"/>
        </w:rPr>
        <w:t>f</w:t>
      </w:r>
      <w:r w:rsidR="00745C63" w:rsidRPr="00BC59F2">
        <w:rPr>
          <w:rFonts w:cs="Arial"/>
          <w:color w:val="000000"/>
        </w:rPr>
        <w:t>).</w:t>
      </w:r>
    </w:p>
    <w:p w14:paraId="1FC2E1BB" w14:textId="79654D64" w:rsidR="00A25195" w:rsidRPr="00BC59F2" w:rsidRDefault="00E46428" w:rsidP="00476FA4">
      <w:pPr>
        <w:spacing w:line="276" w:lineRule="auto"/>
        <w:contextualSpacing/>
        <w:jc w:val="left"/>
        <w:rPr>
          <w:rFonts w:cs="Arial"/>
          <w:color w:val="000000"/>
        </w:rPr>
      </w:pPr>
      <w:r w:rsidRPr="00BC59F2">
        <w:rPr>
          <w:rFonts w:cs="Arial"/>
          <w:color w:val="000000"/>
        </w:rPr>
        <w:t xml:space="preserve">The free canal volume (i.e. available canal volume with implant </w:t>
      </w:r>
      <w:r w:rsidRPr="00BC59F2">
        <w:rPr>
          <w:rFonts w:cs="Arial"/>
          <w:i/>
          <w:color w:val="000000"/>
        </w:rPr>
        <w:t>in situ</w:t>
      </w:r>
      <w:r w:rsidRPr="00BC59F2">
        <w:rPr>
          <w:rFonts w:cs="Arial"/>
          <w:color w:val="000000"/>
        </w:rPr>
        <w:t>) determined from microCT</w:t>
      </w:r>
      <w:r w:rsidR="00293EA6" w:rsidRPr="00BC59F2">
        <w:rPr>
          <w:rFonts w:cs="Arial"/>
          <w:color w:val="000000"/>
        </w:rPr>
        <w:t xml:space="preserve"> reconstructions (</w:t>
      </w:r>
      <w:r w:rsidR="00293EA6" w:rsidRPr="00BC59F2">
        <w:rPr>
          <w:rFonts w:cs="Arial"/>
          <w:b/>
          <w:color w:val="000000"/>
        </w:rPr>
        <w:t>Fig. 1</w:t>
      </w:r>
      <w:r w:rsidR="00E541D2" w:rsidRPr="00BC59F2">
        <w:rPr>
          <w:rFonts w:cs="Arial"/>
          <w:b/>
          <w:color w:val="000000"/>
        </w:rPr>
        <w:t>c</w:t>
      </w:r>
      <w:r w:rsidRPr="00BC59F2">
        <w:rPr>
          <w:rFonts w:cs="Arial"/>
          <w:color w:val="000000"/>
        </w:rPr>
        <w:t xml:space="preserve">) equated to 43 µL, therefore </w:t>
      </w:r>
      <w:r w:rsidR="00FC4EBA" w:rsidRPr="00BC59F2">
        <w:rPr>
          <w:rFonts w:cs="Arial"/>
          <w:color w:val="000000"/>
        </w:rPr>
        <w:t xml:space="preserve">the theoretical </w:t>
      </w:r>
      <w:r w:rsidRPr="00BC59F2">
        <w:rPr>
          <w:rFonts w:cs="Arial"/>
          <w:color w:val="000000"/>
        </w:rPr>
        <w:t>maximum Ag</w:t>
      </w:r>
      <w:r w:rsidRPr="00BC59F2">
        <w:rPr>
          <w:rFonts w:cs="Arial"/>
          <w:color w:val="000000"/>
          <w:vertAlign w:val="superscript"/>
        </w:rPr>
        <w:t>+</w:t>
      </w:r>
      <w:r w:rsidRPr="00BC59F2">
        <w:rPr>
          <w:rFonts w:cs="Arial"/>
          <w:color w:val="000000"/>
        </w:rPr>
        <w:t xml:space="preserve"> concentration within the canal following initial release equated to 6.00 μM (mean 5.42 μM, SEM±0.31</w:t>
      </w:r>
      <w:r w:rsidR="006A67E4" w:rsidRPr="00BC59F2">
        <w:rPr>
          <w:rFonts w:cs="Arial"/>
          <w:color w:val="000000"/>
        </w:rPr>
        <w:t xml:space="preserve">, </w:t>
      </w:r>
      <w:r w:rsidR="006A67E4" w:rsidRPr="00BC59F2">
        <w:rPr>
          <w:rFonts w:cs="Arial"/>
          <w:b/>
          <w:color w:val="000000"/>
        </w:rPr>
        <w:t>Supplementary Table S1</w:t>
      </w:r>
      <w:r w:rsidRPr="00BC59F2">
        <w:rPr>
          <w:rFonts w:cs="Arial"/>
          <w:color w:val="000000"/>
        </w:rPr>
        <w:t>). In the event of instant total release of Ag</w:t>
      </w:r>
      <w:r w:rsidRPr="00BC59F2">
        <w:rPr>
          <w:rFonts w:cs="Arial"/>
          <w:color w:val="000000"/>
          <w:vertAlign w:val="superscript"/>
        </w:rPr>
        <w:t>+</w:t>
      </w:r>
      <w:r w:rsidRPr="00BC59F2">
        <w:rPr>
          <w:rFonts w:cs="Arial"/>
          <w:color w:val="000000"/>
        </w:rPr>
        <w:t xml:space="preserve"> from an implant, Ag</w:t>
      </w:r>
      <w:r w:rsidRPr="00BC59F2">
        <w:rPr>
          <w:rFonts w:cs="Arial"/>
          <w:color w:val="000000"/>
          <w:vertAlign w:val="superscript"/>
        </w:rPr>
        <w:t>+</w:t>
      </w:r>
      <w:r w:rsidRPr="00BC59F2">
        <w:rPr>
          <w:rFonts w:cs="Arial"/>
          <w:color w:val="000000"/>
        </w:rPr>
        <w:t xml:space="preserve"> within the canal was calculated to reach a peak of 7.97 μM (mean 7.72 μM, SEM±0.12). For the purpose of </w:t>
      </w:r>
      <w:r w:rsidRPr="00BC59F2">
        <w:rPr>
          <w:rFonts w:cs="Arial"/>
          <w:i/>
          <w:color w:val="000000"/>
        </w:rPr>
        <w:t>in vitro</w:t>
      </w:r>
      <w:r w:rsidRPr="00BC59F2">
        <w:rPr>
          <w:rFonts w:cs="Arial"/>
          <w:color w:val="000000"/>
        </w:rPr>
        <w:t xml:space="preserve"> testing, a</w:t>
      </w:r>
      <w:r w:rsidR="00745C63" w:rsidRPr="00BC59F2">
        <w:rPr>
          <w:rFonts w:cs="Arial"/>
          <w:color w:val="000000"/>
        </w:rPr>
        <w:t>n</w:t>
      </w:r>
      <w:r w:rsidRPr="00BC59F2">
        <w:rPr>
          <w:rFonts w:cs="Arial"/>
          <w:color w:val="000000"/>
        </w:rPr>
        <w:t xml:space="preserve"> Ag</w:t>
      </w:r>
      <w:r w:rsidRPr="00BC59F2">
        <w:rPr>
          <w:rFonts w:cs="Arial"/>
          <w:color w:val="000000"/>
          <w:vertAlign w:val="superscript"/>
        </w:rPr>
        <w:t>+</w:t>
      </w:r>
      <w:r w:rsidRPr="00BC59F2">
        <w:rPr>
          <w:rFonts w:cs="Arial"/>
          <w:color w:val="000000"/>
        </w:rPr>
        <w:t xml:space="preserve"> value of 10 μM was taken forwards</w:t>
      </w:r>
      <w:r w:rsidR="00745C63" w:rsidRPr="00BC59F2">
        <w:rPr>
          <w:rFonts w:cs="Arial"/>
          <w:color w:val="000000"/>
        </w:rPr>
        <w:t xml:space="preserve"> as a maximum test concentration</w:t>
      </w:r>
      <w:r w:rsidRPr="00BC59F2">
        <w:rPr>
          <w:rFonts w:cs="Arial"/>
          <w:color w:val="000000"/>
        </w:rPr>
        <w:t>.</w:t>
      </w:r>
      <w:r w:rsidR="006A67E4" w:rsidRPr="00BC59F2">
        <w:rPr>
          <w:rFonts w:cs="Arial"/>
          <w:color w:val="000000"/>
        </w:rPr>
        <w:t xml:space="preserve"> Further data </w:t>
      </w:r>
      <w:r w:rsidR="00C4298B" w:rsidRPr="00BC59F2">
        <w:rPr>
          <w:rFonts w:cs="Arial"/>
          <w:color w:val="000000"/>
        </w:rPr>
        <w:t>detailing Day 1 implant elution,</w:t>
      </w:r>
      <w:r w:rsidR="006A67E4" w:rsidRPr="00BC59F2">
        <w:rPr>
          <w:rFonts w:cs="Arial"/>
          <w:color w:val="000000"/>
        </w:rPr>
        <w:t xml:space="preserve"> total plasma Ag</w:t>
      </w:r>
      <w:r w:rsidR="006A67E4" w:rsidRPr="00BC59F2">
        <w:rPr>
          <w:rFonts w:cs="Arial"/>
          <w:color w:val="000000"/>
          <w:vertAlign w:val="superscript"/>
        </w:rPr>
        <w:t>+</w:t>
      </w:r>
      <w:r w:rsidR="006A67E4" w:rsidRPr="00BC59F2">
        <w:rPr>
          <w:rFonts w:cs="Arial"/>
          <w:color w:val="000000"/>
        </w:rPr>
        <w:t xml:space="preserve"> and unaccounted Ag</w:t>
      </w:r>
      <w:r w:rsidR="006A67E4" w:rsidRPr="00BC59F2">
        <w:rPr>
          <w:rFonts w:cs="Arial"/>
          <w:color w:val="000000"/>
          <w:vertAlign w:val="superscript"/>
        </w:rPr>
        <w:t>+</w:t>
      </w:r>
      <w:r w:rsidR="00C4298B" w:rsidRPr="00BC59F2">
        <w:rPr>
          <w:rFonts w:cs="Arial"/>
          <w:color w:val="000000"/>
        </w:rPr>
        <w:t xml:space="preserve"> are</w:t>
      </w:r>
      <w:r w:rsidR="006A67E4" w:rsidRPr="00BC59F2">
        <w:rPr>
          <w:rFonts w:cs="Arial"/>
          <w:color w:val="000000"/>
        </w:rPr>
        <w:t xml:space="preserve"> available in </w:t>
      </w:r>
      <w:r w:rsidR="006A67E4" w:rsidRPr="00BC59F2">
        <w:rPr>
          <w:rFonts w:cs="Arial"/>
          <w:b/>
          <w:color w:val="000000"/>
        </w:rPr>
        <w:t>Supplementary Table S1</w:t>
      </w:r>
      <w:r w:rsidR="006A67E4" w:rsidRPr="00BC59F2">
        <w:rPr>
          <w:rFonts w:cs="Arial"/>
          <w:color w:val="000000"/>
        </w:rPr>
        <w:t>.</w:t>
      </w:r>
      <w:bookmarkStart w:id="3" w:name="_Ref405625629"/>
      <w:bookmarkStart w:id="4" w:name="_Toc405634913"/>
    </w:p>
    <w:p w14:paraId="125A8DF1" w14:textId="77777777" w:rsidR="00E46428" w:rsidRPr="00BC59F2" w:rsidRDefault="00E46428" w:rsidP="00476FA4">
      <w:pPr>
        <w:pStyle w:val="Heading2"/>
        <w:spacing w:line="276" w:lineRule="auto"/>
      </w:pPr>
      <w:r w:rsidRPr="00BC59F2">
        <w:rPr>
          <w:i/>
        </w:rPr>
        <w:lastRenderedPageBreak/>
        <w:t>In vitro</w:t>
      </w:r>
      <w:r w:rsidRPr="00BC59F2">
        <w:t xml:space="preserve"> susceptibility of MSCs to Ag</w:t>
      </w:r>
      <w:r w:rsidRPr="00BC59F2">
        <w:rPr>
          <w:vertAlign w:val="superscript"/>
        </w:rPr>
        <w:t>+</w:t>
      </w:r>
      <w:r w:rsidRPr="00BC59F2">
        <w:t xml:space="preserve"> is increased at clonal density</w:t>
      </w:r>
    </w:p>
    <w:p w14:paraId="2FFBEBFC" w14:textId="47E3B9EF" w:rsidR="00833FB5" w:rsidRPr="00BC59F2" w:rsidRDefault="00B63EF3" w:rsidP="00476FA4">
      <w:pPr>
        <w:spacing w:before="0" w:after="160" w:line="276" w:lineRule="auto"/>
        <w:contextualSpacing/>
        <w:jc w:val="left"/>
        <w:rPr>
          <w:rFonts w:cs="Arial"/>
        </w:rPr>
      </w:pPr>
      <w:r w:rsidRPr="00BC59F2">
        <w:rPr>
          <w:rFonts w:cs="Arial"/>
        </w:rPr>
        <w:t>The effect of Ag</w:t>
      </w:r>
      <w:r w:rsidR="0089150E" w:rsidRPr="00BC59F2">
        <w:rPr>
          <w:rFonts w:cs="Arial"/>
          <w:vertAlign w:val="superscript"/>
        </w:rPr>
        <w:t>+</w:t>
      </w:r>
      <w:r w:rsidRPr="00BC59F2">
        <w:rPr>
          <w:rFonts w:cs="Arial"/>
        </w:rPr>
        <w:t xml:space="preserve"> d</w:t>
      </w:r>
      <w:r w:rsidR="00434BEC" w:rsidRPr="00BC59F2">
        <w:rPr>
          <w:rFonts w:cs="Arial"/>
        </w:rPr>
        <w:t xml:space="preserve">ose </w:t>
      </w:r>
      <w:r w:rsidRPr="00BC59F2">
        <w:rPr>
          <w:rFonts w:cs="Arial"/>
        </w:rPr>
        <w:t>on</w:t>
      </w:r>
      <w:r w:rsidR="00434BEC" w:rsidRPr="00BC59F2">
        <w:rPr>
          <w:rFonts w:cs="Arial"/>
        </w:rPr>
        <w:t xml:space="preserve"> primary MSC </w:t>
      </w:r>
      <w:r w:rsidR="00B67834" w:rsidRPr="00BC59F2">
        <w:rPr>
          <w:rFonts w:cs="Arial"/>
        </w:rPr>
        <w:t xml:space="preserve">and human osteoblast (hObs) </w:t>
      </w:r>
      <w:r w:rsidR="00434BEC" w:rsidRPr="00BC59F2">
        <w:rPr>
          <w:rFonts w:cs="Arial"/>
        </w:rPr>
        <w:t>cultures provided</w:t>
      </w:r>
      <w:r w:rsidR="00E46428" w:rsidRPr="00BC59F2">
        <w:rPr>
          <w:rFonts w:cs="Arial"/>
        </w:rPr>
        <w:t xml:space="preserve"> calculated EC</w:t>
      </w:r>
      <w:r w:rsidR="00E46428" w:rsidRPr="00BC59F2">
        <w:rPr>
          <w:rFonts w:cs="Arial"/>
          <w:vertAlign w:val="subscript"/>
        </w:rPr>
        <w:t>50</w:t>
      </w:r>
      <w:r w:rsidR="00E46428" w:rsidRPr="00BC59F2">
        <w:rPr>
          <w:rFonts w:cs="Arial"/>
        </w:rPr>
        <w:t xml:space="preserve"> </w:t>
      </w:r>
      <w:r w:rsidRPr="00BC59F2">
        <w:rPr>
          <w:rFonts w:cs="Arial"/>
        </w:rPr>
        <w:t xml:space="preserve">values </w:t>
      </w:r>
      <w:r w:rsidR="00E46428" w:rsidRPr="00BC59F2">
        <w:rPr>
          <w:rFonts w:cs="Arial"/>
        </w:rPr>
        <w:t xml:space="preserve">of </w:t>
      </w:r>
      <w:r w:rsidR="00B67834" w:rsidRPr="00BC59F2">
        <w:rPr>
          <w:rFonts w:cs="Arial"/>
        </w:rPr>
        <w:t>3</w:t>
      </w:r>
      <w:r w:rsidR="00E46428" w:rsidRPr="00BC59F2">
        <w:rPr>
          <w:rFonts w:cs="Arial"/>
        </w:rPr>
        <w:t>3.06 μM</w:t>
      </w:r>
      <w:r w:rsidR="00B67834" w:rsidRPr="00BC59F2">
        <w:rPr>
          <w:rFonts w:cs="Arial"/>
        </w:rPr>
        <w:t xml:space="preserve"> and 41.4 μM</w:t>
      </w:r>
      <w:r w:rsidR="00E46428" w:rsidRPr="00BC59F2">
        <w:rPr>
          <w:rFonts w:cs="Arial"/>
        </w:rPr>
        <w:t>, respectively (</w:t>
      </w:r>
      <w:r w:rsidR="00E46428" w:rsidRPr="00BC59F2">
        <w:rPr>
          <w:rFonts w:cs="Arial"/>
          <w:b/>
        </w:rPr>
        <w:t>Fig</w:t>
      </w:r>
      <w:r w:rsidR="004D4CCD" w:rsidRPr="00BC59F2">
        <w:rPr>
          <w:rFonts w:cs="Arial"/>
          <w:b/>
        </w:rPr>
        <w:t>.</w:t>
      </w:r>
      <w:r w:rsidR="00E46428" w:rsidRPr="00BC59F2">
        <w:rPr>
          <w:rFonts w:cs="Arial"/>
          <w:b/>
        </w:rPr>
        <w:t xml:space="preserve"> 2</w:t>
      </w:r>
      <w:r w:rsidR="00B67834" w:rsidRPr="00BC59F2">
        <w:rPr>
          <w:rFonts w:cs="Arial"/>
          <w:b/>
        </w:rPr>
        <w:t>a</w:t>
      </w:r>
      <w:r w:rsidR="00E46428" w:rsidRPr="00BC59F2">
        <w:rPr>
          <w:rFonts w:cs="Arial"/>
          <w:b/>
        </w:rPr>
        <w:t>,</w:t>
      </w:r>
      <w:r w:rsidR="00434BEC" w:rsidRPr="00BC59F2">
        <w:rPr>
          <w:rFonts w:cs="Arial"/>
          <w:b/>
        </w:rPr>
        <w:t xml:space="preserve"> </w:t>
      </w:r>
      <w:r w:rsidR="00E541D2" w:rsidRPr="00BC59F2">
        <w:rPr>
          <w:rFonts w:cs="Arial"/>
          <w:b/>
        </w:rPr>
        <w:t>b</w:t>
      </w:r>
      <w:r w:rsidR="00E46428" w:rsidRPr="00BC59F2">
        <w:rPr>
          <w:rFonts w:cs="Arial"/>
        </w:rPr>
        <w:t xml:space="preserve">). </w:t>
      </w:r>
      <w:r w:rsidRPr="00BC59F2">
        <w:rPr>
          <w:rFonts w:cs="Arial"/>
        </w:rPr>
        <w:t>MSC p</w:t>
      </w:r>
      <w:r w:rsidR="00E46428" w:rsidRPr="00BC59F2">
        <w:rPr>
          <w:rFonts w:cs="Arial"/>
        </w:rPr>
        <w:t>roliferation in the presence of Ag</w:t>
      </w:r>
      <w:r w:rsidR="00E46428" w:rsidRPr="00BC59F2">
        <w:rPr>
          <w:rFonts w:cs="Arial"/>
          <w:vertAlign w:val="superscript"/>
        </w:rPr>
        <w:t>+</w:t>
      </w:r>
      <w:r w:rsidR="00E05FAD" w:rsidRPr="00BC59F2">
        <w:rPr>
          <w:rFonts w:cs="Arial"/>
        </w:rPr>
        <w:t xml:space="preserve"> was unaffected over</w:t>
      </w:r>
      <w:r w:rsidR="00E46428" w:rsidRPr="00BC59F2">
        <w:rPr>
          <w:rFonts w:cs="Arial"/>
        </w:rPr>
        <w:t xml:space="preserve"> </w:t>
      </w:r>
      <w:r w:rsidR="0089150E" w:rsidRPr="00BC59F2">
        <w:rPr>
          <w:rFonts w:cs="Arial"/>
        </w:rPr>
        <w:t>three days</w:t>
      </w:r>
      <w:r w:rsidR="00E46428" w:rsidRPr="00BC59F2">
        <w:rPr>
          <w:rFonts w:cs="Arial"/>
        </w:rPr>
        <w:t xml:space="preserve"> at concentrations below the EC</w:t>
      </w:r>
      <w:r w:rsidR="00E46428" w:rsidRPr="00BC59F2">
        <w:rPr>
          <w:rFonts w:cs="Arial"/>
          <w:vertAlign w:val="subscript"/>
        </w:rPr>
        <w:t>50</w:t>
      </w:r>
      <w:r w:rsidR="00E46428" w:rsidRPr="00BC59F2">
        <w:rPr>
          <w:rFonts w:cs="Arial"/>
        </w:rPr>
        <w:t xml:space="preserve"> as determined </w:t>
      </w:r>
      <w:r w:rsidR="00E05D83" w:rsidRPr="00BC59F2">
        <w:rPr>
          <w:rFonts w:cs="Arial"/>
        </w:rPr>
        <w:t>by</w:t>
      </w:r>
      <w:r w:rsidR="00E46428" w:rsidRPr="00BC59F2">
        <w:rPr>
          <w:rFonts w:cs="Arial"/>
        </w:rPr>
        <w:t xml:space="preserve"> </w:t>
      </w:r>
      <w:r w:rsidR="00E05D83" w:rsidRPr="00BC59F2">
        <w:rPr>
          <w:rFonts w:cs="Arial"/>
        </w:rPr>
        <w:t xml:space="preserve">EdU </w:t>
      </w:r>
      <w:r w:rsidR="00E46428" w:rsidRPr="00BC59F2">
        <w:rPr>
          <w:rFonts w:cs="Arial"/>
        </w:rPr>
        <w:t>incorporation</w:t>
      </w:r>
      <w:r w:rsidR="00240C99" w:rsidRPr="00BC59F2">
        <w:rPr>
          <w:rFonts w:cs="Arial"/>
        </w:rPr>
        <w:t xml:space="preserve"> </w:t>
      </w:r>
      <w:r w:rsidR="00E46428" w:rsidRPr="00BC59F2">
        <w:rPr>
          <w:rFonts w:cs="Arial"/>
        </w:rPr>
        <w:t>(</w:t>
      </w:r>
      <w:r w:rsidR="00E46428" w:rsidRPr="00BC59F2">
        <w:rPr>
          <w:rFonts w:cs="Arial"/>
          <w:b/>
        </w:rPr>
        <w:t>Fig</w:t>
      </w:r>
      <w:r w:rsidR="004D4CCD" w:rsidRPr="00BC59F2">
        <w:rPr>
          <w:rFonts w:cs="Arial"/>
          <w:b/>
        </w:rPr>
        <w:t>.</w:t>
      </w:r>
      <w:r w:rsidR="00D15238" w:rsidRPr="00BC59F2">
        <w:rPr>
          <w:rFonts w:cs="Arial"/>
          <w:b/>
        </w:rPr>
        <w:t xml:space="preserve"> 2</w:t>
      </w:r>
      <w:r w:rsidR="00E541D2" w:rsidRPr="00BC59F2">
        <w:rPr>
          <w:rFonts w:cs="Arial"/>
          <w:b/>
        </w:rPr>
        <w:t>c</w:t>
      </w:r>
      <w:r w:rsidR="00E46428" w:rsidRPr="00BC59F2">
        <w:rPr>
          <w:rFonts w:cs="Arial"/>
        </w:rPr>
        <w:t xml:space="preserve">). </w:t>
      </w:r>
      <w:r w:rsidR="001159A1" w:rsidRPr="00BC59F2">
        <w:rPr>
          <w:rFonts w:cs="Arial"/>
        </w:rPr>
        <w:t>Colony-forming capacity</w:t>
      </w:r>
      <w:r w:rsidR="00E46428" w:rsidRPr="00BC59F2">
        <w:rPr>
          <w:rFonts w:cs="Arial"/>
        </w:rPr>
        <w:t xml:space="preserve"> of MSCs as measured by colony number and percentage area was </w:t>
      </w:r>
      <w:r w:rsidRPr="00BC59F2">
        <w:rPr>
          <w:rFonts w:cs="Arial"/>
        </w:rPr>
        <w:t xml:space="preserve">also </w:t>
      </w:r>
      <w:r w:rsidR="00E46428" w:rsidRPr="00BC59F2">
        <w:rPr>
          <w:rFonts w:cs="Arial"/>
        </w:rPr>
        <w:t xml:space="preserve">unaffected by </w:t>
      </w:r>
      <w:r w:rsidRPr="00BC59F2">
        <w:rPr>
          <w:rFonts w:cs="Arial"/>
        </w:rPr>
        <w:t xml:space="preserve">exposure to </w:t>
      </w:r>
      <w:r w:rsidR="00E46428" w:rsidRPr="00BC59F2">
        <w:rPr>
          <w:rFonts w:cs="Arial"/>
        </w:rPr>
        <w:t>sub-EC</w:t>
      </w:r>
      <w:r w:rsidR="00E46428" w:rsidRPr="00BC59F2">
        <w:rPr>
          <w:rFonts w:cs="Arial"/>
          <w:vertAlign w:val="subscript"/>
        </w:rPr>
        <w:t>50</w:t>
      </w:r>
      <w:r w:rsidR="00E46428" w:rsidRPr="00BC59F2">
        <w:rPr>
          <w:rFonts w:cs="Arial"/>
        </w:rPr>
        <w:t xml:space="preserve"> Ag</w:t>
      </w:r>
      <w:r w:rsidR="00E46428" w:rsidRPr="00BC59F2">
        <w:rPr>
          <w:rFonts w:cs="Arial"/>
          <w:vertAlign w:val="superscript"/>
        </w:rPr>
        <w:t>+</w:t>
      </w:r>
      <w:r w:rsidR="00E46428" w:rsidRPr="00BC59F2">
        <w:rPr>
          <w:rFonts w:cs="Arial"/>
        </w:rPr>
        <w:t xml:space="preserve"> </w:t>
      </w:r>
      <w:r w:rsidRPr="00BC59F2">
        <w:rPr>
          <w:rFonts w:cs="Arial"/>
        </w:rPr>
        <w:t xml:space="preserve">concentrations </w:t>
      </w:r>
      <w:r w:rsidR="00E46428" w:rsidRPr="00BC59F2">
        <w:rPr>
          <w:rFonts w:cs="Arial"/>
        </w:rPr>
        <w:t>during the initial three days of culture (</w:t>
      </w:r>
      <w:r w:rsidR="00E05D83" w:rsidRPr="00BC59F2">
        <w:rPr>
          <w:rFonts w:cs="Arial"/>
        </w:rPr>
        <w:t xml:space="preserve">which broadly </w:t>
      </w:r>
      <w:r w:rsidR="00E46428" w:rsidRPr="00BC59F2">
        <w:rPr>
          <w:rFonts w:cs="Arial"/>
        </w:rPr>
        <w:t>replicat</w:t>
      </w:r>
      <w:r w:rsidR="00E05D83" w:rsidRPr="00BC59F2">
        <w:rPr>
          <w:rFonts w:cs="Arial"/>
        </w:rPr>
        <w:t>ed</w:t>
      </w:r>
      <w:r w:rsidR="00E46428" w:rsidRPr="00BC59F2">
        <w:rPr>
          <w:rFonts w:cs="Arial"/>
        </w:rPr>
        <w:t xml:space="preserve"> the exposure period determined during the </w:t>
      </w:r>
      <w:r w:rsidR="00E05D83" w:rsidRPr="00BC59F2">
        <w:rPr>
          <w:rFonts w:cs="Arial"/>
          <w:i/>
        </w:rPr>
        <w:t>in vivo</w:t>
      </w:r>
      <w:r w:rsidR="00E05D83" w:rsidRPr="00BC59F2">
        <w:rPr>
          <w:rFonts w:cs="Arial"/>
        </w:rPr>
        <w:t xml:space="preserve"> </w:t>
      </w:r>
      <w:r w:rsidR="00E46428" w:rsidRPr="00BC59F2">
        <w:rPr>
          <w:rFonts w:cs="Arial"/>
        </w:rPr>
        <w:t>elution study) (</w:t>
      </w:r>
      <w:r w:rsidR="00E46428" w:rsidRPr="00BC59F2">
        <w:rPr>
          <w:rFonts w:cs="Arial"/>
          <w:b/>
        </w:rPr>
        <w:t>Fig</w:t>
      </w:r>
      <w:r w:rsidR="004D4CCD" w:rsidRPr="00BC59F2">
        <w:rPr>
          <w:rFonts w:cs="Arial"/>
          <w:b/>
        </w:rPr>
        <w:t>.</w:t>
      </w:r>
      <w:r w:rsidR="00E46428" w:rsidRPr="00BC59F2">
        <w:rPr>
          <w:rFonts w:cs="Arial"/>
          <w:b/>
        </w:rPr>
        <w:t xml:space="preserve"> 2</w:t>
      </w:r>
      <w:r w:rsidR="00E541D2" w:rsidRPr="00BC59F2">
        <w:rPr>
          <w:rFonts w:cs="Arial"/>
          <w:b/>
        </w:rPr>
        <w:t>d</w:t>
      </w:r>
      <w:r w:rsidR="00E46428" w:rsidRPr="00BC59F2">
        <w:rPr>
          <w:rFonts w:cs="Arial"/>
          <w:b/>
        </w:rPr>
        <w:t xml:space="preserve">, </w:t>
      </w:r>
      <w:r w:rsidR="00E541D2" w:rsidRPr="00BC59F2">
        <w:rPr>
          <w:rFonts w:cs="Arial"/>
          <w:b/>
        </w:rPr>
        <w:t>e</w:t>
      </w:r>
      <w:r w:rsidR="00E46428" w:rsidRPr="00BC59F2">
        <w:rPr>
          <w:rFonts w:cs="Arial"/>
          <w:b/>
        </w:rPr>
        <w:t>)</w:t>
      </w:r>
      <w:r w:rsidR="00E46428" w:rsidRPr="00BC59F2">
        <w:rPr>
          <w:rFonts w:cs="Arial"/>
        </w:rPr>
        <w:t xml:space="preserve">. However, when </w:t>
      </w:r>
      <w:r w:rsidR="00E05D83" w:rsidRPr="00BC59F2">
        <w:rPr>
          <w:rFonts w:cs="Arial"/>
        </w:rPr>
        <w:t xml:space="preserve">MSCs were </w:t>
      </w:r>
      <w:r w:rsidR="00E46428" w:rsidRPr="00BC59F2">
        <w:rPr>
          <w:rFonts w:cs="Arial"/>
        </w:rPr>
        <w:t xml:space="preserve">treated </w:t>
      </w:r>
      <w:r w:rsidR="00E05D83" w:rsidRPr="00BC59F2">
        <w:rPr>
          <w:rFonts w:cs="Arial"/>
        </w:rPr>
        <w:t xml:space="preserve">with </w:t>
      </w:r>
      <w:r w:rsidR="001159A1" w:rsidRPr="00BC59F2">
        <w:rPr>
          <w:rFonts w:cs="Arial"/>
        </w:rPr>
        <w:t>Ag</w:t>
      </w:r>
      <w:r w:rsidR="001159A1" w:rsidRPr="00BC59F2">
        <w:rPr>
          <w:rFonts w:cs="Arial"/>
          <w:vertAlign w:val="superscript"/>
        </w:rPr>
        <w:t>+</w:t>
      </w:r>
      <w:r w:rsidR="001159A1" w:rsidRPr="00BC59F2">
        <w:rPr>
          <w:rFonts w:cs="Arial"/>
        </w:rPr>
        <w:t xml:space="preserve"> </w:t>
      </w:r>
      <w:r w:rsidR="00E46428" w:rsidRPr="00BC59F2">
        <w:rPr>
          <w:rFonts w:cs="Arial"/>
        </w:rPr>
        <w:t xml:space="preserve">for the duration of the assay period, </w:t>
      </w:r>
      <w:r w:rsidR="00E05D83" w:rsidRPr="00BC59F2">
        <w:rPr>
          <w:rFonts w:cs="Arial"/>
        </w:rPr>
        <w:t>10 µM Ag</w:t>
      </w:r>
      <w:r w:rsidR="00E05D83" w:rsidRPr="00BC59F2">
        <w:rPr>
          <w:rFonts w:cs="Arial"/>
          <w:vertAlign w:val="superscript"/>
        </w:rPr>
        <w:t>+</w:t>
      </w:r>
      <w:r w:rsidR="00E05D83" w:rsidRPr="00BC59F2">
        <w:rPr>
          <w:rFonts w:cs="Arial"/>
        </w:rPr>
        <w:t xml:space="preserve"> caused a significant reduction in</w:t>
      </w:r>
      <w:r w:rsidR="00E46428" w:rsidRPr="00BC59F2">
        <w:rPr>
          <w:rFonts w:cs="Arial"/>
        </w:rPr>
        <w:t xml:space="preserve"> colony number </w:t>
      </w:r>
      <w:r w:rsidR="00E05D83" w:rsidRPr="00BC59F2">
        <w:rPr>
          <w:rFonts w:cs="Arial"/>
        </w:rPr>
        <w:t>and area</w:t>
      </w:r>
      <w:r w:rsidR="00434BEC" w:rsidRPr="00BC59F2">
        <w:rPr>
          <w:rFonts w:cs="Arial"/>
        </w:rPr>
        <w:t xml:space="preserve"> </w:t>
      </w:r>
      <w:r w:rsidR="00E46428" w:rsidRPr="00BC59F2">
        <w:rPr>
          <w:rFonts w:cs="Arial"/>
        </w:rPr>
        <w:t>(</w:t>
      </w:r>
      <w:r w:rsidR="00E46428" w:rsidRPr="00BC59F2">
        <w:rPr>
          <w:rFonts w:cs="Arial"/>
          <w:b/>
        </w:rPr>
        <w:t>Fig</w:t>
      </w:r>
      <w:r w:rsidR="004D4CCD" w:rsidRPr="00BC59F2">
        <w:rPr>
          <w:rFonts w:cs="Arial"/>
          <w:b/>
        </w:rPr>
        <w:t>.</w:t>
      </w:r>
      <w:r w:rsidR="00E46428" w:rsidRPr="00BC59F2">
        <w:rPr>
          <w:rFonts w:cs="Arial"/>
          <w:b/>
        </w:rPr>
        <w:t xml:space="preserve"> 2</w:t>
      </w:r>
      <w:r w:rsidR="00E541D2" w:rsidRPr="00BC59F2">
        <w:rPr>
          <w:rFonts w:cs="Arial"/>
          <w:b/>
        </w:rPr>
        <w:t>f</w:t>
      </w:r>
      <w:r w:rsidR="00434BEC" w:rsidRPr="00BC59F2">
        <w:rPr>
          <w:rFonts w:cs="Arial"/>
          <w:b/>
        </w:rPr>
        <w:t xml:space="preserve">, </w:t>
      </w:r>
      <w:r w:rsidR="00E541D2" w:rsidRPr="00BC59F2">
        <w:rPr>
          <w:rFonts w:cs="Arial"/>
          <w:b/>
        </w:rPr>
        <w:t>g</w:t>
      </w:r>
      <w:r w:rsidR="00E46428" w:rsidRPr="00BC59F2">
        <w:rPr>
          <w:rFonts w:cs="Arial"/>
        </w:rPr>
        <w:t>)</w:t>
      </w:r>
      <w:r w:rsidR="00E05D83" w:rsidRPr="00BC59F2">
        <w:rPr>
          <w:rFonts w:cs="Arial"/>
        </w:rPr>
        <w:t>.</w:t>
      </w:r>
    </w:p>
    <w:bookmarkEnd w:id="3"/>
    <w:bookmarkEnd w:id="4"/>
    <w:p w14:paraId="6E98F351" w14:textId="77777777" w:rsidR="00E46428" w:rsidRPr="00BC59F2" w:rsidRDefault="00E46428" w:rsidP="00476FA4">
      <w:pPr>
        <w:pStyle w:val="Heading2"/>
        <w:spacing w:line="276" w:lineRule="auto"/>
      </w:pPr>
      <w:r w:rsidRPr="00BC59F2">
        <w:t xml:space="preserve">MSC </w:t>
      </w:r>
      <w:r w:rsidR="009D07C2" w:rsidRPr="00BC59F2">
        <w:t>colony formation</w:t>
      </w:r>
      <w:r w:rsidRPr="00BC59F2">
        <w:t xml:space="preserve"> is unaffected by previous exposure to Ag</w:t>
      </w:r>
      <w:r w:rsidRPr="00BC59F2">
        <w:rPr>
          <w:vertAlign w:val="superscript"/>
        </w:rPr>
        <w:t>+</w:t>
      </w:r>
    </w:p>
    <w:p w14:paraId="7CBB6348" w14:textId="7C2F4CF9" w:rsidR="00CD6374" w:rsidRPr="00BC59F2" w:rsidRDefault="00E46428" w:rsidP="00476FA4">
      <w:pPr>
        <w:spacing w:before="0" w:after="160" w:line="276" w:lineRule="auto"/>
        <w:contextualSpacing/>
        <w:jc w:val="left"/>
        <w:rPr>
          <w:rFonts w:cs="Arial"/>
        </w:rPr>
      </w:pPr>
      <w:r w:rsidRPr="00BC59F2">
        <w:rPr>
          <w:rFonts w:cs="Arial"/>
        </w:rPr>
        <w:t xml:space="preserve">Maintenance of </w:t>
      </w:r>
      <w:r w:rsidR="00736B37" w:rsidRPr="00BC59F2">
        <w:rPr>
          <w:rFonts w:cs="Arial"/>
        </w:rPr>
        <w:t xml:space="preserve">MSC </w:t>
      </w:r>
      <w:r w:rsidR="007A634F" w:rsidRPr="00BC59F2">
        <w:rPr>
          <w:rFonts w:cs="Arial"/>
        </w:rPr>
        <w:t xml:space="preserve">clonal expansion capacity </w:t>
      </w:r>
      <w:r w:rsidRPr="00BC59F2">
        <w:rPr>
          <w:rFonts w:cs="Arial"/>
        </w:rPr>
        <w:t>following Ag</w:t>
      </w:r>
      <w:r w:rsidRPr="00BC59F2">
        <w:rPr>
          <w:rFonts w:cs="Arial"/>
          <w:vertAlign w:val="superscript"/>
        </w:rPr>
        <w:t>+</w:t>
      </w:r>
      <w:r w:rsidRPr="00BC59F2">
        <w:rPr>
          <w:rFonts w:cs="Arial"/>
        </w:rPr>
        <w:t xml:space="preserve"> exposure is </w:t>
      </w:r>
      <w:r w:rsidR="007A634F" w:rsidRPr="00BC59F2">
        <w:rPr>
          <w:rFonts w:cs="Arial"/>
        </w:rPr>
        <w:t xml:space="preserve">necessary </w:t>
      </w:r>
      <w:r w:rsidRPr="00BC59F2">
        <w:rPr>
          <w:rFonts w:cs="Arial"/>
        </w:rPr>
        <w:t xml:space="preserve">for the continued functioning of bone marrow </w:t>
      </w:r>
      <w:r w:rsidR="007A634F" w:rsidRPr="00BC59F2">
        <w:rPr>
          <w:rFonts w:cs="Arial"/>
        </w:rPr>
        <w:t xml:space="preserve">stroma during </w:t>
      </w:r>
      <w:r w:rsidRPr="00BC59F2">
        <w:rPr>
          <w:rFonts w:cs="Arial"/>
        </w:rPr>
        <w:t xml:space="preserve">and </w:t>
      </w:r>
      <w:r w:rsidR="007A634F" w:rsidRPr="00BC59F2">
        <w:rPr>
          <w:rFonts w:cs="Arial"/>
        </w:rPr>
        <w:t xml:space="preserve">subsequent to </w:t>
      </w:r>
      <w:r w:rsidRPr="00BC59F2">
        <w:rPr>
          <w:rFonts w:cs="Arial"/>
        </w:rPr>
        <w:t>fracture repair.</w:t>
      </w:r>
      <w:r w:rsidR="004D5986" w:rsidRPr="00BC59F2">
        <w:rPr>
          <w:rFonts w:cs="Arial"/>
        </w:rPr>
        <w:t xml:space="preserve"> This</w:t>
      </w:r>
      <w:r w:rsidR="00FF6CE4" w:rsidRPr="00BC59F2">
        <w:rPr>
          <w:rFonts w:cs="Arial"/>
        </w:rPr>
        <w:t xml:space="preserve"> property</w:t>
      </w:r>
      <w:r w:rsidR="004D5986" w:rsidRPr="00BC59F2">
        <w:rPr>
          <w:rFonts w:cs="Arial"/>
        </w:rPr>
        <w:t xml:space="preserve"> was determined through the secondary seeding of Ag</w:t>
      </w:r>
      <w:r w:rsidR="004D5986" w:rsidRPr="00BC59F2">
        <w:rPr>
          <w:rFonts w:cs="Arial"/>
          <w:vertAlign w:val="superscript"/>
        </w:rPr>
        <w:t>+</w:t>
      </w:r>
      <w:r w:rsidR="004D5986" w:rsidRPr="00BC59F2">
        <w:rPr>
          <w:rFonts w:cs="Arial"/>
        </w:rPr>
        <w:t xml:space="preserve"> </w:t>
      </w:r>
      <w:r w:rsidR="00756486" w:rsidRPr="00BC59F2">
        <w:rPr>
          <w:rFonts w:cs="Arial"/>
        </w:rPr>
        <w:t>exposed</w:t>
      </w:r>
      <w:r w:rsidR="004D5986" w:rsidRPr="00BC59F2">
        <w:rPr>
          <w:rFonts w:cs="Arial"/>
        </w:rPr>
        <w:t xml:space="preserve"> CFU-f using a two-stage assay design (</w:t>
      </w:r>
      <w:r w:rsidR="004D5986" w:rsidRPr="00BC59F2">
        <w:rPr>
          <w:rFonts w:cs="Arial"/>
          <w:b/>
        </w:rPr>
        <w:t xml:space="preserve">Fig. </w:t>
      </w:r>
      <w:r w:rsidR="00295EDA" w:rsidRPr="00BC59F2">
        <w:rPr>
          <w:rFonts w:cs="Arial"/>
          <w:b/>
        </w:rPr>
        <w:t>3</w:t>
      </w:r>
      <w:r w:rsidR="00E541D2" w:rsidRPr="00BC59F2">
        <w:rPr>
          <w:rFonts w:cs="Arial"/>
          <w:b/>
        </w:rPr>
        <w:t>a</w:t>
      </w:r>
      <w:r w:rsidR="004D5986" w:rsidRPr="00BC59F2">
        <w:rPr>
          <w:rFonts w:cs="Arial"/>
        </w:rPr>
        <w:t>).</w:t>
      </w:r>
      <w:r w:rsidR="00756486" w:rsidRPr="00BC59F2">
        <w:rPr>
          <w:rFonts w:cs="Arial"/>
        </w:rPr>
        <w:t xml:space="preserve"> Essentially, CFU-f were exposed to</w:t>
      </w:r>
      <w:r w:rsidR="00D82969" w:rsidRPr="00BC59F2">
        <w:rPr>
          <w:rFonts w:cs="Arial"/>
        </w:rPr>
        <w:t xml:space="preserve"> </w:t>
      </w:r>
      <w:r w:rsidR="00756486" w:rsidRPr="00BC59F2">
        <w:rPr>
          <w:rFonts w:cs="Arial"/>
        </w:rPr>
        <w:t>Ag</w:t>
      </w:r>
      <w:r w:rsidR="00756486" w:rsidRPr="00BC59F2">
        <w:rPr>
          <w:rFonts w:cs="Arial"/>
          <w:vertAlign w:val="superscript"/>
        </w:rPr>
        <w:t>+</w:t>
      </w:r>
      <w:r w:rsidR="00756486" w:rsidRPr="00BC59F2">
        <w:rPr>
          <w:rFonts w:cs="Arial"/>
        </w:rPr>
        <w:t xml:space="preserve"> </w:t>
      </w:r>
      <w:r w:rsidR="00D55D86" w:rsidRPr="00BC59F2">
        <w:rPr>
          <w:rFonts w:cs="Arial"/>
        </w:rPr>
        <w:t>at 0, 1 and 10</w:t>
      </w:r>
      <w:r w:rsidR="00CD6374" w:rsidRPr="00BC59F2">
        <w:rPr>
          <w:rFonts w:cs="Arial"/>
        </w:rPr>
        <w:t xml:space="preserve"> </w:t>
      </w:r>
      <w:r w:rsidR="00D55D86" w:rsidRPr="00BC59F2">
        <w:rPr>
          <w:rFonts w:cs="Arial"/>
        </w:rPr>
        <w:t xml:space="preserve">µM </w:t>
      </w:r>
      <w:r w:rsidR="00CD6374" w:rsidRPr="00BC59F2">
        <w:rPr>
          <w:rFonts w:cs="Arial"/>
        </w:rPr>
        <w:t>concentrations for 14 days (Stage 1). After this time, the surviving CFU-fs from each treatment were trypsinised, re-plated at CFU-f density in fresh plates and re-exposed to Ag</w:t>
      </w:r>
      <w:r w:rsidR="00CD6374" w:rsidRPr="00BC59F2">
        <w:rPr>
          <w:rFonts w:cs="Arial"/>
          <w:vertAlign w:val="superscript"/>
        </w:rPr>
        <w:t>+</w:t>
      </w:r>
      <w:r w:rsidR="00825251" w:rsidRPr="00BC59F2">
        <w:rPr>
          <w:rFonts w:cs="Arial"/>
        </w:rPr>
        <w:t xml:space="preserve"> at 0, 1 and 10 µM</w:t>
      </w:r>
      <w:r w:rsidR="00CD6374" w:rsidRPr="00BC59F2">
        <w:rPr>
          <w:rFonts w:cs="Arial"/>
        </w:rPr>
        <w:t xml:space="preserve"> concentrations for a further 14 days (Stage 2). This protocol enabled us to test</w:t>
      </w:r>
      <w:r w:rsidR="00D82969" w:rsidRPr="00BC59F2">
        <w:rPr>
          <w:rFonts w:cs="Arial"/>
        </w:rPr>
        <w:t xml:space="preserve"> the hypothesis that colonies </w:t>
      </w:r>
      <w:r w:rsidR="00CD6374" w:rsidRPr="00BC59F2">
        <w:rPr>
          <w:rFonts w:cs="Arial"/>
        </w:rPr>
        <w:t>surviving an initial</w:t>
      </w:r>
      <w:r w:rsidR="00D82969" w:rsidRPr="00BC59F2">
        <w:rPr>
          <w:rFonts w:cs="Arial"/>
        </w:rPr>
        <w:t xml:space="preserve"> Ag</w:t>
      </w:r>
      <w:r w:rsidR="00D82969" w:rsidRPr="00BC59F2">
        <w:rPr>
          <w:rFonts w:cs="Arial"/>
          <w:vertAlign w:val="superscript"/>
        </w:rPr>
        <w:t>+</w:t>
      </w:r>
      <w:r w:rsidR="00CD6374" w:rsidRPr="00BC59F2">
        <w:rPr>
          <w:rFonts w:cs="Arial"/>
        </w:rPr>
        <w:t xml:space="preserve"> exposure represented</w:t>
      </w:r>
      <w:r w:rsidR="00D82969" w:rsidRPr="00BC59F2">
        <w:rPr>
          <w:rFonts w:cs="Arial"/>
        </w:rPr>
        <w:t xml:space="preserve"> an Ag</w:t>
      </w:r>
      <w:r w:rsidR="00D82969" w:rsidRPr="00BC59F2">
        <w:rPr>
          <w:rFonts w:cs="Arial"/>
          <w:vertAlign w:val="superscript"/>
        </w:rPr>
        <w:t>+</w:t>
      </w:r>
      <w:r w:rsidR="00D82969" w:rsidRPr="00BC59F2">
        <w:rPr>
          <w:rFonts w:cs="Arial"/>
        </w:rPr>
        <w:t xml:space="preserve"> resistant </w:t>
      </w:r>
      <w:r w:rsidR="00CD6374" w:rsidRPr="00BC59F2">
        <w:rPr>
          <w:rFonts w:cs="Arial"/>
        </w:rPr>
        <w:t xml:space="preserve">MSC </w:t>
      </w:r>
      <w:r w:rsidR="00D82969" w:rsidRPr="00BC59F2">
        <w:rPr>
          <w:rFonts w:cs="Arial"/>
        </w:rPr>
        <w:t xml:space="preserve">subpopulation. </w:t>
      </w:r>
      <w:r w:rsidR="00CD6374" w:rsidRPr="00BC59F2">
        <w:rPr>
          <w:rFonts w:cs="Arial"/>
        </w:rPr>
        <w:t xml:space="preserve">Stage 2 </w:t>
      </w:r>
      <w:r w:rsidR="00D82969" w:rsidRPr="00BC59F2">
        <w:rPr>
          <w:rFonts w:cs="Arial"/>
        </w:rPr>
        <w:t>CFU</w:t>
      </w:r>
      <w:r w:rsidR="00D82969" w:rsidRPr="00BC59F2">
        <w:rPr>
          <w:rFonts w:cs="Arial"/>
        </w:rPr>
        <w:noBreakHyphen/>
        <w:t>f number for</w:t>
      </w:r>
      <w:r w:rsidR="00CD6374" w:rsidRPr="00BC59F2">
        <w:rPr>
          <w:rFonts w:cs="Arial"/>
        </w:rPr>
        <w:t xml:space="preserve"> untreated</w:t>
      </w:r>
      <w:r w:rsidR="00D82969" w:rsidRPr="00BC59F2">
        <w:rPr>
          <w:rFonts w:cs="Arial"/>
        </w:rPr>
        <w:t xml:space="preserve"> controls was unaffected by previous exposure to Ag</w:t>
      </w:r>
      <w:r w:rsidR="00D82969" w:rsidRPr="00BC59F2">
        <w:rPr>
          <w:rFonts w:cs="Arial"/>
          <w:vertAlign w:val="superscript"/>
        </w:rPr>
        <w:t>+</w:t>
      </w:r>
      <w:r w:rsidR="00D82969" w:rsidRPr="00BC59F2">
        <w:rPr>
          <w:rFonts w:cs="Arial"/>
        </w:rPr>
        <w:t>. However,</w:t>
      </w:r>
      <w:r w:rsidR="00CD6374" w:rsidRPr="00BC59F2">
        <w:rPr>
          <w:rFonts w:cs="Arial"/>
        </w:rPr>
        <w:t xml:space="preserve"> the surviving Stage 1</w:t>
      </w:r>
      <w:r w:rsidR="00D82969" w:rsidRPr="00BC59F2">
        <w:rPr>
          <w:rFonts w:cs="Arial"/>
        </w:rPr>
        <w:t xml:space="preserve"> </w:t>
      </w:r>
      <w:r w:rsidR="00756486" w:rsidRPr="00BC59F2">
        <w:rPr>
          <w:rFonts w:cs="Arial"/>
        </w:rPr>
        <w:t>Ag</w:t>
      </w:r>
      <w:r w:rsidR="00756486" w:rsidRPr="00BC59F2">
        <w:rPr>
          <w:rFonts w:cs="Arial"/>
          <w:vertAlign w:val="superscript"/>
        </w:rPr>
        <w:t xml:space="preserve">+ </w:t>
      </w:r>
      <w:r w:rsidR="00D82969" w:rsidRPr="00BC59F2">
        <w:rPr>
          <w:rFonts w:cs="Arial"/>
        </w:rPr>
        <w:t xml:space="preserve">exposed </w:t>
      </w:r>
      <w:r w:rsidR="00CD6374" w:rsidRPr="00BC59F2">
        <w:rPr>
          <w:rFonts w:cs="Arial"/>
        </w:rPr>
        <w:t>MSCs remained susceptible to further Ag</w:t>
      </w:r>
      <w:r w:rsidR="00CD6374" w:rsidRPr="00BC59F2">
        <w:rPr>
          <w:rFonts w:cs="Arial"/>
          <w:vertAlign w:val="superscript"/>
        </w:rPr>
        <w:t>+</w:t>
      </w:r>
      <w:r w:rsidR="00CD6374" w:rsidRPr="00BC59F2">
        <w:rPr>
          <w:rFonts w:cs="Arial"/>
        </w:rPr>
        <w:t xml:space="preserve"> exposure in Stage 2 w</w:t>
      </w:r>
      <w:r w:rsidR="00D82969" w:rsidRPr="00BC59F2">
        <w:rPr>
          <w:rFonts w:cs="Arial"/>
        </w:rPr>
        <w:t xml:space="preserve">ith significant </w:t>
      </w:r>
      <w:r w:rsidR="00CD6374" w:rsidRPr="00BC59F2">
        <w:rPr>
          <w:rFonts w:cs="Arial"/>
        </w:rPr>
        <w:t>decreases</w:t>
      </w:r>
      <w:r w:rsidR="00D82969" w:rsidRPr="00BC59F2">
        <w:rPr>
          <w:rFonts w:cs="Arial"/>
        </w:rPr>
        <w:t xml:space="preserve"> </w:t>
      </w:r>
      <w:r w:rsidR="00BE2C25" w:rsidRPr="00BC59F2">
        <w:rPr>
          <w:rFonts w:cs="Arial"/>
        </w:rPr>
        <w:t>in CFU-f number,</w:t>
      </w:r>
      <w:r w:rsidR="00D82969" w:rsidRPr="00BC59F2">
        <w:rPr>
          <w:rFonts w:cs="Arial"/>
        </w:rPr>
        <w:t xml:space="preserve"> irrespective of initial Ag</w:t>
      </w:r>
      <w:r w:rsidR="00D82969" w:rsidRPr="00BC59F2">
        <w:rPr>
          <w:rFonts w:cs="Arial"/>
          <w:vertAlign w:val="superscript"/>
        </w:rPr>
        <w:t>+</w:t>
      </w:r>
      <w:r w:rsidR="00D82969" w:rsidRPr="00BC59F2">
        <w:rPr>
          <w:rFonts w:cs="Arial"/>
        </w:rPr>
        <w:t xml:space="preserve"> treatment</w:t>
      </w:r>
      <w:r w:rsidR="00CD6374" w:rsidRPr="00BC59F2">
        <w:rPr>
          <w:rFonts w:cs="Arial"/>
        </w:rPr>
        <w:t xml:space="preserve"> (</w:t>
      </w:r>
      <w:r w:rsidR="00D15238" w:rsidRPr="00BC59F2">
        <w:rPr>
          <w:rFonts w:cs="Arial"/>
          <w:b/>
        </w:rPr>
        <w:t>Fig. 3</w:t>
      </w:r>
      <w:r w:rsidR="00E541D2" w:rsidRPr="00BC59F2">
        <w:rPr>
          <w:rFonts w:cs="Arial"/>
          <w:b/>
        </w:rPr>
        <w:t>b</w:t>
      </w:r>
      <w:r w:rsidR="00BE2C25" w:rsidRPr="00BC59F2">
        <w:rPr>
          <w:rFonts w:cs="Arial"/>
        </w:rPr>
        <w:t>) indicating that Ag</w:t>
      </w:r>
      <w:r w:rsidR="00BE2C25" w:rsidRPr="00BC59F2">
        <w:rPr>
          <w:rFonts w:cs="Arial"/>
          <w:vertAlign w:val="superscript"/>
        </w:rPr>
        <w:t xml:space="preserve">+ </w:t>
      </w:r>
      <w:r w:rsidR="00BE2C25" w:rsidRPr="00BC59F2">
        <w:rPr>
          <w:rFonts w:cs="Arial"/>
        </w:rPr>
        <w:t>exposure did not select for a resistant MSC subtype.</w:t>
      </w:r>
    </w:p>
    <w:p w14:paraId="3BDCC0E9" w14:textId="77777777" w:rsidR="00D55D86" w:rsidRPr="00BC59F2" w:rsidRDefault="00D55D86" w:rsidP="00476FA4">
      <w:pPr>
        <w:spacing w:before="0" w:after="160" w:line="276" w:lineRule="auto"/>
        <w:contextualSpacing/>
        <w:jc w:val="left"/>
        <w:rPr>
          <w:rFonts w:cs="Arial"/>
        </w:rPr>
      </w:pPr>
    </w:p>
    <w:p w14:paraId="4AE9AEA2" w14:textId="2FF8B12E" w:rsidR="00E46428" w:rsidRPr="00BC59F2" w:rsidRDefault="00D82969" w:rsidP="00476FA4">
      <w:pPr>
        <w:spacing w:before="0" w:after="160" w:line="276" w:lineRule="auto"/>
        <w:contextualSpacing/>
        <w:jc w:val="left"/>
        <w:rPr>
          <w:rFonts w:cs="Arial"/>
        </w:rPr>
      </w:pPr>
      <w:r w:rsidRPr="00BC59F2">
        <w:rPr>
          <w:rFonts w:cs="Arial"/>
        </w:rPr>
        <w:t>An inverse correlation was observed between CFU-f diameter and Ag</w:t>
      </w:r>
      <w:r w:rsidRPr="00BC59F2">
        <w:rPr>
          <w:rFonts w:cs="Arial"/>
          <w:vertAlign w:val="superscript"/>
        </w:rPr>
        <w:t>+</w:t>
      </w:r>
      <w:r w:rsidRPr="00BC59F2">
        <w:rPr>
          <w:rFonts w:cs="Arial"/>
        </w:rPr>
        <w:t xml:space="preserve"> concentration (</w:t>
      </w:r>
      <w:r w:rsidRPr="00BC59F2">
        <w:rPr>
          <w:rFonts w:cs="Arial"/>
          <w:b/>
        </w:rPr>
        <w:t xml:space="preserve">Fig. </w:t>
      </w:r>
      <w:r w:rsidR="00295EDA" w:rsidRPr="00BC59F2">
        <w:rPr>
          <w:rFonts w:cs="Arial"/>
          <w:b/>
        </w:rPr>
        <w:t>3</w:t>
      </w:r>
      <w:r w:rsidR="00E541D2" w:rsidRPr="00BC59F2">
        <w:rPr>
          <w:rFonts w:cs="Arial"/>
          <w:b/>
        </w:rPr>
        <w:t>c</w:t>
      </w:r>
      <w:r w:rsidRPr="00BC59F2">
        <w:rPr>
          <w:rFonts w:cs="Arial"/>
        </w:rPr>
        <w:t>). This relationship was apparent irrespective of pre-exposure to Ag</w:t>
      </w:r>
      <w:r w:rsidRPr="00BC59F2">
        <w:rPr>
          <w:rFonts w:cs="Arial"/>
          <w:vertAlign w:val="superscript"/>
        </w:rPr>
        <w:t>+</w:t>
      </w:r>
      <w:r w:rsidRPr="00BC59F2">
        <w:rPr>
          <w:rFonts w:cs="Arial"/>
        </w:rPr>
        <w:t>, however the reduction was only significant for those colonies derived from MSCs previously cultured with silver.</w:t>
      </w:r>
      <w:r w:rsidRPr="00BC59F2" w:rsidDel="00D82969">
        <w:rPr>
          <w:rFonts w:cs="Arial"/>
        </w:rPr>
        <w:t xml:space="preserve"> </w:t>
      </w:r>
    </w:p>
    <w:p w14:paraId="01DD6B13" w14:textId="77777777" w:rsidR="00E46428" w:rsidRPr="00BC59F2" w:rsidRDefault="001E1993" w:rsidP="00476FA4">
      <w:pPr>
        <w:pStyle w:val="Heading2"/>
        <w:spacing w:line="276" w:lineRule="auto"/>
      </w:pPr>
      <w:r w:rsidRPr="00BC59F2">
        <w:t>Conditioned medium from MSCs</w:t>
      </w:r>
      <w:r w:rsidR="00E46428" w:rsidRPr="00BC59F2">
        <w:t xml:space="preserve"> maintains clonogenicity during exposure to Ag</w:t>
      </w:r>
      <w:r w:rsidR="00E46428" w:rsidRPr="00BC59F2">
        <w:rPr>
          <w:vertAlign w:val="superscript"/>
        </w:rPr>
        <w:t>+</w:t>
      </w:r>
    </w:p>
    <w:p w14:paraId="037DCD1D" w14:textId="0C55EB6A" w:rsidR="00CA3588" w:rsidRPr="00BC59F2" w:rsidRDefault="00384E2E" w:rsidP="00476FA4">
      <w:pPr>
        <w:spacing w:before="0" w:after="160" w:line="276" w:lineRule="auto"/>
        <w:contextualSpacing/>
        <w:jc w:val="left"/>
        <w:rPr>
          <w:rFonts w:cs="Arial"/>
        </w:rPr>
      </w:pPr>
      <w:r w:rsidRPr="00BC59F2">
        <w:rPr>
          <w:rFonts w:cs="Arial"/>
        </w:rPr>
        <w:t xml:space="preserve">We have found that </w:t>
      </w:r>
      <w:r w:rsidR="000C4DDF" w:rsidRPr="00BC59F2">
        <w:rPr>
          <w:rFonts w:cs="Arial"/>
        </w:rPr>
        <w:t xml:space="preserve">colony-forming </w:t>
      </w:r>
      <w:r w:rsidRPr="00BC59F2">
        <w:rPr>
          <w:rFonts w:cs="Arial"/>
        </w:rPr>
        <w:t>MSCs grown at single cell densities are much more sensitive to Ag</w:t>
      </w:r>
      <w:r w:rsidRPr="00BC59F2">
        <w:rPr>
          <w:rFonts w:cs="Arial"/>
          <w:vertAlign w:val="superscript"/>
        </w:rPr>
        <w:t>+</w:t>
      </w:r>
      <w:r w:rsidRPr="00BC59F2">
        <w:rPr>
          <w:rFonts w:cs="Arial"/>
        </w:rPr>
        <w:t xml:space="preserve"> exposure than confluent or near confluent MSC cultures. </w:t>
      </w:r>
      <w:r w:rsidR="00796754" w:rsidRPr="00BC59F2">
        <w:rPr>
          <w:rFonts w:cs="Arial"/>
        </w:rPr>
        <w:t xml:space="preserve">We hypothesised that this may be due to the decreased availability of secreted, protective signalling factors in CFU-f cultures compared to more densely packed MSC monolayers. To test this hypothesis, conditioned medium (CM) was collected from confluent MSC cultures and applied to the CFU-f assays in the presence and absence of silver ions. </w:t>
      </w:r>
      <w:r w:rsidR="00E46428" w:rsidRPr="00BC59F2">
        <w:rPr>
          <w:rFonts w:cs="Arial"/>
        </w:rPr>
        <w:t>We found that the CFU-f number reduction observed at 10 µM Ag</w:t>
      </w:r>
      <w:r w:rsidR="00E46428" w:rsidRPr="00BC59F2">
        <w:rPr>
          <w:rFonts w:cs="Arial"/>
          <w:vertAlign w:val="superscript"/>
        </w:rPr>
        <w:t>+</w:t>
      </w:r>
      <w:r w:rsidR="00E46428" w:rsidRPr="00BC59F2">
        <w:rPr>
          <w:rFonts w:cs="Arial"/>
        </w:rPr>
        <w:t xml:space="preserve"> could be </w:t>
      </w:r>
      <w:r w:rsidR="000C4DDF" w:rsidRPr="00BC59F2">
        <w:rPr>
          <w:rFonts w:cs="Arial"/>
        </w:rPr>
        <w:t>rescued</w:t>
      </w:r>
      <w:r w:rsidR="00E46428" w:rsidRPr="00BC59F2">
        <w:rPr>
          <w:rFonts w:cs="Arial"/>
        </w:rPr>
        <w:t xml:space="preserve"> by the addition </w:t>
      </w:r>
      <w:r w:rsidR="000C4DDF" w:rsidRPr="00BC59F2">
        <w:rPr>
          <w:rFonts w:cs="Arial"/>
        </w:rPr>
        <w:t xml:space="preserve">of </w:t>
      </w:r>
      <w:r w:rsidR="00796754" w:rsidRPr="00BC59F2">
        <w:rPr>
          <w:rFonts w:cs="Arial"/>
        </w:rPr>
        <w:t>CM</w:t>
      </w:r>
      <w:r w:rsidR="00E46428" w:rsidRPr="00BC59F2">
        <w:rPr>
          <w:rFonts w:cs="Arial"/>
        </w:rPr>
        <w:t xml:space="preserve"> (</w:t>
      </w:r>
      <w:r w:rsidR="00E46428" w:rsidRPr="00BC59F2">
        <w:rPr>
          <w:rFonts w:cs="Arial"/>
          <w:b/>
        </w:rPr>
        <w:t>Fig</w:t>
      </w:r>
      <w:r w:rsidR="004D4CCD" w:rsidRPr="00BC59F2">
        <w:rPr>
          <w:rFonts w:cs="Arial"/>
          <w:b/>
        </w:rPr>
        <w:t>.</w:t>
      </w:r>
      <w:r w:rsidR="00295EDA" w:rsidRPr="00BC59F2">
        <w:rPr>
          <w:rFonts w:cs="Arial"/>
          <w:b/>
        </w:rPr>
        <w:t xml:space="preserve"> 3</w:t>
      </w:r>
      <w:r w:rsidR="00E541D2" w:rsidRPr="00BC59F2">
        <w:rPr>
          <w:rFonts w:cs="Arial"/>
          <w:b/>
        </w:rPr>
        <w:t>d</w:t>
      </w:r>
      <w:r w:rsidR="00E46428" w:rsidRPr="00BC59F2">
        <w:rPr>
          <w:rFonts w:cs="Arial"/>
        </w:rPr>
        <w:t xml:space="preserve">). Both </w:t>
      </w:r>
      <w:r w:rsidR="00796754" w:rsidRPr="00BC59F2">
        <w:rPr>
          <w:rFonts w:cs="Arial"/>
        </w:rPr>
        <w:t xml:space="preserve">human </w:t>
      </w:r>
      <w:r w:rsidR="00E46428" w:rsidRPr="00BC59F2">
        <w:rPr>
          <w:rFonts w:cs="Arial"/>
        </w:rPr>
        <w:t xml:space="preserve">primary MSCs and </w:t>
      </w:r>
      <w:r w:rsidR="00796754" w:rsidRPr="00BC59F2">
        <w:rPr>
          <w:rFonts w:cs="Arial"/>
        </w:rPr>
        <w:t xml:space="preserve">the </w:t>
      </w:r>
      <w:r w:rsidR="00E46428" w:rsidRPr="00BC59F2">
        <w:rPr>
          <w:rFonts w:cs="Arial"/>
        </w:rPr>
        <w:t xml:space="preserve">Y201 </w:t>
      </w:r>
      <w:r w:rsidR="00796754" w:rsidRPr="00BC59F2">
        <w:rPr>
          <w:rFonts w:cs="Arial"/>
        </w:rPr>
        <w:t xml:space="preserve">human MSC line </w:t>
      </w:r>
      <w:r w:rsidR="001E1993" w:rsidRPr="00BC59F2">
        <w:rPr>
          <w:rFonts w:cs="Arial"/>
        </w:rPr>
        <w:t>(used here as a reproducible model human MSC clonal line</w:t>
      </w:r>
      <w:r w:rsidR="00825251" w:rsidRPr="00BC59F2">
        <w:rPr>
          <w:rFonts w:cs="Arial"/>
        </w:rPr>
        <w:t xml:space="preserve"> </w:t>
      </w:r>
      <w:r w:rsidR="00ED5F5D" w:rsidRPr="00BC59F2">
        <w:rPr>
          <w:rFonts w:cs="Arial"/>
        </w:rPr>
        <w:fldChar w:fldCharType="begin" w:fldLock="1"/>
      </w:r>
      <w:r w:rsidR="00E37F00" w:rsidRPr="00BC59F2">
        <w:rPr>
          <w:rFonts w:cs="Arial"/>
        </w:rPr>
        <w:instrText xml:space="preserve">ADDIN CSL_CITATION {"citationItems":[{"id":"ITEM-1","itemData":{"DOI":"10.1016/j.stemcr.2015.05.005","ISBN":"2213-6711","ISSN":"22136711","PMID":"26070611","abstract":"Bone marrow stromal cells (BMSCs, also called bone-marrow-derived mesenchymal stromal cells) provide hematopoietic support and immunoregulation and contain a stem cell fraction capable of skeletogenic differentiation. We used immortalized human BMSC clonal lines for multi-level analysis of functional markers for BMSC subsets. All clones expressed typical BMSC cell-surface antigens; however, clones with trilineage differentiation capacity exhibited enhanced vascular interaction gene sets, whereas non-differentiating clones were uniquely CD317 positive with significantly enriched immunomodulatory transcriptional networks and high IL-7 production. IL-7 lineage tracing and CD317 immunolocalization confirmed the existence of a rare non-differentiating BMSC subtype, distinct from Cxcl12-DsRed+ perivascular stromal cells in vivo. Colony-forming CD317+ IL-7hi cells, identified at </w:instrText>
      </w:r>
      <w:r w:rsidR="00E37F00" w:rsidRPr="00BC59F2">
        <w:rPr>
          <w:rFonts w:ascii="Cambria" w:hAnsi="Cambria" w:cs="Cambria"/>
        </w:rPr>
        <w:instrText>∼</w:instrText>
      </w:r>
      <w:r w:rsidR="00E37F00" w:rsidRPr="00BC59F2">
        <w:rPr>
          <w:rFonts w:cs="Arial"/>
        </w:rPr>
        <w:instrText>1%-3% frequency in heterogeneous human BMSC fractions, were found to have the same biomolecular profile as non-differentiating BMSC clones using Raman spectroscopy. Distinct functional identities can be assigned to BMSC subpopulations, which are likely to have specific roles in immune control, lymphopoiesis, and bone homeostasis.","author":[{"dropping-particle":"","family":"James","given":"Sally","non-dropping-particle":"","parse-names":false,"suffix":""},{"dropping-particle":"","family":"Fox","given":"James","non-dropping-particle":"","parse-names":false,"suffix":""},{"dropping-particle":"","family":"Afsari","given":"Farinaz","non-dropping-particle":"","parse-names":false,"suffix":""},{"dropping-particle":"","family":"Lee","given":"Jennifer","non-dropping-particle":"","parse-names":false,"suffix":""},{"dropping-particle":"","family":"Clough","given":"Sally","non-dropping-particle":"","parse-names":false,"suffix":""},{"dropping-particle":"","family":"Knight","given":"Charlotte","non-dropping-particle":"","parse-names":false,"suffix":""},{"dropping-particle":"","family":"Ashmore","given":"James","non-dropping-particle":"","parse-names":false,"suffix":""},{"dropping-particle":"","family":"Ashton","given":"Peter","non-dropping-particle":"","parse-names":false,"suffix":""},{"dropping-particle":"","family":"Preham","given":"Olivier","non-dropping-particle":"","parse-names":false,"suffix":""},{"dropping-particle":"","family":"Hoogduijn","given":"Martin","non-dropping-particle":"","parse-names":false,"suffix":""},{"dropping-particle":"","family":"Ponzoni","given":"Raquel De Almeida Rocha","non-dropping-particle":"","parse-names":false,"suffix":""},{"dropping-particle":"","family":"Hancock","given":"Y.","non-dropping-particle":"","parse-names":false,"suffix":""},{"dropping-particle":"","family":"Coles","given":"Mark","non-dropping-particle":"","parse-names":false,"suffix":""},{"dropping-particle":"","family":"Genever","given":"Paul","non-dropping-particle":"","parse-names":false,"suffix":""}],"container-title":"Stem Cell Reports","id":"ITEM-1","issue":"6","issued":{"date-parts":[["2015"]]},"page":"1004-1015","title":"Multiparameter Analysis of Human Bone Marrow Stromal Cells Identifies Distinct Immunomodulatory and Differentiation-Competent Subtypes","type":"article-journal","volume":"4"},"uris":["http://www.mendeley.com/documents/?uuid=a61e59d2-3b1f-43d6-a1b9-737bfad61dac"]}],"mendeley":{"formattedCitation":"&lt;sup&gt;29&lt;/sup&gt;","plainTextFormattedCitation":"29","previouslyFormattedCitation":"&lt;sup&gt;29&lt;/sup&gt;"},"properties":{"noteIndex":0},"schema":"https://github.com/citation-style-language/schema/raw/master/csl-citation.json"}</w:instrText>
      </w:r>
      <w:r w:rsidR="00ED5F5D" w:rsidRPr="00BC59F2">
        <w:rPr>
          <w:rFonts w:cs="Arial"/>
        </w:rPr>
        <w:fldChar w:fldCharType="separate"/>
      </w:r>
      <w:r w:rsidR="00E37F00" w:rsidRPr="00BC59F2">
        <w:rPr>
          <w:rFonts w:cs="Arial"/>
          <w:noProof/>
          <w:vertAlign w:val="superscript"/>
        </w:rPr>
        <w:t>29</w:t>
      </w:r>
      <w:r w:rsidR="00ED5F5D" w:rsidRPr="00BC59F2">
        <w:rPr>
          <w:rFonts w:cs="Arial"/>
        </w:rPr>
        <w:fldChar w:fldCharType="end"/>
      </w:r>
      <w:r w:rsidR="001E1993" w:rsidRPr="00BC59F2">
        <w:rPr>
          <w:rFonts w:cs="Arial"/>
        </w:rPr>
        <w:t xml:space="preserve">) </w:t>
      </w:r>
      <w:r w:rsidR="00E46428" w:rsidRPr="00BC59F2">
        <w:rPr>
          <w:rFonts w:cs="Arial"/>
        </w:rPr>
        <w:t>showed recovery of CFU-f number near to that of control</w:t>
      </w:r>
      <w:r w:rsidR="00796754" w:rsidRPr="00BC59F2">
        <w:rPr>
          <w:rFonts w:cs="Arial"/>
        </w:rPr>
        <w:t xml:space="preserve"> when treated with Ag</w:t>
      </w:r>
      <w:r w:rsidR="00796754" w:rsidRPr="00BC59F2">
        <w:rPr>
          <w:rFonts w:cs="Arial"/>
          <w:vertAlign w:val="superscript"/>
        </w:rPr>
        <w:t>+</w:t>
      </w:r>
      <w:r w:rsidR="00796754" w:rsidRPr="00BC59F2">
        <w:rPr>
          <w:rFonts w:cs="Arial"/>
        </w:rPr>
        <w:t xml:space="preserve"> in CM</w:t>
      </w:r>
      <w:r w:rsidR="008E41DF" w:rsidRPr="00BC59F2">
        <w:rPr>
          <w:rFonts w:cs="Arial"/>
        </w:rPr>
        <w:t>.</w:t>
      </w:r>
      <w:r w:rsidR="00E46428" w:rsidRPr="00BC59F2">
        <w:rPr>
          <w:rFonts w:cs="Arial"/>
        </w:rPr>
        <w:t xml:space="preserve"> </w:t>
      </w:r>
      <w:r w:rsidR="00796754" w:rsidRPr="00BC59F2">
        <w:rPr>
          <w:rFonts w:cs="Arial"/>
        </w:rPr>
        <w:t xml:space="preserve">There was also a notable </w:t>
      </w:r>
      <w:r w:rsidR="00E46428" w:rsidRPr="00BC59F2">
        <w:rPr>
          <w:rFonts w:cs="Arial"/>
        </w:rPr>
        <w:t xml:space="preserve">increase in colony size of the </w:t>
      </w:r>
      <w:r w:rsidR="00796754" w:rsidRPr="00BC59F2">
        <w:rPr>
          <w:rFonts w:cs="Arial"/>
        </w:rPr>
        <w:t>CM</w:t>
      </w:r>
      <w:r w:rsidR="00E46428" w:rsidRPr="00BC59F2">
        <w:rPr>
          <w:rFonts w:cs="Arial"/>
        </w:rPr>
        <w:t xml:space="preserve"> groups</w:t>
      </w:r>
      <w:r w:rsidR="00796754" w:rsidRPr="00BC59F2">
        <w:rPr>
          <w:rFonts w:cs="Arial"/>
        </w:rPr>
        <w:t xml:space="preserve"> compared to unconditioned medium controls</w:t>
      </w:r>
      <w:r w:rsidR="00E46428" w:rsidRPr="00BC59F2">
        <w:rPr>
          <w:rFonts w:cs="Arial"/>
        </w:rPr>
        <w:t xml:space="preserve"> (</w:t>
      </w:r>
      <w:r w:rsidR="00E46428" w:rsidRPr="00BC59F2">
        <w:rPr>
          <w:rFonts w:cs="Arial"/>
          <w:b/>
        </w:rPr>
        <w:t>Fig</w:t>
      </w:r>
      <w:r w:rsidR="004D4CCD" w:rsidRPr="00BC59F2">
        <w:rPr>
          <w:rFonts w:cs="Arial"/>
          <w:b/>
        </w:rPr>
        <w:t>.</w:t>
      </w:r>
      <w:r w:rsidR="00295EDA" w:rsidRPr="00BC59F2">
        <w:rPr>
          <w:rFonts w:cs="Arial"/>
          <w:b/>
        </w:rPr>
        <w:t xml:space="preserve"> 3</w:t>
      </w:r>
      <w:r w:rsidR="00E541D2" w:rsidRPr="00BC59F2">
        <w:rPr>
          <w:rFonts w:cs="Arial"/>
          <w:b/>
        </w:rPr>
        <w:t>e</w:t>
      </w:r>
      <w:r w:rsidR="00E46428" w:rsidRPr="00BC59F2">
        <w:rPr>
          <w:rFonts w:cs="Arial"/>
        </w:rPr>
        <w:t>).</w:t>
      </w:r>
    </w:p>
    <w:p w14:paraId="0C328337" w14:textId="77777777" w:rsidR="00E46428" w:rsidRPr="00BC59F2" w:rsidRDefault="00E46428" w:rsidP="00476FA4">
      <w:pPr>
        <w:pStyle w:val="Heading2"/>
        <w:spacing w:line="276" w:lineRule="auto"/>
      </w:pPr>
      <w:r w:rsidRPr="00BC59F2">
        <w:lastRenderedPageBreak/>
        <w:t>Glutathione synthesis is upregulated in MSCs of surviving CFU-f in response to Ag</w:t>
      </w:r>
      <w:r w:rsidRPr="00BC59F2">
        <w:rPr>
          <w:vertAlign w:val="superscript"/>
        </w:rPr>
        <w:t>+</w:t>
      </w:r>
    </w:p>
    <w:p w14:paraId="08E098DF" w14:textId="56FF39B5" w:rsidR="000D40AA" w:rsidRPr="00BC59F2" w:rsidRDefault="00A53D4D" w:rsidP="00476FA4">
      <w:pPr>
        <w:spacing w:line="276" w:lineRule="auto"/>
        <w:contextualSpacing/>
        <w:jc w:val="left"/>
        <w:rPr>
          <w:rFonts w:eastAsia="MS Gothic" w:cs="Arial"/>
          <w:color w:val="000000"/>
        </w:rPr>
      </w:pPr>
      <w:r w:rsidRPr="00BC59F2">
        <w:rPr>
          <w:rFonts w:eastAsia="MS Gothic" w:cs="Arial"/>
          <w:color w:val="000000"/>
        </w:rPr>
        <w:t>We</w:t>
      </w:r>
      <w:r w:rsidR="00710694" w:rsidRPr="00BC59F2">
        <w:rPr>
          <w:rFonts w:eastAsia="MS Gothic" w:cs="Arial"/>
          <w:color w:val="000000"/>
        </w:rPr>
        <w:t xml:space="preserve"> have shown </w:t>
      </w:r>
      <w:r w:rsidR="00F63838" w:rsidRPr="00BC59F2">
        <w:rPr>
          <w:rFonts w:eastAsia="MS Gothic" w:cs="Arial"/>
          <w:color w:val="000000"/>
        </w:rPr>
        <w:t xml:space="preserve">that a proportion of MSCs </w:t>
      </w:r>
      <w:r w:rsidR="009142D4" w:rsidRPr="00BC59F2">
        <w:rPr>
          <w:rFonts w:eastAsia="MS Gothic" w:cs="Arial"/>
          <w:color w:val="000000"/>
        </w:rPr>
        <w:t>persist</w:t>
      </w:r>
      <w:r w:rsidR="00F63838" w:rsidRPr="00BC59F2">
        <w:rPr>
          <w:rFonts w:eastAsia="MS Gothic" w:cs="Arial"/>
          <w:color w:val="000000"/>
        </w:rPr>
        <w:t xml:space="preserve"> as CFU-fs following exposure to Ag</w:t>
      </w:r>
      <w:r w:rsidR="00F63838" w:rsidRPr="00BC59F2">
        <w:rPr>
          <w:rFonts w:eastAsia="MS Gothic" w:cs="Arial"/>
          <w:color w:val="000000"/>
          <w:vertAlign w:val="superscript"/>
        </w:rPr>
        <w:t>+</w:t>
      </w:r>
      <w:r w:rsidR="00F63838" w:rsidRPr="00BC59F2">
        <w:rPr>
          <w:rFonts w:eastAsia="MS Gothic" w:cs="Arial"/>
          <w:color w:val="000000"/>
        </w:rPr>
        <w:t xml:space="preserve"> ions, suggesting </w:t>
      </w:r>
      <w:r w:rsidRPr="00BC59F2">
        <w:rPr>
          <w:rFonts w:eastAsia="MS Gothic" w:cs="Arial"/>
          <w:color w:val="000000"/>
        </w:rPr>
        <w:t>that Ag</w:t>
      </w:r>
      <w:r w:rsidRPr="00BC59F2">
        <w:rPr>
          <w:rFonts w:eastAsia="MS Gothic" w:cs="Arial"/>
          <w:color w:val="000000"/>
          <w:vertAlign w:val="superscript"/>
        </w:rPr>
        <w:t>+</w:t>
      </w:r>
      <w:r w:rsidRPr="00BC59F2">
        <w:rPr>
          <w:rFonts w:eastAsia="MS Gothic" w:cs="Arial"/>
          <w:color w:val="000000"/>
        </w:rPr>
        <w:t xml:space="preserve"> may activate</w:t>
      </w:r>
      <w:r w:rsidR="00F63838" w:rsidRPr="00BC59F2">
        <w:rPr>
          <w:rFonts w:eastAsia="MS Gothic" w:cs="Arial"/>
          <w:color w:val="000000"/>
        </w:rPr>
        <w:t xml:space="preserve"> </w:t>
      </w:r>
      <w:r w:rsidR="009142D4" w:rsidRPr="00BC59F2">
        <w:rPr>
          <w:rFonts w:eastAsia="MS Gothic" w:cs="Arial"/>
          <w:color w:val="000000"/>
        </w:rPr>
        <w:t xml:space="preserve">survival </w:t>
      </w:r>
      <w:r w:rsidRPr="00BC59F2">
        <w:rPr>
          <w:rFonts w:eastAsia="MS Gothic" w:cs="Arial"/>
          <w:color w:val="000000"/>
        </w:rPr>
        <w:t>mechanisms in MSCs, depending on cell density</w:t>
      </w:r>
      <w:r w:rsidR="009142D4" w:rsidRPr="00BC59F2">
        <w:rPr>
          <w:rFonts w:eastAsia="MS Gothic" w:cs="Arial"/>
          <w:color w:val="000000"/>
        </w:rPr>
        <w:t>.</w:t>
      </w:r>
      <w:r w:rsidR="00710694" w:rsidRPr="00BC59F2">
        <w:rPr>
          <w:rFonts w:eastAsia="MS Gothic" w:cs="Arial"/>
          <w:color w:val="000000"/>
        </w:rPr>
        <w:t xml:space="preserve"> To identify these mechanisms, Y201 </w:t>
      </w:r>
      <w:r w:rsidRPr="00BC59F2">
        <w:rPr>
          <w:rFonts w:eastAsia="MS Gothic" w:cs="Arial"/>
          <w:color w:val="000000"/>
        </w:rPr>
        <w:t xml:space="preserve">MSCs were </w:t>
      </w:r>
      <w:r w:rsidR="00710694" w:rsidRPr="00BC59F2">
        <w:rPr>
          <w:rFonts w:eastAsia="MS Gothic" w:cs="Arial"/>
          <w:color w:val="000000"/>
        </w:rPr>
        <w:t xml:space="preserve">used </w:t>
      </w:r>
      <w:r w:rsidRPr="00BC59F2">
        <w:rPr>
          <w:rFonts w:eastAsia="MS Gothic" w:cs="Arial"/>
          <w:color w:val="000000"/>
        </w:rPr>
        <w:t>in</w:t>
      </w:r>
      <w:r w:rsidR="00710694" w:rsidRPr="00BC59F2">
        <w:rPr>
          <w:rFonts w:eastAsia="MS Gothic" w:cs="Arial"/>
          <w:color w:val="000000"/>
        </w:rPr>
        <w:t xml:space="preserve"> a proteomic screen of Ag</w:t>
      </w:r>
      <w:r w:rsidR="00710694" w:rsidRPr="00BC59F2">
        <w:rPr>
          <w:rFonts w:eastAsia="MS Gothic" w:cs="Arial"/>
          <w:color w:val="000000"/>
          <w:vertAlign w:val="superscript"/>
        </w:rPr>
        <w:t>+</w:t>
      </w:r>
      <w:r w:rsidR="00710694" w:rsidRPr="00BC59F2">
        <w:rPr>
          <w:rFonts w:eastAsia="MS Gothic" w:cs="Arial"/>
          <w:color w:val="000000"/>
        </w:rPr>
        <w:t xml:space="preserve"> </w:t>
      </w:r>
      <w:r w:rsidRPr="00BC59F2">
        <w:rPr>
          <w:rFonts w:eastAsia="MS Gothic" w:cs="Arial"/>
          <w:color w:val="000000"/>
        </w:rPr>
        <w:t>exposed</w:t>
      </w:r>
      <w:r w:rsidR="00710694" w:rsidRPr="00BC59F2">
        <w:rPr>
          <w:rFonts w:eastAsia="MS Gothic" w:cs="Arial"/>
          <w:color w:val="000000"/>
        </w:rPr>
        <w:t xml:space="preserve"> CFU-f</w:t>
      </w:r>
      <w:r w:rsidRPr="00BC59F2">
        <w:rPr>
          <w:rFonts w:eastAsia="MS Gothic" w:cs="Arial"/>
          <w:color w:val="000000"/>
        </w:rPr>
        <w:t xml:space="preserve"> compared to untreated control CFU-f</w:t>
      </w:r>
      <w:r w:rsidR="00710694" w:rsidRPr="00BC59F2">
        <w:rPr>
          <w:rFonts w:eastAsia="MS Gothic" w:cs="Arial"/>
          <w:color w:val="000000"/>
        </w:rPr>
        <w:t>.</w:t>
      </w:r>
      <w:r w:rsidRPr="00BC59F2">
        <w:rPr>
          <w:rFonts w:eastAsia="MS Gothic" w:cs="Arial"/>
          <w:color w:val="000000"/>
        </w:rPr>
        <w:t xml:space="preserve"> </w:t>
      </w:r>
      <w:r w:rsidR="000D40AA" w:rsidRPr="00BC59F2">
        <w:rPr>
          <w:rFonts w:eastAsia="MS Gothic" w:cs="Arial"/>
          <w:color w:val="000000"/>
        </w:rPr>
        <w:t>Liquid chromatography tandem mass spectrometry (LC-MS/MS) proteomic analysis identified 5050 quantifiable proteins, with peak area-based label-free relative quantification applied using Progenesis QI software (</w:t>
      </w:r>
      <w:r w:rsidR="000D40AA" w:rsidRPr="00BC59F2">
        <w:rPr>
          <w:rFonts w:eastAsia="MS Gothic" w:cs="Arial"/>
          <w:b/>
          <w:color w:val="000000"/>
        </w:rPr>
        <w:t>Fig</w:t>
      </w:r>
      <w:r w:rsidR="00295EDA" w:rsidRPr="00BC59F2">
        <w:rPr>
          <w:rFonts w:eastAsia="MS Gothic" w:cs="Arial"/>
          <w:b/>
          <w:color w:val="000000"/>
        </w:rPr>
        <w:t>. 4</w:t>
      </w:r>
      <w:r w:rsidR="00E541D2" w:rsidRPr="00BC59F2">
        <w:rPr>
          <w:rFonts w:eastAsia="MS Gothic" w:cs="Arial"/>
          <w:b/>
          <w:color w:val="000000"/>
        </w:rPr>
        <w:t>a</w:t>
      </w:r>
      <w:r w:rsidR="000D40AA" w:rsidRPr="00BC59F2">
        <w:rPr>
          <w:rFonts w:eastAsia="MS Gothic" w:cs="Arial"/>
          <w:color w:val="000000"/>
        </w:rPr>
        <w:t>)</w:t>
      </w:r>
      <w:r w:rsidR="000D40AA" w:rsidRPr="00BC59F2">
        <w:rPr>
          <w:rFonts w:eastAsia="MS Gothic" w:cs="Arial"/>
          <w:b/>
          <w:color w:val="000000"/>
        </w:rPr>
        <w:t xml:space="preserve">. </w:t>
      </w:r>
      <w:r w:rsidR="000D40AA" w:rsidRPr="00BC59F2">
        <w:rPr>
          <w:rFonts w:eastAsia="MS Gothic" w:cs="Arial"/>
          <w:color w:val="000000"/>
        </w:rPr>
        <w:t xml:space="preserve">Of those identified, 89 were significantly upregulated </w:t>
      </w:r>
      <w:r w:rsidRPr="00BC59F2">
        <w:rPr>
          <w:rFonts w:eastAsia="MS Gothic" w:cs="Arial"/>
          <w:color w:val="000000"/>
        </w:rPr>
        <w:t>in Ag</w:t>
      </w:r>
      <w:r w:rsidRPr="00BC59F2">
        <w:rPr>
          <w:rFonts w:eastAsia="MS Gothic" w:cs="Arial"/>
          <w:color w:val="000000"/>
          <w:vertAlign w:val="superscript"/>
        </w:rPr>
        <w:t>+</w:t>
      </w:r>
      <w:r w:rsidRPr="00BC59F2">
        <w:rPr>
          <w:rFonts w:eastAsia="MS Gothic" w:cs="Arial"/>
          <w:color w:val="000000"/>
        </w:rPr>
        <w:t xml:space="preserve"> exposed CFU-f </w:t>
      </w:r>
      <w:r w:rsidR="000D40AA" w:rsidRPr="00BC59F2">
        <w:rPr>
          <w:rFonts w:eastAsia="MS Gothic" w:cs="Arial"/>
          <w:color w:val="000000"/>
        </w:rPr>
        <w:t>compared to control</w:t>
      </w:r>
      <w:r w:rsidRPr="00BC59F2">
        <w:rPr>
          <w:rFonts w:eastAsia="MS Gothic" w:cs="Arial"/>
          <w:color w:val="000000"/>
        </w:rPr>
        <w:t>s</w:t>
      </w:r>
      <w:r w:rsidR="000D40AA" w:rsidRPr="00BC59F2">
        <w:rPr>
          <w:rFonts w:eastAsia="MS Gothic" w:cs="Arial"/>
          <w:color w:val="000000"/>
        </w:rPr>
        <w:t>, while 21 were significantly downregulated (FDR &lt;0.05) (</w:t>
      </w:r>
      <w:r w:rsidR="000D40AA" w:rsidRPr="00BC59F2">
        <w:rPr>
          <w:rFonts w:eastAsia="MS Gothic" w:cs="Arial"/>
          <w:b/>
          <w:color w:val="000000"/>
        </w:rPr>
        <w:t xml:space="preserve">Fig. </w:t>
      </w:r>
      <w:r w:rsidR="00295EDA" w:rsidRPr="00BC59F2">
        <w:rPr>
          <w:rFonts w:eastAsia="MS Gothic" w:cs="Arial"/>
          <w:b/>
          <w:color w:val="000000"/>
        </w:rPr>
        <w:t>4</w:t>
      </w:r>
      <w:r w:rsidR="00E541D2" w:rsidRPr="00BC59F2">
        <w:rPr>
          <w:rFonts w:eastAsia="MS Gothic" w:cs="Arial"/>
          <w:b/>
          <w:color w:val="000000"/>
        </w:rPr>
        <w:t>b</w:t>
      </w:r>
      <w:r w:rsidR="000D40AA" w:rsidRPr="00BC59F2">
        <w:rPr>
          <w:rFonts w:eastAsia="MS Gothic" w:cs="Arial"/>
          <w:color w:val="000000"/>
        </w:rPr>
        <w:t xml:space="preserve">). </w:t>
      </w:r>
      <w:r w:rsidR="004341C0" w:rsidRPr="00BC59F2">
        <w:rPr>
          <w:rFonts w:eastAsia="MS Gothic" w:cs="Arial"/>
          <w:color w:val="000000"/>
        </w:rPr>
        <w:t xml:space="preserve">Supplementary figures </w:t>
      </w:r>
      <w:r w:rsidR="004341C0" w:rsidRPr="00BC59F2">
        <w:rPr>
          <w:rFonts w:eastAsia="MS Gothic" w:cs="Arial"/>
          <w:b/>
          <w:color w:val="000000"/>
        </w:rPr>
        <w:t>S1</w:t>
      </w:r>
      <w:r w:rsidR="000D40AA" w:rsidRPr="00BC59F2">
        <w:rPr>
          <w:rFonts w:eastAsia="MS Gothic" w:cs="Arial"/>
          <w:b/>
          <w:color w:val="000000"/>
        </w:rPr>
        <w:t>(</w:t>
      </w:r>
      <w:r w:rsidR="00E541D2" w:rsidRPr="00BC59F2">
        <w:rPr>
          <w:rFonts w:eastAsia="MS Gothic" w:cs="Arial"/>
          <w:b/>
          <w:color w:val="000000"/>
        </w:rPr>
        <w:t>a-d</w:t>
      </w:r>
      <w:r w:rsidR="000D40AA" w:rsidRPr="00BC59F2">
        <w:rPr>
          <w:rFonts w:eastAsia="MS Gothic" w:cs="Arial"/>
          <w:b/>
          <w:color w:val="000000"/>
        </w:rPr>
        <w:t>)</w:t>
      </w:r>
      <w:r w:rsidR="000D40AA" w:rsidRPr="00BC59F2">
        <w:rPr>
          <w:rFonts w:eastAsia="MS Gothic" w:cs="Arial"/>
          <w:color w:val="000000"/>
        </w:rPr>
        <w:t xml:space="preserve"> demonstrate the differentiation of sample groups and consistency of biological replication in the proteomic data set. Gene Ontology </w:t>
      </w:r>
      <w:r w:rsidR="004341C0" w:rsidRPr="00BC59F2">
        <w:rPr>
          <w:rFonts w:eastAsia="MS Gothic" w:cs="Arial"/>
          <w:color w:val="000000"/>
        </w:rPr>
        <w:t xml:space="preserve">(GO) analysis </w:t>
      </w:r>
      <w:r w:rsidR="000D40AA" w:rsidRPr="00BC59F2">
        <w:rPr>
          <w:rFonts w:eastAsia="MS Gothic" w:cs="Arial"/>
          <w:color w:val="000000"/>
        </w:rPr>
        <w:t xml:space="preserve">identified several </w:t>
      </w:r>
      <w:r w:rsidR="004341C0" w:rsidRPr="00BC59F2">
        <w:rPr>
          <w:rFonts w:eastAsia="MS Gothic" w:cs="Arial"/>
          <w:color w:val="000000"/>
        </w:rPr>
        <w:t xml:space="preserve">differentially regulated </w:t>
      </w:r>
      <w:r w:rsidR="000D40AA" w:rsidRPr="00BC59F2">
        <w:rPr>
          <w:rFonts w:eastAsia="MS Gothic" w:cs="Arial"/>
          <w:color w:val="000000"/>
        </w:rPr>
        <w:t xml:space="preserve">functional responses </w:t>
      </w:r>
      <w:r w:rsidR="004341C0" w:rsidRPr="00BC59F2">
        <w:rPr>
          <w:rFonts w:eastAsia="MS Gothic" w:cs="Arial"/>
          <w:color w:val="000000"/>
        </w:rPr>
        <w:t xml:space="preserve">including </w:t>
      </w:r>
      <w:r w:rsidR="009F446B" w:rsidRPr="00BC59F2">
        <w:rPr>
          <w:rFonts w:eastAsia="MS Gothic" w:cs="Arial"/>
          <w:color w:val="000000"/>
        </w:rPr>
        <w:t xml:space="preserve">several </w:t>
      </w:r>
      <w:r w:rsidR="004341C0" w:rsidRPr="00BC59F2">
        <w:rPr>
          <w:rFonts w:eastAsia="MS Gothic" w:cs="Arial"/>
          <w:color w:val="000000"/>
        </w:rPr>
        <w:t xml:space="preserve">metabolic </w:t>
      </w:r>
      <w:r w:rsidR="009F446B" w:rsidRPr="00BC59F2">
        <w:rPr>
          <w:rFonts w:eastAsia="MS Gothic" w:cs="Arial"/>
          <w:color w:val="000000"/>
        </w:rPr>
        <w:t>pathways</w:t>
      </w:r>
      <w:r w:rsidR="004341C0" w:rsidRPr="00BC59F2">
        <w:rPr>
          <w:rFonts w:eastAsia="MS Gothic" w:cs="Arial"/>
          <w:color w:val="000000"/>
        </w:rPr>
        <w:t>,</w:t>
      </w:r>
      <w:r w:rsidR="009F446B" w:rsidRPr="00BC59F2">
        <w:rPr>
          <w:rFonts w:eastAsia="MS Gothic" w:cs="Arial"/>
          <w:color w:val="000000"/>
        </w:rPr>
        <w:t xml:space="preserve"> as well as</w:t>
      </w:r>
      <w:r w:rsidR="000D40AA" w:rsidRPr="00BC59F2">
        <w:rPr>
          <w:rFonts w:eastAsia="MS Gothic" w:cs="Arial"/>
          <w:color w:val="000000"/>
        </w:rPr>
        <w:t xml:space="preserve"> cellular detoxification (GO:</w:t>
      </w:r>
      <w:r w:rsidR="00C901B2" w:rsidRPr="00BC59F2">
        <w:rPr>
          <w:rFonts w:eastAsia="MS Gothic" w:cs="Arial"/>
          <w:color w:val="000000"/>
        </w:rPr>
        <w:t xml:space="preserve"> </w:t>
      </w:r>
      <w:r w:rsidR="000D40AA" w:rsidRPr="00BC59F2">
        <w:rPr>
          <w:rFonts w:eastAsia="MS Gothic" w:cs="Arial"/>
          <w:color w:val="000000"/>
        </w:rPr>
        <w:t>1990748), response to stress (GO: 0006950) and response to xenobiotic stimulus (GO:0009410) (</w:t>
      </w:r>
      <w:r w:rsidR="00295EDA" w:rsidRPr="00BC59F2">
        <w:rPr>
          <w:rFonts w:eastAsia="MS Gothic" w:cs="Arial"/>
          <w:b/>
          <w:color w:val="000000"/>
        </w:rPr>
        <w:t>Fig. 4</w:t>
      </w:r>
      <w:r w:rsidR="00E541D2" w:rsidRPr="00BC59F2">
        <w:rPr>
          <w:rFonts w:eastAsia="MS Gothic" w:cs="Arial"/>
          <w:b/>
          <w:color w:val="000000"/>
        </w:rPr>
        <w:t>c</w:t>
      </w:r>
      <w:r w:rsidR="000D40AA" w:rsidRPr="00BC59F2">
        <w:rPr>
          <w:rFonts w:eastAsia="MS Gothic" w:cs="Arial"/>
          <w:color w:val="000000"/>
        </w:rPr>
        <w:t xml:space="preserve">). </w:t>
      </w:r>
      <w:r w:rsidR="000D40AA" w:rsidRPr="00BC59F2">
        <w:rPr>
          <w:rFonts w:cs="Arial"/>
        </w:rPr>
        <w:t xml:space="preserve">Comparison of proteomic data to </w:t>
      </w:r>
      <w:r w:rsidR="000D40AA" w:rsidRPr="00BC59F2">
        <w:rPr>
          <w:rFonts w:eastAsia="MS Gothic" w:cs="Arial"/>
          <w:color w:val="000000"/>
        </w:rPr>
        <w:t>known KEGG pathways</w:t>
      </w:r>
      <w:r w:rsidR="000D40AA" w:rsidRPr="00BC59F2">
        <w:rPr>
          <w:rFonts w:cs="Arial"/>
        </w:rPr>
        <w:t xml:space="preserve"> highlighted </w:t>
      </w:r>
      <w:r w:rsidR="000D40AA" w:rsidRPr="00BC59F2">
        <w:rPr>
          <w:rFonts w:eastAsia="MS Gothic" w:cs="Arial"/>
          <w:color w:val="000000"/>
        </w:rPr>
        <w:t>glutathione metabolism as the major upregulated cellular response to Ag</w:t>
      </w:r>
      <w:r w:rsidR="000D40AA" w:rsidRPr="00BC59F2">
        <w:rPr>
          <w:rFonts w:eastAsia="MS Gothic" w:cs="Arial"/>
          <w:color w:val="000000"/>
          <w:vertAlign w:val="superscript"/>
        </w:rPr>
        <w:t>+</w:t>
      </w:r>
      <w:r w:rsidR="000D40AA" w:rsidRPr="00BC59F2">
        <w:rPr>
          <w:rFonts w:eastAsia="MS Gothic" w:cs="Arial"/>
          <w:color w:val="000000"/>
        </w:rPr>
        <w:t xml:space="preserve"> exposure. Further KEGG pathway analysis drew attention to the upregulation of proteins involved with DNA replication and nucleotide excision repair (PCNA, LIG1, CUL4A). </w:t>
      </w:r>
    </w:p>
    <w:p w14:paraId="2B5545DB" w14:textId="77777777" w:rsidR="00D55D86" w:rsidRPr="00BC59F2" w:rsidRDefault="00D55D86" w:rsidP="00476FA4">
      <w:pPr>
        <w:spacing w:line="276" w:lineRule="auto"/>
        <w:contextualSpacing/>
        <w:jc w:val="left"/>
        <w:rPr>
          <w:rFonts w:eastAsia="MS Gothic" w:cs="Arial"/>
          <w:color w:val="000000"/>
        </w:rPr>
      </w:pPr>
    </w:p>
    <w:p w14:paraId="0165A7CC" w14:textId="68D8311A" w:rsidR="000D40AA" w:rsidRPr="00BC59F2" w:rsidRDefault="000D40AA" w:rsidP="00476FA4">
      <w:pPr>
        <w:spacing w:line="276" w:lineRule="auto"/>
        <w:contextualSpacing/>
        <w:jc w:val="left"/>
        <w:rPr>
          <w:rFonts w:eastAsia="MS Gothic" w:cs="Arial"/>
          <w:color w:val="000000"/>
        </w:rPr>
      </w:pPr>
      <w:r w:rsidRPr="00BC59F2">
        <w:rPr>
          <w:rFonts w:eastAsia="MS Gothic" w:cs="Arial"/>
          <w:color w:val="000000"/>
        </w:rPr>
        <w:t>Validation of the proteomic evidence was provided by qPCR analysis of the oxidative stress response of three primary MSC donors (</w:t>
      </w:r>
      <w:r w:rsidR="00295EDA" w:rsidRPr="00BC59F2">
        <w:rPr>
          <w:rFonts w:eastAsia="MS Gothic" w:cs="Arial"/>
          <w:b/>
          <w:color w:val="000000"/>
        </w:rPr>
        <w:t>Fig. 4</w:t>
      </w:r>
      <w:r w:rsidR="00E541D2" w:rsidRPr="00BC59F2">
        <w:rPr>
          <w:rFonts w:eastAsia="MS Gothic" w:cs="Arial"/>
          <w:b/>
          <w:color w:val="000000"/>
        </w:rPr>
        <w:t>d</w:t>
      </w:r>
      <w:r w:rsidRPr="00BC59F2">
        <w:rPr>
          <w:rFonts w:eastAsia="MS Gothic" w:cs="Arial"/>
          <w:color w:val="000000"/>
        </w:rPr>
        <w:t>).  Data were normalised to B2M, which identified 39 genes showing mean fold-change &gt;1.5 (</w:t>
      </w:r>
      <w:r w:rsidRPr="00BC59F2">
        <w:rPr>
          <w:rFonts w:eastAsia="MS Gothic" w:cs="Arial"/>
          <w:b/>
          <w:color w:val="000000"/>
        </w:rPr>
        <w:t>Fig</w:t>
      </w:r>
      <w:r w:rsidR="00295EDA" w:rsidRPr="00BC59F2">
        <w:rPr>
          <w:rFonts w:eastAsia="MS Gothic" w:cs="Arial"/>
          <w:b/>
          <w:color w:val="000000"/>
        </w:rPr>
        <w:t>. 4</w:t>
      </w:r>
      <w:r w:rsidR="00E541D2" w:rsidRPr="00BC59F2">
        <w:rPr>
          <w:rFonts w:eastAsia="MS Gothic" w:cs="Arial"/>
          <w:b/>
          <w:color w:val="000000"/>
        </w:rPr>
        <w:t>e</w:t>
      </w:r>
      <w:r w:rsidRPr="00BC59F2">
        <w:rPr>
          <w:rFonts w:eastAsia="MS Gothic" w:cs="Arial"/>
          <w:color w:val="000000"/>
        </w:rPr>
        <w:t>). Genes of glutathione synthesis/metabolism (GPX3, GPX5, GPX6, GR, GCLM), peroxiredoxin (PRDX1) and thioredoxin (TXN, TXNRD1) showed activation of these pathways upon Ag</w:t>
      </w:r>
      <w:r w:rsidRPr="00BC59F2">
        <w:rPr>
          <w:rFonts w:eastAsia="MS Gothic" w:cs="Arial"/>
          <w:color w:val="000000"/>
          <w:vertAlign w:val="superscript"/>
        </w:rPr>
        <w:t>+</w:t>
      </w:r>
      <w:r w:rsidRPr="00BC59F2">
        <w:rPr>
          <w:rFonts w:eastAsia="MS Gothic" w:cs="Arial"/>
          <w:color w:val="000000"/>
        </w:rPr>
        <w:t xml:space="preserve"> exposure. Additionally, increases in the stress inducible regulator of NRF2, sequestome 1 (SQSTM1), heme oxygenase-1 (HMOX1), NAD(P)H:quinone oxidoreductase-1 (NQO1) and SOD1 were also noted for all donors. </w:t>
      </w:r>
      <w:r w:rsidR="006113A6" w:rsidRPr="00BC59F2">
        <w:rPr>
          <w:rFonts w:eastAsia="MS Gothic" w:cs="Arial"/>
          <w:color w:val="000000"/>
        </w:rPr>
        <w:t>GO</w:t>
      </w:r>
      <w:r w:rsidRPr="00BC59F2">
        <w:rPr>
          <w:rFonts w:eastAsia="MS Gothic" w:cs="Arial"/>
          <w:color w:val="000000"/>
        </w:rPr>
        <w:t xml:space="preserve"> functional analysis related to biological processes was performed</w:t>
      </w:r>
      <w:r w:rsidR="003E1F20" w:rsidRPr="00BC59F2">
        <w:rPr>
          <w:rFonts w:eastAsia="MS Gothic" w:cs="Arial"/>
          <w:color w:val="000000"/>
        </w:rPr>
        <w:t xml:space="preserve"> on the qPCR data</w:t>
      </w:r>
      <w:r w:rsidRPr="00BC59F2">
        <w:rPr>
          <w:rFonts w:eastAsia="MS Gothic" w:cs="Arial"/>
          <w:color w:val="000000"/>
        </w:rPr>
        <w:t xml:space="preserve">, with an FDR (false discovery rate) below 5% the threshold for significance (Supplementary </w:t>
      </w:r>
      <w:r w:rsidRPr="00BC59F2">
        <w:rPr>
          <w:rFonts w:eastAsia="MS Gothic" w:cs="Arial"/>
          <w:b/>
          <w:color w:val="000000"/>
        </w:rPr>
        <w:t xml:space="preserve">Fig. </w:t>
      </w:r>
      <w:r w:rsidR="006113A6" w:rsidRPr="00BC59F2">
        <w:rPr>
          <w:rFonts w:eastAsia="MS Gothic" w:cs="Arial"/>
          <w:b/>
          <w:color w:val="000000"/>
        </w:rPr>
        <w:t>S2</w:t>
      </w:r>
      <w:r w:rsidRPr="00BC59F2">
        <w:rPr>
          <w:rFonts w:eastAsia="MS Gothic" w:cs="Arial"/>
          <w:color w:val="000000"/>
        </w:rPr>
        <w:t>). Highlights of those terms include: the removal of superoxide radicals (GO:0019430), response to hydrogen peroxide (GO:0042542), regulation of reactive oxygen species metabolic process (GO:2000377) and glutathione metabolic process (GO:0006749). Furthermore, cellular response to cadmium (GO:0071276) and cellular copper homeostasis (GO:0006878) all indicate at the mechanisms employed to ensure management of metal ions that could result in toxicity. Of those identified, glutathione metabolic process (GO:0006749) was replicated from the proteomic analysis</w:t>
      </w:r>
      <w:r w:rsidR="00B80019" w:rsidRPr="00BC59F2">
        <w:rPr>
          <w:rFonts w:eastAsia="MS Gothic" w:cs="Arial"/>
          <w:color w:val="000000"/>
        </w:rPr>
        <w:t xml:space="preserve"> (Supplementary </w:t>
      </w:r>
      <w:r w:rsidR="00B80019" w:rsidRPr="00BC59F2">
        <w:rPr>
          <w:rFonts w:eastAsia="MS Gothic" w:cs="Arial"/>
          <w:b/>
          <w:color w:val="000000"/>
        </w:rPr>
        <w:t>Fig. S3</w:t>
      </w:r>
      <w:r w:rsidR="00B80019" w:rsidRPr="00BC59F2">
        <w:rPr>
          <w:rFonts w:eastAsia="MS Gothic" w:cs="Arial"/>
          <w:color w:val="000000"/>
        </w:rPr>
        <w:t>)</w:t>
      </w:r>
      <w:r w:rsidRPr="00BC59F2">
        <w:rPr>
          <w:rFonts w:eastAsia="MS Gothic" w:cs="Arial"/>
          <w:color w:val="000000"/>
        </w:rPr>
        <w:t>, the only functional process to be so.</w:t>
      </w:r>
    </w:p>
    <w:p w14:paraId="33E2EA4B" w14:textId="77777777" w:rsidR="00D55D86" w:rsidRPr="00BC59F2" w:rsidRDefault="00D55D86" w:rsidP="00476FA4">
      <w:pPr>
        <w:spacing w:line="276" w:lineRule="auto"/>
        <w:contextualSpacing/>
        <w:jc w:val="left"/>
        <w:rPr>
          <w:rFonts w:eastAsia="MS Gothic" w:cs="Arial"/>
          <w:color w:val="000000"/>
        </w:rPr>
      </w:pPr>
    </w:p>
    <w:p w14:paraId="23430708" w14:textId="0D787F20" w:rsidR="000D40AA" w:rsidRPr="00BC59F2" w:rsidRDefault="00535137" w:rsidP="00476FA4">
      <w:pPr>
        <w:spacing w:line="276" w:lineRule="auto"/>
        <w:contextualSpacing/>
        <w:jc w:val="left"/>
        <w:rPr>
          <w:rFonts w:eastAsia="MS Gothic" w:cs="Arial"/>
          <w:color w:val="000000"/>
        </w:rPr>
      </w:pPr>
      <w:r w:rsidRPr="00BC59F2">
        <w:rPr>
          <w:rFonts w:eastAsia="MS Gothic" w:cs="Arial"/>
          <w:color w:val="000000"/>
        </w:rPr>
        <w:t>Using</w:t>
      </w:r>
      <w:r w:rsidR="000D40AA" w:rsidRPr="00BC59F2">
        <w:rPr>
          <w:rFonts w:eastAsia="MS Gothic" w:cs="Arial"/>
          <w:color w:val="000000"/>
        </w:rPr>
        <w:t xml:space="preserve"> primary MSCs, </w:t>
      </w:r>
      <w:r w:rsidRPr="00BC59F2">
        <w:rPr>
          <w:rFonts w:eastAsia="MS Gothic" w:cs="Arial"/>
          <w:color w:val="000000"/>
        </w:rPr>
        <w:t xml:space="preserve">we identified increased GCLM immunostaining, a component of glutathione synthesis, and thioredoxin </w:t>
      </w:r>
      <w:r w:rsidR="000D40AA" w:rsidRPr="00BC59F2">
        <w:rPr>
          <w:rFonts w:eastAsia="MS Gothic" w:cs="Arial"/>
          <w:color w:val="000000"/>
        </w:rPr>
        <w:t>in Ag</w:t>
      </w:r>
      <w:r w:rsidR="000D40AA" w:rsidRPr="00BC59F2">
        <w:rPr>
          <w:rFonts w:eastAsia="MS Gothic" w:cs="Arial"/>
          <w:color w:val="000000"/>
          <w:vertAlign w:val="superscript"/>
        </w:rPr>
        <w:t>+</w:t>
      </w:r>
      <w:r w:rsidR="000D40AA" w:rsidRPr="00BC59F2">
        <w:rPr>
          <w:rFonts w:eastAsia="MS Gothic" w:cs="Arial"/>
          <w:color w:val="000000"/>
        </w:rPr>
        <w:t xml:space="preserve"> </w:t>
      </w:r>
      <w:r w:rsidRPr="00BC59F2">
        <w:rPr>
          <w:rFonts w:eastAsia="MS Gothic" w:cs="Arial"/>
          <w:color w:val="000000"/>
        </w:rPr>
        <w:t>exposed</w:t>
      </w:r>
      <w:r w:rsidR="000D40AA" w:rsidRPr="00BC59F2">
        <w:rPr>
          <w:rFonts w:eastAsia="MS Gothic" w:cs="Arial"/>
          <w:color w:val="000000"/>
        </w:rPr>
        <w:t xml:space="preserve"> CFU-f </w:t>
      </w:r>
      <w:r w:rsidRPr="00BC59F2">
        <w:rPr>
          <w:rFonts w:eastAsia="MS Gothic" w:cs="Arial"/>
          <w:color w:val="000000"/>
        </w:rPr>
        <w:t>compared to untreated controls</w:t>
      </w:r>
      <w:r w:rsidR="000D40AA" w:rsidRPr="00BC59F2">
        <w:rPr>
          <w:rFonts w:eastAsia="MS Gothic" w:cs="Arial"/>
          <w:color w:val="000000"/>
        </w:rPr>
        <w:t xml:space="preserve"> (</w:t>
      </w:r>
      <w:r w:rsidR="000D40AA" w:rsidRPr="00BC59F2">
        <w:rPr>
          <w:rFonts w:eastAsia="MS Gothic" w:cs="Arial"/>
          <w:b/>
          <w:color w:val="000000"/>
        </w:rPr>
        <w:t>Fig.</w:t>
      </w:r>
      <w:r w:rsidR="00295EDA" w:rsidRPr="00BC59F2">
        <w:rPr>
          <w:rFonts w:eastAsia="MS Gothic" w:cs="Arial"/>
          <w:b/>
          <w:color w:val="000000"/>
        </w:rPr>
        <w:t xml:space="preserve"> 4</w:t>
      </w:r>
      <w:r w:rsidR="00E541D2" w:rsidRPr="00BC59F2">
        <w:rPr>
          <w:rFonts w:eastAsia="MS Gothic" w:cs="Arial"/>
          <w:b/>
          <w:color w:val="000000"/>
        </w:rPr>
        <w:t>f</w:t>
      </w:r>
      <w:r w:rsidR="000D40AA" w:rsidRPr="00BC59F2">
        <w:rPr>
          <w:rFonts w:eastAsia="MS Gothic" w:cs="Arial"/>
          <w:color w:val="000000"/>
        </w:rPr>
        <w:t>). Analysis of whole colony area did not reveal any variation in the expression of either protein.</w:t>
      </w:r>
    </w:p>
    <w:p w14:paraId="5D717D55" w14:textId="77777777" w:rsidR="00D55D86" w:rsidRPr="00BC59F2" w:rsidRDefault="00D55D86" w:rsidP="00476FA4">
      <w:pPr>
        <w:spacing w:line="276" w:lineRule="auto"/>
        <w:contextualSpacing/>
        <w:jc w:val="left"/>
        <w:rPr>
          <w:rFonts w:eastAsia="MS Gothic" w:cs="Arial"/>
          <w:color w:val="000000"/>
        </w:rPr>
      </w:pPr>
    </w:p>
    <w:p w14:paraId="2B98E658" w14:textId="22EAC21D" w:rsidR="00BC6649" w:rsidRPr="00BC59F2" w:rsidRDefault="00535137" w:rsidP="00476FA4">
      <w:pPr>
        <w:spacing w:line="276" w:lineRule="auto"/>
        <w:contextualSpacing/>
        <w:jc w:val="left"/>
        <w:rPr>
          <w:rFonts w:eastAsia="MS Gothic" w:cs="Arial"/>
          <w:color w:val="000000"/>
        </w:rPr>
      </w:pPr>
      <w:r w:rsidRPr="00BC59F2">
        <w:rPr>
          <w:rFonts w:eastAsia="MS Gothic" w:cs="Arial"/>
          <w:color w:val="000000"/>
        </w:rPr>
        <w:t>We used a</w:t>
      </w:r>
      <w:r w:rsidR="000D40AA" w:rsidRPr="00BC59F2">
        <w:rPr>
          <w:rFonts w:eastAsia="MS Gothic" w:cs="Arial"/>
          <w:color w:val="000000"/>
        </w:rPr>
        <w:t xml:space="preserve"> pharmacological inhibitor of glutathione synthesis, </w:t>
      </w:r>
      <w:r w:rsidR="0030047C" w:rsidRPr="00BC59F2">
        <w:rPr>
          <w:rFonts w:cs="Arial"/>
        </w:rPr>
        <w:t>L-Buthionine sulfoxamine (</w:t>
      </w:r>
      <w:r w:rsidR="000D40AA" w:rsidRPr="00BC59F2">
        <w:rPr>
          <w:rFonts w:eastAsia="MS Gothic" w:cs="Arial"/>
          <w:color w:val="000000"/>
        </w:rPr>
        <w:t>BSO</w:t>
      </w:r>
      <w:r w:rsidR="0030047C" w:rsidRPr="00BC59F2">
        <w:rPr>
          <w:rFonts w:eastAsia="MS Gothic" w:cs="Arial"/>
          <w:color w:val="000000"/>
        </w:rPr>
        <w:t>)</w:t>
      </w:r>
      <w:r w:rsidR="000D40AA" w:rsidRPr="00BC59F2">
        <w:rPr>
          <w:rFonts w:eastAsia="MS Gothic" w:cs="Arial"/>
          <w:color w:val="000000"/>
        </w:rPr>
        <w:t xml:space="preserve">, </w:t>
      </w:r>
      <w:r w:rsidRPr="00BC59F2">
        <w:rPr>
          <w:rFonts w:eastAsia="MS Gothic" w:cs="Arial"/>
          <w:color w:val="000000"/>
        </w:rPr>
        <w:t>to determine the</w:t>
      </w:r>
      <w:r w:rsidR="000D40AA" w:rsidRPr="00BC59F2">
        <w:rPr>
          <w:rFonts w:eastAsia="MS Gothic" w:cs="Arial"/>
          <w:color w:val="000000"/>
        </w:rPr>
        <w:t xml:space="preserve"> functional effects of glutathione on </w:t>
      </w:r>
      <w:r w:rsidRPr="00BC59F2">
        <w:rPr>
          <w:rFonts w:eastAsia="MS Gothic" w:cs="Arial"/>
          <w:color w:val="000000"/>
        </w:rPr>
        <w:t>CFU-f survival</w:t>
      </w:r>
      <w:r w:rsidR="000D40AA" w:rsidRPr="00BC59F2">
        <w:rPr>
          <w:rFonts w:eastAsia="MS Gothic" w:cs="Arial"/>
          <w:color w:val="000000"/>
        </w:rPr>
        <w:t xml:space="preserve"> while under Ag</w:t>
      </w:r>
      <w:r w:rsidR="000D40AA" w:rsidRPr="00BC59F2">
        <w:rPr>
          <w:rFonts w:eastAsia="MS Gothic" w:cs="Arial"/>
          <w:color w:val="000000"/>
          <w:vertAlign w:val="superscript"/>
        </w:rPr>
        <w:t>+</w:t>
      </w:r>
      <w:r w:rsidR="000D40AA" w:rsidRPr="00BC59F2">
        <w:rPr>
          <w:rFonts w:eastAsia="MS Gothic" w:cs="Arial"/>
          <w:color w:val="000000"/>
        </w:rPr>
        <w:t xml:space="preserve"> </w:t>
      </w:r>
      <w:r w:rsidRPr="00BC59F2">
        <w:rPr>
          <w:rFonts w:eastAsia="MS Gothic" w:cs="Arial"/>
          <w:color w:val="000000"/>
        </w:rPr>
        <w:t>exposure</w:t>
      </w:r>
      <w:r w:rsidR="000D40AA" w:rsidRPr="00BC59F2">
        <w:rPr>
          <w:rFonts w:eastAsia="MS Gothic" w:cs="Arial"/>
          <w:color w:val="000000"/>
        </w:rPr>
        <w:t xml:space="preserve"> conditions. As observed before, a significant reduction in CFU-f number was noted at 10 µM Ag</w:t>
      </w:r>
      <w:r w:rsidR="000D40AA" w:rsidRPr="00BC59F2">
        <w:rPr>
          <w:rFonts w:eastAsia="MS Gothic" w:cs="Arial"/>
          <w:color w:val="000000"/>
          <w:vertAlign w:val="superscript"/>
        </w:rPr>
        <w:t>+</w:t>
      </w:r>
      <w:r w:rsidR="000D40AA" w:rsidRPr="00BC59F2">
        <w:rPr>
          <w:rFonts w:eastAsia="MS Gothic" w:cs="Arial"/>
          <w:color w:val="000000"/>
        </w:rPr>
        <w:t xml:space="preserve"> in the absence of glutathione inhibition. However with the addition of 1 µM BSO, a significant reduction in CFU-f was observed with Ag</w:t>
      </w:r>
      <w:r w:rsidR="000D40AA" w:rsidRPr="00BC59F2">
        <w:rPr>
          <w:rFonts w:eastAsia="MS Gothic" w:cs="Arial"/>
          <w:color w:val="000000"/>
          <w:vertAlign w:val="superscript"/>
        </w:rPr>
        <w:t>+</w:t>
      </w:r>
      <w:r w:rsidR="000D40AA" w:rsidRPr="00BC59F2">
        <w:rPr>
          <w:rFonts w:eastAsia="MS Gothic" w:cs="Arial"/>
          <w:color w:val="000000"/>
        </w:rPr>
        <w:t xml:space="preserve"> ≥5 µM, compared to their </w:t>
      </w:r>
      <w:r w:rsidR="000D40AA" w:rsidRPr="00BC59F2">
        <w:rPr>
          <w:rFonts w:eastAsia="MS Gothic" w:cs="Arial"/>
          <w:color w:val="000000"/>
        </w:rPr>
        <w:lastRenderedPageBreak/>
        <w:t>equivalent Ag</w:t>
      </w:r>
      <w:r w:rsidR="000D40AA" w:rsidRPr="00BC59F2">
        <w:rPr>
          <w:rFonts w:eastAsia="MS Gothic" w:cs="Arial"/>
          <w:color w:val="000000"/>
          <w:vertAlign w:val="superscript"/>
        </w:rPr>
        <w:t>+</w:t>
      </w:r>
      <w:r w:rsidR="000D40AA" w:rsidRPr="00BC59F2">
        <w:rPr>
          <w:rFonts w:eastAsia="MS Gothic" w:cs="Arial"/>
          <w:color w:val="000000"/>
        </w:rPr>
        <w:t xml:space="preserve"> only control (</w:t>
      </w:r>
      <w:r w:rsidR="000D40AA" w:rsidRPr="00BC59F2">
        <w:rPr>
          <w:rFonts w:eastAsia="MS Gothic" w:cs="Arial"/>
          <w:b/>
          <w:color w:val="000000"/>
        </w:rPr>
        <w:t>Fig</w:t>
      </w:r>
      <w:r w:rsidR="00295EDA" w:rsidRPr="00BC59F2">
        <w:rPr>
          <w:rFonts w:eastAsia="MS Gothic" w:cs="Arial"/>
          <w:b/>
          <w:color w:val="000000"/>
        </w:rPr>
        <w:t>. 4</w:t>
      </w:r>
      <w:r w:rsidR="00E541D2" w:rsidRPr="00BC59F2">
        <w:rPr>
          <w:rFonts w:eastAsia="MS Gothic" w:cs="Arial"/>
          <w:b/>
          <w:color w:val="000000"/>
        </w:rPr>
        <w:t>g</w:t>
      </w:r>
      <w:r w:rsidR="000D40AA" w:rsidRPr="00BC59F2">
        <w:rPr>
          <w:rFonts w:eastAsia="MS Gothic" w:cs="Arial"/>
          <w:color w:val="000000"/>
        </w:rPr>
        <w:t>). In the case of 10 µM Ag</w:t>
      </w:r>
      <w:r w:rsidR="000D40AA" w:rsidRPr="00BC59F2">
        <w:rPr>
          <w:rFonts w:eastAsia="MS Gothic" w:cs="Arial"/>
          <w:color w:val="000000"/>
          <w:vertAlign w:val="superscript"/>
        </w:rPr>
        <w:t>+</w:t>
      </w:r>
      <w:r w:rsidR="000D40AA" w:rsidRPr="00BC59F2">
        <w:rPr>
          <w:rFonts w:eastAsia="MS Gothic" w:cs="Arial"/>
          <w:color w:val="000000"/>
        </w:rPr>
        <w:t>, CFU-f formation was eliminated in the presence of BSO. Recovery of CFU-f number was achieved through the concomitant treatment of 10 µM Ag</w:t>
      </w:r>
      <w:r w:rsidR="000D40AA" w:rsidRPr="00BC59F2">
        <w:rPr>
          <w:rFonts w:eastAsia="MS Gothic" w:cs="Arial"/>
          <w:color w:val="000000"/>
          <w:vertAlign w:val="superscript"/>
        </w:rPr>
        <w:t>+</w:t>
      </w:r>
      <w:r w:rsidR="000D40AA" w:rsidRPr="00BC59F2">
        <w:rPr>
          <w:rFonts w:eastAsia="MS Gothic" w:cs="Arial"/>
          <w:color w:val="000000"/>
        </w:rPr>
        <w:t>/BSO with exogenous glutathione (GSH-MEE).</w:t>
      </w:r>
    </w:p>
    <w:p w14:paraId="23C98AEC" w14:textId="77777777" w:rsidR="00BC6649" w:rsidRPr="00BC59F2" w:rsidRDefault="003C0315" w:rsidP="00476FA4">
      <w:pPr>
        <w:pStyle w:val="Heading2"/>
        <w:spacing w:line="276" w:lineRule="auto"/>
      </w:pPr>
      <w:r w:rsidRPr="00BC59F2">
        <w:t>Effects of silver on a</w:t>
      </w:r>
      <w:r w:rsidR="00BC6649" w:rsidRPr="00BC59F2">
        <w:t xml:space="preserve">dipogenic differentiation is </w:t>
      </w:r>
      <w:r w:rsidRPr="00BC59F2">
        <w:t xml:space="preserve">dependent on </w:t>
      </w:r>
      <w:r w:rsidR="00BC6649" w:rsidRPr="00BC59F2">
        <w:t>exposure</w:t>
      </w:r>
      <w:r w:rsidRPr="00BC59F2">
        <w:t xml:space="preserve"> time</w:t>
      </w:r>
    </w:p>
    <w:p w14:paraId="7B526C34" w14:textId="65BDBE00" w:rsidR="0029508B" w:rsidRPr="00BC59F2" w:rsidRDefault="00BC6649" w:rsidP="00476FA4">
      <w:pPr>
        <w:spacing w:line="276" w:lineRule="auto"/>
        <w:contextualSpacing/>
        <w:jc w:val="left"/>
        <w:rPr>
          <w:rFonts w:cs="Arial"/>
        </w:rPr>
      </w:pPr>
      <w:r w:rsidRPr="00BC59F2">
        <w:rPr>
          <w:rFonts w:cs="Arial"/>
        </w:rPr>
        <w:t xml:space="preserve">The level of lipid deposition by MSCs as measured by Oil Red O staining revealed a reduction in adipogenesis when </w:t>
      </w:r>
      <w:r w:rsidR="0056385C" w:rsidRPr="00BC59F2">
        <w:rPr>
          <w:rFonts w:cs="Arial"/>
        </w:rPr>
        <w:t>exposed to</w:t>
      </w:r>
      <w:r w:rsidRPr="00BC59F2">
        <w:rPr>
          <w:rFonts w:cs="Arial"/>
        </w:rPr>
        <w:t xml:space="preserve"> silver </w:t>
      </w:r>
      <w:r w:rsidR="0056385C" w:rsidRPr="00BC59F2">
        <w:rPr>
          <w:rFonts w:cs="Arial"/>
        </w:rPr>
        <w:t>compared to controls</w:t>
      </w:r>
      <w:r w:rsidR="00764B94" w:rsidRPr="00BC59F2">
        <w:rPr>
          <w:rFonts w:cs="Arial"/>
        </w:rPr>
        <w:t>.</w:t>
      </w:r>
      <w:r w:rsidR="009E4D0A" w:rsidRPr="00BC59F2">
        <w:rPr>
          <w:rFonts w:cs="Arial"/>
        </w:rPr>
        <w:t xml:space="preserve"> </w:t>
      </w:r>
      <w:r w:rsidRPr="00BC59F2">
        <w:rPr>
          <w:rFonts w:cs="Arial"/>
        </w:rPr>
        <w:t xml:space="preserve">While a short term exposure during the initial three days of differentiation had no effect, continuous silver treatment during differentiation resulted in significant declines </w:t>
      </w:r>
      <w:r w:rsidR="00764B94" w:rsidRPr="00BC59F2">
        <w:rPr>
          <w:rFonts w:cs="Arial"/>
        </w:rPr>
        <w:t>compared to untre</w:t>
      </w:r>
      <w:r w:rsidR="00305A93" w:rsidRPr="00BC59F2">
        <w:rPr>
          <w:rFonts w:cs="Arial"/>
        </w:rPr>
        <w:t>ated</w:t>
      </w:r>
      <w:r w:rsidRPr="00BC59F2">
        <w:rPr>
          <w:rFonts w:cs="Arial"/>
        </w:rPr>
        <w:t xml:space="preserve"> control and short term </w:t>
      </w:r>
      <w:r w:rsidR="00A10DBE" w:rsidRPr="00BC59F2">
        <w:rPr>
          <w:rFonts w:cs="Arial"/>
        </w:rPr>
        <w:t xml:space="preserve">sliver </w:t>
      </w:r>
      <w:r w:rsidRPr="00BC59F2">
        <w:rPr>
          <w:rFonts w:cs="Arial"/>
        </w:rPr>
        <w:t>exposure (</w:t>
      </w:r>
      <w:r w:rsidRPr="00BC59F2">
        <w:rPr>
          <w:rFonts w:cs="Arial"/>
          <w:i/>
        </w:rPr>
        <w:t>p</w:t>
      </w:r>
      <w:r w:rsidRPr="00BC59F2">
        <w:rPr>
          <w:rFonts w:cs="Arial"/>
        </w:rPr>
        <w:t>&lt;0.001)</w:t>
      </w:r>
      <w:r w:rsidR="00764B94" w:rsidRPr="00BC59F2">
        <w:rPr>
          <w:rFonts w:cs="Arial"/>
        </w:rPr>
        <w:t xml:space="preserve"> (</w:t>
      </w:r>
      <w:r w:rsidR="00B80019" w:rsidRPr="00BC59F2">
        <w:rPr>
          <w:rFonts w:cs="Arial"/>
        </w:rPr>
        <w:t xml:space="preserve">Supplementary </w:t>
      </w:r>
      <w:r w:rsidR="00B80019" w:rsidRPr="00BC59F2">
        <w:rPr>
          <w:rFonts w:cs="Arial"/>
          <w:b/>
        </w:rPr>
        <w:t>Fig. S4</w:t>
      </w:r>
      <w:r w:rsidR="00E541D2" w:rsidRPr="00BC59F2">
        <w:rPr>
          <w:rFonts w:cs="Arial"/>
          <w:b/>
        </w:rPr>
        <w:t>a</w:t>
      </w:r>
      <w:r w:rsidR="00764B94" w:rsidRPr="00BC59F2">
        <w:rPr>
          <w:rFonts w:cs="Arial"/>
        </w:rPr>
        <w:t>)</w:t>
      </w:r>
      <w:r w:rsidRPr="00BC59F2">
        <w:rPr>
          <w:rFonts w:cs="Arial"/>
        </w:rPr>
        <w:t xml:space="preserve">. In contrast, </w:t>
      </w:r>
      <w:r w:rsidR="00A10DBE" w:rsidRPr="00BC59F2">
        <w:rPr>
          <w:rFonts w:cs="Arial"/>
        </w:rPr>
        <w:t xml:space="preserve">pre-treatment of MSCs with </w:t>
      </w:r>
      <w:r w:rsidRPr="00BC59F2">
        <w:rPr>
          <w:rFonts w:cs="Arial"/>
        </w:rPr>
        <w:t>silver during expansion, with subsequent silver-free differentiation, caused a</w:t>
      </w:r>
      <w:r w:rsidR="00A10DBE" w:rsidRPr="00BC59F2">
        <w:rPr>
          <w:rFonts w:cs="Arial"/>
        </w:rPr>
        <w:t xml:space="preserve"> slight but significant</w:t>
      </w:r>
      <w:r w:rsidRPr="00BC59F2">
        <w:rPr>
          <w:rFonts w:cs="Arial"/>
        </w:rPr>
        <w:t xml:space="preserve"> increase in adipogenesis compared to control (</w:t>
      </w:r>
      <w:r w:rsidRPr="00BC59F2">
        <w:rPr>
          <w:rFonts w:cs="Arial"/>
          <w:i/>
        </w:rPr>
        <w:t>p</w:t>
      </w:r>
      <w:r w:rsidRPr="00BC59F2">
        <w:rPr>
          <w:rFonts w:cs="Arial"/>
        </w:rPr>
        <w:t>&lt;0.05</w:t>
      </w:r>
      <w:r w:rsidR="004F67E5" w:rsidRPr="00BC59F2">
        <w:rPr>
          <w:rFonts w:cs="Arial"/>
        </w:rPr>
        <w:t xml:space="preserve">, </w:t>
      </w:r>
      <w:r w:rsidR="00B80019" w:rsidRPr="00BC59F2">
        <w:rPr>
          <w:rFonts w:cs="Arial"/>
        </w:rPr>
        <w:t xml:space="preserve">Supplementary </w:t>
      </w:r>
      <w:r w:rsidR="00D15238" w:rsidRPr="00BC59F2">
        <w:rPr>
          <w:rFonts w:cs="Arial"/>
          <w:b/>
        </w:rPr>
        <w:t>Fig. S4</w:t>
      </w:r>
      <w:r w:rsidR="00E541D2" w:rsidRPr="00BC59F2">
        <w:rPr>
          <w:rFonts w:cs="Arial"/>
          <w:b/>
        </w:rPr>
        <w:t>b</w:t>
      </w:r>
      <w:r w:rsidRPr="00BC59F2">
        <w:rPr>
          <w:rFonts w:cs="Arial"/>
        </w:rPr>
        <w:t>).</w:t>
      </w:r>
    </w:p>
    <w:p w14:paraId="240E07C5" w14:textId="77777777" w:rsidR="003C20DD" w:rsidRPr="00BC59F2" w:rsidRDefault="00BC6649" w:rsidP="00476FA4">
      <w:pPr>
        <w:pStyle w:val="Heading2"/>
        <w:spacing w:line="276" w:lineRule="auto"/>
      </w:pPr>
      <w:r w:rsidRPr="00BC59F2">
        <w:t>Osteogenic differentia</w:t>
      </w:r>
      <w:r w:rsidR="003C20DD" w:rsidRPr="00BC59F2">
        <w:t>tion of MSCs is unaffected by Ag</w:t>
      </w:r>
      <w:r w:rsidR="003C20DD" w:rsidRPr="00BC59F2">
        <w:rPr>
          <w:vertAlign w:val="superscript"/>
        </w:rPr>
        <w:t>+</w:t>
      </w:r>
      <w:r w:rsidR="003C20DD" w:rsidRPr="00BC59F2">
        <w:t xml:space="preserve"> exposure </w:t>
      </w:r>
    </w:p>
    <w:p w14:paraId="494CD43A" w14:textId="1DF82943" w:rsidR="00BC6649" w:rsidRPr="00BC59F2" w:rsidRDefault="00FE5122" w:rsidP="00476FA4">
      <w:pPr>
        <w:spacing w:line="276" w:lineRule="auto"/>
        <w:contextualSpacing/>
        <w:jc w:val="left"/>
        <w:rPr>
          <w:rFonts w:eastAsia="MS Gothic" w:cs="Arial"/>
          <w:bCs/>
        </w:rPr>
      </w:pPr>
      <w:r w:rsidRPr="00BC59F2">
        <w:rPr>
          <w:rFonts w:eastAsia="MS Gothic" w:cs="Arial"/>
          <w:bCs/>
        </w:rPr>
        <w:t>The effect of Ag</w:t>
      </w:r>
      <w:r w:rsidRPr="00BC59F2">
        <w:rPr>
          <w:rFonts w:eastAsia="MS Gothic" w:cs="Arial"/>
          <w:bCs/>
          <w:vertAlign w:val="superscript"/>
        </w:rPr>
        <w:t>+</w:t>
      </w:r>
      <w:r w:rsidRPr="00BC59F2">
        <w:rPr>
          <w:rFonts w:eastAsia="MS Gothic" w:cs="Arial"/>
          <w:bCs/>
        </w:rPr>
        <w:t xml:space="preserve"> exposure on </w:t>
      </w:r>
      <w:r w:rsidR="00BC6649" w:rsidRPr="00BC59F2">
        <w:rPr>
          <w:rFonts w:eastAsia="MS Gothic" w:cs="Arial"/>
          <w:bCs/>
        </w:rPr>
        <w:t>MSC osteogenic differentiation capacity was assessed by measurement of alkaline phosphatase (ALP) activity. Osteogenic differentiation of MSCs was performed in the presence and absence of 10 µM Ag</w:t>
      </w:r>
      <w:r w:rsidR="00BC6649" w:rsidRPr="00BC59F2">
        <w:rPr>
          <w:rFonts w:eastAsia="MS Gothic" w:cs="Arial"/>
          <w:bCs/>
          <w:vertAlign w:val="superscript"/>
        </w:rPr>
        <w:t>+</w:t>
      </w:r>
      <w:r w:rsidR="00BC6649" w:rsidRPr="00BC59F2">
        <w:rPr>
          <w:rFonts w:eastAsia="MS Gothic" w:cs="Arial"/>
          <w:bCs/>
        </w:rPr>
        <w:t>, with ALP activity normalised to DNA determined for short-term (3 day) exposure and continual Ag</w:t>
      </w:r>
      <w:r w:rsidR="00BC6649" w:rsidRPr="00BC59F2">
        <w:rPr>
          <w:rFonts w:eastAsia="MS Gothic" w:cs="Arial"/>
          <w:bCs/>
          <w:vertAlign w:val="superscript"/>
        </w:rPr>
        <w:t>+</w:t>
      </w:r>
      <w:r w:rsidR="00BC6649" w:rsidRPr="00BC59F2">
        <w:rPr>
          <w:rFonts w:eastAsia="MS Gothic" w:cs="Arial"/>
          <w:bCs/>
        </w:rPr>
        <w:t xml:space="preserve"> exposure groups (</w:t>
      </w:r>
      <w:r w:rsidR="00B80019" w:rsidRPr="00BC59F2">
        <w:rPr>
          <w:rFonts w:eastAsia="MS Gothic" w:cs="Arial"/>
          <w:b/>
          <w:bCs/>
        </w:rPr>
        <w:t>Fig. 5</w:t>
      </w:r>
      <w:r w:rsidR="00E541D2" w:rsidRPr="00BC59F2">
        <w:rPr>
          <w:rFonts w:eastAsia="MS Gothic" w:cs="Arial"/>
          <w:b/>
          <w:bCs/>
        </w:rPr>
        <w:t>a</w:t>
      </w:r>
      <w:r w:rsidR="00BC6649" w:rsidRPr="00BC59F2">
        <w:rPr>
          <w:rFonts w:eastAsia="MS Gothic" w:cs="Arial"/>
          <w:bCs/>
        </w:rPr>
        <w:t>). Cultures treated during the initial three-day period exhibited a 16% decline from control, while a 26% reduction was observed for cultures treated for the entire differentiation period, however both findings did not reach significance (</w:t>
      </w:r>
      <w:r w:rsidR="00BC6649" w:rsidRPr="00BC59F2">
        <w:rPr>
          <w:rFonts w:eastAsia="MS Gothic" w:cs="Arial"/>
          <w:bCs/>
          <w:i/>
        </w:rPr>
        <w:t>p</w:t>
      </w:r>
      <w:r w:rsidR="00BC6649" w:rsidRPr="00BC59F2">
        <w:rPr>
          <w:rFonts w:eastAsia="MS Gothic" w:cs="Arial"/>
          <w:bCs/>
        </w:rPr>
        <w:t xml:space="preserve">=0.582 and </w:t>
      </w:r>
      <w:r w:rsidR="00BC6649" w:rsidRPr="00BC59F2">
        <w:rPr>
          <w:rFonts w:eastAsia="MS Gothic" w:cs="Arial"/>
          <w:bCs/>
          <w:i/>
        </w:rPr>
        <w:t>p</w:t>
      </w:r>
      <w:r w:rsidR="00BC6649" w:rsidRPr="00BC59F2">
        <w:rPr>
          <w:rFonts w:eastAsia="MS Gothic" w:cs="Arial"/>
          <w:bCs/>
        </w:rPr>
        <w:t>=0.246, respectively)</w:t>
      </w:r>
      <w:r w:rsidRPr="00BC59F2">
        <w:rPr>
          <w:rFonts w:eastAsia="MS Gothic" w:cs="Arial"/>
          <w:bCs/>
        </w:rPr>
        <w:t xml:space="preserve"> (</w:t>
      </w:r>
      <w:r w:rsidRPr="00BC59F2">
        <w:rPr>
          <w:rFonts w:eastAsia="MS Gothic" w:cs="Arial"/>
          <w:b/>
          <w:bCs/>
        </w:rPr>
        <w:t>Fig</w:t>
      </w:r>
      <w:r w:rsidR="00B80019" w:rsidRPr="00BC59F2">
        <w:rPr>
          <w:rFonts w:eastAsia="MS Gothic" w:cs="Arial"/>
          <w:b/>
          <w:bCs/>
        </w:rPr>
        <w:t>. 5</w:t>
      </w:r>
      <w:r w:rsidR="00E541D2" w:rsidRPr="00BC59F2">
        <w:rPr>
          <w:rFonts w:eastAsia="MS Gothic" w:cs="Arial"/>
          <w:b/>
          <w:bCs/>
        </w:rPr>
        <w:t>a and a</w:t>
      </w:r>
      <w:r w:rsidRPr="00BC59F2">
        <w:rPr>
          <w:rFonts w:eastAsia="MS Gothic" w:cs="Arial"/>
          <w:b/>
          <w:bCs/>
        </w:rPr>
        <w:t>, i</w:t>
      </w:r>
      <w:r w:rsidRPr="00BC59F2">
        <w:rPr>
          <w:rFonts w:eastAsia="MS Gothic" w:cs="Arial"/>
          <w:bCs/>
        </w:rPr>
        <w:t>)</w:t>
      </w:r>
      <w:r w:rsidR="00BC6649" w:rsidRPr="00BC59F2">
        <w:rPr>
          <w:rFonts w:eastAsia="MS Gothic" w:cs="Arial"/>
          <w:bCs/>
        </w:rPr>
        <w:t>. Furthermore, analysis of DNA data provided additional evidence of the long-term viability of confluent cultures at continual sub-EC</w:t>
      </w:r>
      <w:r w:rsidR="00BC6649" w:rsidRPr="00BC59F2">
        <w:rPr>
          <w:rFonts w:eastAsia="MS Gothic" w:cs="Arial"/>
          <w:bCs/>
          <w:vertAlign w:val="subscript"/>
        </w:rPr>
        <w:t>50</w:t>
      </w:r>
      <w:r w:rsidR="00BC6649" w:rsidRPr="00BC59F2">
        <w:rPr>
          <w:rFonts w:eastAsia="MS Gothic" w:cs="Arial"/>
          <w:bCs/>
        </w:rPr>
        <w:t xml:space="preserve"> Ag</w:t>
      </w:r>
      <w:r w:rsidR="00BC6649" w:rsidRPr="00BC59F2">
        <w:rPr>
          <w:rFonts w:eastAsia="MS Gothic" w:cs="Arial"/>
          <w:bCs/>
          <w:vertAlign w:val="superscript"/>
        </w:rPr>
        <w:t>+</w:t>
      </w:r>
      <w:r w:rsidRPr="00BC59F2">
        <w:rPr>
          <w:rFonts w:eastAsia="MS Gothic" w:cs="Arial"/>
          <w:bCs/>
        </w:rPr>
        <w:t xml:space="preserve"> concentrations </w:t>
      </w:r>
      <w:r w:rsidR="00BC6649" w:rsidRPr="00BC59F2">
        <w:rPr>
          <w:rFonts w:eastAsia="MS Gothic" w:cs="Arial"/>
          <w:bCs/>
        </w:rPr>
        <w:t>(</w:t>
      </w:r>
      <w:r w:rsidR="00D46799" w:rsidRPr="00BC59F2">
        <w:rPr>
          <w:rFonts w:eastAsia="MS Gothic" w:cs="Arial"/>
          <w:b/>
          <w:bCs/>
        </w:rPr>
        <w:t>Fi</w:t>
      </w:r>
      <w:r w:rsidR="00BC6649" w:rsidRPr="00BC59F2">
        <w:rPr>
          <w:rFonts w:eastAsia="MS Gothic" w:cs="Arial"/>
          <w:b/>
          <w:bCs/>
        </w:rPr>
        <w:t>g</w:t>
      </w:r>
      <w:r w:rsidR="00B80019" w:rsidRPr="00BC59F2">
        <w:rPr>
          <w:rFonts w:eastAsia="MS Gothic" w:cs="Arial"/>
          <w:b/>
          <w:bCs/>
        </w:rPr>
        <w:t>. 5</w:t>
      </w:r>
      <w:r w:rsidR="00E541D2" w:rsidRPr="00BC59F2">
        <w:rPr>
          <w:rFonts w:eastAsia="MS Gothic" w:cs="Arial"/>
          <w:b/>
          <w:bCs/>
        </w:rPr>
        <w:t>a</w:t>
      </w:r>
      <w:r w:rsidR="00521817" w:rsidRPr="00BC59F2">
        <w:rPr>
          <w:rFonts w:eastAsia="MS Gothic" w:cs="Arial"/>
          <w:b/>
          <w:bCs/>
        </w:rPr>
        <w:t>, ii</w:t>
      </w:r>
      <w:r w:rsidR="00BC6649" w:rsidRPr="00BC59F2">
        <w:rPr>
          <w:rFonts w:eastAsia="MS Gothic" w:cs="Arial"/>
          <w:bCs/>
        </w:rPr>
        <w:t>).</w:t>
      </w:r>
    </w:p>
    <w:p w14:paraId="23768FBC" w14:textId="6CB23144" w:rsidR="00BC6649" w:rsidRPr="00BC59F2" w:rsidRDefault="00FE5122" w:rsidP="00476FA4">
      <w:pPr>
        <w:spacing w:line="276" w:lineRule="auto"/>
        <w:contextualSpacing/>
        <w:jc w:val="left"/>
        <w:rPr>
          <w:rFonts w:eastAsia="MS Gothic" w:cs="Arial"/>
          <w:bCs/>
        </w:rPr>
      </w:pPr>
      <w:r w:rsidRPr="00BC59F2">
        <w:rPr>
          <w:rFonts w:eastAsia="MS Gothic" w:cs="Arial"/>
          <w:bCs/>
        </w:rPr>
        <w:t>We had previously found that Ag</w:t>
      </w:r>
      <w:r w:rsidRPr="00BC59F2">
        <w:rPr>
          <w:rFonts w:eastAsia="MS Gothic" w:cs="Arial"/>
          <w:bCs/>
          <w:vertAlign w:val="superscript"/>
        </w:rPr>
        <w:t>+</w:t>
      </w:r>
      <w:r w:rsidRPr="00BC59F2">
        <w:rPr>
          <w:rFonts w:eastAsia="MS Gothic" w:cs="Arial"/>
          <w:bCs/>
        </w:rPr>
        <w:t xml:space="preserve"> exposure could inhibit MSC CFU-f capacity. We therefore determined if the osteogenic </w:t>
      </w:r>
      <w:r w:rsidR="00BC6649" w:rsidRPr="00BC59F2">
        <w:rPr>
          <w:rFonts w:eastAsia="MS Gothic" w:cs="Arial"/>
          <w:bCs/>
        </w:rPr>
        <w:t xml:space="preserve">differentiation of MSCs </w:t>
      </w:r>
      <w:r w:rsidRPr="00BC59F2">
        <w:rPr>
          <w:rFonts w:eastAsia="MS Gothic" w:cs="Arial"/>
          <w:bCs/>
        </w:rPr>
        <w:t xml:space="preserve">was affected </w:t>
      </w:r>
      <w:r w:rsidR="00BC6649" w:rsidRPr="00BC59F2">
        <w:rPr>
          <w:rFonts w:eastAsia="MS Gothic" w:cs="Arial"/>
          <w:bCs/>
        </w:rPr>
        <w:t xml:space="preserve">following CFU-f </w:t>
      </w:r>
      <w:r w:rsidRPr="00BC59F2">
        <w:rPr>
          <w:rFonts w:eastAsia="MS Gothic" w:cs="Arial"/>
          <w:bCs/>
        </w:rPr>
        <w:t>culture</w:t>
      </w:r>
      <w:r w:rsidR="00BC6649" w:rsidRPr="00BC59F2">
        <w:rPr>
          <w:rFonts w:eastAsia="MS Gothic" w:cs="Arial"/>
          <w:bCs/>
        </w:rPr>
        <w:t xml:space="preserve"> in the presence of Ag</w:t>
      </w:r>
      <w:r w:rsidR="00BC6649" w:rsidRPr="00BC59F2">
        <w:rPr>
          <w:rFonts w:eastAsia="MS Gothic" w:cs="Arial"/>
          <w:bCs/>
          <w:vertAlign w:val="superscript"/>
        </w:rPr>
        <w:t>+</w:t>
      </w:r>
      <w:r w:rsidR="00BC6649" w:rsidRPr="00BC59F2">
        <w:rPr>
          <w:rFonts w:eastAsia="MS Gothic" w:cs="Arial"/>
          <w:bCs/>
        </w:rPr>
        <w:t xml:space="preserve">. </w:t>
      </w:r>
      <w:r w:rsidR="009E424A" w:rsidRPr="00BC59F2">
        <w:rPr>
          <w:rFonts w:eastAsia="MS Gothic" w:cs="Arial"/>
          <w:bCs/>
        </w:rPr>
        <w:t>We found that osteogenic capacity (as measured by normalised and total ALP activity) was unaffected by previous exposure to Ag</w:t>
      </w:r>
      <w:r w:rsidR="009E424A" w:rsidRPr="00BC59F2">
        <w:rPr>
          <w:rFonts w:eastAsia="MS Gothic" w:cs="Arial"/>
          <w:bCs/>
          <w:vertAlign w:val="superscript"/>
        </w:rPr>
        <w:t>+</w:t>
      </w:r>
      <w:r w:rsidR="009E424A" w:rsidRPr="00BC59F2">
        <w:rPr>
          <w:rFonts w:eastAsia="MS Gothic" w:cs="Arial"/>
          <w:bCs/>
        </w:rPr>
        <w:t xml:space="preserve"> during CFU-f </w:t>
      </w:r>
      <w:r w:rsidR="00BC6649" w:rsidRPr="00BC59F2">
        <w:rPr>
          <w:rFonts w:eastAsia="MS Gothic" w:cs="Arial"/>
          <w:bCs/>
        </w:rPr>
        <w:t>(</w:t>
      </w:r>
      <w:r w:rsidR="00BC6649" w:rsidRPr="00BC59F2">
        <w:rPr>
          <w:rFonts w:eastAsia="MS Gothic" w:cs="Arial"/>
          <w:b/>
          <w:bCs/>
        </w:rPr>
        <w:t>Fig.</w:t>
      </w:r>
      <w:r w:rsidR="00B80019" w:rsidRPr="00BC59F2">
        <w:rPr>
          <w:rFonts w:eastAsia="MS Gothic" w:cs="Arial"/>
          <w:b/>
          <w:bCs/>
        </w:rPr>
        <w:t xml:space="preserve"> 5</w:t>
      </w:r>
      <w:r w:rsidR="00E541D2" w:rsidRPr="00BC59F2">
        <w:rPr>
          <w:rFonts w:eastAsia="MS Gothic" w:cs="Arial"/>
          <w:b/>
          <w:bCs/>
        </w:rPr>
        <w:t>b</w:t>
      </w:r>
      <w:r w:rsidRPr="00BC59F2">
        <w:rPr>
          <w:rFonts w:eastAsia="MS Gothic" w:cs="Arial"/>
          <w:b/>
          <w:bCs/>
        </w:rPr>
        <w:t xml:space="preserve"> and </w:t>
      </w:r>
      <w:r w:rsidR="00E541D2" w:rsidRPr="00BC59F2">
        <w:rPr>
          <w:rFonts w:eastAsia="MS Gothic" w:cs="Arial"/>
          <w:b/>
          <w:bCs/>
        </w:rPr>
        <w:t>b</w:t>
      </w:r>
      <w:r w:rsidRPr="00BC59F2">
        <w:rPr>
          <w:rFonts w:eastAsia="MS Gothic" w:cs="Arial"/>
          <w:b/>
          <w:bCs/>
        </w:rPr>
        <w:t>, i</w:t>
      </w:r>
      <w:r w:rsidR="009E424A" w:rsidRPr="00BC59F2">
        <w:rPr>
          <w:rFonts w:eastAsia="MS Gothic" w:cs="Arial"/>
          <w:bCs/>
        </w:rPr>
        <w:t>). However, and i</w:t>
      </w:r>
      <w:r w:rsidR="00BC6649" w:rsidRPr="00BC59F2">
        <w:rPr>
          <w:rFonts w:eastAsia="MS Gothic" w:cs="Arial"/>
          <w:bCs/>
        </w:rPr>
        <w:t xml:space="preserve">n contrast to previous </w:t>
      </w:r>
      <w:r w:rsidR="009E424A" w:rsidRPr="00BC59F2">
        <w:rPr>
          <w:rFonts w:eastAsia="MS Gothic" w:cs="Arial"/>
          <w:bCs/>
        </w:rPr>
        <w:t>observations</w:t>
      </w:r>
      <w:r w:rsidR="00BC6649" w:rsidRPr="00BC59F2">
        <w:rPr>
          <w:rFonts w:eastAsia="MS Gothic" w:cs="Arial"/>
          <w:bCs/>
        </w:rPr>
        <w:t>, DNA</w:t>
      </w:r>
      <w:r w:rsidR="009E424A" w:rsidRPr="00BC59F2">
        <w:rPr>
          <w:rFonts w:eastAsia="MS Gothic" w:cs="Arial"/>
          <w:bCs/>
        </w:rPr>
        <w:t xml:space="preserve"> counts</w:t>
      </w:r>
      <w:r w:rsidR="00BC6649" w:rsidRPr="00BC59F2">
        <w:rPr>
          <w:rFonts w:eastAsia="MS Gothic" w:cs="Arial"/>
          <w:bCs/>
        </w:rPr>
        <w:t xml:space="preserve"> (relating to cell number) </w:t>
      </w:r>
      <w:r w:rsidR="009E424A" w:rsidRPr="00BC59F2">
        <w:rPr>
          <w:rFonts w:eastAsia="MS Gothic" w:cs="Arial"/>
          <w:bCs/>
        </w:rPr>
        <w:t>were</w:t>
      </w:r>
      <w:r w:rsidR="00BC6649" w:rsidRPr="00BC59F2">
        <w:rPr>
          <w:rFonts w:eastAsia="MS Gothic" w:cs="Arial"/>
          <w:bCs/>
        </w:rPr>
        <w:t xml:space="preserve"> significantly elevated in cultures from MSCs previously exposed to Ag</w:t>
      </w:r>
      <w:r w:rsidR="00BC6649" w:rsidRPr="00BC59F2">
        <w:rPr>
          <w:rFonts w:eastAsia="MS Gothic" w:cs="Arial"/>
          <w:bCs/>
          <w:vertAlign w:val="superscript"/>
        </w:rPr>
        <w:t>+</w:t>
      </w:r>
      <w:r w:rsidR="00BC6649" w:rsidRPr="00BC59F2">
        <w:rPr>
          <w:rFonts w:eastAsia="MS Gothic" w:cs="Arial"/>
          <w:bCs/>
        </w:rPr>
        <w:t xml:space="preserve"> (</w:t>
      </w:r>
      <w:r w:rsidR="00BC6649" w:rsidRPr="00BC59F2">
        <w:rPr>
          <w:rFonts w:eastAsia="MS Gothic" w:cs="Arial"/>
          <w:b/>
          <w:bCs/>
        </w:rPr>
        <w:t xml:space="preserve">Fig. </w:t>
      </w:r>
      <w:r w:rsidR="00B80019" w:rsidRPr="00BC59F2">
        <w:rPr>
          <w:rFonts w:eastAsia="MS Gothic" w:cs="Arial"/>
          <w:b/>
          <w:bCs/>
        </w:rPr>
        <w:t>5</w:t>
      </w:r>
      <w:r w:rsidR="00E541D2" w:rsidRPr="00BC59F2">
        <w:rPr>
          <w:rFonts w:eastAsia="MS Gothic" w:cs="Arial"/>
          <w:b/>
          <w:bCs/>
        </w:rPr>
        <w:t>b</w:t>
      </w:r>
      <w:r w:rsidR="00521817" w:rsidRPr="00BC59F2">
        <w:rPr>
          <w:rFonts w:eastAsia="MS Gothic" w:cs="Arial"/>
          <w:b/>
          <w:bCs/>
        </w:rPr>
        <w:t>, ii</w:t>
      </w:r>
      <w:r w:rsidR="00BC6649" w:rsidRPr="00BC59F2">
        <w:rPr>
          <w:rFonts w:eastAsia="MS Gothic" w:cs="Arial"/>
          <w:bCs/>
        </w:rPr>
        <w:t>).</w:t>
      </w:r>
    </w:p>
    <w:p w14:paraId="1674F0E6" w14:textId="77777777" w:rsidR="00BC6649" w:rsidRPr="00BC59F2" w:rsidRDefault="00BC6649" w:rsidP="00476FA4">
      <w:pPr>
        <w:spacing w:line="276" w:lineRule="auto"/>
        <w:contextualSpacing/>
        <w:jc w:val="left"/>
        <w:rPr>
          <w:rFonts w:eastAsia="MS Gothic" w:cs="Arial"/>
          <w:bCs/>
        </w:rPr>
      </w:pPr>
    </w:p>
    <w:p w14:paraId="1F4A539D" w14:textId="77777777" w:rsidR="00BC6649" w:rsidRPr="00BC59F2" w:rsidRDefault="00BC6649" w:rsidP="00476FA4">
      <w:pPr>
        <w:pStyle w:val="Heading2"/>
        <w:spacing w:line="276" w:lineRule="auto"/>
      </w:pPr>
      <w:r w:rsidRPr="00BC59F2">
        <w:t xml:space="preserve">CFU-Ob </w:t>
      </w:r>
      <w:r w:rsidR="003C20DD" w:rsidRPr="00BC59F2">
        <w:t>capacity is inhibited</w:t>
      </w:r>
      <w:r w:rsidRPr="00BC59F2">
        <w:t xml:space="preserve"> during Ag</w:t>
      </w:r>
      <w:r w:rsidRPr="00BC59F2">
        <w:rPr>
          <w:vertAlign w:val="superscript"/>
        </w:rPr>
        <w:t>+</w:t>
      </w:r>
      <w:r w:rsidRPr="00BC59F2">
        <w:t xml:space="preserve"> exposure</w:t>
      </w:r>
    </w:p>
    <w:p w14:paraId="2AD43EAF" w14:textId="0BB15A18" w:rsidR="00CA3588" w:rsidRPr="00BC59F2" w:rsidRDefault="00BC6649" w:rsidP="00476FA4">
      <w:pPr>
        <w:spacing w:line="276" w:lineRule="auto"/>
        <w:contextualSpacing/>
        <w:jc w:val="left"/>
        <w:rPr>
          <w:rFonts w:eastAsia="MS Gothic" w:cs="Arial"/>
          <w:bCs/>
        </w:rPr>
      </w:pPr>
      <w:r w:rsidRPr="00BC59F2">
        <w:rPr>
          <w:rFonts w:eastAsia="MS Gothic" w:cs="Arial"/>
          <w:bCs/>
        </w:rPr>
        <w:t xml:space="preserve">MSCs were plated at colony-forming seeding density and then exposed to osteogenic conditions to determine the effect of </w:t>
      </w:r>
      <w:r w:rsidR="003C20DD" w:rsidRPr="00BC59F2">
        <w:rPr>
          <w:rFonts w:eastAsia="MS Gothic" w:cs="Arial"/>
          <w:bCs/>
        </w:rPr>
        <w:t>Ag</w:t>
      </w:r>
      <w:r w:rsidR="003C20DD" w:rsidRPr="00BC59F2">
        <w:rPr>
          <w:rFonts w:eastAsia="MS Gothic" w:cs="Arial"/>
          <w:bCs/>
          <w:vertAlign w:val="superscript"/>
        </w:rPr>
        <w:t>+</w:t>
      </w:r>
      <w:r w:rsidR="003C20DD" w:rsidRPr="00BC59F2">
        <w:rPr>
          <w:rFonts w:eastAsia="MS Gothic" w:cs="Arial"/>
          <w:bCs/>
        </w:rPr>
        <w:t xml:space="preserve"> exposure </w:t>
      </w:r>
      <w:r w:rsidRPr="00BC59F2">
        <w:rPr>
          <w:rFonts w:eastAsia="MS Gothic" w:cs="Arial"/>
          <w:bCs/>
        </w:rPr>
        <w:t>on the formation of CFU-</w:t>
      </w:r>
      <w:r w:rsidR="003C20DD" w:rsidRPr="00BC59F2">
        <w:rPr>
          <w:rFonts w:eastAsia="MS Gothic" w:cs="Arial"/>
          <w:bCs/>
        </w:rPr>
        <w:t>Ob</w:t>
      </w:r>
      <w:r w:rsidRPr="00BC59F2">
        <w:rPr>
          <w:rFonts w:eastAsia="MS Gothic" w:cs="Arial"/>
          <w:bCs/>
        </w:rPr>
        <w:t xml:space="preserve">. </w:t>
      </w:r>
      <w:r w:rsidR="003C20DD" w:rsidRPr="00BC59F2">
        <w:rPr>
          <w:rFonts w:eastAsia="MS Gothic" w:cs="Arial"/>
          <w:bCs/>
        </w:rPr>
        <w:t>In a manner similar to the effects of Ag</w:t>
      </w:r>
      <w:r w:rsidR="003C20DD" w:rsidRPr="00BC59F2">
        <w:rPr>
          <w:rFonts w:eastAsia="MS Gothic" w:cs="Arial"/>
          <w:bCs/>
          <w:vertAlign w:val="superscript"/>
        </w:rPr>
        <w:t>+</w:t>
      </w:r>
      <w:r w:rsidR="003C20DD" w:rsidRPr="00BC59F2">
        <w:rPr>
          <w:rFonts w:eastAsia="MS Gothic" w:cs="Arial"/>
          <w:bCs/>
        </w:rPr>
        <w:t xml:space="preserve"> exposure on</w:t>
      </w:r>
      <w:r w:rsidRPr="00BC59F2">
        <w:rPr>
          <w:rFonts w:eastAsia="MS Gothic" w:cs="Arial"/>
          <w:bCs/>
        </w:rPr>
        <w:t xml:space="preserve"> CFU-f growth, the generation of ALP-positive CFU-Ob was decreased in the presence of continuous Ag</w:t>
      </w:r>
      <w:r w:rsidRPr="00BC59F2">
        <w:rPr>
          <w:rFonts w:eastAsia="MS Gothic" w:cs="Arial"/>
          <w:bCs/>
          <w:vertAlign w:val="superscript"/>
        </w:rPr>
        <w:t>+</w:t>
      </w:r>
      <w:r w:rsidRPr="00BC59F2">
        <w:rPr>
          <w:rFonts w:eastAsia="MS Gothic" w:cs="Arial"/>
          <w:bCs/>
        </w:rPr>
        <w:t>. Colony number in the 10 µM Ag</w:t>
      </w:r>
      <w:r w:rsidRPr="00BC59F2">
        <w:rPr>
          <w:rFonts w:eastAsia="MS Gothic" w:cs="Arial"/>
          <w:bCs/>
          <w:vertAlign w:val="superscript"/>
        </w:rPr>
        <w:t xml:space="preserve">+ </w:t>
      </w:r>
      <w:r w:rsidRPr="00BC59F2">
        <w:rPr>
          <w:rFonts w:eastAsia="MS Gothic" w:cs="Arial"/>
          <w:bCs/>
        </w:rPr>
        <w:t xml:space="preserve">treatment group declined by 62% from control but </w:t>
      </w:r>
      <w:r w:rsidR="003C20DD" w:rsidRPr="00BC59F2">
        <w:rPr>
          <w:rFonts w:eastAsia="MS Gothic" w:cs="Arial"/>
          <w:bCs/>
        </w:rPr>
        <w:t>did</w:t>
      </w:r>
      <w:r w:rsidRPr="00BC59F2">
        <w:rPr>
          <w:rFonts w:eastAsia="MS Gothic" w:cs="Arial"/>
          <w:bCs/>
        </w:rPr>
        <w:t xml:space="preserve"> not </w:t>
      </w:r>
      <w:r w:rsidR="003C20DD" w:rsidRPr="00BC59F2">
        <w:rPr>
          <w:rFonts w:eastAsia="MS Gothic" w:cs="Arial"/>
          <w:bCs/>
        </w:rPr>
        <w:t>reach statistical significance</w:t>
      </w:r>
      <w:r w:rsidRPr="00BC59F2">
        <w:rPr>
          <w:rFonts w:eastAsia="MS Gothic" w:cs="Arial"/>
          <w:bCs/>
        </w:rPr>
        <w:t xml:space="preserve"> (</w:t>
      </w:r>
      <w:r w:rsidRPr="00BC59F2">
        <w:rPr>
          <w:rFonts w:eastAsia="MS Gothic" w:cs="Arial"/>
          <w:bCs/>
          <w:i/>
        </w:rPr>
        <w:t>p</w:t>
      </w:r>
      <w:r w:rsidRPr="00BC59F2">
        <w:rPr>
          <w:rFonts w:eastAsia="MS Gothic" w:cs="Arial"/>
          <w:bCs/>
        </w:rPr>
        <w:t xml:space="preserve">=0.112, </w:t>
      </w:r>
      <w:r w:rsidRPr="00BC59F2">
        <w:rPr>
          <w:rFonts w:eastAsia="MS Gothic" w:cs="Arial"/>
          <w:b/>
          <w:bCs/>
        </w:rPr>
        <w:t>Fig.</w:t>
      </w:r>
      <w:r w:rsidR="00B80019" w:rsidRPr="00BC59F2">
        <w:rPr>
          <w:rFonts w:eastAsia="MS Gothic" w:cs="Arial"/>
          <w:b/>
          <w:bCs/>
        </w:rPr>
        <w:t xml:space="preserve"> 5</w:t>
      </w:r>
      <w:r w:rsidR="00E541D2" w:rsidRPr="00BC59F2">
        <w:rPr>
          <w:rFonts w:eastAsia="MS Gothic" w:cs="Arial"/>
          <w:b/>
          <w:bCs/>
        </w:rPr>
        <w:t>c</w:t>
      </w:r>
      <w:r w:rsidRPr="00BC59F2">
        <w:rPr>
          <w:rFonts w:eastAsia="MS Gothic" w:cs="Arial"/>
          <w:bCs/>
        </w:rPr>
        <w:t>), however total CFU-Ob area was significantly reduced at this sub-EC</w:t>
      </w:r>
      <w:r w:rsidRPr="00BC59F2">
        <w:rPr>
          <w:rFonts w:eastAsia="MS Gothic" w:cs="Arial"/>
          <w:bCs/>
          <w:vertAlign w:val="subscript"/>
        </w:rPr>
        <w:t>50</w:t>
      </w:r>
      <w:r w:rsidRPr="00BC59F2">
        <w:rPr>
          <w:rFonts w:eastAsia="MS Gothic" w:cs="Arial"/>
          <w:bCs/>
        </w:rPr>
        <w:t xml:space="preserve"> concentration (</w:t>
      </w:r>
      <w:r w:rsidRPr="00BC59F2">
        <w:rPr>
          <w:rFonts w:eastAsia="MS Gothic" w:cs="Arial"/>
          <w:b/>
          <w:bCs/>
        </w:rPr>
        <w:t>Fig.</w:t>
      </w:r>
      <w:r w:rsidR="009E4D0A" w:rsidRPr="00BC59F2">
        <w:rPr>
          <w:rFonts w:eastAsia="MS Gothic" w:cs="Arial"/>
          <w:b/>
          <w:bCs/>
        </w:rPr>
        <w:t xml:space="preserve"> </w:t>
      </w:r>
      <w:r w:rsidR="00B80019" w:rsidRPr="00BC59F2">
        <w:rPr>
          <w:rFonts w:eastAsia="MS Gothic" w:cs="Arial"/>
          <w:b/>
          <w:bCs/>
        </w:rPr>
        <w:t>5</w:t>
      </w:r>
      <w:r w:rsidR="00E541D2" w:rsidRPr="00BC59F2">
        <w:rPr>
          <w:rFonts w:eastAsia="MS Gothic" w:cs="Arial"/>
          <w:b/>
          <w:bCs/>
        </w:rPr>
        <w:t>d</w:t>
      </w:r>
      <w:r w:rsidRPr="00BC59F2">
        <w:rPr>
          <w:rFonts w:eastAsia="MS Gothic" w:cs="Arial"/>
          <w:bCs/>
        </w:rPr>
        <w:t>).</w:t>
      </w:r>
    </w:p>
    <w:p w14:paraId="2B759A2A" w14:textId="77777777" w:rsidR="00E46428" w:rsidRPr="00BC59F2" w:rsidRDefault="00E46428" w:rsidP="00476FA4">
      <w:pPr>
        <w:pStyle w:val="Heading1"/>
        <w:spacing w:line="276" w:lineRule="auto"/>
      </w:pPr>
      <w:r w:rsidRPr="00BC59F2">
        <w:lastRenderedPageBreak/>
        <w:t>Discussion</w:t>
      </w:r>
    </w:p>
    <w:p w14:paraId="59A807E3" w14:textId="40AED08B" w:rsidR="00594849" w:rsidRPr="00BC59F2" w:rsidRDefault="00E46428" w:rsidP="00476FA4">
      <w:pPr>
        <w:spacing w:after="240" w:line="276" w:lineRule="auto"/>
        <w:contextualSpacing/>
        <w:jc w:val="left"/>
        <w:rPr>
          <w:rFonts w:cs="Arial"/>
        </w:rPr>
      </w:pPr>
      <w:r w:rsidRPr="00BC59F2">
        <w:rPr>
          <w:rFonts w:cs="Arial"/>
        </w:rPr>
        <w:t>The consequences of infection of orthopaedic trauma devices are both severe for the patient and costly to the healthcare system</w:t>
      </w:r>
      <w:r w:rsidR="00151A78" w:rsidRPr="00BC59F2">
        <w:rPr>
          <w:rFonts w:cs="Arial"/>
        </w:rPr>
        <w:t xml:space="preserve"> </w:t>
      </w:r>
      <w:r w:rsidR="00E37F00" w:rsidRPr="00BC59F2">
        <w:rPr>
          <w:rFonts w:cs="Arial"/>
        </w:rPr>
        <w:fldChar w:fldCharType="begin" w:fldLock="1"/>
      </w:r>
      <w:r w:rsidR="00C5479F" w:rsidRPr="00BC59F2">
        <w:rPr>
          <w:rFonts w:cs="Arial"/>
        </w:rPr>
        <w:instrText>ADDIN CSL_CITATION {"citationItems":[{"id":"ITEM-1","itemData":{"DOI":"10.1016/j.jhin.2013.09.012","ISBN":"0195-6701","ISSN":"01956701","PMID":"24268456","abstract":"Background: Although surgical site infections (SSIs) are known to be associated with increased length of stay (LOS) and additional cost, their impact on the profitability of surgical procedures is unknown. Aim: To determine the clinical and economic burden of SSI over a two-year period and to predict the financial consequences of their elimination. Methods: SSI surveillance and Patient Level Information and Costing System (PLICS) datasets for patients who underwent major surgical procedures at Plymouth Hospitals NHS Trust between April 2010 and March 2012 were consolidated. The main outcome measures were the attributable postoperative length of stay (LOS), cost, and impact on the margin differential (profitability) of SSI. A secondary outcome was the predicted financial consequence of eliminating all SSIs. Findings: The median additional LOS attributable to SSI was 10 days [95% confidence interval (CI): 7-13 days] and a total of 4694 bed-days were lost over the two-year period. The median additional cost attributable to SSI was £5,239 (95% CI: 4,622-6,719) and the aggregate extra cost over the study period was £2,491,424. After calculating the opportunity cost of eliminating all SSIs that had occurred in the two-year period, the combined overall predicted financial benefit of doing so would have been only £694,007. For seven surgical categories, the hospital would have been financially worse off if it had successfully eliminated all SSIs. Conclusion: SSI causes significant clinical and economic burden. Nevertheless the current system of reimbursement provided a financial disincentive to their reduction. © 2013 The Healthcare Infection Society.","author":[{"dropping-particle":"","family":"Jenks","given":"P. J.","non-dropping-particle":"","parse-names":false,"suffix":""},{"dropping-particle":"","family":"Laurent","given":"M.","non-dropping-particle":"","parse-names":false,"suffix":""},{"dropping-particle":"","family":"McQuarry","given":"S.","non-dropping-particle":"","parse-names":false,"suffix":""},{"dropping-particle":"","family":"Watkins","given":"R.","non-dropping-particle":"","parse-names":false,"suffix":""}],"container-title":"Journal of Hospital Infection","id":"ITEM-1","issue":"1","issued":{"date-parts":[["2014"]]},"page":"24-33","title":"Clinical and economic burden of surgical site infection (SSI) and predicted financial consequences of elimination of SSI from an English hospital","type":"article-journal","volume":"86"},"uris":["http://www.mendeley.com/documents/?uuid=a27c31d2-7a12-414b-8a93-a46ad1ff022e"]},{"id":"ITEM-2","itemData":{"DOI":"10.1016/j.injury.2017.03.030","ISSN":"18790267","PMID":"28377260","abstract":"Introduction One of the most challenging complications in musculoskeletal trauma surgery is the development of infection after fracture fixation (IAFF). It can delay healing, lead to permanent functional loss, or even amputation of the affected limb. The main goal of this study was to investigate the total healthcare costs and length-of-stay (LOS) related to the surgical treatment of tibia fractures and furthermore identify the subset of clinical variables driving these costs within the Belgian healthcare system. The hypothesis was that deep infection would be the most important driver for total healthcare costs. Patients and methods Overall, 358 patients treated operatively for AO/OTA type 41, 42, and 43 tibia fractures between January 1, 2009 and January 1, 2014 were included in this study. A total of 26 clinical and process variables were defined. Calculated costs were limited to hospital care covered by the Belgian healthcare financing system. The five main cost categories studied were: honoraria, materials, hospitalization, day care admission, and pharmaceuticals. Results Multivariate analysis showed that deep infection was the most significant characteristic driving total healthcare costs and LOS related to the surgical treatment of tibia fractures. Furthermore, this complication resulted in the highest overall increase in total healthcare costs and LOS. Treatment costs were approximately 6.5-times higher compared to uninfected patients. Conclusion This study shows the enormous hospital-related healthcare costs associated with IAFF of the tibia. Treatment costs for patients with deep infection are higher than previously mentioned in the literature. Therefore, future research should focus more on prevention rather than treatment strategies, not only to reduce patient morbidity but also to reduce the socio-economic impact.","author":[{"dropping-particle":"","family":"Metsemakers","given":"W. J.","non-dropping-particle":"","parse-names":false,"suffix":""},{"dropping-particle":"","family":"Smeets","given":"B.","non-dropping-particle":"","parse-names":false,"suffix":""},{"dropping-particle":"","family":"Nijs","given":"S.","non-dropping-particle":"","parse-names":false,"suffix":""},{"dropping-particle":"","family":"Hoekstra","given":"H.","non-dropping-particle":"","parse-names":false,"suffix":""}],"container-title":"Injury","id":"ITEM-2","issue":"6","issued":{"date-parts":[["2017"]]},"page":"1204-1210","title":"Infection after fracture fixation of the tibia: Analysis of healthcare utilization and related costs","type":"article-journal","volume":"48"},"uris":["http://www.mendeley.com/documents/?uuid=64c0db34-d3c9-4c81-b814-3dfdf8aeccf7"]}],"mendeley":{"formattedCitation":"&lt;sup&gt;2,30&lt;/sup&gt;","plainTextFormattedCitation":"2,30","previouslyFormattedCitation":"&lt;sup&gt;2,30&lt;/sup&gt;"},"properties":{"noteIndex":0},"schema":"https://github.com/citation-style-language/schema/raw/master/csl-citation.json"}</w:instrText>
      </w:r>
      <w:r w:rsidR="00E37F00" w:rsidRPr="00BC59F2">
        <w:rPr>
          <w:rFonts w:cs="Arial"/>
        </w:rPr>
        <w:fldChar w:fldCharType="separate"/>
      </w:r>
      <w:r w:rsidR="00E37F00" w:rsidRPr="00BC59F2">
        <w:rPr>
          <w:rFonts w:cs="Arial"/>
          <w:noProof/>
          <w:vertAlign w:val="superscript"/>
        </w:rPr>
        <w:t>2,30</w:t>
      </w:r>
      <w:r w:rsidR="00E37F00" w:rsidRPr="00BC59F2">
        <w:rPr>
          <w:rFonts w:cs="Arial"/>
        </w:rPr>
        <w:fldChar w:fldCharType="end"/>
      </w:r>
      <w:r w:rsidR="00151A78" w:rsidRPr="00BC59F2">
        <w:rPr>
          <w:rFonts w:cs="Arial"/>
        </w:rPr>
        <w:t>.</w:t>
      </w:r>
      <w:r w:rsidRPr="00BC59F2">
        <w:rPr>
          <w:rFonts w:cs="Arial"/>
        </w:rPr>
        <w:t xml:space="preserve"> Although the risk of infection for open tibial fractures is as high as 36 %, the primary aim of treating all at risk injuries with implants comprising an anti-</w:t>
      </w:r>
      <w:r w:rsidR="00FC714C" w:rsidRPr="00BC59F2">
        <w:rPr>
          <w:rFonts w:cs="Arial"/>
        </w:rPr>
        <w:t>microbial</w:t>
      </w:r>
      <w:r w:rsidRPr="00BC59F2">
        <w:rPr>
          <w:rFonts w:cs="Arial"/>
        </w:rPr>
        <w:t xml:space="preserve"> technology should not jeopardise successful union</w:t>
      </w:r>
      <w:r w:rsidR="00B03BB7" w:rsidRPr="00BC59F2">
        <w:rPr>
          <w:rFonts w:cs="Arial"/>
        </w:rPr>
        <w:t xml:space="preserve"> </w:t>
      </w:r>
      <w:r w:rsidRPr="00BC59F2">
        <w:rPr>
          <w:rFonts w:cs="Arial"/>
        </w:rPr>
        <w:fldChar w:fldCharType="begin" w:fldLock="1"/>
      </w:r>
      <w:r w:rsidR="00C5479F" w:rsidRPr="00BC59F2">
        <w:rPr>
          <w:rFonts w:cs="Arial"/>
        </w:rPr>
        <w:instrText>ADDIN CSL_CITATION {"citationItems":[{"id":"ITEM-1","itemData":{"DOI":"10.1016/j.injury.2011.10.015","ISBN":"1879-0267 (Electronic)\\r0020-1383 (Linking)","ISSN":"00201383","PMID":"22019355","abstract":"The aim of the present study was to comparatively analyse certain outcome measures of open tibial fractures, stratified per grade of open injury and method of treatment. For this purpose, a systematic review of the English literature from 1990 until 2010 was undertaken, comprising 32 eligible articles reporting on 3060 open tibial fractures. Outcome measures included rates of union progress (early union, delayed union, late union and non-union rates) and certain complication rates (deep infection, compartment syndrome and amputation rates). Statistical heterogeneity across component studies was detected with the use of Cochran chi-square and I2tests. In the absence of significant statistical heterogeneity a pooled estimate of effect size for each outcome/complication of interest was produced. All component studies were assigned on average a moderate quality score. Reamed tibial nails (RTNs) were associated with significantly higher odds of early union compared with unreamed tibial nails (UTNs) in IIIB open fractures (odds ratio: 12, 95% CI: 2.4-61). Comparing RTN and UTN modes of treatment, no significant differences were documented per grade of open fractures with respect to both delayed and late union rates. Surprisingly, nonunion rates in IIIB open fractures treated with either RTNs or UTNs were lower than IIIA or II open fractures, although the differences were not statistically significant. Significantly increased deep infection rates of IIIB open fractures compared with all other grades were documented for both modes of treatment (RTN, UTN). However, lower deep infection rates for IIIA open fractures treated with RTNs were recorded compared with grades I and II. Interestingly, grade II open tibial fractures, treated with UTN, presented significantly greater odds for developing compartment syndrome than when treated with RTNs. Our cumulative analysis, providing for each grade of open injury and each particular method of treatment a summarised estimate of effect size for the most important outcome measures of open tibial fractures, constitutes a useful tool of the practicing surgeon for optimal decision making when operative treatment of such fractures is contemplated. © 2011 Elsevier Ltd. All rights reserved.","author":[{"dropping-particle":"","family":"Papakostidis","given":"Costas","non-dropping-particle":"","parse-names":false,"suffix":""},{"dropping-particle":"","family":"Kanakaris","given":"Nikolaos K.","non-dropping-particle":"","parse-names":false,"suffix":""},{"dropping-particle":"","family":"Pretel","given":"Juan","non-dropping-particle":"","parse-names":false,"suffix":""},{"dropping-particle":"","family":"Faour","given":"Omar","non-dropping-particle":"","parse-names":false,"suffix":""},{"dropping-particle":"","family":"Morell","given":"Daniel Juan","non-dropping-particle":"","parse-names":false,"suffix":""},{"dropping-particle":"V.","family":"Giannoudis","given":"Peter","non-dropping-particle":"","parse-names":false,"suffix":""}],"container-title":"Injury","id":"ITEM-1","issue":"12","issued":{"date-parts":[["2011"]]},"page":"1408-1415","title":"Prevalence of complications of open tibial shaft fractures stratified as per the Gustilo-Anderson classification","type":"article-journal","volume":"42"},"uris":["http://www.mendeley.com/documents/?uuid=d61f290f-d8e9-4417-9063-e7648c6ccfb1"]}],"mendeley":{"formattedCitation":"&lt;sup&gt;31&lt;/sup&gt;","plainTextFormattedCitation":"31","previouslyFormattedCitation":"&lt;sup&gt;31&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31</w:t>
      </w:r>
      <w:r w:rsidRPr="00BC59F2">
        <w:rPr>
          <w:rFonts w:cs="Arial"/>
        </w:rPr>
        <w:fldChar w:fldCharType="end"/>
      </w:r>
      <w:r w:rsidR="00B03BB7" w:rsidRPr="00BC59F2">
        <w:rPr>
          <w:rFonts w:cs="Arial"/>
        </w:rPr>
        <w:t>.</w:t>
      </w:r>
      <w:r w:rsidRPr="00BC59F2">
        <w:rPr>
          <w:rFonts w:cs="Arial"/>
        </w:rPr>
        <w:t xml:space="preserve"> Here, we have investigated the use of silver as a broad spectrum antimicrobial in the prevention of biofilm formation, specifically its elution w</w:t>
      </w:r>
      <w:r w:rsidR="00864ED9" w:rsidRPr="00BC59F2">
        <w:rPr>
          <w:rFonts w:cs="Arial"/>
        </w:rPr>
        <w:t xml:space="preserve">ithin an intramedullary setting. We then used the </w:t>
      </w:r>
      <w:r w:rsidR="00864ED9" w:rsidRPr="00BC59F2">
        <w:rPr>
          <w:rFonts w:cs="Arial"/>
          <w:i/>
        </w:rPr>
        <w:t>in vivo</w:t>
      </w:r>
      <w:r w:rsidR="00864ED9" w:rsidRPr="00BC59F2">
        <w:rPr>
          <w:rFonts w:cs="Arial"/>
        </w:rPr>
        <w:t xml:space="preserve"> elution profile data to determine</w:t>
      </w:r>
      <w:r w:rsidRPr="00BC59F2">
        <w:rPr>
          <w:rFonts w:cs="Arial"/>
        </w:rPr>
        <w:t xml:space="preserve"> </w:t>
      </w:r>
      <w:r w:rsidRPr="00BC59F2">
        <w:rPr>
          <w:rFonts w:cs="Arial"/>
          <w:i/>
        </w:rPr>
        <w:t>in vitro</w:t>
      </w:r>
      <w:r w:rsidRPr="00BC59F2">
        <w:rPr>
          <w:rFonts w:cs="Arial"/>
        </w:rPr>
        <w:t xml:space="preserve"> effects on MSC </w:t>
      </w:r>
      <w:r w:rsidR="00AD1651" w:rsidRPr="00BC59F2">
        <w:rPr>
          <w:rFonts w:cs="Arial"/>
        </w:rPr>
        <w:t>colony-forming capacity</w:t>
      </w:r>
      <w:r w:rsidRPr="00BC59F2">
        <w:rPr>
          <w:rFonts w:cs="Arial"/>
        </w:rPr>
        <w:t xml:space="preserve"> and differentiation, the mechanisms of MSC tolerance to Ag</w:t>
      </w:r>
      <w:r w:rsidRPr="00BC59F2">
        <w:rPr>
          <w:rFonts w:cs="Arial"/>
          <w:vertAlign w:val="superscript"/>
        </w:rPr>
        <w:t>+</w:t>
      </w:r>
      <w:r w:rsidRPr="00BC59F2">
        <w:rPr>
          <w:rFonts w:cs="Arial"/>
        </w:rPr>
        <w:t xml:space="preserve"> induced oxidative stress, and the outcomes of fracture healing.</w:t>
      </w:r>
    </w:p>
    <w:p w14:paraId="1E436602" w14:textId="6946F787" w:rsidR="00E46428" w:rsidRPr="00BC59F2" w:rsidRDefault="00E46428" w:rsidP="00476FA4">
      <w:pPr>
        <w:spacing w:after="240" w:line="276" w:lineRule="auto"/>
        <w:contextualSpacing/>
        <w:jc w:val="left"/>
        <w:rPr>
          <w:rFonts w:cs="Arial"/>
        </w:rPr>
      </w:pPr>
      <w:r w:rsidRPr="00BC59F2">
        <w:rPr>
          <w:rFonts w:cs="Arial"/>
        </w:rPr>
        <w:t xml:space="preserve">The elution profile of any additive from an implant is of importance </w:t>
      </w:r>
      <w:r w:rsidR="00AD1651" w:rsidRPr="00BC59F2">
        <w:rPr>
          <w:rFonts w:cs="Arial"/>
        </w:rPr>
        <w:t xml:space="preserve">for </w:t>
      </w:r>
      <w:r w:rsidRPr="00BC59F2">
        <w:rPr>
          <w:rFonts w:cs="Arial"/>
        </w:rPr>
        <w:t xml:space="preserve">not only efficacy but also determining the safety of such products during pre-clinical evaluations. With regards to </w:t>
      </w:r>
      <w:r w:rsidR="00AD1651" w:rsidRPr="00BC59F2">
        <w:rPr>
          <w:rFonts w:cs="Arial"/>
        </w:rPr>
        <w:t xml:space="preserve">testing </w:t>
      </w:r>
      <w:r w:rsidRPr="00BC59F2">
        <w:rPr>
          <w:rFonts w:cs="Arial"/>
        </w:rPr>
        <w:t>silver</w:t>
      </w:r>
      <w:r w:rsidR="00AD1651" w:rsidRPr="00BC59F2">
        <w:rPr>
          <w:rFonts w:cs="Arial"/>
        </w:rPr>
        <w:t>-coated implants</w:t>
      </w:r>
      <w:r w:rsidRPr="00BC59F2">
        <w:rPr>
          <w:rFonts w:cs="Arial"/>
        </w:rPr>
        <w:t xml:space="preserve">, </w:t>
      </w:r>
      <w:r w:rsidR="00AD1651" w:rsidRPr="00BC59F2">
        <w:rPr>
          <w:rFonts w:cs="Arial"/>
        </w:rPr>
        <w:t>valuable</w:t>
      </w:r>
      <w:r w:rsidRPr="00BC59F2">
        <w:rPr>
          <w:rFonts w:cs="Arial"/>
        </w:rPr>
        <w:t xml:space="preserve"> data can be gained from laboratory</w:t>
      </w:r>
      <w:r w:rsidR="007F2B2A" w:rsidRPr="00BC59F2">
        <w:rPr>
          <w:rFonts w:cs="Arial"/>
        </w:rPr>
        <w:t>-</w:t>
      </w:r>
      <w:r w:rsidRPr="00BC59F2">
        <w:rPr>
          <w:rFonts w:cs="Arial"/>
        </w:rPr>
        <w:t xml:space="preserve">based testing, </w:t>
      </w:r>
      <w:r w:rsidR="007F2B2A" w:rsidRPr="00BC59F2">
        <w:rPr>
          <w:rFonts w:cs="Arial"/>
        </w:rPr>
        <w:t>for example using</w:t>
      </w:r>
      <w:r w:rsidRPr="00BC59F2">
        <w:rPr>
          <w:rFonts w:cs="Arial"/>
        </w:rPr>
        <w:t xml:space="preserve"> saline or simulated body fluid </w:t>
      </w:r>
      <w:r w:rsidR="00AD1651" w:rsidRPr="00BC59F2">
        <w:rPr>
          <w:rFonts w:cs="Arial"/>
        </w:rPr>
        <w:t>as carrier solutions</w:t>
      </w:r>
      <w:r w:rsidR="007F2B2A" w:rsidRPr="00BC59F2">
        <w:rPr>
          <w:rFonts w:cs="Arial"/>
        </w:rPr>
        <w:t>.</w:t>
      </w:r>
      <w:r w:rsidRPr="00BC59F2">
        <w:rPr>
          <w:rFonts w:cs="Arial"/>
        </w:rPr>
        <w:t xml:space="preserve"> </w:t>
      </w:r>
      <w:r w:rsidR="007F2B2A" w:rsidRPr="00BC59F2">
        <w:rPr>
          <w:rFonts w:cs="Arial"/>
        </w:rPr>
        <w:t>H</w:t>
      </w:r>
      <w:r w:rsidRPr="00BC59F2">
        <w:rPr>
          <w:rFonts w:cs="Arial"/>
        </w:rPr>
        <w:t xml:space="preserve">owever due to the chemical complexities of using this transition metal, the analysis </w:t>
      </w:r>
      <w:r w:rsidR="007F2B2A" w:rsidRPr="00BC59F2">
        <w:rPr>
          <w:rFonts w:cs="Arial"/>
        </w:rPr>
        <w:t xml:space="preserve">of silver elution </w:t>
      </w:r>
      <w:r w:rsidRPr="00BC59F2">
        <w:rPr>
          <w:rFonts w:cs="Arial"/>
        </w:rPr>
        <w:t xml:space="preserve">from implants placed in clinically relevant </w:t>
      </w:r>
      <w:r w:rsidR="007F2B2A" w:rsidRPr="00BC59F2">
        <w:rPr>
          <w:rFonts w:cs="Arial"/>
          <w:i/>
        </w:rPr>
        <w:t>in vivo</w:t>
      </w:r>
      <w:r w:rsidR="007F2B2A" w:rsidRPr="00BC59F2">
        <w:rPr>
          <w:rFonts w:cs="Arial"/>
        </w:rPr>
        <w:t xml:space="preserve"> </w:t>
      </w:r>
      <w:r w:rsidRPr="00BC59F2">
        <w:rPr>
          <w:rFonts w:cs="Arial"/>
        </w:rPr>
        <w:t xml:space="preserve">localities is </w:t>
      </w:r>
      <w:r w:rsidR="007F2B2A" w:rsidRPr="00BC59F2">
        <w:rPr>
          <w:rFonts w:cs="Arial"/>
        </w:rPr>
        <w:t>essential</w:t>
      </w:r>
      <w:r w:rsidR="00B03BB7" w:rsidRPr="00BC59F2">
        <w:rPr>
          <w:rFonts w:cs="Arial"/>
        </w:rPr>
        <w:t xml:space="preserve"> </w:t>
      </w:r>
      <w:r w:rsidRPr="00BC59F2">
        <w:rPr>
          <w:rFonts w:cs="Arial"/>
        </w:rPr>
        <w:fldChar w:fldCharType="begin" w:fldLock="1"/>
      </w:r>
      <w:r w:rsidR="00C5479F" w:rsidRPr="00BC59F2">
        <w:rPr>
          <w:rFonts w:cs="Arial"/>
        </w:rPr>
        <w:instrText>ADDIN CSL_CITATION {"citationItems":[{"id":"ITEM-1","itemData":{"DOI":"10.1016/j.biomaterials.2005.01.038","ISBN":"0142-9612 (Print)\\n0142-9612 (Linking)","ISSN":"01429612","PMID":"15792537","abstract":"A bioactive glass belonging to the system SiO2-CaO-Na2O was doped with silver ions by ion exchange in molten salts as well as in aqueous solution. The ion exchange in the solution was done to check if it is possible to prepare an antimicrobial material using a low silver content. The doped glass was characterized by means of X-ray diffraction, SEM observation, EDS analysis, bioactivity test (soaking in a simulated body fluid), leaching test (GFAAS analyses) and cytotoxicity test. It is demonstrated that these surface silver-doped glasses maintain, or even improve, the bioactivity of the starting glass. The measured quantity of released silver into simulated body fluid compares those reported in literature for the antibacterial activity and the non-cytotoxic effect of silver. Cytotoxicity tests were carried out to understand the effect of the doped surfaces on osteogenic cell adhesion and proliferation. © 2005 Elsevier Ltd. All rights reserved.","author":[{"dropping-particle":"","family":"Vernè","given":"E.","non-dropping-particle":"","parse-names":false,"suffix":""},{"dropping-particle":"","family":"Nunzio","given":"S.","non-dropping-particle":"Di","parse-names":false,"suffix":""},{"dropping-particle":"","family":"Bosetti","given":"M.","non-dropping-particle":"","parse-names":false,"suffix":""},{"dropping-particle":"","family":"Appendino","given":"P.","non-dropping-particle":"","parse-names":false,"suffix":""},{"dropping-particle":"","family":"Vitale Brovarone","given":"C.","non-dropping-particle":"","parse-names":false,"suffix":""},{"dropping-particle":"","family":"Maina","given":"G.","non-dropping-particle":"","parse-names":false,"suffix":""},{"dropping-particle":"","family":"Cannas","given":"M.","non-dropping-particle":"","parse-names":false,"suffix":""}],"container-title":"Biomaterials","id":"ITEM-1","issue":"25","issued":{"date-parts":[["2005"]]},"page":"5111-5119","title":"Surface characterization of silver-doped bioactive glass","type":"article-journal","volume":"26"},"uris":["http://www.mendeley.com/documents/?uuid=de954fa2-c4a6-4220-9bb1-c70ce1743243"]},{"id":"ITEM-2","itemData":{"DOI":"10.1016/j.msec.2017.02.037","ISSN":"09284931","PMID":"28415400","abstract":"Nanosurface modification of Titanium (Ti) implants and prosthesis is proved to enhance osseointegration at the tissue–implant interface. However, many of these products lack adequate antibacterial capability, which leads to implant loosening. As a curative strategy, in this study, nanotextured Ti substrates embedded with silver nanoparticles were developed through a single step hydrothermal processing in an alkaline medium containing silver nitrate at different concentrations (15, 30 and 75 μM). Scanning electron micrographs revealed a non-periodically oriented nanoleafy structure on Ti (TNL) decorated with Ag nanoparticles (nanoAg), which was verified by XPS, XRD and EDS analysis. This TNLAg substrate proved to be mechanically stable upon nanoindentation and nanoscratch tests. Silver ions at detectable levels were released for a period of ~ 28 days only from substrates incorporating higher nanoAg content. The samples demonstrated antibacterial activity towards both Escherichia coli and Staphylococcus aureus, with a more favorable response to the former. Simultaneously, Ti substrates incorporating nanoAg at all concentrations supported the viability, proliferation and osteogenic differentiation of mesenchymal stem cells. Overall, nanoAg incorporation into surface modified Ti via a simple one-step thermochemical method is a favorable strategy for producing implants with dual characteristics of antibacterial activity and cell compatibility.","author":[{"dropping-particle":"","family":"Mohandas","given":"Anu","non-dropping-particle":"","parse-names":false,"suffix":""},{"dropping-particle":"","family":"Krishnan","given":"Amit G.","non-dropping-particle":"","parse-names":false,"suffix":""},{"dropping-particle":"","family":"Biswas","given":"Raja","non-dropping-particle":"","parse-names":false,"suffix":""},{"dropping-particle":"","family":"Menon","given":"Deepthy","non-dropping-particle":"","parse-names":false,"suffix":""},{"dropping-particle":"","family":"Nair","given":"Manitha B.","non-dropping-particle":"","parse-names":false,"suffix":""}],"container-title":"Materials Science and Engineering C","id":"ITEM-2","issued":{"date-parts":[["2017"]]},"page":"115-124","publisher":"Elsevier B.V.","title":"Antibacterial and cytocompatible nanotextured Ti surface incorporating silver via single step hydrothermal processing","type":"article-journal","volume":"75"},"uris":["http://www.mendeley.com/documents/?uuid=ea1b8baf-1df4-4b0e-8edb-5bd347463539"]}],"mendeley":{"formattedCitation":"&lt;sup&gt;32,33&lt;/sup&gt;","plainTextFormattedCitation":"32,33","previouslyFormattedCitation":"&lt;sup&gt;32,33&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32,33</w:t>
      </w:r>
      <w:r w:rsidRPr="00BC59F2">
        <w:rPr>
          <w:rFonts w:cs="Arial"/>
        </w:rPr>
        <w:fldChar w:fldCharType="end"/>
      </w:r>
      <w:r w:rsidR="00B03BB7" w:rsidRPr="00BC59F2">
        <w:rPr>
          <w:rFonts w:cs="Arial"/>
        </w:rPr>
        <w:t>.</w:t>
      </w:r>
      <w:r w:rsidRPr="00BC59F2">
        <w:rPr>
          <w:rFonts w:cs="Arial"/>
        </w:rPr>
        <w:t xml:space="preserve"> Previous reporting of release </w:t>
      </w:r>
      <w:r w:rsidR="00AD1651" w:rsidRPr="00BC59F2">
        <w:rPr>
          <w:rFonts w:cs="Arial"/>
        </w:rPr>
        <w:t xml:space="preserve">profiles </w:t>
      </w:r>
      <w:r w:rsidRPr="00BC59F2">
        <w:rPr>
          <w:rFonts w:cs="Arial"/>
        </w:rPr>
        <w:t>from silver technologies have shown a rapid increase in silver at day two following sub-cutaneous implantation, declining thereafter from day six</w:t>
      </w:r>
      <w:r w:rsidR="00B03BB7" w:rsidRPr="00BC59F2">
        <w:rPr>
          <w:rFonts w:cs="Arial"/>
        </w:rPr>
        <w:t xml:space="preserve"> </w:t>
      </w:r>
      <w:r w:rsidRPr="00BC59F2">
        <w:rPr>
          <w:rFonts w:cs="Arial"/>
        </w:rPr>
        <w:fldChar w:fldCharType="begin" w:fldLock="1"/>
      </w:r>
      <w:r w:rsidR="00E37F00" w:rsidRPr="00BC59F2">
        <w:rPr>
          <w:rFonts w:cs="Arial"/>
        </w:rPr>
        <w:instrText>ADDIN CSL_CITATION {"citationItems":[{"id":"ITEM-1","itemData":{"DOI":"10.1128/AAC.02934-15","ISSN":"10986596","PMID":"26883700","abstract":"Implant-associated infections (IAIs) are a dreaded complication mainly caused by biofilm-forming staphylococci. Implant surfaces preventing microbial colonization would be desirable. We examined the preventive effect of a silver-coated titanium-aluminum-niobium (TiAlNb) alloy. The surface elicited a strong, inoculum-dependent activity against Staphylococcus epidermidis and Staphylococcus aureus in an agar inhibition assay. Gamma sterilization and alcohol disinfection did not alter the effect. In a tissue cage mouse model, silver coating of TiAlNb cages prevented perioperative infections in an inoculum-dependent manner and led to a 100% prevention rate after challenge with 2 × 10 6 CFU of S. epidermidis per cage. In S. aureus infections, silver coating had only limited effect. Similarly, daptomycin or vancomycin prophylaxis alone did not prevent S. aureus infections. However, silver coating combined with daptomycin or vancomycin prophylaxis thwarted methicillin-resistant S. aureus infections at a prevention rate of 100% or 33%, respectively. Moreover, silver release from the surface was independent of infection and occurred rapidly after implantation. On day 2, a peak of 82 μg Ag/ml was reached in the cage fluid, corresponding to almost 6× the MIC of the staphylococci. Cytotoxicity toward leukocytes in the cage was low and temporary. Surrounding tissue did not reveal histological signs of silver toxicity. In vitro , no emergence of silver resistance was observed in several clinical strains of staphylococci upon serial subinhibitory silver exposures. In conclusion, our data demonstrate that silver-coated TiAlNb is potent for prevention of IAIs and thus can be considered for clinical application.","author":[{"dropping-particle":"","family":"Kuehl","given":"Richard","non-dropping-particle":"","parse-names":false,"suffix":""},{"dropping-particle":"","family":"Brunetto","given":"Priscilla S.","non-dropping-particle":"","parse-names":false,"suffix":""},{"dropping-particle":"","family":"Woischnig","given":"Anne Kathrin","non-dropping-particle":"","parse-names":false,"suffix":""},{"dropping-particle":"","family":"Varisco","given":"Massimo","non-dropping-particle":"","parse-names":false,"suffix":""},{"dropping-particle":"","family":"Rajacic","given":"Zarko","non-dropping-particle":"","parse-names":false,"suffix":""},{"dropping-particle":"","family":"Vosbeck","given":"Juerg","non-dropping-particle":"","parse-names":false,"suffix":""},{"dropping-particle":"","family":"Terracciano","given":"Luigi","non-dropping-particle":"","parse-names":false,"suffix":""},{"dropping-particle":"","family":"Fromm","given":"Katharina M.","non-dropping-particle":"","parse-names":false,"suffix":""},{"dropping-particle":"","family":"Khanna","given":"Nina","non-dropping-particle":"","parse-names":false,"suffix":""}],"container-title":"Antimicrobial Agents and Chemotherapy","id":"ITEM-1","issue":"4","issued":{"date-parts":[["2016"]]},"page":"2467-2475","title":"Preventing Implant-Associated infections by silver coating","type":"article-journal","volume":"60"},"uris":["http://www.mendeley.com/documents/?uuid=39120557-5e29-4f7f-b379-5c2ff39fbc34"]}],"mendeley":{"formattedCitation":"&lt;sup&gt;15&lt;/sup&gt;","plainTextFormattedCitation":"15","previouslyFormattedCitation":"&lt;sup&gt;15&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15</w:t>
      </w:r>
      <w:r w:rsidRPr="00BC59F2">
        <w:rPr>
          <w:rFonts w:cs="Arial"/>
        </w:rPr>
        <w:fldChar w:fldCharType="end"/>
      </w:r>
      <w:r w:rsidR="00B03BB7" w:rsidRPr="00BC59F2">
        <w:rPr>
          <w:rFonts w:cs="Arial"/>
        </w:rPr>
        <w:t>.</w:t>
      </w:r>
      <w:r w:rsidRPr="00BC59F2">
        <w:rPr>
          <w:rFonts w:cs="Arial"/>
        </w:rPr>
        <w:t xml:space="preserve"> Consistent with </w:t>
      </w:r>
      <w:r w:rsidR="007F2B2A" w:rsidRPr="00BC59F2">
        <w:rPr>
          <w:rFonts w:cs="Arial"/>
        </w:rPr>
        <w:t xml:space="preserve">those </w:t>
      </w:r>
      <w:r w:rsidRPr="00BC59F2">
        <w:rPr>
          <w:rFonts w:cs="Arial"/>
        </w:rPr>
        <w:t>data, we also found a rapid elevation in silver concentration at the implantation site, additionally correlating this to the concomitant rise in plasma concentrations and a large decline of implant</w:t>
      </w:r>
      <w:r w:rsidR="007F2B2A" w:rsidRPr="00BC59F2">
        <w:rPr>
          <w:rFonts w:cs="Arial"/>
        </w:rPr>
        <w:t>-</w:t>
      </w:r>
      <w:r w:rsidRPr="00BC59F2">
        <w:rPr>
          <w:rFonts w:cs="Arial"/>
        </w:rPr>
        <w:t>associated Ag</w:t>
      </w:r>
      <w:r w:rsidRPr="00BC59F2">
        <w:rPr>
          <w:rFonts w:cs="Arial"/>
          <w:vertAlign w:val="superscript"/>
        </w:rPr>
        <w:t>+</w:t>
      </w:r>
      <w:r w:rsidRPr="00BC59F2">
        <w:rPr>
          <w:rFonts w:cs="Arial"/>
        </w:rPr>
        <w:t>. Importantly, this was mapped during the initial period following implantation and allowed calculation of the maximal Ag</w:t>
      </w:r>
      <w:r w:rsidRPr="00BC59F2">
        <w:rPr>
          <w:rFonts w:cs="Arial"/>
          <w:vertAlign w:val="superscript"/>
        </w:rPr>
        <w:t>+</w:t>
      </w:r>
      <w:r w:rsidRPr="00BC59F2">
        <w:rPr>
          <w:rFonts w:cs="Arial"/>
        </w:rPr>
        <w:t xml:space="preserve"> burst release within the free canal space</w:t>
      </w:r>
      <w:r w:rsidR="00765BB4" w:rsidRPr="00BC59F2">
        <w:rPr>
          <w:rFonts w:cs="Arial"/>
        </w:rPr>
        <w:t>,</w:t>
      </w:r>
      <w:r w:rsidRPr="00BC59F2">
        <w:rPr>
          <w:rFonts w:cs="Arial"/>
        </w:rPr>
        <w:t xml:space="preserve"> </w:t>
      </w:r>
      <w:r w:rsidR="007F2B2A" w:rsidRPr="00BC59F2">
        <w:rPr>
          <w:rFonts w:cs="Arial"/>
        </w:rPr>
        <w:t>which was applied in our</w:t>
      </w:r>
      <w:r w:rsidRPr="00BC59F2">
        <w:rPr>
          <w:rFonts w:cs="Arial"/>
        </w:rPr>
        <w:t xml:space="preserve"> </w:t>
      </w:r>
      <w:r w:rsidRPr="00BC59F2">
        <w:rPr>
          <w:rFonts w:cs="Arial"/>
          <w:i/>
        </w:rPr>
        <w:t>in vitro</w:t>
      </w:r>
      <w:r w:rsidRPr="00BC59F2">
        <w:rPr>
          <w:rFonts w:cs="Arial"/>
        </w:rPr>
        <w:t xml:space="preserve"> investigation. While the elution of </w:t>
      </w:r>
      <w:r w:rsidR="00AD1651" w:rsidRPr="00BC59F2">
        <w:rPr>
          <w:rFonts w:cs="Arial"/>
        </w:rPr>
        <w:t>some pharmaceuticals has</w:t>
      </w:r>
      <w:r w:rsidRPr="00BC59F2">
        <w:rPr>
          <w:rFonts w:cs="Arial"/>
        </w:rPr>
        <w:t xml:space="preserve"> been assessed in this way, to our knowledge, the determination of silver elution from such an implant location has not previously been described</w:t>
      </w:r>
      <w:r w:rsidR="00B03BB7" w:rsidRPr="00BC59F2">
        <w:rPr>
          <w:rFonts w:cs="Arial"/>
        </w:rPr>
        <w:t xml:space="preserve"> </w:t>
      </w:r>
      <w:r w:rsidR="00B03BB7" w:rsidRPr="00BC59F2">
        <w:rPr>
          <w:rFonts w:cs="Arial"/>
        </w:rPr>
        <w:fldChar w:fldCharType="begin" w:fldLock="1"/>
      </w:r>
      <w:r w:rsidR="00C5479F" w:rsidRPr="00BC59F2">
        <w:rPr>
          <w:rFonts w:cs="Arial"/>
        </w:rPr>
        <w:instrText>ADDIN CSL_CITATION {"citationItems":[{"id":"ITEM-1","itemData":{"abstract":"This study investigated the elution characteristics of tobramycin from polycaprolactone, a bioabsorbable polymer, in a rabbit model. Sixty rabbits were divided into two groups. Group 1 had polycaprolactone rods impregnated with 6% tobramycin surgically implanted into the proximal femoral intramedullary canal. Group 2 received polymethylmethacrylate rods of like size, shape, and antibiotic concentration. Serum and urine samples were obtained, and tobramycin levels were determined via fluorescent immunosorbent assay. Rabbits were sacrificed as long as 56 days after surgery. Local bone tobramycin concentration was determined using the agar diffusion method. Polycaprolactone delivered a significantly higher peak bone concentration of tobramycin (22.4 [mu]g/mL) than did polymethylmethacrylate (13.59 [mu]g/mL). Polycaprolactone also had a more gradual decrease in local tobramycin concentration than did polymethylmethacrylate. Neither polycaprolactone nor polymethylmethacrylate yielded consistently detectable (&gt; 0.1 [mu]g/mL) serum tobramycin levels. Urine concentrations mirrored those seen in bone, with polycaprolactone achieving significantly higher tobramycin concentrations than did polymethylmethacrylate. Polycaprolactone had superior elution characteristics compared with polymethylmethacrylate in this lapine model, suggesting that polycaprolactone might be a promising local antibiotic delivery vehicle for the treatment of osteomyelitis.\n(C) 2001 Lippincott Williams &amp; Wilkins, Inc.","author":[{"dropping-particle":"","family":"Hendricks","given":"Kelly J","non-dropping-particle":"","parse-names":false,"suffix":""},{"dropping-particle":"","family":"Lane","given":"David","non-dropping-particle":"","parse-names":false,"suffix":""},{"dropping-particle":"","family":"Burd","given":"Tim A","non-dropping-particle":"","parse-names":false,"suffix":""},{"dropping-particle":"","family":"Lowry","given":"Kent J","non-dropping-particle":"","parse-names":false,"suffix":""},{"dropping-particle":"","family":"Day","given":"Delbert","non-dropping-particle":"","parse-names":false,"suffix":""},{"dropping-particle":"","family":"Phaup","given":"J Glenn","non-dropping-particle":"","parse-names":false,"suffix":""},{"dropping-particle":"","family":"Anglen","given":"Jeffrey O","non-dropping-particle":"","parse-names":false,"suffix":""}],"container-title":"Clinical Orthopaedics and Related Research (1976-2007)","id":"ITEM-1","issued":{"date-parts":[["2001"]]},"title":"Elution Characteristics of Tobramycin From Polycaprolactone in a Rabbit Model.","type":"article-journal","volume":"392"},"uris":["http://www.mendeley.com/documents/?uuid=1e34a3e9-b599-42eb-add9-90d4ab0a0b4e"]}],"mendeley":{"formattedCitation":"&lt;sup&gt;34&lt;/sup&gt;","plainTextFormattedCitation":"34","previouslyFormattedCitation":"&lt;sup&gt;34&lt;/sup&gt;"},"properties":{"noteIndex":0},"schema":"https://github.com/citation-style-language/schema/raw/master/csl-citation.json"}</w:instrText>
      </w:r>
      <w:r w:rsidR="00B03BB7" w:rsidRPr="00BC59F2">
        <w:rPr>
          <w:rFonts w:cs="Arial"/>
        </w:rPr>
        <w:fldChar w:fldCharType="separate"/>
      </w:r>
      <w:r w:rsidR="00E37F00" w:rsidRPr="00BC59F2">
        <w:rPr>
          <w:rFonts w:cs="Arial"/>
          <w:noProof/>
          <w:vertAlign w:val="superscript"/>
        </w:rPr>
        <w:t>34</w:t>
      </w:r>
      <w:r w:rsidR="00B03BB7" w:rsidRPr="00BC59F2">
        <w:rPr>
          <w:rFonts w:cs="Arial"/>
        </w:rPr>
        <w:fldChar w:fldCharType="end"/>
      </w:r>
      <w:r w:rsidRPr="00BC59F2">
        <w:rPr>
          <w:rFonts w:cs="Arial"/>
        </w:rPr>
        <w:t>.</w:t>
      </w:r>
      <w:r w:rsidR="00AD1651" w:rsidRPr="00BC59F2">
        <w:rPr>
          <w:rFonts w:cs="Arial"/>
        </w:rPr>
        <w:t xml:space="preserve"> Importantly, the</w:t>
      </w:r>
      <w:r w:rsidR="002737F6" w:rsidRPr="00BC59F2">
        <w:rPr>
          <w:rFonts w:cs="Arial"/>
        </w:rPr>
        <w:t xml:space="preserve"> same implants proved capable of reducing </w:t>
      </w:r>
      <w:r w:rsidR="002737F6" w:rsidRPr="00BC59F2">
        <w:rPr>
          <w:rFonts w:cs="Arial"/>
          <w:i/>
        </w:rPr>
        <w:t>in vitro</w:t>
      </w:r>
      <w:r w:rsidR="002737F6" w:rsidRPr="00BC59F2">
        <w:rPr>
          <w:rFonts w:cs="Arial"/>
        </w:rPr>
        <w:t xml:space="preserve"> colonisation by </w:t>
      </w:r>
      <w:r w:rsidR="002737F6" w:rsidRPr="00BC59F2">
        <w:rPr>
          <w:rFonts w:cs="Arial"/>
          <w:i/>
        </w:rPr>
        <w:t>S. aureus</w:t>
      </w:r>
      <w:r w:rsidR="00AD1651" w:rsidRPr="00BC59F2">
        <w:rPr>
          <w:rFonts w:cs="Arial"/>
        </w:rPr>
        <w:t xml:space="preserve"> over a</w:t>
      </w:r>
      <w:r w:rsidR="002737F6" w:rsidRPr="00BC59F2">
        <w:rPr>
          <w:rFonts w:cs="Arial"/>
        </w:rPr>
        <w:t xml:space="preserve"> 14 day period</w:t>
      </w:r>
      <w:r w:rsidR="00E37F00" w:rsidRPr="00BC59F2">
        <w:rPr>
          <w:rFonts w:cs="Arial"/>
        </w:rPr>
        <w:t>, a pathogen commonly the cause of implant related infection</w:t>
      </w:r>
      <w:r w:rsidR="002737F6" w:rsidRPr="00BC59F2">
        <w:rPr>
          <w:rFonts w:cs="Arial"/>
        </w:rPr>
        <w:t>.</w:t>
      </w:r>
      <w:r w:rsidR="00E37F00" w:rsidRPr="00BC59F2">
        <w:rPr>
          <w:rFonts w:cs="Arial"/>
        </w:rPr>
        <w:fldChar w:fldCharType="begin" w:fldLock="1"/>
      </w:r>
      <w:r w:rsidR="00E37F00" w:rsidRPr="00BC59F2">
        <w:rPr>
          <w:rFonts w:cs="Arial"/>
        </w:rPr>
        <w:instrText>ADDIN CSL_CITATION {"citationItems":[{"id":"ITEM-1","itemData":{"DOI":"10.1016/j.injury.2006.04.010","ISSN":"0020-1383","PMID":"16651073","abstract":"The pathogenesis of infections associated with fracture-fixation devices is related to microorganisms growing in biofilms, which render these infections difficult to treat. These infections are classified as early (&lt;2 weeks), delayed (2-10 weeks) or late infections (&gt;10 weeks) according to the implant surgery. Most infections are caused by staphylococci and are acquired during trauma (in penetrating injuries) or subsequent fracture-fixation procedures. A combination of clinical, laboratory, histopathology, microbiology, and imaging studies are usually needed to accurately diagnose infection. Magnetic resonance imaging (MRI) and computed tomography (CT) scans are often used to diagnose infection and plan surgical treatment. Positron emission tomography (PET) and PET-CT are promising new tools for diagnosing implant-associated osteomyelitis. The treatment goal is achieving bone consolidation and avoiding development of chronic osteomyelitis. Successful treatment requires adequate surgical procedures combined with 6-12 weeks of antimicrobial therapy acting on adhering stationary-phase microorganisms. In chronic osteomyelitis, orthopedic and plastic- reconstructive surgery is combined in the same procedure or within a short time span. In this article, pathogenesis, classification, diagnosis, and treatment of infections associated with intramedullary nails, external-fixation pins, plates, and screws are reviewed.","author":[{"dropping-particle":"","family":"Trampuz","given":"Andrej","non-dropping-particle":"","parse-names":false,"suffix":""},{"dropping-particle":"","family":"Zimmerli","given":"Werner","non-dropping-particle":"","parse-names":false,"suffix":""}],"container-title":"Injury","id":"ITEM-1","issued":{"date-parts":[["2006"]]},"page":"S59-66","title":"Diagnosis and treatment of infections associated with fracture-fixation devices.","type":"article-journal","volume":"37 Suppl 2"},"uris":["http://www.mendeley.com/documents/?uuid=55394447-0d4e-4adf-aa56-71a64b42b7b6"]}],"mendeley":{"formattedCitation":"&lt;sup&gt;3&lt;/sup&gt;","plainTextFormattedCitation":"3","previouslyFormattedCitation":"&lt;sup&gt;3&lt;/sup&gt;"},"properties":{"noteIndex":0},"schema":"https://github.com/citation-style-language/schema/raw/master/csl-citation.json"}</w:instrText>
      </w:r>
      <w:r w:rsidR="00E37F00" w:rsidRPr="00BC59F2">
        <w:rPr>
          <w:rFonts w:cs="Arial"/>
        </w:rPr>
        <w:fldChar w:fldCharType="separate"/>
      </w:r>
      <w:r w:rsidR="00E37F00" w:rsidRPr="00BC59F2">
        <w:rPr>
          <w:rFonts w:cs="Arial"/>
          <w:noProof/>
          <w:vertAlign w:val="superscript"/>
        </w:rPr>
        <w:t>3</w:t>
      </w:r>
      <w:r w:rsidR="00E37F00" w:rsidRPr="00BC59F2">
        <w:rPr>
          <w:rFonts w:cs="Arial"/>
        </w:rPr>
        <w:fldChar w:fldCharType="end"/>
      </w:r>
    </w:p>
    <w:p w14:paraId="1AAD2CB3" w14:textId="58CE9228" w:rsidR="00E46428" w:rsidRPr="00BC59F2" w:rsidRDefault="00860F90" w:rsidP="00476FA4">
      <w:pPr>
        <w:spacing w:after="240" w:line="276" w:lineRule="auto"/>
        <w:contextualSpacing/>
        <w:jc w:val="left"/>
        <w:rPr>
          <w:rFonts w:cs="Arial"/>
        </w:rPr>
      </w:pPr>
      <w:r w:rsidRPr="00BC59F2">
        <w:rPr>
          <w:rFonts w:cs="Arial"/>
        </w:rPr>
        <w:t>MSCs</w:t>
      </w:r>
      <w:r w:rsidR="00E46428" w:rsidRPr="00BC59F2">
        <w:rPr>
          <w:rFonts w:cs="Arial"/>
        </w:rPr>
        <w:t xml:space="preserve"> </w:t>
      </w:r>
      <w:r w:rsidR="009D16E9" w:rsidRPr="00BC59F2">
        <w:rPr>
          <w:rFonts w:cs="Arial"/>
        </w:rPr>
        <w:t>account for &lt;0.01</w:t>
      </w:r>
      <w:r w:rsidR="00FB186E" w:rsidRPr="00BC59F2">
        <w:rPr>
          <w:rFonts w:cs="Arial"/>
        </w:rPr>
        <w:t xml:space="preserve"> </w:t>
      </w:r>
      <w:r w:rsidR="001C331A" w:rsidRPr="00BC59F2">
        <w:rPr>
          <w:rFonts w:cs="Arial"/>
        </w:rPr>
        <w:t>% of the</w:t>
      </w:r>
      <w:r w:rsidR="00B53A0A" w:rsidRPr="00BC59F2">
        <w:rPr>
          <w:rFonts w:cs="Arial"/>
        </w:rPr>
        <w:t xml:space="preserve"> cells </w:t>
      </w:r>
      <w:r w:rsidR="001C331A" w:rsidRPr="00BC59F2">
        <w:rPr>
          <w:rFonts w:cs="Arial"/>
        </w:rPr>
        <w:t xml:space="preserve">isolated from </w:t>
      </w:r>
      <w:r w:rsidR="00E46428" w:rsidRPr="00BC59F2">
        <w:rPr>
          <w:rFonts w:cs="Arial"/>
        </w:rPr>
        <w:t>the bone marrow</w:t>
      </w:r>
      <w:r w:rsidR="00B53A0A" w:rsidRPr="00BC59F2">
        <w:rPr>
          <w:rFonts w:cs="Arial"/>
        </w:rPr>
        <w:t>,</w:t>
      </w:r>
      <w:r w:rsidR="00FB186E" w:rsidRPr="00BC59F2">
        <w:rPr>
          <w:rFonts w:cs="Arial"/>
        </w:rPr>
        <w:t xml:space="preserve"> </w:t>
      </w:r>
      <w:r w:rsidR="00E46428" w:rsidRPr="00BC59F2">
        <w:rPr>
          <w:rFonts w:cs="Arial"/>
        </w:rPr>
        <w:t>therefore the capacity to proliferate from a low density population provides the niche with a rapid source of progenitors required for skeletal remodelling and repair</w:t>
      </w:r>
      <w:r w:rsidR="00B03BB7" w:rsidRPr="00BC59F2">
        <w:rPr>
          <w:rFonts w:cs="Arial"/>
        </w:rPr>
        <w:t xml:space="preserve"> </w:t>
      </w:r>
      <w:r w:rsidR="00B03BB7" w:rsidRPr="00BC59F2">
        <w:rPr>
          <w:rFonts w:cs="Arial"/>
        </w:rPr>
        <w:fldChar w:fldCharType="begin" w:fldLock="1"/>
      </w:r>
      <w:r w:rsidR="00C5479F" w:rsidRPr="00BC59F2">
        <w:rPr>
          <w:rFonts w:cs="Arial"/>
        </w:rPr>
        <w:instrText>ADDIN CSL_CITATION {"citationItems":[{"id":"ITEM-1","itemData":{"DOI":"10.1126/science.284.5411.143","ISBN":"10.1126/science.284.5411.143","ISSN":"00368075","PMID":"10102814","abstract":"Human mesenchymal stem cells are thought to be multipotent cells, which are present in adult marrow, that can replicate as undifferentiated cells and that have the potential to differentiate to lineages of mesenchymal tissues, including bone, cartilage, fat, tendon, muscle, and marrow stroma. Cells that have the characteristics of human mesenchymal stem cells were isolated from marrow aspirates of volunteer donors. These cells displayed a stable phenotype and remained as a monolayer in vitro. These adult stem cells could be induced to differentiate exclusively into the adipocytic, chondrocytic, or osteocytic lineages. Individual stem cells were identified that, when expanded to colonies, retained their multilineage potential.","author":[{"dropping-particle":"","family":"Pittenger","given":"M. F.","non-dropping-particle":"","parse-names":false,"suffix":""}],"container-title":"Science","id":"ITEM-1","issue":"5411","issued":{"date-parts":[["1999"]]},"page":"143-147","title":"Multilineage Potential of Adult Human Mesenchymal Stem Cells","type":"article-journal","volume":"284"},"uris":["http://www.mendeley.com/documents/?uuid=a95b06a7-e46c-4ae3-9d07-49d98468f396"]}],"mendeley":{"formattedCitation":"&lt;sup&gt;35&lt;/sup&gt;","plainTextFormattedCitation":"35","previouslyFormattedCitation":"&lt;sup&gt;35&lt;/sup&gt;"},"properties":{"noteIndex":0},"schema":"https://github.com/citation-style-language/schema/raw/master/csl-citation.json"}</w:instrText>
      </w:r>
      <w:r w:rsidR="00B03BB7" w:rsidRPr="00BC59F2">
        <w:rPr>
          <w:rFonts w:cs="Arial"/>
        </w:rPr>
        <w:fldChar w:fldCharType="separate"/>
      </w:r>
      <w:r w:rsidR="00E37F00" w:rsidRPr="00BC59F2">
        <w:rPr>
          <w:rFonts w:cs="Arial"/>
          <w:noProof/>
          <w:vertAlign w:val="superscript"/>
        </w:rPr>
        <w:t>35</w:t>
      </w:r>
      <w:r w:rsidR="00B03BB7" w:rsidRPr="00BC59F2">
        <w:rPr>
          <w:rFonts w:cs="Arial"/>
        </w:rPr>
        <w:fldChar w:fldCharType="end"/>
      </w:r>
      <w:r w:rsidR="00E46428" w:rsidRPr="00BC59F2">
        <w:rPr>
          <w:rFonts w:cs="Arial"/>
        </w:rPr>
        <w:t xml:space="preserve">. </w:t>
      </w:r>
      <w:r w:rsidR="003643CE" w:rsidRPr="00BC59F2">
        <w:rPr>
          <w:rFonts w:cs="Arial"/>
        </w:rPr>
        <w:t>T</w:t>
      </w:r>
      <w:r w:rsidR="00E46428" w:rsidRPr="00BC59F2">
        <w:rPr>
          <w:rFonts w:cs="Arial"/>
        </w:rPr>
        <w:t xml:space="preserve">he maintenance of a viable population of </w:t>
      </w:r>
      <w:r w:rsidR="003643CE" w:rsidRPr="00BC59F2">
        <w:rPr>
          <w:rFonts w:cs="Arial"/>
        </w:rPr>
        <w:t xml:space="preserve">colony-forming </w:t>
      </w:r>
      <w:r w:rsidR="00E46428" w:rsidRPr="00BC59F2">
        <w:rPr>
          <w:rFonts w:cs="Arial"/>
        </w:rPr>
        <w:t xml:space="preserve">stromal cells is of paramount importance, </w:t>
      </w:r>
      <w:r w:rsidR="003643CE" w:rsidRPr="00BC59F2">
        <w:rPr>
          <w:rFonts w:cs="Arial"/>
        </w:rPr>
        <w:t>and the CFU-f</w:t>
      </w:r>
      <w:r w:rsidR="00E46428" w:rsidRPr="00BC59F2">
        <w:rPr>
          <w:rFonts w:cs="Arial"/>
        </w:rPr>
        <w:t xml:space="preserve"> assay </w:t>
      </w:r>
      <w:r w:rsidR="003643CE" w:rsidRPr="00BC59F2">
        <w:rPr>
          <w:rFonts w:cs="Arial"/>
        </w:rPr>
        <w:t>can be used as an</w:t>
      </w:r>
      <w:r w:rsidR="00E46428" w:rsidRPr="00BC59F2">
        <w:rPr>
          <w:rFonts w:cs="Arial"/>
        </w:rPr>
        <w:t xml:space="preserve"> </w:t>
      </w:r>
      <w:r w:rsidR="00E46428" w:rsidRPr="00BC59F2">
        <w:rPr>
          <w:rFonts w:cs="Arial"/>
          <w:i/>
        </w:rPr>
        <w:t>in</w:t>
      </w:r>
      <w:r w:rsidR="00E46428" w:rsidRPr="00BC59F2">
        <w:rPr>
          <w:rFonts w:cs="Arial"/>
        </w:rPr>
        <w:t xml:space="preserve"> </w:t>
      </w:r>
      <w:r w:rsidR="00E46428" w:rsidRPr="00BC59F2">
        <w:rPr>
          <w:rFonts w:cs="Arial"/>
          <w:i/>
        </w:rPr>
        <w:t>vitro</w:t>
      </w:r>
      <w:r w:rsidR="00E46428" w:rsidRPr="00BC59F2">
        <w:rPr>
          <w:rFonts w:cs="Arial"/>
        </w:rPr>
        <w:t xml:space="preserve"> assessment of this ability</w:t>
      </w:r>
      <w:r w:rsidR="00B03BB7" w:rsidRPr="00BC59F2">
        <w:rPr>
          <w:rFonts w:cs="Arial"/>
        </w:rPr>
        <w:t xml:space="preserve"> </w:t>
      </w:r>
      <w:r w:rsidR="00E46428" w:rsidRPr="00BC59F2">
        <w:rPr>
          <w:rFonts w:cs="Arial"/>
        </w:rPr>
        <w:fldChar w:fldCharType="begin" w:fldLock="1"/>
      </w:r>
      <w:r w:rsidR="00C5479F" w:rsidRPr="00BC59F2">
        <w:rPr>
          <w:rFonts w:cs="Arial"/>
        </w:rPr>
        <w:instrText xml:space="preserve">ADDIN CSL_CITATION {"citationItems":[{"id":"ITEM-1","itemData":{"author":[{"dropping-particle":"","family":"Castro-Malaspina","given":"Hugo","non-dropping-particle":"","parse-names":false,"suffix":""},{"dropping-particle":"","family":"Gay","given":"Renate E","non-dropping-particle":"","parse-names":false,"suffix":""},{"dropping-particle":"","family":"Resnick","given":"Gene","non-dropping-particle":"","parse-names":false,"suffix":""},{"dropping-particle":"","family":"Kapoor","given":"Nenna","non-dropping-particle":"","parse-names":false,"suffix":""},{"dropping-particle":"","family":"Meyers","given":"Paul","non-dropping-particle":"","parse-names":false,"suffix":""},{"dropping-particle":"","family":"Chiarieri","given":"Dominick","non-dropping-particle":"","parse-names":false,"suffix":""},{"dropping-particle":"","family":"McKenzie","given":"Susan","non-dropping-particle":"","parse-names":false,"suffix":""},{"dropping-particle":"","family":"Broxmeyer","given":"Hal E","non-dropping-particle":"","parse-names":false,"suffix":""},{"dropping-particle":"","family":"Moore","given":"Malcolm A S","non-dropping-particle":"","parse-names":false,"suffix":""},{"dropping-particle":"","family":"Moore","given":"A S","non-dropping-particle":"","parse-names":false,"suffix":""}],"container-title":"Blood","id":"ITEM-1","issue":"2","issued":{"date-parts":[["1980"]]},"page":"289-301","title":"Characterization of human bone marrow fibroblast colony-forming cells (CFU-F) and their progeny","type":"article-journal","volume":"56"},"uris":["http://www.mendeley.com/documents/?uuid=e42deddd-cb75-4655-87e1-8b4bc036c793"]},{"id":"ITEM-2","itemData":{"DOI":"10.1016/S0076-6879(06)19006-0","ISBN":"0076-6879","ISSN":"00766879","PMID":"17141054","abstract":"Postnatal skeletal stem cells are a subpopulation of the bone marrow stromal cell network. To date, the most straightforward way of assessing the activity of skeletal stem cells within the bone marrow stromal cell (BMSC) population is via analysis of the rapidly adherent, colony-forming unit-fibroblast (CFU-F), and their progeny, BMSCs. Several in vitro methods are employed to determine the differentiation capacity of BMSCs, using osteogenic and adipogenic \"cocktails\" and staining protocols, and pellet cell culture for chondrogenic differentiation. However, true differentiation potential is best determined by in vivo transplantation in either closed or open systems. By in vivo transplantation, </w:instrText>
      </w:r>
      <w:r w:rsidR="00C5479F" w:rsidRPr="00BC59F2">
        <w:rPr>
          <w:rFonts w:ascii="Cambria" w:hAnsi="Cambria" w:cs="Cambria"/>
        </w:rPr>
        <w:instrText>∼</w:instrText>
      </w:r>
      <w:r w:rsidR="00C5479F" w:rsidRPr="00BC59F2">
        <w:rPr>
          <w:rFonts w:cs="Arial"/>
        </w:rPr>
        <w:instrText>10% of the clonal strains are able to form bone, stroma, and marrow adipocytes, and are true skeletal stem cells. Furthermore, when derived from patients or animal models with abnormalities in gene expression, they recapitulate the disease phenotype on in vivo transplantation. Although ex vivo expansion of BMSCs inevitably dilutes the skeletal stem cells, when used en masse, they are attractive candidates for reconstruction of segmental bone defects, and as targets for gene therapy. © 2006 Elsevier Inc. All rights reserved.","author":[{"dropping-particle":"","family":"Bianco","given":"Paolo","non-dropping-particle":"","parse-names":false,"suffix":""},{"dropping-particle":"","family":"Kuznetsov","given":"Sergei A.","non-dropping-particle":"","parse-names":false,"suffix":""},{"dropping-particle":"","family":"Riminucci","given":"Mara","non-dropping-particle":"","parse-names":false,"suffix":""},{"dropping-particle":"","family":"Gehron Robey","given":"Pamela","non-dropping-particle":"","parse-names":false,"suffix":""}],"container-title":"Methods in Enzymology","id":"ITEM-2","issued":{"date-parts":[["2006"]]},"page":"117-148","title":"Postnatal Skeletal Stem Cells","type":"article-journal","volume":"419"},"uris":["http://www.mendeley.com/documents/?uuid=3737a6ca-bce8-45a1-9610-ed9dd5d45361"]}],"mendeley":{"formattedCitation":"&lt;sup&gt;36,37&lt;/sup&gt;","plainTextFormattedCitation":"36,37","previouslyFormattedCitation":"&lt;sup&gt;36,37&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36,37</w:t>
      </w:r>
      <w:r w:rsidR="00E46428" w:rsidRPr="00BC59F2">
        <w:rPr>
          <w:rFonts w:cs="Arial"/>
        </w:rPr>
        <w:fldChar w:fldCharType="end"/>
      </w:r>
      <w:r w:rsidR="00B03BB7" w:rsidRPr="00BC59F2">
        <w:rPr>
          <w:rFonts w:cs="Arial"/>
        </w:rPr>
        <w:t>.</w:t>
      </w:r>
      <w:r w:rsidR="00E46428" w:rsidRPr="00BC59F2">
        <w:rPr>
          <w:rFonts w:cs="Arial"/>
        </w:rPr>
        <w:t xml:space="preserve"> </w:t>
      </w:r>
      <w:r w:rsidR="00CA14BA" w:rsidRPr="00BC59F2">
        <w:rPr>
          <w:rFonts w:cs="Arial"/>
        </w:rPr>
        <w:t>Through</w:t>
      </w:r>
      <w:r w:rsidR="00E46428" w:rsidRPr="00BC59F2">
        <w:rPr>
          <w:rFonts w:cs="Arial"/>
        </w:rPr>
        <w:t xml:space="preserve"> this </w:t>
      </w:r>
      <w:r w:rsidR="00864ED9" w:rsidRPr="00BC59F2">
        <w:rPr>
          <w:rFonts w:cs="Arial"/>
        </w:rPr>
        <w:t xml:space="preserve">assay </w:t>
      </w:r>
      <w:r w:rsidR="00CA14BA" w:rsidRPr="00BC59F2">
        <w:rPr>
          <w:rFonts w:cs="Arial"/>
        </w:rPr>
        <w:t>we</w:t>
      </w:r>
      <w:r w:rsidR="00E46428" w:rsidRPr="00BC59F2">
        <w:rPr>
          <w:rFonts w:cs="Arial"/>
        </w:rPr>
        <w:t xml:space="preserve"> reveal</w:t>
      </w:r>
      <w:r w:rsidR="00CA14BA" w:rsidRPr="00BC59F2">
        <w:rPr>
          <w:rFonts w:cs="Arial"/>
        </w:rPr>
        <w:t>ed a</w:t>
      </w:r>
      <w:r w:rsidR="00E46428" w:rsidRPr="00BC59F2">
        <w:rPr>
          <w:rFonts w:cs="Arial"/>
        </w:rPr>
        <w:t xml:space="preserve"> reduction of MSC </w:t>
      </w:r>
      <w:r w:rsidR="00CF39C2" w:rsidRPr="00BC59F2">
        <w:rPr>
          <w:rFonts w:cs="Arial"/>
        </w:rPr>
        <w:t>colony-forming capacity</w:t>
      </w:r>
      <w:r w:rsidR="00E46428" w:rsidRPr="00BC59F2">
        <w:rPr>
          <w:rFonts w:cs="Arial"/>
        </w:rPr>
        <w:t xml:space="preserve"> in the presence of sub-toxic Ag</w:t>
      </w:r>
      <w:r w:rsidR="00E46428" w:rsidRPr="00BC59F2">
        <w:rPr>
          <w:rFonts w:cs="Arial"/>
          <w:vertAlign w:val="superscript"/>
        </w:rPr>
        <w:t>+</w:t>
      </w:r>
      <w:r w:rsidR="00E46428" w:rsidRPr="00BC59F2">
        <w:rPr>
          <w:rFonts w:cs="Arial"/>
        </w:rPr>
        <w:t xml:space="preserve"> </w:t>
      </w:r>
      <w:r w:rsidR="00CA14BA" w:rsidRPr="00BC59F2">
        <w:rPr>
          <w:rFonts w:cs="Arial"/>
        </w:rPr>
        <w:t xml:space="preserve">that </w:t>
      </w:r>
      <w:r w:rsidR="00E46428" w:rsidRPr="00BC59F2">
        <w:rPr>
          <w:rFonts w:cs="Arial"/>
        </w:rPr>
        <w:t xml:space="preserve">prompted the analysis of the mechanisms of tolerance employed by </w:t>
      </w:r>
      <w:r w:rsidR="00141260" w:rsidRPr="00BC59F2">
        <w:rPr>
          <w:rFonts w:cs="Arial"/>
        </w:rPr>
        <w:t xml:space="preserve">the </w:t>
      </w:r>
      <w:r w:rsidR="00E46428" w:rsidRPr="00BC59F2">
        <w:rPr>
          <w:rFonts w:cs="Arial"/>
        </w:rPr>
        <w:t xml:space="preserve">surviving colonies. ROS </w:t>
      </w:r>
      <w:r w:rsidR="00CA14BA" w:rsidRPr="00BC59F2">
        <w:rPr>
          <w:rFonts w:cs="Arial"/>
        </w:rPr>
        <w:t xml:space="preserve">production </w:t>
      </w:r>
      <w:r w:rsidR="00E46428" w:rsidRPr="00BC59F2">
        <w:rPr>
          <w:rFonts w:cs="Arial"/>
        </w:rPr>
        <w:t>following heavy metal ion exposure is</w:t>
      </w:r>
      <w:r w:rsidR="00CA14BA" w:rsidRPr="00BC59F2">
        <w:rPr>
          <w:rFonts w:cs="Arial"/>
        </w:rPr>
        <w:t xml:space="preserve"> regulated by</w:t>
      </w:r>
      <w:r w:rsidR="00E46428" w:rsidRPr="00BC59F2">
        <w:rPr>
          <w:rFonts w:cs="Arial"/>
        </w:rPr>
        <w:t xml:space="preserve"> superoxide dismutase (SOD) and catalase (CAT) in addition to several other antioxidant enzymes and their components, such as the predominant source of cellular thiol groups, glutathione</w:t>
      </w:r>
      <w:r w:rsidR="00B03BB7" w:rsidRPr="00BC59F2">
        <w:rPr>
          <w:rFonts w:cs="Arial"/>
        </w:rPr>
        <w:t xml:space="preserve"> </w:t>
      </w:r>
      <w:r w:rsidR="00E46428" w:rsidRPr="00BC59F2">
        <w:rPr>
          <w:rFonts w:cs="Arial"/>
        </w:rPr>
        <w:fldChar w:fldCharType="begin" w:fldLock="1"/>
      </w:r>
      <w:r w:rsidR="00C5479F" w:rsidRPr="00BC59F2">
        <w:rPr>
          <w:rFonts w:cs="Arial"/>
        </w:rPr>
        <w:instrText>ADDIN CSL_CITATION {"citationItems":[{"id":"ITEM-1","itemData":{"DOI":"10.1016/j.freeradbiomed.2005.09.023","ISBN":"0891-5849","ISSN":"08915849","PMID":"16337887","abstract":"Metal toxicity often includes the generation of reactive oxygen species (ROS) and subsequent oxidative stress, but whether metals have different effects on the major thiol antioxidant systems is unknown. Here, we examine the effects of arsenic, cadmium, cesium, copper, iron, mercury, nickel, and zinc on glutathione (GSH), cytoplasmic thioredoxin-1 (Trx1), and mitochondrial thioredoxin-2 (Trx2) redox states. GSH/GSSG redox states were determined by HPLC, and Trx1 and Trx2 redox states were determined by Redox Western blot methods. Copper, iron, and nickel showed significant oxidation of GSH but relatively little oxidation of either Trx1 or Trx2. Arsenic, cadmium, and mercury showed little oxidation of GSH but significantly oxidized both Trx1 and Trx2. The magnitude of effects of arsenic, cadmium, and mercury was greater for the mitochondrial Trx2 (&gt;60 mV) compared to the cytoplasmic Trx1 (20 to 40 mV). Apoptosis signal-regulating kinase 1 (ASK1) may be activated by two different pathways, one dependent upon GSH and glutaredoxin and the other independent of GSH and dependent upon thioredoxin. ASK1 activation and cell death were observed with metals that oxidized thioredoxins but not with metals that oxidized GSH. These findings show that metals have differential oxidative effects on the major thiol antioxidant systems and that activation of apoptosis may be associated with metal ions that oxidize thioredoxin and activate ASK1. The differential oxidation of the major thiol antioxidant systems by metal ions suggest that the distinct thiol/disulfide redox couples represented by GSH/GSSG and the thioredoxins may convey different levels of control in apoptotic and toxic signaling pathways. © 2005 Elsevier Inc. All rights reserved.","author":[{"dropping-particle":"","family":"Hansen","given":"Jason M.","non-dropping-particle":"","parse-names":false,"suffix":""},{"dropping-particle":"","family":"Zhang","given":"Hong","non-dropping-particle":"","parse-names":false,"suffix":""},{"dropping-particle":"","family":"Jones","given":"Dean P.","non-dropping-particle":"","parse-names":false,"suffix":""}],"container-title":"Free Radical Biology and Medicine","id":"ITEM-1","issue":"1","issued":{"date-parts":[["2006"]]},"page":"138-145","title":"Differential oxidation of thioredoxin-1, thioredoxin-2, and glutathione by metal ions","type":"article-journal","volume":"40"},"uris":["http://www.mendeley.com/documents/?uuid=9ad64805-3d5f-4d12-a412-489640477159"]}],"mendeley":{"formattedCitation":"&lt;sup&gt;38&lt;/sup&gt;","plainTextFormattedCitation":"38","previouslyFormattedCitation":"&lt;sup&gt;38&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38</w:t>
      </w:r>
      <w:r w:rsidR="00E46428" w:rsidRPr="00BC59F2">
        <w:rPr>
          <w:rFonts w:cs="Arial"/>
        </w:rPr>
        <w:fldChar w:fldCharType="end"/>
      </w:r>
      <w:r w:rsidR="00B03BB7" w:rsidRPr="00BC59F2">
        <w:rPr>
          <w:rFonts w:cs="Arial"/>
        </w:rPr>
        <w:t>.</w:t>
      </w:r>
      <w:r w:rsidR="00E46428" w:rsidRPr="00BC59F2">
        <w:rPr>
          <w:rFonts w:cs="Arial"/>
        </w:rPr>
        <w:t xml:space="preserve"> However, variations in oxidative stress protein synthesis between tissues </w:t>
      </w:r>
      <w:r w:rsidR="00CA14BA" w:rsidRPr="00BC59F2">
        <w:rPr>
          <w:rFonts w:cs="Arial"/>
        </w:rPr>
        <w:t xml:space="preserve">have been identified during </w:t>
      </w:r>
      <w:r w:rsidR="00E46428" w:rsidRPr="00BC59F2">
        <w:rPr>
          <w:rFonts w:cs="Arial"/>
          <w:i/>
        </w:rPr>
        <w:t>in vivo</w:t>
      </w:r>
      <w:r w:rsidR="00E46428" w:rsidRPr="00BC59F2">
        <w:rPr>
          <w:rFonts w:cs="Arial"/>
        </w:rPr>
        <w:t xml:space="preserve"> cadmium exposure</w:t>
      </w:r>
      <w:r w:rsidR="00B03BB7" w:rsidRPr="00BC59F2">
        <w:rPr>
          <w:rFonts w:cs="Arial"/>
        </w:rPr>
        <w:t xml:space="preserve"> </w:t>
      </w:r>
      <w:r w:rsidR="00E46428" w:rsidRPr="00BC59F2">
        <w:rPr>
          <w:rFonts w:cs="Arial"/>
        </w:rPr>
        <w:fldChar w:fldCharType="begin" w:fldLock="1"/>
      </w:r>
      <w:r w:rsidR="00C5479F" w:rsidRPr="00BC59F2">
        <w:rPr>
          <w:rFonts w:cs="Arial"/>
        </w:rPr>
        <w:instrText>ADDIN CSL_CITATION {"citationItems":[{"id":"ITEM-1","itemData":{"DOI":"10.1007/s10534-010-9329-x","ISBN":"0966-0844","ISSN":"09660844","PMID":"20361350","abstract":"At the cellular level, cadmium (Cd) induces both damaging and repair processes in which the cellular redox status plays a crucial role. Being not redox-active, Cd is unable to generate reactive oxygen species (ROS) directly, but Cd-induced oxidative stress is a common phenomenon observed in multiple studies. The current review gives an overview on Cd-induced ROS production and anti-oxidative defense in organisms under different Cd regimes. Moreover, the Cd-induced oxidative challenge is discussed with a focus on damage and signaling as downstream responses. Gathering these data, it was clear that oxidative stress related responses are affected during Cd stress, but the apparent discrepancies observed in between the different studies points towards the necessity to increase our knowledge on the spatial and temporal ROS signature under Cd stress. This information is essential in order to reveal the exact role of Cd-induced oxidative stress in the modulation of downstream responses under a diverse array of conditions.","author":[{"dropping-particle":"","family":"Cuypers","given":"Ann","non-dropping-particle":"","parse-names":false,"suffix":""},{"dropping-particle":"","family":"Plusquin","given":"Michelle","non-dropping-particle":"","parse-names":false,"suffix":""},{"dropping-particle":"","family":"Remans","given":"Tony","non-dropping-particle":"","parse-names":false,"suffix":""},{"dropping-particle":"","family":"Jozefczak","given":"Marijke","non-dropping-particle":"","parse-names":false,"suffix":""},{"dropping-particle":"","family":"Keunen","given":"Els","non-dropping-particle":"","parse-names":false,"suffix":""},{"dropping-particle":"","family":"Gielen","given":"Heidi","non-dropping-particle":"","parse-names":false,"suffix":""},{"dropping-particle":"","family":"Opdenakker","given":"Kelly","non-dropping-particle":"","parse-names":false,"suffix":""},{"dropping-particle":"","family":"Nair","given":"Ambily Ravindran","non-dropping-particle":"","parse-names":false,"suffix":""},{"dropping-particle":"","family":"Munters","given":"Elke","non-dropping-particle":"","parse-names":false,"suffix":""},{"dropping-particle":"","family":"Artois","given":"Tom J.","non-dropping-particle":"","parse-names":false,"suffix":""},{"dropping-particle":"","family":"Nawrot","given":"Tim","non-dropping-particle":"","parse-names":false,"suffix":""},{"dropping-particle":"","family":"Vangronsveld","given":"Jaco","non-dropping-particle":"","parse-names":false,"suffix":""},{"dropping-particle":"","family":"Smeets","given":"Karen","non-dropping-particle":"","parse-names":false,"suffix":""}],"container-title":"BioMetals","id":"ITEM-1","issue":"5","issued":{"date-parts":[["2010"]]},"page":"927-940","title":"Cadmium stress: An oxidative challenge","type":"article-journal","volume":"23"},"uris":["http://www.mendeley.com/documents/?uuid=b029d923-21f2-435e-ba09-58213f06650e"]}],"mendeley":{"formattedCitation":"&lt;sup&gt;39&lt;/sup&gt;","plainTextFormattedCitation":"39","previouslyFormattedCitation":"&lt;sup&gt;39&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39</w:t>
      </w:r>
      <w:r w:rsidR="00E46428" w:rsidRPr="00BC59F2">
        <w:rPr>
          <w:rFonts w:cs="Arial"/>
        </w:rPr>
        <w:fldChar w:fldCharType="end"/>
      </w:r>
      <w:r w:rsidR="00B03BB7" w:rsidRPr="00BC59F2">
        <w:rPr>
          <w:rFonts w:cs="Arial"/>
        </w:rPr>
        <w:t>.</w:t>
      </w:r>
      <w:r w:rsidR="00E46428" w:rsidRPr="00BC59F2">
        <w:rPr>
          <w:rFonts w:cs="Arial"/>
        </w:rPr>
        <w:t xml:space="preserve"> </w:t>
      </w:r>
      <w:r w:rsidR="00E46428" w:rsidRPr="00BC59F2">
        <w:rPr>
          <w:rFonts w:cs="Arial"/>
          <w:i/>
        </w:rPr>
        <w:t>In vitro</w:t>
      </w:r>
      <w:r w:rsidR="00E46428" w:rsidRPr="00BC59F2">
        <w:rPr>
          <w:rFonts w:cs="Arial"/>
        </w:rPr>
        <w:t xml:space="preserve"> molecular and protein profiling of these cellular mechanisms has ordinarily been perfor</w:t>
      </w:r>
      <w:r w:rsidR="00864ED9" w:rsidRPr="00BC59F2">
        <w:rPr>
          <w:rFonts w:cs="Arial"/>
        </w:rPr>
        <w:t>med after short term exposure using</w:t>
      </w:r>
      <w:r w:rsidR="00E46428" w:rsidRPr="00BC59F2">
        <w:rPr>
          <w:rFonts w:cs="Arial"/>
        </w:rPr>
        <w:t xml:space="preserve"> confluent cultures, while in</w:t>
      </w:r>
      <w:r w:rsidR="00864ED9" w:rsidRPr="00BC59F2">
        <w:rPr>
          <w:rFonts w:cs="Arial"/>
        </w:rPr>
        <w:t>vestigating specific proteins involved in</w:t>
      </w:r>
      <w:r w:rsidR="00E46428" w:rsidRPr="00BC59F2">
        <w:rPr>
          <w:rFonts w:cs="Arial"/>
        </w:rPr>
        <w:t xml:space="preserve"> oxidative stress management</w:t>
      </w:r>
      <w:r w:rsidR="00B03BB7" w:rsidRPr="00BC59F2">
        <w:rPr>
          <w:rFonts w:cs="Arial"/>
        </w:rPr>
        <w:t xml:space="preserve"> </w:t>
      </w:r>
      <w:r w:rsidR="00E46428" w:rsidRPr="00BC59F2">
        <w:rPr>
          <w:rFonts w:cs="Arial"/>
        </w:rPr>
        <w:fldChar w:fldCharType="begin" w:fldLock="1"/>
      </w:r>
      <w:r w:rsidR="00C5479F" w:rsidRPr="00BC59F2">
        <w:rPr>
          <w:rFonts w:cs="Arial"/>
        </w:rPr>
        <w:instrText>ADDIN CSL_CITATION {"citationItems":[{"id":"ITEM-1","itemData":{"DOI":"10.1023/A:1007696610186","ISSN":"07422091","PMID":"11254161","abstract":"Exposure of rat alveolar epithelial cells to 10 micromol/L CdCl2 causes time-dependent increases in steady-state mRNA levels of the gamma-glutamylcysteine synthetase catalytic (heavy) subunit (gamma-GCS) and of glutathione S-transferase isoforms (GST-alpha and GST-pi). The expression of gamma-GCS was significantly increased as early as 2 h after addition of cadmium. Maximal induction of gamma-GCS mRNA (approximately 4-fold), at 8 h, was subsequently followed by increases in gamma-GCS activity/protein and glutathione (GSH) levels. Maximal elevations in GST-pi (approximately 2-fold) and GST-alpha (approximately 10-fold) transcripts, at 8 and 24 h, respectively, were also accompanied by enhanced GST activity. Cadmium-induced oxidative stress, assessed by alterations in GSH homeostasis and an accelerated rate of intracellular oxidant production, could constitute early events in the signal transduction pathway mediating these responses. The dimeric transcription factor, activator protein-1 (AP-1), may also play a regulatory role in this process. This association is suggested by transcriptional activation of the immediate-early response genes, c-fos and c-jun, within 15 min after exposure to cadmium and by the enhancement of AP-1 DNA binding activity, involving a c-Jun protein complex, which is maximally induced (approximately 4-fold) by 2 h. These molecular changes likely function together to protect alveolar epithelial cells against cadmium toxicity","author":[{"dropping-particle":"","family":"Shukla","given":"G. S.","non-dropping-particle":"","parse-names":false,"suffix":""},{"dropping-particle":"","family":"Shukla","given":"A.","non-dropping-particle":"","parse-names":false,"suffix":""},{"dropping-particle":"","family":"Potts","given":"R. J.","non-dropping-particle":"","parse-names":false,"suffix":""},{"dropping-particle":"","family":"Osier","given":"M.","non-dropping-particle":"","parse-names":false,"suffix":""},{"dropping-particle":"","family":"Hart","given":"B. A.","non-dropping-particle":"","parse-names":false,"suffix":""},{"dropping-particle":"","family":"Chiu","given":"J. F.","non-dropping-particle":"","parse-names":false,"suffix":""}],"container-title":"Cell Biology and Toxicology","id":"ITEM-1","issue":"6","issued":{"date-parts":[["2000"]]},"page":"347-362","title":"Cadmium-mediated oxidative stress in alveolar epithelial cells induces the expression of γ-glutamylcysteine synthetase catalytic subunit and glutathione S-transferase α and π isoforms: Potential role of activator protein-1","type":"article-journal","volume":"16"},"uris":["http://www.mendeley.com/documents/?uuid=8e8256d7-82cd-4537-a711-85f705358fed"]},{"id":"ITEM-2","itemData":{"DOI":"10.1002/pmic.201400489","ISSN":"16159853","PMID":"25950996","abstract":"For years, many studies have been conducted to investigate the intracellular response of cells challenged with toxic metal(s), yet, the corresponding secretome responses, especially in human lung cells, are largely unexplored. Here, we provide a secretome analysis of human bronchial epithelial cells (BEAS-2B) treated with cadmium chloride (CdCl2 ), with the aim of identifying secreted proteins in response to Cd toxicity. Proteins from control and spent media were separated by two-dimensional electrophoresis and visualized by silver staining. Differentially-secreted proteins were identified by MALDI-TOF-MS analysis and database searching. We characterized, for the first time, the extracellular proteome changes of BEAS-2B dosed with Cd. Our results unveiled that Cd treatment led to the marked upregulation of molecular chaperones, antioxidant enzymes, enzymes associated with glutathione metabolic process, proteins involved in cellular energy metabolism, as well as tumor-suppressors. Pretreatment of cells with the thiol antioxidant glutathione before Cd treatment effectively abrogated the secretion of these proteins and prevented cell death. Taken together, our results demonstrate that Cd causes oxidative stress-induced cytotoxicity; and the differentially-secreted protein signatures could be considered as targets for potential use as extracellular biomarkers upon Cd exposure.","author":[{"dropping-particle":"","family":"Chen","given":"De-Ju","non-dropping-particle":"","parse-names":false,"suffix":""},{"dropping-particle":"","family":"Xu","given":"Yan-Ming","non-dropping-particle":"","parse-names":false,"suffix":""},{"dropping-particle":"","family":"Zheng","given":"Wei","non-dropping-particle":"","parse-names":false,"suffix":""},{"dropping-particle":"","family":"Huang","given":"Dong-Yang","non-dropping-particle":"","parse-names":false,"suffix":""},{"dropping-particle":"","family":"Wong","given":"Wing-Yan","non-dropping-particle":"","parse-names":false,"suffix":""},{"dropping-particle":"","family":"Tai","given":"William Chi-Shing","non-dropping-particle":"","parse-names":false,"suffix":""},{"dropping-particle":"","family":"Cho","given":"Yong-Yeon","non-dropping-particle":"","parse-names":false,"suffix":""},{"dropping-particle":"","family":"Lau","given":"Andy T. Y.","non-dropping-particle":"","parse-names":false,"suffix":""}],"container-title":"Proteomics","id":"ITEM-2","issue":"17","issued":{"date-parts":[["2015"]]},"page":"3075-3086","title":"Proteomic analysis of secreted proteins by human bronchial epithelial cells in response to cadmium toxicity","type":"article-journal","volume":"15"},"uris":["http://www.mendeley.com/documents/?uuid=9654ed92-6319-4084-b759-d97a55812206"]},{"id":"ITEM-3","itemData":{"DOI":"10.1039/C8EN00071A","ISSN":"2051-8153","abstract":"Our analyses confirm that the dissolution of metal ions mediates the main toxicological pathways of silver and zinc oxide nanoparticles.","author":[{"dropping-particle":"","family":"Dekkers","given":"Susan","non-dropping-particle":"","parse-names":false,"suffix":""},{"dropping-particle":"","family":"Williams","given":"Tim D.","non-dropping-particle":"","parse-names":false,"suffix":""},{"dropping-particle":"","family":"Zhang","given":"Jinkang","non-dropping-particle":"","parse-names":false,"suffix":""},{"dropping-particle":"","family":"Zhou","given":"Jiarui (Albert)","non-dropping-particle":"","parse-names":false,"suffix":""},{"dropping-particle":"","family":"Vandebriel","given":"Rob J.","non-dropping-particle":"","parse-names":false,"suffix":""},{"dropping-particle":"","family":"La Fonteyne","given":"Liset J. J.","non-dropping-particle":"De","parse-names":false,"suffix":""},{"dropping-particle":"","family":"Gremmer","given":"Eric R.","non-dropping-particle":"","parse-names":false,"suffix":""},{"dropping-particle":"","family":"He","given":"Shan","non-dropping-particle":"","parse-names":false,"suffix":""},{"dropping-particle":"","family":"Guggenheim","given":"Emily J.","non-dropping-particle":"","parse-names":false,"suffix":""},{"dropping-particle":"","family":"Lynch","given":"Iseult","non-dropping-particle":"","parse-names":false,"suffix":""},{"dropping-particle":"","family":"Cassee","given":"Flemming R.","non-dropping-particle":"","parse-names":false,"suffix":""},{"dropping-particle":"","family":"Jong","given":"Wim H.","non-dropping-particle":"De","parse-names":false,"suffix":""},{"dropping-particle":"","family":"Viant","given":"Mark R.","non-dropping-particle":"","parse-names":false,"suffix":""}],"container-title":"Environmental Science: Nano","id":"ITEM-3","issue":"6","issued":{"date-parts":[["2018"]]},"page":"1506-1517","title":"Multi-omics approaches confirm metal ions mediate the main toxicological pathways of metal-bearing nanoparticles in lung epithelial A549 cells","type":"article-journal","volume":"5"},"uris":["http://www.mendeley.com/documents/?uuid=aae2335c-245e-4c4b-a709-e3b1a4bacea3"]}],"mendeley":{"formattedCitation":"&lt;sup&gt;40–42&lt;/sup&gt;","plainTextFormattedCitation":"40–42","previouslyFormattedCitation":"&lt;sup&gt;40–42&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40–42</w:t>
      </w:r>
      <w:r w:rsidR="00E46428" w:rsidRPr="00BC59F2">
        <w:rPr>
          <w:rFonts w:cs="Arial"/>
        </w:rPr>
        <w:fldChar w:fldCharType="end"/>
      </w:r>
      <w:r w:rsidR="00B03BB7" w:rsidRPr="00BC59F2">
        <w:rPr>
          <w:rFonts w:cs="Arial"/>
        </w:rPr>
        <w:t>.</w:t>
      </w:r>
      <w:r w:rsidR="00E46428" w:rsidRPr="00BC59F2">
        <w:rPr>
          <w:rFonts w:cs="Arial"/>
        </w:rPr>
        <w:t xml:space="preserve"> Significantly</w:t>
      </w:r>
      <w:r w:rsidR="00141260" w:rsidRPr="00BC59F2">
        <w:rPr>
          <w:rFonts w:cs="Arial"/>
        </w:rPr>
        <w:t>,</w:t>
      </w:r>
      <w:r w:rsidR="00E46428" w:rsidRPr="00BC59F2">
        <w:rPr>
          <w:rFonts w:cs="Arial"/>
        </w:rPr>
        <w:t xml:space="preserve"> for orthopaedic applications, </w:t>
      </w:r>
      <w:r w:rsidR="00864ED9" w:rsidRPr="00BC59F2">
        <w:rPr>
          <w:rFonts w:cs="Arial"/>
        </w:rPr>
        <w:t>the data presented here provide</w:t>
      </w:r>
      <w:r w:rsidR="00765BB4" w:rsidRPr="00BC59F2">
        <w:rPr>
          <w:rFonts w:cs="Arial"/>
        </w:rPr>
        <w:t>s</w:t>
      </w:r>
      <w:r w:rsidR="00864ED9" w:rsidRPr="00BC59F2">
        <w:rPr>
          <w:rFonts w:cs="Arial"/>
        </w:rPr>
        <w:t xml:space="preserve"> an insight in</w:t>
      </w:r>
      <w:r w:rsidR="00E46428" w:rsidRPr="00BC59F2">
        <w:rPr>
          <w:rFonts w:cs="Arial"/>
        </w:rPr>
        <w:t>to the global mechanisms employed by chronically exposed Ag</w:t>
      </w:r>
      <w:r w:rsidR="00E46428" w:rsidRPr="00BC59F2">
        <w:rPr>
          <w:rFonts w:cs="Arial"/>
          <w:vertAlign w:val="superscript"/>
        </w:rPr>
        <w:t>+</w:t>
      </w:r>
      <w:r w:rsidR="00E46428" w:rsidRPr="00BC59F2">
        <w:rPr>
          <w:rFonts w:cs="Arial"/>
        </w:rPr>
        <w:t xml:space="preserve"> tolerant clonogenic MSCs. </w:t>
      </w:r>
    </w:p>
    <w:p w14:paraId="00989DEE" w14:textId="5A584079" w:rsidR="00E46428" w:rsidRPr="00BC59F2" w:rsidRDefault="00E46428" w:rsidP="00476FA4">
      <w:pPr>
        <w:spacing w:after="240" w:line="276" w:lineRule="auto"/>
        <w:contextualSpacing/>
        <w:jc w:val="left"/>
        <w:rPr>
          <w:rFonts w:cs="Arial"/>
        </w:rPr>
      </w:pPr>
      <w:r w:rsidRPr="00BC59F2">
        <w:rPr>
          <w:rFonts w:cs="Arial"/>
        </w:rPr>
        <w:t>The glutathione synthesis inhibitor, BSO, elevates intracellular ROS and sensitises systems to sub-toxic doses of oxidative agents</w:t>
      </w:r>
      <w:r w:rsidR="00360BA2" w:rsidRPr="00BC59F2">
        <w:rPr>
          <w:rFonts w:cs="Arial"/>
        </w:rPr>
        <w:t>;</w:t>
      </w:r>
      <w:r w:rsidRPr="00BC59F2">
        <w:rPr>
          <w:rFonts w:cs="Arial"/>
        </w:rPr>
        <w:t xml:space="preserve"> recovery of </w:t>
      </w:r>
      <w:r w:rsidR="00360BA2" w:rsidRPr="00BC59F2">
        <w:rPr>
          <w:rFonts w:cs="Arial"/>
        </w:rPr>
        <w:t xml:space="preserve">cell </w:t>
      </w:r>
      <w:r w:rsidRPr="00BC59F2">
        <w:rPr>
          <w:rFonts w:cs="Arial"/>
        </w:rPr>
        <w:t xml:space="preserve">viability </w:t>
      </w:r>
      <w:r w:rsidR="00360BA2" w:rsidRPr="00BC59F2">
        <w:rPr>
          <w:rFonts w:cs="Arial"/>
        </w:rPr>
        <w:t xml:space="preserve">can be </w:t>
      </w:r>
      <w:r w:rsidRPr="00BC59F2">
        <w:rPr>
          <w:rFonts w:cs="Arial"/>
        </w:rPr>
        <w:t>achieved through the administration of exogenous glutathione</w:t>
      </w:r>
      <w:r w:rsidR="00B03BB7" w:rsidRPr="00BC59F2">
        <w:rPr>
          <w:rFonts w:cs="Arial"/>
        </w:rPr>
        <w:t xml:space="preserve"> </w:t>
      </w:r>
      <w:r w:rsidRPr="00BC59F2">
        <w:rPr>
          <w:rFonts w:cs="Arial"/>
        </w:rPr>
        <w:fldChar w:fldCharType="begin" w:fldLock="1"/>
      </w:r>
      <w:r w:rsidR="00C5479F" w:rsidRPr="00BC59F2">
        <w:rPr>
          <w:rFonts w:cs="Arial"/>
        </w:rPr>
        <w:instrText>ADDIN CSL_CITATION {"citationItems":[{"id":"ITEM-1","itemData":{"DOI":"10.1073/pnas.81.15.4732","ISBN":"0027-8424 (Print)\\r0027-8424 (Linking)","ISSN":"0027-8424","PMID":"6146978","abstract":"Glutathione is not effectively transported into human lymphoid cells, normal human skin fibroblasts, and fibroblasts from patients with genetic deficiencies of gamma-glutamylcysteine synthetase or glutathione synthetase. On the other hand, the monoethyl ester of glutathione, in which the carboxyl group of the glycine residue is esterified, is readily transported into these cells and is hydrolyzed intracellularly. This leads to greatly increased cellular levels of glutathione, which often exceed those found normally. Glutathione ester was found to protect human lymphoid cells of the CEM line against the lethal effects of irradiation. Under the conditions employed, complete protection was found when the ester was added prior to irradiation. Addition of the ester after irradiation was partially effective, suggesting that GSH may also function in repair processes.","author":[{"dropping-particle":"","family":"Wellner","given":"V P","non-dropping-particle":"","parse-names":false,"suffix":""},{"dropping-particle":"","family":"Anderson","given":"M E","non-dropping-particle":"","parse-names":false,"suffix":""},{"dropping-particle":"","family":"Puri","given":"R N","non-dropping-particle":"","parse-names":false,"suffix":""},{"dropping-particle":"","family":"Jensen","given":"G L","non-dropping-particle":"","parse-names":false,"suffix":""},{"dropping-particle":"","family":"Meister","given":"A","non-dropping-particle":"","parse-names":false,"suffix":""}],"container-title":"PNAS","id":"ITEM-1","issue":"15","issued":{"date-parts":[["1984"]]},"page":"4732-5","title":"Radioprotection by glutathione ester: transport of glutathione ester into human lymphoid cells and fibroblasts.","type":"article-journal","volume":"81"},"uris":["http://www.mendeley.com/documents/?uuid=1d5aa822-9f6d-4331-9143-3cd790d07f4d"]},{"id":"ITEM-2","itemData":{"DOI":"10.1073/pnas.1513433112","ISBN":"1091-6490 (Electronic)\\r0027-8424 (Linking)","ISSN":"0027-8424","PMID":"26229077","abstract":"Triple negative breast cancer (TNBC) accounts for 10-15% of all breast cancer but is responsible for a disproportionate share of morbidity and mortality because of its aggressive characteristics and lack of targeted therapies. Chemotherapy induces enrichment of breast cancer stem cells (BCSCs), which are responsible for tumor recurrence and metastasis. Here, we demonstrate that chemotherapy induces the expression of the cystine transporter xCT and the regulatory subunit of glutamate-cysteine ligase (GCLM) in a hypoxia-inducible factor (HIF)-1-dependent manner, leading to increased intracellular glutathione levels, which inhibit mitogen-activated protein kinase kinase (MEK) activity through copper chelation. Loss of MEK-ERK signaling causes FoxO3 nuclear translocation and transcriptional activation of the gene encoding the pluripotency factor Nanog, which is required for enrichment of BCSCs. Inhibition of xCT, GCLM, FoxO3, or Nanog blocks chemotherapy-induced enrichment of BCSCs and impairs tumor initiation. These results suggest that, in combination with chemotherapy, targeting BCSCs by inhibiting HIF-1-regulated glutathione synthesis may improve outcome in TNBC.","author":[{"dropping-particle":"","family":"Lu","given":"Haiquan","non-dropping-particle":"","parse-names":false,"suffix":""},{"dropping-particle":"","family":"Samanta","given":"Debangshu","non-dropping-particle":"","parse-names":false,"suffix":""},{"dropping-particle":"","family":"Xiang","given":"Lisha","non-dropping-particle":"","parse-names":false,"suffix":""},{"dropping-particle":"","family":"Zhang","given":"Huimin","non-dropping-particle":"","parse-names":false,"suffix":""},{"dropping-particle":"","family":"Hu","given":"Hongxia","non-dropping-particle":"","parse-names":false,"suffix":""},{"dropping-particle":"","family":"Chen","given":"Ivan","non-dropping-particle":"","parse-names":false,"suffix":""},{"dropping-particle":"","family":"Bullen","given":"John W.","non-dropping-particle":"","parse-names":false,"suffix":""},{"dropping-particle":"","family":"Semenza","given":"Gregg L.","non-dropping-particle":"","parse-names":false,"suffix":""}],"container-title":"PNAS","id":"ITEM-2","issue":"33","issued":{"date-parts":[["2015"]]},"page":"E4600-E4609","title":"Chemotherapy triggers HIF-1–dependent glutathione synthesis and copper chelation that induces the breast cancer stem cell phenotype","type":"article-journal","volume":"112"},"uris":["http://www.mendeley.com/documents/?uuid=5b25a0e6-0578-400e-8e63-44f4c174895a"]}],"mendeley":{"formattedCitation":"&lt;sup&gt;43,44&lt;/sup&gt;","plainTextFormattedCitation":"43,44","previouslyFormattedCitation":"&lt;sup&gt;43,44&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43,44</w:t>
      </w:r>
      <w:r w:rsidRPr="00BC59F2">
        <w:rPr>
          <w:rFonts w:cs="Arial"/>
        </w:rPr>
        <w:fldChar w:fldCharType="end"/>
      </w:r>
      <w:r w:rsidR="00B03BB7" w:rsidRPr="00BC59F2">
        <w:rPr>
          <w:rFonts w:cs="Arial"/>
        </w:rPr>
        <w:t>.</w:t>
      </w:r>
      <w:r w:rsidRPr="00BC59F2">
        <w:rPr>
          <w:rFonts w:cs="Arial"/>
        </w:rPr>
        <w:t xml:space="preserve"> For the first time with MSCs, we used this </w:t>
      </w:r>
      <w:r w:rsidR="00864ED9" w:rsidRPr="00BC59F2">
        <w:rPr>
          <w:rFonts w:cs="Arial"/>
        </w:rPr>
        <w:t>technique</w:t>
      </w:r>
      <w:r w:rsidRPr="00BC59F2">
        <w:rPr>
          <w:rFonts w:cs="Arial"/>
        </w:rPr>
        <w:t xml:space="preserve"> to confirm the findings of the proteomic</w:t>
      </w:r>
      <w:r w:rsidR="000B363B" w:rsidRPr="00BC59F2">
        <w:rPr>
          <w:rFonts w:cs="Arial"/>
        </w:rPr>
        <w:t>, bioinformatics and q</w:t>
      </w:r>
      <w:r w:rsidR="00360BA2" w:rsidRPr="00BC59F2">
        <w:rPr>
          <w:rFonts w:cs="Arial"/>
        </w:rPr>
        <w:t>PCR</w:t>
      </w:r>
      <w:r w:rsidR="000B363B" w:rsidRPr="00BC59F2">
        <w:rPr>
          <w:rFonts w:cs="Arial"/>
        </w:rPr>
        <w:t xml:space="preserve"> </w:t>
      </w:r>
      <w:r w:rsidRPr="00BC59F2">
        <w:rPr>
          <w:rFonts w:cs="Arial"/>
        </w:rPr>
        <w:t>analys</w:t>
      </w:r>
      <w:r w:rsidR="000B363B" w:rsidRPr="00BC59F2">
        <w:rPr>
          <w:rFonts w:cs="Arial"/>
        </w:rPr>
        <w:t>i</w:t>
      </w:r>
      <w:r w:rsidRPr="00BC59F2">
        <w:rPr>
          <w:rFonts w:cs="Arial"/>
        </w:rPr>
        <w:t xml:space="preserve">s and </w:t>
      </w:r>
      <w:r w:rsidR="00864ED9" w:rsidRPr="00BC59F2">
        <w:rPr>
          <w:rFonts w:cs="Arial"/>
        </w:rPr>
        <w:t xml:space="preserve">in </w:t>
      </w:r>
      <w:r w:rsidR="00864ED9" w:rsidRPr="00BC59F2">
        <w:rPr>
          <w:rFonts w:cs="Arial"/>
        </w:rPr>
        <w:lastRenderedPageBreak/>
        <w:t xml:space="preserve">doing so </w:t>
      </w:r>
      <w:r w:rsidRPr="00BC59F2">
        <w:rPr>
          <w:rFonts w:cs="Arial"/>
        </w:rPr>
        <w:t>reveal</w:t>
      </w:r>
      <w:r w:rsidR="00864ED9" w:rsidRPr="00BC59F2">
        <w:rPr>
          <w:rFonts w:cs="Arial"/>
        </w:rPr>
        <w:t>ed</w:t>
      </w:r>
      <w:r w:rsidRPr="00BC59F2">
        <w:rPr>
          <w:rFonts w:cs="Arial"/>
        </w:rPr>
        <w:t xml:space="preserve"> the importance of glutathione to the clonogenic survival of MSCs</w:t>
      </w:r>
      <w:r w:rsidR="00360BA2" w:rsidRPr="00BC59F2">
        <w:rPr>
          <w:rFonts w:cs="Arial"/>
        </w:rPr>
        <w:t xml:space="preserve"> following exposure to Ag</w:t>
      </w:r>
      <w:r w:rsidR="00360BA2" w:rsidRPr="00BC59F2">
        <w:rPr>
          <w:rFonts w:cs="Arial"/>
          <w:vertAlign w:val="superscript"/>
        </w:rPr>
        <w:t>+</w:t>
      </w:r>
      <w:r w:rsidR="00360BA2" w:rsidRPr="00BC59F2">
        <w:rPr>
          <w:rFonts w:cs="Arial"/>
        </w:rPr>
        <w:t xml:space="preserve"> ions</w:t>
      </w:r>
      <w:r w:rsidRPr="00BC59F2">
        <w:rPr>
          <w:rFonts w:cs="Arial"/>
        </w:rPr>
        <w:t xml:space="preserve">. </w:t>
      </w:r>
      <w:r w:rsidR="00360BA2" w:rsidRPr="00BC59F2">
        <w:rPr>
          <w:rFonts w:cs="Arial"/>
        </w:rPr>
        <w:t>O</w:t>
      </w:r>
      <w:r w:rsidRPr="00BC59F2">
        <w:rPr>
          <w:rFonts w:cs="Arial"/>
        </w:rPr>
        <w:t xml:space="preserve">ur data </w:t>
      </w:r>
      <w:r w:rsidR="00360BA2" w:rsidRPr="00BC59F2">
        <w:rPr>
          <w:rFonts w:cs="Arial"/>
        </w:rPr>
        <w:t xml:space="preserve">also </w:t>
      </w:r>
      <w:r w:rsidRPr="00BC59F2">
        <w:rPr>
          <w:rFonts w:cs="Arial"/>
        </w:rPr>
        <w:t>highlighted a reduction in colony number during prolonged BSO treatment, a</w:t>
      </w:r>
      <w:r w:rsidR="00360BA2" w:rsidRPr="00BC59F2">
        <w:rPr>
          <w:rFonts w:cs="Arial"/>
        </w:rPr>
        <w:t>lthough</w:t>
      </w:r>
      <w:r w:rsidRPr="00BC59F2">
        <w:rPr>
          <w:rFonts w:cs="Arial"/>
        </w:rPr>
        <w:t xml:space="preserve"> reduction in</w:t>
      </w:r>
      <w:r w:rsidR="00594849" w:rsidRPr="00BC59F2">
        <w:rPr>
          <w:rFonts w:cs="Arial"/>
        </w:rPr>
        <w:t xml:space="preserve"> </w:t>
      </w:r>
      <w:r w:rsidR="00594849" w:rsidRPr="00BC59F2">
        <w:rPr>
          <w:rFonts w:cs="Arial"/>
          <w:i/>
        </w:rPr>
        <w:t>in vitro</w:t>
      </w:r>
      <w:r w:rsidRPr="00BC59F2">
        <w:rPr>
          <w:rFonts w:cs="Arial"/>
        </w:rPr>
        <w:t xml:space="preserve"> </w:t>
      </w:r>
      <w:r w:rsidR="00360BA2" w:rsidRPr="00BC59F2">
        <w:rPr>
          <w:rFonts w:cs="Arial"/>
        </w:rPr>
        <w:t xml:space="preserve">cell </w:t>
      </w:r>
      <w:r w:rsidRPr="00BC59F2">
        <w:rPr>
          <w:rFonts w:cs="Arial"/>
        </w:rPr>
        <w:t xml:space="preserve">viability </w:t>
      </w:r>
      <w:r w:rsidR="00360BA2" w:rsidRPr="00BC59F2">
        <w:rPr>
          <w:rFonts w:cs="Arial"/>
        </w:rPr>
        <w:t xml:space="preserve">was </w:t>
      </w:r>
      <w:r w:rsidRPr="00BC59F2">
        <w:rPr>
          <w:rFonts w:cs="Arial"/>
        </w:rPr>
        <w:t>not observed by other researchers investigating the effects over shorter time periods, with a greater BSO concentration</w:t>
      </w:r>
      <w:r w:rsidR="00B03BB7" w:rsidRPr="00BC59F2">
        <w:rPr>
          <w:rFonts w:cs="Arial"/>
        </w:rPr>
        <w:t xml:space="preserve"> </w:t>
      </w:r>
      <w:r w:rsidR="00D45E71" w:rsidRPr="00BC59F2">
        <w:rPr>
          <w:rFonts w:cs="Arial"/>
        </w:rPr>
        <w:fldChar w:fldCharType="begin" w:fldLock="1"/>
      </w:r>
      <w:r w:rsidR="00C5479F" w:rsidRPr="00BC59F2">
        <w:rPr>
          <w:rFonts w:cs="Arial"/>
        </w:rPr>
        <w:instrText>ADDIN CSL_CITATION {"citationItems":[{"id":"ITEM-1","itemData":{"DOI":"10.1038/nm1388","ISBN":"1078-8956 (Print)\\r1078-8956 (Linking)","ISSN":"1078-8956","PMID":"16565722","abstract":"Hematopoietic stem cells (HSCs) undergo self-renewing cell divisions and maintain blood production for their lifetime. Appropriate control of HSC self-renewal is crucial for the maintenance of hematopoietic homeostasis. Here we show that activation of p38 MAPK in response to increasing levels of reactive oxygen species (ROS) limits the lifespan of HSCs in vivo. In Atm(-/-) mice, elevation of ROS levels induces HSC-specific phosphorylation of p38 MAPK accompanied by a defect in the maintenance of HSC quiescence. Inhibition of p38 MAPK rescued ROS-induced defects in HSC repopulating capacity and in the maintenance of HSC quiescence, indicating that the ROS-p38 MAPK pathway contributes to exhaustion of the stem cell population. Furthermore, prolonged treatment with an antioxidant or an inhibitor of p38 MAPK extended the lifespan of HSCs from wild-type mice in serial transplantation experiments. These data show that inactivation of p38 MAPK protects HSCs against loss of self-renewal capacity. Our characterization of molecular mechanisms that limit HSC lifespan may lead to beneficial therapies for human disease.","author":[{"dropping-particle":"","family":"Ito","given":"K","non-dropping-particle":"","parse-names":false,"suffix":""},{"dropping-particle":"","family":"Hirao","given":"A","non-dropping-particle":"","parse-names":false,"suffix":""},{"dropping-particle":"","family":"Arai","given":"F","non-dropping-particle":"","parse-names":false,"suffix":""},{"dropping-particle":"","family":"Takubo","given":"K","non-dropping-particle":"","parse-names":false,"suffix":""},{"dropping-particle":"","family":"Matsuoka","given":"S","non-dropping-particle":"","parse-names":false,"suffix":""},{"dropping-particle":"","family":"Miyamoto","given":"K","non-dropping-particle":"","parse-names":false,"suffix":""},{"dropping-particle":"","family":"Ohmura","given":"M","non-dropping-particle":"","parse-names":false,"suffix":""},{"dropping-particle":"","family":"Naka","given":"K","non-dropping-particle":"","parse-names":false,"suffix":""},{"dropping-particle":"","family":"Hosokawa","given":"K","non-dropping-particle":"","parse-names":false,"suffix":""},{"dropping-particle":"","family":"Ikeda","given":"Y","non-dropping-particle":"","parse-names":false,"suffix":""},{"dropping-particle":"","family":"Suda","given":"T","non-dropping-particle":"","parse-names":false,"suffix":""}],"container-title":"Nature Medicine","id":"ITEM-1","issue":"4","issued":{"date-parts":[["2006"]]},"page":"446-451","title":"Reactive oxygen species act through p38 MAPK to limit the lifespan of hematopoietic stem cells","type":"article-journal","volume":"12"},"uris":["http://www.mendeley.com/documents/?uuid=966a2f47-b230-4637-883c-22f4376c40da"]},{"id":"ITEM-2","itemData":{"DOI":"10.1016/j.tox.2014.12.014","ISSN":"0300-483X","author":[{"dropping-particle":"","family":"Arai","given":"Yuta","non-dropping-particle":"","parse-names":false,"suffix":""},{"dropping-particle":"","family":"Miyayama","given":"Takamitsu","non-dropping-particle":"","parse-names":false,"suffix":""},{"dropping-particle":"","family":"Hirano","given":"Seishiro","non-dropping-particle":"","parse-names":false,"suffix":""}],"container-title":"Toxicology","id":"ITEM-2","issue":"2015","issued":{"date-parts":[["2015"]]},"note":"Glutathione inhibition did not affect survival of J774.1 cells from AgNO3.","page":"84-92","title":"Difference in the toxicity mechanism between ion and nanoparticle forms of silver in the mouse lung and in macrophages","type":"article-journal","volume":"328"},"uris":["http://www.mendeley.com/documents/?uuid=2fcbfba4-4c22-4d3c-a6f2-84feb3f8ddaa"]}],"mendeley":{"formattedCitation":"&lt;sup&gt;45,46&lt;/sup&gt;","plainTextFormattedCitation":"45,46","previouslyFormattedCitation":"&lt;sup&gt;45,46&lt;/sup&gt;"},"properties":{"noteIndex":0},"schema":"https://github.com/citation-style-language/schema/raw/master/csl-citation.json"}</w:instrText>
      </w:r>
      <w:r w:rsidR="00D45E71" w:rsidRPr="00BC59F2">
        <w:rPr>
          <w:rFonts w:cs="Arial"/>
        </w:rPr>
        <w:fldChar w:fldCharType="separate"/>
      </w:r>
      <w:r w:rsidR="00E37F00" w:rsidRPr="00BC59F2">
        <w:rPr>
          <w:rFonts w:cs="Arial"/>
          <w:noProof/>
          <w:vertAlign w:val="superscript"/>
        </w:rPr>
        <w:t>45,46</w:t>
      </w:r>
      <w:r w:rsidR="00D45E71" w:rsidRPr="00BC59F2">
        <w:rPr>
          <w:rFonts w:cs="Arial"/>
        </w:rPr>
        <w:fldChar w:fldCharType="end"/>
      </w:r>
      <w:r w:rsidR="00B03BB7" w:rsidRPr="00BC59F2">
        <w:rPr>
          <w:rFonts w:cs="Arial"/>
        </w:rPr>
        <w:t>.</w:t>
      </w:r>
      <w:r w:rsidRPr="00BC59F2">
        <w:rPr>
          <w:rFonts w:cs="Arial"/>
        </w:rPr>
        <w:t xml:space="preserve"> Additionally, the inhibition of the glutathione system potentiated the effect of sub-toxic Ag</w:t>
      </w:r>
      <w:r w:rsidRPr="00BC59F2">
        <w:rPr>
          <w:rFonts w:cs="Arial"/>
          <w:vertAlign w:val="superscript"/>
        </w:rPr>
        <w:t>+</w:t>
      </w:r>
      <w:r w:rsidRPr="00BC59F2">
        <w:rPr>
          <w:rFonts w:cs="Arial"/>
        </w:rPr>
        <w:t xml:space="preserve"> concentrations, which overwhelmed the remaining defence mechanisms of the normally </w:t>
      </w:r>
      <w:r w:rsidR="00360BA2" w:rsidRPr="00BC59F2">
        <w:rPr>
          <w:rFonts w:cs="Arial"/>
        </w:rPr>
        <w:t>sliver-</w:t>
      </w:r>
      <w:r w:rsidRPr="00BC59F2">
        <w:rPr>
          <w:rFonts w:cs="Arial"/>
        </w:rPr>
        <w:t>tolerant sub-population.</w:t>
      </w:r>
    </w:p>
    <w:p w14:paraId="79EF7133" w14:textId="27E42D00" w:rsidR="00E46428" w:rsidRPr="00BC59F2" w:rsidRDefault="00CF370F" w:rsidP="00476FA4">
      <w:pPr>
        <w:spacing w:after="240" w:line="276" w:lineRule="auto"/>
        <w:contextualSpacing/>
        <w:jc w:val="left"/>
        <w:rPr>
          <w:rFonts w:cs="Arial"/>
        </w:rPr>
      </w:pPr>
      <w:r w:rsidRPr="00BC59F2">
        <w:rPr>
          <w:rFonts w:cs="Arial"/>
        </w:rPr>
        <w:t xml:space="preserve">Oxidative DNA damage resulting from </w:t>
      </w:r>
      <w:r w:rsidR="00E46428" w:rsidRPr="00BC59F2">
        <w:rPr>
          <w:rFonts w:cs="Arial"/>
        </w:rPr>
        <w:t xml:space="preserve">ROS </w:t>
      </w:r>
      <w:r w:rsidR="00141260" w:rsidRPr="00BC59F2">
        <w:rPr>
          <w:rFonts w:cs="Arial"/>
        </w:rPr>
        <w:t>can be induced</w:t>
      </w:r>
      <w:r w:rsidR="00E46428" w:rsidRPr="00BC59F2">
        <w:rPr>
          <w:rFonts w:cs="Arial"/>
        </w:rPr>
        <w:t xml:space="preserve"> in </w:t>
      </w:r>
      <w:r w:rsidR="00360BA2" w:rsidRPr="00BC59F2">
        <w:rPr>
          <w:rFonts w:cs="Arial"/>
        </w:rPr>
        <w:t xml:space="preserve">cells </w:t>
      </w:r>
      <w:r w:rsidR="00E46428" w:rsidRPr="00BC59F2">
        <w:rPr>
          <w:rFonts w:cs="Arial"/>
        </w:rPr>
        <w:t>exposed to Ag</w:t>
      </w:r>
      <w:r w:rsidR="00E46428" w:rsidRPr="00BC59F2">
        <w:rPr>
          <w:rFonts w:cs="Arial"/>
          <w:vertAlign w:val="superscript"/>
        </w:rPr>
        <w:t>+</w:t>
      </w:r>
      <w:r w:rsidR="00B03BB7" w:rsidRPr="00BC59F2">
        <w:rPr>
          <w:rFonts w:cs="Arial"/>
        </w:rPr>
        <w:t xml:space="preserve"> </w:t>
      </w:r>
      <w:r w:rsidR="00E46428" w:rsidRPr="00BC59F2">
        <w:rPr>
          <w:rFonts w:cs="Arial"/>
        </w:rPr>
        <w:fldChar w:fldCharType="begin" w:fldLock="1"/>
      </w:r>
      <w:r w:rsidR="00C5479F" w:rsidRPr="00BC59F2">
        <w:rPr>
          <w:rFonts w:cs="Arial"/>
        </w:rPr>
        <w:instrText>ADDIN CSL_CITATION {"citationItems":[{"id":"ITEM-1","itemData":{"DOI":"10.1016/j.toxlet.2013.07.011","ISSN":"1879-3169","PMID":"23872614","abstract":"Investigation of the genotoxic potential of nanomaterials is essential to evaluate if they pose a cancer risk for exposed workers and consumers. The Chinese hamster ovary cell line CHO-K1 is recommended by the OECD for use in the micronucleus assay and is commonly used for genotoxicity testing. However, studies investigating if this cell line is suitable for the genotoxic evaluation of nanomaterials, including induction of DNA adduct and micronuclei formation, are rare and for silver nanoparticles (Ag NPs) missing. Therefore, we here systematically investigated DNA and chromosomal damage induced by BSA coated Ag NPs (15.9±7.6 nm) in CHO-K1 cells in relation to cellular uptake and intracellular localization, their effects on mitochondrial activity and production of reactive oxygen species (ROS), cell cycle, apoptosis and necrosis. Ag NPs are taken up by CHO-K1 cells and are presumably translocated into endosomes/lysosomes. Our cytotoxicity studies demonstrated a concentration-dependent decrease of mitochondrial activity and increase of intracellular reactive oxygen species (ROS) in CHO-K1 cells following exposure to Ag NPs and Ag</w:instrText>
      </w:r>
      <w:r w:rsidR="00C5479F" w:rsidRPr="00BC59F2">
        <w:rPr>
          <w:rFonts w:ascii="American Typewriter" w:hAnsi="American Typewriter" w:cs="American Typewriter"/>
        </w:rPr>
        <w:instrText>⁺</w:instrText>
      </w:r>
      <w:r w:rsidR="00C5479F" w:rsidRPr="00BC59F2">
        <w:rPr>
          <w:rFonts w:cs="Arial"/>
        </w:rPr>
        <w:instrText xml:space="preserve"> (0-20 μg/ml) for 24h. Annexin V/propidium iodide assay showed that Ag NPs and Ag</w:instrText>
      </w:r>
      <w:r w:rsidR="00C5479F" w:rsidRPr="00BC59F2">
        <w:rPr>
          <w:rFonts w:ascii="American Typewriter" w:hAnsi="American Typewriter" w:cs="American Typewriter"/>
        </w:rPr>
        <w:instrText>⁺</w:instrText>
      </w:r>
      <w:r w:rsidR="00C5479F" w:rsidRPr="00BC59F2">
        <w:rPr>
          <w:rFonts w:cs="Arial"/>
        </w:rPr>
        <w:instrText xml:space="preserve"> induced apoptosis and necrosis, which is in agreement with an increased fraction of cells in subG1 phase of the cell cycle. Genotoxicity studies showed that Ag NPs but also silver ions (Ag</w:instrText>
      </w:r>
      <w:r w:rsidR="00C5479F" w:rsidRPr="00BC59F2">
        <w:rPr>
          <w:rFonts w:ascii="American Typewriter" w:hAnsi="American Typewriter" w:cs="American Typewriter"/>
        </w:rPr>
        <w:instrText>⁺</w:instrText>
      </w:r>
      <w:r w:rsidR="00C5479F" w:rsidRPr="00BC59F2">
        <w:rPr>
          <w:rFonts w:cs="Arial"/>
        </w:rPr>
        <w:instrText>) induced bulky-DNA adducts, 8-oxodG and micronuclei formation in a concentration-dependent manner, however, there were quantitative and qualitative differences between the particulate and ionic form of silver. Taken together, our multi-platform genotoxicity and cytotoxicity analysis demonstrates that CHO-K1 cells are suitable for the investigation of genotoxicity of nanoparticles like Ag NPs.","author":[{"dropping-particle":"","family":"Jiang","given":"Xiumei","non-dropping-particle":"","parse-names":false,"suffix":""},{"dropping-particle":"","family":"Foldbjerg","given":"Rasmus","non-dropping-particle":"","parse-names":false,"suffix":""},{"dropping-particle":"","family":"Miclaus","given":"Teodora","non-dropping-particle":"","parse-names":false,"suffix":""},{"dropping-particle":"","family":"Wang","given":"Liming","non-dropping-particle":"","parse-names":false,"suffix":""},{"dropping-particle":"","family":"Singh","given":"Rajinder","non-dropping-particle":"","parse-names":false,"suffix":""},{"dropping-particle":"","family":"Hayashi","given":"Yuya","non-dropping-particle":"","parse-names":false,"suffix":""},{"dropping-particle":"","family":"Sutherland","given":"Duncan","non-dropping-particle":"","parse-names":false,"suffix":""},{"dropping-particle":"","family":"Chen","given":"Chunying","non-dropping-particle":"","parse-names":false,"suffix":""},{"dropping-particle":"","family":"Autrup","given":"Herman","non-dropping-particle":"","parse-names":false,"suffix":""},{"dropping-particle":"","family":"Beer","given":"Christiane","non-dropping-particle":"","parse-names":false,"suffix":""}],"container-title":"Toxicology Letters","id":"ITEM-1","issue":"1","issued":{"date-parts":[["2013"]]},"note":"1ug/mL\n5ug/mL\n10ug/ml","page":"55-63","title":"Multi-platform genotoxicity analysis of silver nanoparticles in the model cell line CHO-K1.","type":"article-journal","volume":"222"},"uris":["http://www.mendeley.com/documents/?uuid=2dcec53e-0fa1-482d-bad9-5048e3be0f7a"]}],"mendeley":{"formattedCitation":"&lt;sup&gt;47&lt;/sup&gt;","plainTextFormattedCitation":"47","previouslyFormattedCitation":"&lt;sup&gt;47&lt;/sup&gt;"},"properties":{"noteIndex":0},"schema":"https://github.com/citation-style-language/schema/raw/master/csl-citation.json"}</w:instrText>
      </w:r>
      <w:r w:rsidR="00E46428" w:rsidRPr="00BC59F2">
        <w:rPr>
          <w:rFonts w:cs="Arial"/>
        </w:rPr>
        <w:fldChar w:fldCharType="separate"/>
      </w:r>
      <w:r w:rsidR="00E37F00" w:rsidRPr="00BC59F2">
        <w:rPr>
          <w:rFonts w:cs="Arial"/>
          <w:noProof/>
          <w:vertAlign w:val="superscript"/>
        </w:rPr>
        <w:t>47</w:t>
      </w:r>
      <w:r w:rsidR="00E46428" w:rsidRPr="00BC59F2">
        <w:rPr>
          <w:rFonts w:cs="Arial"/>
        </w:rPr>
        <w:fldChar w:fldCharType="end"/>
      </w:r>
      <w:r w:rsidR="00B03BB7" w:rsidRPr="00BC59F2">
        <w:rPr>
          <w:rFonts w:cs="Arial"/>
        </w:rPr>
        <w:t>.</w:t>
      </w:r>
      <w:r w:rsidR="00E46428" w:rsidRPr="00BC59F2">
        <w:rPr>
          <w:rFonts w:cs="Arial"/>
        </w:rPr>
        <w:t xml:space="preserve"> While the risk of transversion mutations is abrogated by several </w:t>
      </w:r>
      <w:r w:rsidR="00360BA2" w:rsidRPr="00BC59F2">
        <w:rPr>
          <w:rFonts w:cs="Arial"/>
        </w:rPr>
        <w:t xml:space="preserve">DNA repair </w:t>
      </w:r>
      <w:r w:rsidR="00E46428" w:rsidRPr="00BC59F2">
        <w:rPr>
          <w:rFonts w:cs="Arial"/>
        </w:rPr>
        <w:t xml:space="preserve">mechanisms, the upregulation of proteins </w:t>
      </w:r>
      <w:r w:rsidR="00360BA2" w:rsidRPr="00BC59F2">
        <w:rPr>
          <w:rFonts w:cs="Arial"/>
        </w:rPr>
        <w:t>involved in</w:t>
      </w:r>
      <w:r w:rsidR="00E46428" w:rsidRPr="00BC59F2">
        <w:rPr>
          <w:rFonts w:cs="Arial"/>
        </w:rPr>
        <w:t xml:space="preserve"> global genome nucleotide excision repair were identified in our assessment of MSC clonogenicity</w:t>
      </w:r>
      <w:r w:rsidR="00360BA2" w:rsidRPr="00BC59F2">
        <w:rPr>
          <w:rFonts w:cs="Arial"/>
        </w:rPr>
        <w:t xml:space="preserve"> following silver treatment</w:t>
      </w:r>
      <w:r w:rsidR="00E46428" w:rsidRPr="00BC59F2">
        <w:rPr>
          <w:rFonts w:cs="Arial"/>
        </w:rPr>
        <w:t xml:space="preserve">. This suggests that neutralisation of ROS </w:t>
      </w:r>
      <w:r w:rsidR="00141260" w:rsidRPr="00BC59F2">
        <w:rPr>
          <w:rFonts w:cs="Arial"/>
        </w:rPr>
        <w:t xml:space="preserve">alone </w:t>
      </w:r>
      <w:r w:rsidR="00E46428" w:rsidRPr="00BC59F2">
        <w:rPr>
          <w:rFonts w:cs="Arial"/>
        </w:rPr>
        <w:t xml:space="preserve">is not sufficient </w:t>
      </w:r>
      <w:r w:rsidR="00141260" w:rsidRPr="00BC59F2">
        <w:rPr>
          <w:rFonts w:cs="Arial"/>
        </w:rPr>
        <w:t>to enable</w:t>
      </w:r>
      <w:r w:rsidR="00E46428" w:rsidRPr="00BC59F2">
        <w:rPr>
          <w:rFonts w:cs="Arial"/>
        </w:rPr>
        <w:t xml:space="preserve"> colony formation </w:t>
      </w:r>
      <w:r w:rsidR="00141260" w:rsidRPr="00BC59F2">
        <w:rPr>
          <w:rFonts w:cs="Arial"/>
        </w:rPr>
        <w:t xml:space="preserve">in sliver-treated MSCs </w:t>
      </w:r>
      <w:r w:rsidR="00E46428" w:rsidRPr="00BC59F2">
        <w:rPr>
          <w:rFonts w:cs="Arial"/>
        </w:rPr>
        <w:t xml:space="preserve">and that </w:t>
      </w:r>
      <w:r w:rsidR="00141260" w:rsidRPr="00BC59F2">
        <w:rPr>
          <w:rFonts w:cs="Arial"/>
        </w:rPr>
        <w:t>other pathways are</w:t>
      </w:r>
      <w:r w:rsidR="00E46428" w:rsidRPr="00BC59F2">
        <w:rPr>
          <w:rFonts w:cs="Arial"/>
        </w:rPr>
        <w:t xml:space="preserve"> employed in order to maintain the MSC population.</w:t>
      </w:r>
    </w:p>
    <w:p w14:paraId="71D6A524" w14:textId="610B1662" w:rsidR="00E46428" w:rsidRPr="00BC59F2" w:rsidRDefault="00E46428" w:rsidP="00476FA4">
      <w:pPr>
        <w:spacing w:after="240" w:line="276" w:lineRule="auto"/>
        <w:contextualSpacing/>
        <w:jc w:val="left"/>
        <w:rPr>
          <w:rFonts w:cs="Arial"/>
        </w:rPr>
      </w:pPr>
      <w:r w:rsidRPr="00BC59F2">
        <w:rPr>
          <w:rFonts w:cs="Arial"/>
        </w:rPr>
        <w:t>Increased oxidative stress impairs fracture healing in rodents</w:t>
      </w:r>
      <w:r w:rsidR="00B03BB7" w:rsidRPr="00BC59F2">
        <w:rPr>
          <w:rFonts w:cs="Arial"/>
        </w:rPr>
        <w:t xml:space="preserve"> </w:t>
      </w:r>
      <w:r w:rsidRPr="00BC59F2">
        <w:rPr>
          <w:rFonts w:cs="Arial"/>
        </w:rPr>
        <w:fldChar w:fldCharType="begin" w:fldLock="1"/>
      </w:r>
      <w:r w:rsidR="00C5479F" w:rsidRPr="00BC59F2">
        <w:rPr>
          <w:rFonts w:cs="Arial"/>
        </w:rPr>
        <w:instrText>ADDIN CSL_CITATION {"citationItems":[{"id":"ITEM-1","itemData":{"DOI":"10.3109/17453679508995590","ISBN":"1745367950","ISSN":"17453674","PMID":"7484133","abstract":"We studied the effect of oxygen-free radicals on fracture healing. 30 male rats were divided into 2 groups: 15 rats were given saline 5 mL/kg i.p. (control group) and 15 were given zymosan 100 mg/kg i.p. to induce oxygen-free radicals through stimulation of NADPH oxidase in polymorphonuclear leucocytes. 1 hour later, the right forelimbs of the rats were broken by light manual compression. These treatments were given once a day until the fifth post-fracture day. All rats were killed on day 22, and histological sections of the radius and ulna were examined without knowledge of the treatment given. The administration of zymosan impaired the fracture healing and therefore oxygen-free radicals appear to play an important role in fracture healing.","author":[{"dropping-particle":"","family":"Göktürk","given":"Erol","non-dropping-particle":"","parse-names":false,"suffix":""},{"dropping-particle":"","family":"Turgut","given":"Akin","non-dropping-particle":"","parse-names":false,"suffix":""},{"dropping-particle":"","family":"Baygu","given":"Cengiz","non-dropping-particle":"","parse-names":false,"suffix":""},{"dropping-particle":"","family":"Gunal","given":"Izge","non-dropping-particle":"","parse-names":false,"suffix":""},{"dropping-particle":"","family":"Seber","given":"Sinan","non-dropping-particle":"","parse-names":false,"suffix":""},{"dropping-particle":"","family":"Gulbas","given":"Zafer","non-dropping-particle":"","parse-names":false,"suffix":""}],"container-title":"Acta Orthopaedica","id":"ITEM-1","issue":"5","issued":{"date-parts":[["1995"]]},"page":"473-475","title":"Oxygen-free radicals impair fracture healing in rats","type":"article-journal","volume":"66"},"uris":["http://www.mendeley.com/documents/?uuid=9e49d9c0-22aa-4580-b0a4-05cb652e8d69"]},{"id":"ITEM-2","itemData":{"DOI":"10.1007/s00223-014-9900-5","ISBN":"0171-967X","ISSN":"14320827","PMID":"25096517","abstract":"Oxidative stress plays an important role in wound healing but data relating oxidative stress to fracture healing are scarce. Nuclear factor erythroid 2-related factor 2 (Nrf2) is the major transcription factor that controls the cellular defence essential to combat oxidative stress by regulating the expression of antioxidative enzymes. This study examined the impact of Nrf2 on fracture healing using a standard closed femoral shaft fracture model in wild-type (WT) and Nrf2-knockout (Nrf2-KO)-mice. Healing was evaluated by histology, real-time RT-PCR, µCT and biomechanical measurements. We showed that Nrf2 expression is activated during fracture healing. Bone healing and remodelling were retarded in the Nrf2-KO compared to the WT-mice. Nrf2-KO-mice developed significantly less callus tissue compared to WT-mice. In addition, biomechanical testing demonstrated lower strength against shear stress in the Nrf2-KO-group compared to WT. The expression of vascular endothelial growth factor (VEGF) and osteocalcin is reduced during fracture healing in Nrf2-KO-mice. Taken together, our results demonstrate that Nrf2 deficiency in mice results in impaired fracture healing suggesting that Nrf2 plays an essential role in bone regeneration. Pharmacological activation of Nrf2 may have therapeutic potential for the enhancement of fracture healing.","author":[{"dropping-particle":"","family":"Lippross","given":"Sebastian","non-dropping-particle":"","parse-names":false,"suffix":""},{"dropping-particle":"","family":"Beckmann","given":"Rainer","non-dropping-particle":"","parse-names":false,"suffix":""},{"dropping-particle":"","family":"Streubesand","given":"Nadine","non-dropping-particle":"","parse-names":false,"suffix":""},{"dropping-particle":"","family":"Ayub","given":"Ferda","non-dropping-particle":"","parse-names":false,"suffix":""},{"dropping-particle":"","family":"Tohidnezhad","given":"Mersedeh","non-dropping-particle":"","parse-names":false,"suffix":""},{"dropping-particle":"","family":"Campbell","given":"Graeme","non-dropping-particle":"","parse-names":false,"suffix":""},{"dropping-particle":"","family":"Kan","given":"Yuet Wai","non-dropping-particle":"","parse-names":false,"suffix":""},{"dropping-particle":"","family":"Horst","given":"Fischer","non-dropping-particle":"","parse-names":false,"suffix":""},{"dropping-particle":"","family":"Sönmez","given":"Tolga Taha","non-dropping-particle":"","parse-names":false,"suffix":""},{"dropping-particle":"","family":"Varoga","given":"Deike","non-dropping-particle":"","parse-names":false,"suffix":""},{"dropping-particle":"","family":"Lichte","given":"Philipp","non-dropping-particle":"","parse-names":false,"suffix":""},{"dropping-particle":"","family":"Jahr","given":"Holger","non-dropping-particle":"","parse-names":false,"suffix":""},{"dropping-particle":"","family":"Pufe","given":"Thomas","non-dropping-particle":"","parse-names":false,"suffix":""},{"dropping-particle":"","family":"Wruck","given":"Christoph Jan","non-dropping-particle":"","parse-names":false,"suffix":""}],"container-title":"Calcified Tissue International","id":"ITEM-2","issue":"4","issued":{"date-parts":[["2014"]]},"page":"349-361","title":"Nrf2 Deficiency Impairs Fracture Healing in Mice","type":"article-journal","volume":"95"},"uris":["http://www.mendeley.com/documents/?uuid=8751a1bb-8868-44c7-953b-5c81af4aff5a"]}],"mendeley":{"formattedCitation":"&lt;sup&gt;48,49&lt;/sup&gt;","plainTextFormattedCitation":"48,49","previouslyFormattedCitation":"&lt;sup&gt;48,49&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48,49</w:t>
      </w:r>
      <w:r w:rsidRPr="00BC59F2">
        <w:rPr>
          <w:rFonts w:cs="Arial"/>
        </w:rPr>
        <w:fldChar w:fldCharType="end"/>
      </w:r>
      <w:r w:rsidR="00B03BB7" w:rsidRPr="00BC59F2">
        <w:rPr>
          <w:rFonts w:cs="Arial"/>
        </w:rPr>
        <w:t>.</w:t>
      </w:r>
      <w:r w:rsidRPr="00BC59F2">
        <w:rPr>
          <w:rFonts w:cs="Arial"/>
        </w:rPr>
        <w:t xml:space="preserve"> In a study by Lippross </w:t>
      </w:r>
      <w:r w:rsidRPr="00BC59F2">
        <w:rPr>
          <w:rFonts w:cs="Arial"/>
          <w:i/>
        </w:rPr>
        <w:t>et al</w:t>
      </w:r>
      <w:r w:rsidRPr="00BC59F2">
        <w:rPr>
          <w:rFonts w:cs="Arial"/>
        </w:rPr>
        <w:t xml:space="preserve">. a decline in the quality of bone remodelling was described and has been supported by evidence of reduced osteogenic differentiation of MSCs </w:t>
      </w:r>
      <w:r w:rsidRPr="00BC59F2">
        <w:rPr>
          <w:rFonts w:cs="Arial"/>
          <w:i/>
        </w:rPr>
        <w:t>in vitro</w:t>
      </w:r>
      <w:r w:rsidRPr="00BC59F2">
        <w:rPr>
          <w:rFonts w:cs="Arial"/>
        </w:rPr>
        <w:t xml:space="preserve"> while under conditions of oxidative stress, including those caused by Ag</w:t>
      </w:r>
      <w:r w:rsidRPr="00BC59F2">
        <w:rPr>
          <w:rFonts w:cs="Arial"/>
          <w:vertAlign w:val="superscript"/>
        </w:rPr>
        <w:t>+</w:t>
      </w:r>
      <w:r w:rsidRPr="00BC59F2">
        <w:rPr>
          <w:rFonts w:cs="Arial"/>
        </w:rPr>
        <w:t xml:space="preserve"> exposure</w:t>
      </w:r>
      <w:r w:rsidR="00B03BB7" w:rsidRPr="00BC59F2">
        <w:rPr>
          <w:rFonts w:cs="Arial"/>
        </w:rPr>
        <w:t xml:space="preserve"> </w:t>
      </w:r>
      <w:r w:rsidRPr="00BC59F2">
        <w:rPr>
          <w:rFonts w:cs="Arial"/>
        </w:rPr>
        <w:fldChar w:fldCharType="begin" w:fldLock="1"/>
      </w:r>
      <w:r w:rsidR="00C5479F" w:rsidRPr="00BC59F2">
        <w:rPr>
          <w:rFonts w:cs="Arial"/>
        </w:rPr>
        <w:instrText>ADDIN CSL_CITATION {"citationItems":[{"id":"ITEM-1","itemData":{"DOI":"10.1385/BTER:100:2:151","ISSN":"0163-4984","author":[{"dropping-particle":"","family":"Cortizo","given":"María C.","non-dropping-particle":"","parse-names":false,"suffix":""},{"dropping-particle":"","family":"Mele","given":"Mónica Fernández L","non-dropping-particle":"de","parse-names":false,"suffix":""},{"dropping-particle":"","family":"Cortizo","given":"Ana M","non-dropping-particle":"","parse-names":false,"suffix":""}],"container-title":"Biological Trace Element Research","id":"ITEM-1","issue":"2","issued":{"date-parts":[["2004"]]},"page":"151-168","title":"Metallic Dental Material Biocompatibility in Osteoblastlike Cells: Correlation with Metal Ion Release","type":"article-journal","volume":"100"},"uris":["http://www.mendeley.com/documents/?uuid=9c38f382-fd2a-43ca-9c99-cb597f78620c"]},{"id":"ITEM-2","itemData":{"DOI":"10.1002/jcb.22846","ISBN":"1097-4644","ISSN":"07302312","PMID":"20717924","abstract":"Oxidative stress may play a major role in age-related osteoporosis in part by inhibiting osteoblast generation from osteoprogenitors cells. In the present study, we hypothesized that oxidative stress may inhibit the osteogenic differentiation of bone marrow stromal cells (MSC) in part by inhibiting the Hedgehog (Hh) signaling pathway, which is essential for bone development and maintenance and induces osteogenic differentiation of osteoprogenitor cells. To test this hypothesis, we examined the effects of oxidative stress on Sonic Hh (Shh)-induced osteogenic differentiation and signaling in M2-10B4 (M2) MSC, C3H10T1/2 embryonic fibroblasts, and mouse primary MSC. Treatment of cells with H(2)O(2) inhibited Shh-induced osteogenic differentiation determined by the inhibition of Shh-induced expression of osteogenic differentiation markers alkaline phosphatase (ALP), osterix (OSX), and bone sialoprotein (BSP). Similar effects were found when oxidative stress was induced by xanthine/xanthine oxidase (XXO) or minimally oxidized LDL (MM-LDL). H(2)O(2) , XXO, and MM-LDL treatment inhibited Shh-induced expression of the Hh target genes Gli1 and Patched1 as well as Gli-dependent transcriptional activity in M2 cells. H(2)O(2) treatment also inhibited Hh signaling induced by the direct activation of Smoothened by purmorphamine (PM), but not by Gli1 overexpression. This suggests that oxidative stress may inhibit Hh signaling upstream of Gli activation and Gli-induced gene expression. These findings demonstrate for the first time that oxidative stress inhibits Hh signaling associated with osteogenic differentiation. Inhibition of Hh signaling-mediated osteogenic differentiation of osteoprogenitor cells may in part explain the inhibitory effects of oxidative stress on osteoblast development, differentiation, and maintenance in aging.","author":[{"dropping-particle":"","family":"Kim","given":"Woo-Kyun","non-dropping-particle":"","parse-names":false,"suffix":""},{"dropping-particle":"","family":"Meliton","given":"Vicente","non-dropping-particle":"","parse-names":false,"suffix":""},{"dropping-particle":"","family":"Bourquard","given":"Noam","non-dropping-particle":"","parse-names":false,"suffix":""},{"dropping-particle":"","family":"Hahn","given":"Theodore J.","non-dropping-particle":"","parse-names":false,"suffix":""},{"dropping-particle":"","family":"Parhami","given":"Farhad","non-dropping-particle":"","parse-names":false,"suffix":""}],"container-title":"Journal of Cellular Biochemistry","id":"ITEM-2","issue":"5","issued":{"date-parts":[["2010"]]},"page":"1199-1209","title":"Hedgehog signaling and osteogenic differentiation in multipotent bone marrow stromal cells are inhibited by oxidative stress","type":"article-journal","volume":"111"},"uris":["http://www.mendeley.com/documents/?uuid=1fa11c22-d3b5-4aee-829e-8a859442ad9f"]},{"id":"ITEM-3","itemData":{"DOI":"10.3762/bjnano.5.214","author":[{"dropping-particle":"","family":"Sengstock","given":"Christina","non-dropping-particle":"","parse-names":false,"suffix":""},{"dropping-particle":"","family":"Diendorf","given":"Jörg","non-dropping-particle":"","parse-names":false,"suffix":""},{"dropping-particle":"","family":"Epple","given":"Matthias","non-dropping-particle":"","parse-names":false,"suffix":""},{"dropping-particle":"","family":"Schildhauer","given":"Thomas A","non-dropping-particle":"","parse-names":false,"suffix":""},{"dropping-particle":"","family":"Köller","given":"Manfred","non-dropping-particle":"","parse-names":false,"suffix":""}],"container-title":"Beilstein Journal of Nanotechnology","id":"ITEM-3","issued":{"date-parts":[["2014"]]},"note":"Differentiation in the presence of Ag+\n1ug/mL = 9.3uM\n0.5ug/mL = 4.6uM\n0.25ug/mL = 2.3uM","page":"2058-2069","title":"Effect of silver nanoparticles on human mesenchymal stem cell differentiation","type":"article-journal","volume":"5"},"uris":["http://www.mendeley.com/documents/?uuid=2c04e685-73a6-4266-84fc-014f85e83318"]},{"id":"ITEM-4","itemData":{"DOI":"10.1007/s00223-014-9900-5","ISBN":"0171-967X","ISSN":"14320827","PMID":"25096517","abstract":"Oxidative stress plays an important role in wound healing but data relating oxidative stress to fracture healing are scarce. Nuclear factor erythroid 2-related factor 2 (Nrf2) is the major transcription factor that controls the cellular defence essential to combat oxidative stress by regulating the expression of antioxidative enzymes. This study examined the impact of Nrf2 on fracture healing using a standard closed femoral shaft fracture model in wild-type (WT) and Nrf2-knockout (Nrf2-KO)-mice. Healing was evaluated by histology, real-time RT-PCR, µCT and biomechanical measurements. We showed that Nrf2 expression is activated during fracture healing. Bone healing and remodelling were retarded in the Nrf2-KO compared to the WT-mice. Nrf2-KO-mice developed significantly less callus tissue compared to WT-mice. In addition, biomechanical testing demonstrated lower strength against shear stress in the Nrf2-KO-group compared to WT. The expression of vascular endothelial growth factor (VEGF) and osteocalcin is reduced during fracture healing in Nrf2-KO-mice. Taken together, our results demonstrate that Nrf2 deficiency in mice results in impaired fracture healing suggesting that Nrf2 plays an essential role in bone regeneration. Pharmacological activation of Nrf2 may have therapeutic potential for the enhancement of fracture healing.","author":[{"dropping-particle":"","family":"Lippross","given":"Sebastian","non-dropping-particle":"","parse-names":false,"suffix":""},{"dropping-particle":"","family":"Beckmann","given":"Rainer","non-dropping-particle":"","parse-names":false,"suffix":""},{"dropping-particle":"","family":"Streubesand","given":"Nadine","non-dropping-particle":"","parse-names":false,"suffix":""},{"dropping-particle":"","family":"Ayub","given":"Ferda","non-dropping-particle":"","parse-names":false,"suffix":""},{"dropping-particle":"","family":"Tohidnezhad","given":"Mersedeh","non-dropping-particle":"","parse-names":false,"suffix":""},{"dropping-particle":"","family":"Campbell","given":"Graeme","non-dropping-particle":"","parse-names":false,"suffix":""},{"dropping-particle":"","family":"Kan","given":"Yuet Wai","non-dropping-particle":"","parse-names":false,"suffix":""},{"dropping-particle":"","family":"Horst","given":"Fischer","non-dropping-particle":"","parse-names":false,"suffix":""},{"dropping-particle":"","family":"Sönmez","given":"Tolga Taha","non-dropping-particle":"","parse-names":false,"suffix":""},{"dropping-particle":"","family":"Varoga","given":"Deike","non-dropping-particle":"","parse-names":false,"suffix":""},{"dropping-particle":"","family":"Lichte","given":"Philipp","non-dropping-particle":"","parse-names":false,"suffix":""},{"dropping-particle":"","family":"Jahr","given":"Holger","non-dropping-particle":"","parse-names":false,"suffix":""},{"dropping-particle":"","family":"Pufe","given":"Thomas","non-dropping-particle":"","parse-names":false,"suffix":""},{"dropping-particle":"","family":"Wruck","given":"Christoph Jan","non-dropping-particle":"","parse-names":false,"suffix":""}],"container-title":"Calcified Tissue International","id":"ITEM-4","issue":"4","issued":{"date-parts":[["2014"]]},"page":"349-361","title":"Nrf2 Deficiency Impairs Fracture Healing in Mice","type":"article-journal","volume":"95"},"uris":["http://www.mendeley.com/documents/?uuid=8751a1bb-8868-44c7-953b-5c81af4aff5a"]}],"mendeley":{"formattedCitation":"&lt;sup&gt;49–52&lt;/sup&gt;","plainTextFormattedCitation":"49–52","previouslyFormattedCitation":"&lt;sup&gt;49–52&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49–52</w:t>
      </w:r>
      <w:r w:rsidRPr="00BC59F2">
        <w:rPr>
          <w:rFonts w:cs="Arial"/>
        </w:rPr>
        <w:fldChar w:fldCharType="end"/>
      </w:r>
      <w:r w:rsidR="00B03BB7" w:rsidRPr="00BC59F2">
        <w:rPr>
          <w:rFonts w:cs="Arial"/>
        </w:rPr>
        <w:t>.</w:t>
      </w:r>
      <w:r w:rsidRPr="00BC59F2">
        <w:rPr>
          <w:rFonts w:cs="Arial"/>
        </w:rPr>
        <w:t xml:space="preserve"> Osteoblast activity plays an important role in the formation of the hard callus during secondary fracture healing, an event that occurs several weeks following the initial injury. We determined that the retention time of silver within the bone was minimal in our model, additionally, we found </w:t>
      </w:r>
      <w:r w:rsidR="00154FD3" w:rsidRPr="00BC59F2">
        <w:rPr>
          <w:rFonts w:cs="Arial"/>
        </w:rPr>
        <w:t xml:space="preserve">that adipogenesis was differentially altered dependent on the timing of exposure. </w:t>
      </w:r>
      <w:r w:rsidR="00C85975" w:rsidRPr="00BC59F2">
        <w:rPr>
          <w:rFonts w:cs="Arial"/>
        </w:rPr>
        <w:t>While a limitation of our study is our measurement of one indicator of osteogenesis (ALP), with further work investigating other markers by e.g. qPCR required to provide more robust information</w:t>
      </w:r>
      <w:r w:rsidR="00154FD3" w:rsidRPr="00BC59F2">
        <w:rPr>
          <w:rFonts w:cs="Arial"/>
        </w:rPr>
        <w:t xml:space="preserve">, </w:t>
      </w:r>
      <w:r w:rsidR="00C85975" w:rsidRPr="00BC59F2">
        <w:rPr>
          <w:rFonts w:cs="Arial"/>
        </w:rPr>
        <w:t xml:space="preserve">we report that </w:t>
      </w:r>
      <w:r w:rsidRPr="00BC59F2">
        <w:rPr>
          <w:rFonts w:cs="Arial"/>
        </w:rPr>
        <w:t xml:space="preserve">little effect on the osteogenic capacity of </w:t>
      </w:r>
      <w:r w:rsidR="0013343C" w:rsidRPr="00BC59F2">
        <w:rPr>
          <w:rFonts w:cs="Arial"/>
        </w:rPr>
        <w:t xml:space="preserve">confluent </w:t>
      </w:r>
      <w:r w:rsidRPr="00BC59F2">
        <w:rPr>
          <w:rFonts w:cs="Arial"/>
        </w:rPr>
        <w:t xml:space="preserve">MSCs </w:t>
      </w:r>
      <w:r w:rsidR="00C85975" w:rsidRPr="00BC59F2">
        <w:rPr>
          <w:rFonts w:cs="Arial"/>
        </w:rPr>
        <w:t xml:space="preserve">and cell viability </w:t>
      </w:r>
      <w:r w:rsidR="00154FD3" w:rsidRPr="00BC59F2">
        <w:rPr>
          <w:rFonts w:cs="Arial"/>
        </w:rPr>
        <w:t xml:space="preserve">was observed </w:t>
      </w:r>
      <w:r w:rsidRPr="00BC59F2">
        <w:rPr>
          <w:rFonts w:cs="Arial"/>
        </w:rPr>
        <w:t>even while under the 10 µM Ag</w:t>
      </w:r>
      <w:r w:rsidRPr="00BC59F2">
        <w:rPr>
          <w:rFonts w:cs="Arial"/>
          <w:vertAlign w:val="superscript"/>
        </w:rPr>
        <w:t>+</w:t>
      </w:r>
      <w:r w:rsidRPr="00BC59F2">
        <w:rPr>
          <w:rFonts w:cs="Arial"/>
        </w:rPr>
        <w:t xml:space="preserve"> conditions</w:t>
      </w:r>
      <w:r w:rsidR="00141260" w:rsidRPr="00BC59F2">
        <w:rPr>
          <w:rFonts w:cs="Arial"/>
        </w:rPr>
        <w:t>, a concentration that is</w:t>
      </w:r>
      <w:r w:rsidRPr="00BC59F2">
        <w:rPr>
          <w:rFonts w:cs="Arial"/>
        </w:rPr>
        <w:t xml:space="preserve"> </w:t>
      </w:r>
      <w:r w:rsidR="0013343C" w:rsidRPr="00BC59F2">
        <w:rPr>
          <w:rFonts w:cs="Arial"/>
        </w:rPr>
        <w:t>in line with</w:t>
      </w:r>
      <w:r w:rsidRPr="00BC59F2">
        <w:rPr>
          <w:rFonts w:cs="Arial"/>
        </w:rPr>
        <w:t xml:space="preserve"> the maximum </w:t>
      </w:r>
      <w:r w:rsidR="0013343C" w:rsidRPr="00BC59F2">
        <w:rPr>
          <w:rFonts w:cs="Arial"/>
        </w:rPr>
        <w:t xml:space="preserve">silver </w:t>
      </w:r>
      <w:r w:rsidRPr="00BC59F2">
        <w:rPr>
          <w:rFonts w:cs="Arial"/>
        </w:rPr>
        <w:t xml:space="preserve">elution characteristics </w:t>
      </w:r>
      <w:r w:rsidR="0013343C" w:rsidRPr="00BC59F2">
        <w:rPr>
          <w:rFonts w:cs="Arial"/>
        </w:rPr>
        <w:t>measured using the</w:t>
      </w:r>
      <w:r w:rsidRPr="00BC59F2">
        <w:rPr>
          <w:rFonts w:cs="Arial"/>
        </w:rPr>
        <w:t xml:space="preserve"> rat </w:t>
      </w:r>
      <w:r w:rsidRPr="00BC59F2">
        <w:rPr>
          <w:rFonts w:cs="Arial"/>
          <w:i/>
        </w:rPr>
        <w:t>in vivo</w:t>
      </w:r>
      <w:r w:rsidRPr="00BC59F2">
        <w:rPr>
          <w:rFonts w:cs="Arial"/>
        </w:rPr>
        <w:t xml:space="preserve"> model</w:t>
      </w:r>
      <w:r w:rsidR="0013343C" w:rsidRPr="00BC59F2">
        <w:rPr>
          <w:rFonts w:cs="Arial"/>
        </w:rPr>
        <w:t>.</w:t>
      </w:r>
      <w:r w:rsidR="00151A78" w:rsidRPr="00BC59F2">
        <w:rPr>
          <w:rFonts w:cs="Arial"/>
        </w:rPr>
        <w:t xml:space="preserve"> </w:t>
      </w:r>
      <w:r w:rsidR="00784AB2" w:rsidRPr="00BC59F2">
        <w:rPr>
          <w:rFonts w:cs="Arial"/>
        </w:rPr>
        <w:t>Of interest</w:t>
      </w:r>
      <w:r w:rsidR="00154FD3" w:rsidRPr="00BC59F2">
        <w:rPr>
          <w:rFonts w:cs="Arial"/>
        </w:rPr>
        <w:t>, however,</w:t>
      </w:r>
      <w:r w:rsidRPr="00BC59F2">
        <w:rPr>
          <w:rFonts w:cs="Arial"/>
        </w:rPr>
        <w:t xml:space="preserve"> was the significant decline in </w:t>
      </w:r>
      <w:r w:rsidR="0013343C" w:rsidRPr="00BC59F2">
        <w:rPr>
          <w:rFonts w:cs="Arial"/>
        </w:rPr>
        <w:t xml:space="preserve">MSC </w:t>
      </w:r>
      <w:r w:rsidRPr="00BC59F2">
        <w:rPr>
          <w:rFonts w:cs="Arial"/>
        </w:rPr>
        <w:t>clonogenicity that was discovered while under these same conditions.</w:t>
      </w:r>
      <w:r w:rsidR="00784AB2" w:rsidRPr="00BC59F2">
        <w:rPr>
          <w:rFonts w:cs="Arial"/>
        </w:rPr>
        <w:t xml:space="preserve"> The importance of MSC number at a fracture site was highlighted by Hernigou </w:t>
      </w:r>
      <w:r w:rsidR="00784AB2" w:rsidRPr="00BC59F2">
        <w:rPr>
          <w:rFonts w:cs="Arial"/>
          <w:i/>
        </w:rPr>
        <w:t>et al</w:t>
      </w:r>
      <w:r w:rsidR="00784AB2" w:rsidRPr="00BC59F2">
        <w:rPr>
          <w:rFonts w:cs="Arial"/>
        </w:rPr>
        <w:t>. and it is conceivable that our observation of reduced clonogenicity during conditions of oxidative stress may explain the reports of reduced healing in fracture</w:t>
      </w:r>
      <w:r w:rsidR="00A1386B" w:rsidRPr="00BC59F2">
        <w:rPr>
          <w:rFonts w:cs="Arial"/>
        </w:rPr>
        <w:t xml:space="preserve"> models with localised </w:t>
      </w:r>
      <w:r w:rsidR="00FF6CE4" w:rsidRPr="00BC59F2">
        <w:rPr>
          <w:rFonts w:cs="Arial"/>
        </w:rPr>
        <w:t xml:space="preserve">induced </w:t>
      </w:r>
      <w:r w:rsidR="00A1386B" w:rsidRPr="00BC59F2">
        <w:rPr>
          <w:rFonts w:cs="Arial"/>
        </w:rPr>
        <w:t>ROS</w:t>
      </w:r>
      <w:r w:rsidR="00B03BB7" w:rsidRPr="00BC59F2">
        <w:rPr>
          <w:rFonts w:cs="Arial"/>
        </w:rPr>
        <w:t xml:space="preserve"> </w:t>
      </w:r>
      <w:r w:rsidR="00784AB2" w:rsidRPr="00BC59F2">
        <w:rPr>
          <w:rFonts w:cs="Arial"/>
        </w:rPr>
        <w:fldChar w:fldCharType="begin" w:fldLock="1"/>
      </w:r>
      <w:r w:rsidR="00C5479F" w:rsidRPr="00BC59F2">
        <w:rPr>
          <w:rFonts w:cs="Arial"/>
        </w:rPr>
        <w:instrText>ADDIN CSL_CITATION {"citationItems":[{"id":"ITEM-1","itemData":{"DOI":"10.2106/JBJS.D.02215","author":[{"dropping-particle":"","family":"Hernigou","given":"P. H.","non-dropping-particle":"","parse-names":false,"suffix":""},{"dropping-particle":"","family":"Poignard","given":"A.","non-dropping-particle":"","parse-names":false,"suffix":""},{"dropping-particle":"","family":"Beaujean","given":"F.","non-dropping-particle":"","parse-names":false,"suffix":""},{"dropping-particle":"","family":"Rouard","given":"H.","non-dropping-particle":"","parse-names":false,"suffix":""}],"container-title":"The Journal of Bone and Joint Surgery","id":"ITEM-1","issue":"7","issued":{"date-parts":[["2005"]]},"page":"1430-1437","title":"Percutaneous autologous bone- marrow grafting for nonunions. Influence of the number and concentration of progenitor cells.","type":"article-journal","volume":"87-A"},"uris":["http://www.mendeley.com/documents/?uuid=938d3fd5-fb0f-4704-9a43-81aa2a3c0f24"]},{"id":"ITEM-2","itemData":{"DOI":"10.3109/17453679508995590","ISBN":"1745367950","ISSN":"17453674","PMID":"7484133","abstract":"We studied the effect of oxygen-free radicals on fracture healing. 30 male rats were divided into 2 groups: 15 rats were given saline 5 mL/kg i.p. (control group) and 15 were given zymosan 100 mg/kg i.p. to induce oxygen-free radicals through stimulation of NADPH oxidase in polymorphonuclear leucocytes. 1 hour later, the right forelimbs of the rats were broken by light manual compression. These treatments were given once a day until the fifth post-fracture day. All rats were killed on day 22, and histological sections of the radius and ulna were examined without knowledge of the treatment given. The administration of zymosan impaired the fracture healing and therefore oxygen-free radicals appear to play an important role in fracture healing.","author":[{"dropping-particle":"","family":"Göktürk","given":"Erol","non-dropping-particle":"","parse-names":false,"suffix":""},{"dropping-particle":"","family":"Turgut","given":"Akin","non-dropping-particle":"","parse-names":false,"suffix":""},{"dropping-particle":"","family":"Baygu","given":"Cengiz","non-dropping-particle":"","parse-names":false,"suffix":""},{"dropping-particle":"","family":"Gunal","given":"Izge","non-dropping-particle":"","parse-names":false,"suffix":""},{"dropping-particle":"","family":"Seber","given":"Sinan","non-dropping-particle":"","parse-names":false,"suffix":""},{"dropping-particle":"","family":"Gulbas","given":"Zafer","non-dropping-particle":"","parse-names":false,"suffix":""}],"container-title":"Acta Orthopaedica","id":"ITEM-2","issue":"5","issued":{"date-parts":[["1995"]]},"page":"473-475","title":"Oxygen-free radicals impair fracture healing in rats","type":"article-journal","volume":"66"},"uris":["http://www.mendeley.com/documents/?uuid=9e49d9c0-22aa-4580-b0a4-05cb652e8d69"]},{"id":"ITEM-3","itemData":{"DOI":"10.1007/s00223-014-9900-5","ISBN":"0171-967X","ISSN":"14320827","PMID":"25096517","abstract":"Oxidative stress plays an important role in wound healing but data relating oxidative stress to fracture healing are scarce. Nuclear factor erythroid 2-related factor 2 (Nrf2) is the major transcription factor that controls the cellular defence essential to combat oxidative stress by regulating the expression of antioxidative enzymes. This study examined the impact of Nrf2 on fracture healing using a standard closed femoral shaft fracture model in wild-type (WT) and Nrf2-knockout (Nrf2-KO)-mice. Healing was evaluated by histology, real-time RT-PCR, µCT and biomechanical measurements. We showed that Nrf2 expression is activated during fracture healing. Bone healing and remodelling were retarded in the Nrf2-KO compared to the WT-mice. Nrf2-KO-mice developed significantly less callus tissue compared to WT-mice. In addition, biomechanical testing demonstrated lower strength against shear stress in the Nrf2-KO-group compared to WT. The expression of vascular endothelial growth factor (VEGF) and osteocalcin is reduced during fracture healing in Nrf2-KO-mice. Taken together, our results demonstrate that Nrf2 deficiency in mice results in impaired fracture healing suggesting that Nrf2 plays an essential role in bone regeneration. Pharmacological activation of Nrf2 may have therapeutic potential for the enhancement of fracture healing.","author":[{"dropping-particle":"","family":"Lippross","given":"Sebastian","non-dropping-particle":"","parse-names":false,"suffix":""},{"dropping-particle":"","family":"Beckmann","given":"Rainer","non-dropping-particle":"","parse-names":false,"suffix":""},{"dropping-particle":"","family":"Streubesand","given":"Nadine","non-dropping-particle":"","parse-names":false,"suffix":""},{"dropping-particle":"","family":"Ayub","given":"Ferda","non-dropping-particle":"","parse-names":false,"suffix":""},{"dropping-particle":"","family":"Tohidnezhad","given":"Mersedeh","non-dropping-particle":"","parse-names":false,"suffix":""},{"dropping-particle":"","family":"Campbell","given":"Graeme","non-dropping-particle":"","parse-names":false,"suffix":""},{"dropping-particle":"","family":"Kan","given":"Yuet Wai","non-dropping-particle":"","parse-names":false,"suffix":""},{"dropping-particle":"","family":"Horst","given":"Fischer","non-dropping-particle":"","parse-names":false,"suffix":""},{"dropping-particle":"","family":"Sönmez","given":"Tolga Taha","non-dropping-particle":"","parse-names":false,"suffix":""},{"dropping-particle":"","family":"Varoga","given":"Deike","non-dropping-particle":"","parse-names":false,"suffix":""},{"dropping-particle":"","family":"Lichte","given":"Philipp","non-dropping-particle":"","parse-names":false,"suffix":""},{"dropping-particle":"","family":"Jahr","given":"Holger","non-dropping-particle":"","parse-names":false,"suffix":""},{"dropping-particle":"","family":"Pufe","given":"Thomas","non-dropping-particle":"","parse-names":false,"suffix":""},{"dropping-particle":"","family":"Wruck","given":"Christoph Jan","non-dropping-particle":"","parse-names":false,"suffix":""}],"container-title":"Calcified Tissue International","id":"ITEM-3","issue":"4","issued":{"date-parts":[["2014"]]},"page":"349-361","title":"Nrf2 Deficiency Impairs Fracture Healing in Mice","type":"article-journal","volume":"95"},"uris":["http://www.mendeley.com/documents/?uuid=8751a1bb-8868-44c7-953b-5c81af4aff5a"]}],"mendeley":{"formattedCitation":"&lt;sup&gt;48,49,53&lt;/sup&gt;","plainTextFormattedCitation":"48,49,53","previouslyFormattedCitation":"&lt;sup&gt;48,49,53&lt;/sup&gt;"},"properties":{"noteIndex":0},"schema":"https://github.com/citation-style-language/schema/raw/master/csl-citation.json"}</w:instrText>
      </w:r>
      <w:r w:rsidR="00784AB2" w:rsidRPr="00BC59F2">
        <w:rPr>
          <w:rFonts w:cs="Arial"/>
        </w:rPr>
        <w:fldChar w:fldCharType="separate"/>
      </w:r>
      <w:r w:rsidR="00E37F00" w:rsidRPr="00BC59F2">
        <w:rPr>
          <w:rFonts w:cs="Arial"/>
          <w:noProof/>
          <w:vertAlign w:val="superscript"/>
        </w:rPr>
        <w:t>48,49,53</w:t>
      </w:r>
      <w:r w:rsidR="00784AB2" w:rsidRPr="00BC59F2">
        <w:rPr>
          <w:rFonts w:cs="Arial"/>
        </w:rPr>
        <w:fldChar w:fldCharType="end"/>
      </w:r>
      <w:r w:rsidR="00B03BB7" w:rsidRPr="00BC59F2">
        <w:rPr>
          <w:rFonts w:cs="Arial"/>
        </w:rPr>
        <w:t>.</w:t>
      </w:r>
      <w:r w:rsidRPr="00BC59F2">
        <w:rPr>
          <w:rFonts w:cs="Arial"/>
        </w:rPr>
        <w:t xml:space="preserve"> </w:t>
      </w:r>
      <w:r w:rsidR="00C85975" w:rsidRPr="00BC59F2">
        <w:rPr>
          <w:rFonts w:cs="Arial"/>
        </w:rPr>
        <w:t xml:space="preserve">Further investigation of MSC function following </w:t>
      </w:r>
      <w:r w:rsidR="00C85975" w:rsidRPr="00BC59F2">
        <w:rPr>
          <w:rFonts w:cs="Arial"/>
          <w:i/>
        </w:rPr>
        <w:t>in vivo</w:t>
      </w:r>
      <w:r w:rsidR="00C85975" w:rsidRPr="00BC59F2">
        <w:rPr>
          <w:rFonts w:cs="Arial"/>
        </w:rPr>
        <w:t xml:space="preserve"> exposure to the silver coated implants would have provid</w:t>
      </w:r>
      <w:r w:rsidR="00566D1E" w:rsidRPr="00BC59F2">
        <w:rPr>
          <w:rFonts w:cs="Arial"/>
        </w:rPr>
        <w:t>ed valuable additional insight.</w:t>
      </w:r>
    </w:p>
    <w:p w14:paraId="528A45F2" w14:textId="1CB41C23" w:rsidR="00E46428" w:rsidRPr="00BC59F2" w:rsidRDefault="00E46428" w:rsidP="00476FA4">
      <w:pPr>
        <w:spacing w:after="240" w:line="276" w:lineRule="auto"/>
        <w:contextualSpacing/>
        <w:jc w:val="left"/>
        <w:rPr>
          <w:rFonts w:cs="Arial"/>
        </w:rPr>
      </w:pPr>
      <w:r w:rsidRPr="00BC59F2">
        <w:rPr>
          <w:rFonts w:cs="Arial"/>
        </w:rPr>
        <w:t xml:space="preserve">Together, our data indicate that clinically relevant silver concentrations remain sub-toxic to MSCs at high density, but can result in a decreased </w:t>
      </w:r>
      <w:r w:rsidR="00141260" w:rsidRPr="00BC59F2">
        <w:rPr>
          <w:rFonts w:cs="Arial"/>
        </w:rPr>
        <w:t>colony-forming capacity</w:t>
      </w:r>
      <w:r w:rsidRPr="00BC59F2">
        <w:rPr>
          <w:rFonts w:cs="Arial"/>
        </w:rPr>
        <w:t xml:space="preserve">. Tolerant </w:t>
      </w:r>
      <w:r w:rsidR="00141260" w:rsidRPr="00BC59F2">
        <w:rPr>
          <w:rFonts w:cs="Arial"/>
        </w:rPr>
        <w:t>CFU-f</w:t>
      </w:r>
      <w:r w:rsidRPr="00BC59F2">
        <w:rPr>
          <w:rFonts w:cs="Arial"/>
        </w:rPr>
        <w:t>s show upregulated mechanisms to neutralise ROS and minimise the impact of DNA damage, with the implication that those cells maintain their osteogenic capacity, allowing the progression of fracture healing.</w:t>
      </w:r>
      <w:r w:rsidR="00E37F00" w:rsidRPr="00BC59F2">
        <w:rPr>
          <w:rFonts w:cs="Arial"/>
        </w:rPr>
        <w:t xml:space="preserve"> These findings </w:t>
      </w:r>
      <w:r w:rsidR="00DC5F71" w:rsidRPr="00BC59F2">
        <w:rPr>
          <w:rFonts w:cs="Arial"/>
        </w:rPr>
        <w:t>indicate that silver may</w:t>
      </w:r>
      <w:r w:rsidR="00E37F00" w:rsidRPr="00BC59F2">
        <w:rPr>
          <w:rFonts w:cs="Arial"/>
        </w:rPr>
        <w:t xml:space="preserve"> </w:t>
      </w:r>
      <w:r w:rsidR="00DC5F71" w:rsidRPr="00BC59F2">
        <w:rPr>
          <w:rFonts w:cs="Arial"/>
        </w:rPr>
        <w:t xml:space="preserve">have a role to play in reducing the incidence of fracture fixation related infection, bringing potential benefits to both patients and healthcare system. </w:t>
      </w:r>
    </w:p>
    <w:p w14:paraId="30214DE9" w14:textId="431B0B87" w:rsidR="00E367D8" w:rsidRPr="00BC59F2" w:rsidRDefault="00E367D8" w:rsidP="00476FA4">
      <w:pPr>
        <w:spacing w:before="0" w:after="160" w:line="276" w:lineRule="auto"/>
        <w:jc w:val="left"/>
        <w:rPr>
          <w:rFonts w:cs="Arial"/>
        </w:rPr>
      </w:pPr>
    </w:p>
    <w:p w14:paraId="34496ED6" w14:textId="77777777" w:rsidR="00C070C1" w:rsidRPr="00BC59F2" w:rsidRDefault="00C070C1" w:rsidP="00476FA4">
      <w:pPr>
        <w:pStyle w:val="Heading1"/>
        <w:spacing w:line="276" w:lineRule="auto"/>
      </w:pPr>
      <w:r w:rsidRPr="00BC59F2">
        <w:t>Materials and Methods</w:t>
      </w:r>
    </w:p>
    <w:p w14:paraId="78A48049" w14:textId="070619C2" w:rsidR="00C070C1" w:rsidRPr="00BC59F2" w:rsidRDefault="00C070C1" w:rsidP="00476FA4">
      <w:pPr>
        <w:spacing w:line="276" w:lineRule="auto"/>
        <w:contextualSpacing/>
        <w:jc w:val="left"/>
        <w:rPr>
          <w:rFonts w:cs="Arial"/>
        </w:rPr>
      </w:pPr>
      <w:r w:rsidRPr="00BC59F2">
        <w:rPr>
          <w:rFonts w:cs="Arial"/>
        </w:rPr>
        <w:t>The following methods describe the investigation of Ag</w:t>
      </w:r>
      <w:r w:rsidRPr="00BC59F2">
        <w:rPr>
          <w:rFonts w:cs="Arial"/>
          <w:vertAlign w:val="superscript"/>
        </w:rPr>
        <w:t>+</w:t>
      </w:r>
      <w:r w:rsidRPr="00BC59F2">
        <w:rPr>
          <w:rFonts w:cs="Arial"/>
        </w:rPr>
        <w:t xml:space="preserve"> release from intramedullary implants, translating this to </w:t>
      </w:r>
      <w:r w:rsidRPr="00BC59F2">
        <w:rPr>
          <w:rFonts w:cs="Arial"/>
          <w:i/>
        </w:rPr>
        <w:t>in vitro</w:t>
      </w:r>
      <w:r w:rsidRPr="00BC59F2">
        <w:rPr>
          <w:rFonts w:cs="Arial"/>
        </w:rPr>
        <w:t xml:space="preserve"> methods that assessed the effect on MSC function.</w:t>
      </w:r>
    </w:p>
    <w:p w14:paraId="59DA5CCB" w14:textId="77777777" w:rsidR="00C070C1" w:rsidRPr="00BC59F2" w:rsidRDefault="00C070C1" w:rsidP="00476FA4">
      <w:pPr>
        <w:pStyle w:val="Heading2"/>
        <w:spacing w:line="276" w:lineRule="auto"/>
      </w:pPr>
      <w:r w:rsidRPr="00BC59F2">
        <w:lastRenderedPageBreak/>
        <w:t>Preparation and characterisation of silver coated implants</w:t>
      </w:r>
    </w:p>
    <w:p w14:paraId="2926ABBE" w14:textId="77777777" w:rsidR="00C070C1" w:rsidRPr="00BC59F2" w:rsidRDefault="00C070C1" w:rsidP="00476FA4">
      <w:pPr>
        <w:spacing w:line="276" w:lineRule="auto"/>
        <w:contextualSpacing/>
        <w:jc w:val="left"/>
        <w:rPr>
          <w:rFonts w:cs="Arial"/>
        </w:rPr>
      </w:pPr>
      <w:r w:rsidRPr="00BC59F2">
        <w:rPr>
          <w:rFonts w:cs="Arial"/>
        </w:rPr>
        <w:t>Titanium alloy (Ti-6Al-4V) rods (20 mm length x 1.1 mm diameter) were passivated in 10 M sodium hydroxide at a temperature of 60 °C (pins, 1 hour 50 mins) followed by incubation in 0.1 M silver nitrate (Alfa Aesar) at 60 °C  for 1 hr, to achieve a targeted silver dose of ~50 µg/cm</w:t>
      </w:r>
      <w:r w:rsidRPr="00BC59F2">
        <w:rPr>
          <w:rFonts w:cs="Arial"/>
          <w:vertAlign w:val="superscript"/>
        </w:rPr>
        <w:t>2</w:t>
      </w:r>
      <w:r w:rsidRPr="00BC59F2">
        <w:rPr>
          <w:rFonts w:cs="Arial"/>
        </w:rPr>
        <w:t>. All implants were gamma sterilised prior to surgery (25-40 kGy).</w:t>
      </w:r>
    </w:p>
    <w:p w14:paraId="09C7762E" w14:textId="6A0AC7D4" w:rsidR="00C070C1" w:rsidRPr="00BC59F2" w:rsidRDefault="00C070C1" w:rsidP="00476FA4">
      <w:pPr>
        <w:spacing w:line="276" w:lineRule="auto"/>
        <w:contextualSpacing/>
        <w:jc w:val="left"/>
        <w:rPr>
          <w:rFonts w:cs="Arial"/>
        </w:rPr>
      </w:pPr>
      <w:r w:rsidRPr="00BC59F2">
        <w:rPr>
          <w:rFonts w:cs="Arial"/>
        </w:rPr>
        <w:t>Total silver analysis was determined pre- and post-implantation (where appropriate). Individual implants were placed in 1:2 (v/v) nitric acid/dH</w:t>
      </w:r>
      <w:r w:rsidRPr="00BC59F2">
        <w:rPr>
          <w:rFonts w:cs="Arial"/>
          <w:vertAlign w:val="subscript"/>
        </w:rPr>
        <w:t>2</w:t>
      </w:r>
      <w:r w:rsidRPr="00BC59F2">
        <w:rPr>
          <w:rFonts w:cs="Arial"/>
        </w:rPr>
        <w:t>O and incubated overnight at room temperature (RT). Solutions were vortexed and diluted 1:1000 (v/v) in 1% nitric acid. Silver content was determined against an Ag</w:t>
      </w:r>
      <w:r w:rsidRPr="00BC59F2">
        <w:rPr>
          <w:rFonts w:cs="Arial"/>
          <w:vertAlign w:val="superscript"/>
        </w:rPr>
        <w:t>+</w:t>
      </w:r>
      <w:r w:rsidRPr="00BC59F2">
        <w:rPr>
          <w:rFonts w:cs="Arial"/>
        </w:rPr>
        <w:t xml:space="preserve"> standard (0.2-20 ppb) using the Agilent 8800 ICP-MS Triple Quad (Stockport, UK) in the presence of a 500 ppb rhodamine internal standard.</w:t>
      </w:r>
    </w:p>
    <w:p w14:paraId="440D73B7" w14:textId="77777777" w:rsidR="00C070C1" w:rsidRPr="00BC59F2" w:rsidRDefault="00C070C1" w:rsidP="00476FA4">
      <w:pPr>
        <w:pStyle w:val="Heading2"/>
        <w:spacing w:line="276" w:lineRule="auto"/>
      </w:pPr>
      <w:r w:rsidRPr="00BC59F2">
        <w:t>Extended time-point repeat challenge microbiology testing of silver coated pins</w:t>
      </w:r>
    </w:p>
    <w:p w14:paraId="531D0560" w14:textId="77777777" w:rsidR="00C070C1" w:rsidRPr="00BC59F2" w:rsidRDefault="00C070C1" w:rsidP="00476FA4">
      <w:pPr>
        <w:autoSpaceDE w:val="0"/>
        <w:autoSpaceDN w:val="0"/>
        <w:adjustRightInd w:val="0"/>
        <w:spacing w:before="0" w:after="0" w:line="276" w:lineRule="auto"/>
        <w:jc w:val="left"/>
        <w:rPr>
          <w:rFonts w:cs="Arial"/>
        </w:rPr>
      </w:pPr>
      <w:r w:rsidRPr="00BC59F2">
        <w:rPr>
          <w:rFonts w:cs="Arial"/>
        </w:rPr>
        <w:t xml:space="preserve">Silver coated pins in cryovial tubes (NUNC, UK) were inoculated with 1 mL </w:t>
      </w:r>
      <w:r w:rsidRPr="00BC59F2">
        <w:rPr>
          <w:rFonts w:cs="Arial"/>
          <w:i/>
          <w:iCs/>
        </w:rPr>
        <w:t xml:space="preserve">Staphylococcus aureus </w:t>
      </w:r>
      <w:r w:rsidRPr="00BC59F2">
        <w:rPr>
          <w:rFonts w:cs="Arial"/>
        </w:rPr>
        <w:t>ATCC 25923 (1 x 10</w:t>
      </w:r>
      <w:r w:rsidRPr="00BC59F2">
        <w:rPr>
          <w:rFonts w:cs="Arial"/>
          <w:vertAlign w:val="superscript"/>
        </w:rPr>
        <w:t>4</w:t>
      </w:r>
      <w:r w:rsidRPr="00BC59F2">
        <w:rPr>
          <w:rFonts w:cs="Arial"/>
        </w:rPr>
        <w:t xml:space="preserve"> CFU/ml) in 10 % Foetal Bovine Serum (FBS)/PBS and incubated horizontally (3 7ºC with agitation at 150rpm). Each time point (24 hrs, 7, 14, 21 and 33 days, n=5/time point) received a 50 % media change at 3-4 day intervals, replacing 500 μl of test suspension with and equivalent volume of fresh 10 % FBS in PBS (Note: the 24 hour time point received no media change and 33 day sample received no media change between days 18 and 27).</w:t>
      </w:r>
    </w:p>
    <w:p w14:paraId="1B64222C" w14:textId="77777777" w:rsidR="00C070C1" w:rsidRPr="00BC59F2" w:rsidRDefault="00C070C1" w:rsidP="00476FA4">
      <w:pPr>
        <w:autoSpaceDE w:val="0"/>
        <w:autoSpaceDN w:val="0"/>
        <w:adjustRightInd w:val="0"/>
        <w:spacing w:line="276" w:lineRule="auto"/>
        <w:jc w:val="left"/>
        <w:rPr>
          <w:rFonts w:cs="Arial"/>
        </w:rPr>
      </w:pPr>
      <w:r w:rsidRPr="00BC59F2">
        <w:rPr>
          <w:rFonts w:cs="Arial"/>
        </w:rPr>
        <w:t>For each time point, samples allotted for analysis were transferred to a fresh cryovial and 1 ml of fresh inoculum added to each. Following a further 24 hour incubation, the pins were placed in to clean tubes, washed 6x with sterile PBS before transfer to neutraliser (0.85 % NaCl, 0.4 % sodium thioglycollate, 1 % Tween 20) and the colonising bacteria from the surface were recovered as described in ASTM E2871−13. Briefly this comprised vortex mixing for 30 seconds, followed by sonication for 30 seconds (45 kHz), this was repeated, with a final vortex before serial dilution in MRD and plating on to Petrifilm (3M, UK). All Petrifilm were incubated for at least 48 hours at 32 ºC before counting</w:t>
      </w:r>
      <w:bookmarkStart w:id="5" w:name="_Toc405634874"/>
      <w:r w:rsidRPr="00BC59F2">
        <w:rPr>
          <w:rFonts w:cs="Arial"/>
        </w:rPr>
        <w:t>. Twenty-four hour samples underwent the same recovery process, without the additional 24 hour re-challenge following initial incubation.</w:t>
      </w:r>
    </w:p>
    <w:p w14:paraId="6B7FB3D8" w14:textId="0C60B358" w:rsidR="00C070C1" w:rsidRPr="00BC59F2" w:rsidRDefault="00C070C1" w:rsidP="00476FA4">
      <w:pPr>
        <w:pStyle w:val="Heading2"/>
        <w:spacing w:line="276" w:lineRule="auto"/>
        <w:rPr>
          <w:i/>
        </w:rPr>
      </w:pPr>
      <w:r w:rsidRPr="00BC59F2">
        <w:rPr>
          <w:i/>
        </w:rPr>
        <w:t>In vitro</w:t>
      </w:r>
      <w:bookmarkEnd w:id="5"/>
      <w:r w:rsidRPr="00BC59F2">
        <w:rPr>
          <w:i/>
        </w:rPr>
        <w:t xml:space="preserve"> </w:t>
      </w:r>
      <w:r w:rsidRPr="00BC59F2">
        <w:t>cell culture</w:t>
      </w:r>
    </w:p>
    <w:p w14:paraId="700EFFAD" w14:textId="7A9BBB66" w:rsidR="00C070C1" w:rsidRPr="00BC59F2" w:rsidRDefault="00C070C1" w:rsidP="00476FA4">
      <w:pPr>
        <w:widowControl w:val="0"/>
        <w:autoSpaceDE w:val="0"/>
        <w:autoSpaceDN w:val="0"/>
        <w:adjustRightInd w:val="0"/>
        <w:spacing w:after="240" w:line="276" w:lineRule="auto"/>
        <w:contextualSpacing/>
        <w:jc w:val="left"/>
        <w:rPr>
          <w:rFonts w:cs="Arial"/>
          <w:color w:val="FF0000"/>
        </w:rPr>
      </w:pPr>
      <w:r w:rsidRPr="00BC59F2">
        <w:rPr>
          <w:rFonts w:cs="Arial"/>
          <w:color w:val="000000"/>
          <w:lang w:val="en-US"/>
        </w:rPr>
        <w:t>Mesenchymal stem/stromal cells of human origin were isolated from bone marrow aspirate (Lonza) or excised bone donated by patients undergoing primary arthroplasty surgery (NHS, Clifton Park Hospital, UK)</w:t>
      </w:r>
      <w:r w:rsidR="00B159A6" w:rsidRPr="00BC59F2">
        <w:rPr>
          <w:rFonts w:cs="Arial"/>
          <w:color w:val="000000"/>
          <w:lang w:val="en-US"/>
        </w:rPr>
        <w:t xml:space="preserve">. </w:t>
      </w:r>
      <w:r w:rsidR="003F13ED" w:rsidRPr="00BC59F2">
        <w:rPr>
          <w:rStyle w:val="Strong"/>
          <w:rFonts w:eastAsia="Times New Roman" w:cs="Arial"/>
          <w:b w:val="0"/>
        </w:rPr>
        <w:t>Informed consent was obtained from all subjects.</w:t>
      </w:r>
      <w:r w:rsidRPr="00BC59F2">
        <w:rPr>
          <w:rFonts w:cs="Arial"/>
          <w:b/>
          <w:color w:val="000000"/>
          <w:lang w:val="en-US"/>
        </w:rPr>
        <w:t xml:space="preserve"> </w:t>
      </w:r>
      <w:bookmarkStart w:id="6" w:name="_Hlk47335085"/>
      <w:r w:rsidR="003F13ED" w:rsidRPr="00BC59F2">
        <w:rPr>
          <w:rFonts w:cs="Arial"/>
          <w:color w:val="000000"/>
          <w:lang w:val="en-US"/>
        </w:rPr>
        <w:t>C</w:t>
      </w:r>
      <w:r w:rsidR="00B159A6" w:rsidRPr="00BC59F2">
        <w:rPr>
          <w:rFonts w:cs="Arial"/>
          <w:color w:val="000000"/>
          <w:lang w:val="en-US"/>
        </w:rPr>
        <w:t>ollections</w:t>
      </w:r>
      <w:r w:rsidR="003F13ED" w:rsidRPr="00BC59F2">
        <w:rPr>
          <w:rFonts w:cs="Arial"/>
          <w:color w:val="000000"/>
          <w:lang w:val="en-US"/>
        </w:rPr>
        <w:t xml:space="preserve"> and</w:t>
      </w:r>
      <w:r w:rsidRPr="00BC59F2">
        <w:rPr>
          <w:rFonts w:cs="Arial"/>
          <w:color w:val="000000"/>
          <w:lang w:val="en-US"/>
        </w:rPr>
        <w:t xml:space="preserve"> </w:t>
      </w:r>
      <w:r w:rsidR="003F13ED" w:rsidRPr="00BC59F2">
        <w:rPr>
          <w:rStyle w:val="Strong"/>
          <w:rFonts w:eastAsia="Times New Roman" w:cs="Arial"/>
          <w:b w:val="0"/>
          <w:color w:val="000000"/>
          <w:szCs w:val="21"/>
        </w:rPr>
        <w:t>all methods were carried out in</w:t>
      </w:r>
      <w:r w:rsidR="003F13ED" w:rsidRPr="00BC59F2">
        <w:rPr>
          <w:rStyle w:val="Strong"/>
          <w:rFonts w:eastAsia="Times New Roman" w:cs="Arial"/>
          <w:b w:val="0"/>
          <w:bCs w:val="0"/>
          <w:color w:val="000000"/>
          <w:szCs w:val="21"/>
        </w:rPr>
        <w:t> </w:t>
      </w:r>
      <w:r w:rsidR="003F13ED" w:rsidRPr="00BC59F2">
        <w:rPr>
          <w:rStyle w:val="Strong"/>
          <w:rFonts w:eastAsia="Times New Roman" w:cs="Arial"/>
          <w:b w:val="0"/>
          <w:szCs w:val="21"/>
        </w:rPr>
        <w:t>accordance with relevant guidelines and regulations</w:t>
      </w:r>
      <w:r w:rsidR="003F13ED" w:rsidRPr="00BC59F2">
        <w:rPr>
          <w:rFonts w:eastAsia="Times New Roman" w:cs="Arial"/>
          <w:b/>
          <w:szCs w:val="21"/>
        </w:rPr>
        <w:t xml:space="preserve"> </w:t>
      </w:r>
      <w:r w:rsidRPr="00BC59F2">
        <w:rPr>
          <w:rFonts w:cs="Arial"/>
          <w:color w:val="000000"/>
          <w:lang w:val="en-US"/>
        </w:rPr>
        <w:t xml:space="preserve">under approval from the University of York Biology Ethical Committee Review Board and NHS Local Research Ethics Committee. </w:t>
      </w:r>
      <w:bookmarkEnd w:id="6"/>
      <w:r w:rsidRPr="00BC59F2">
        <w:rPr>
          <w:rFonts w:cs="Arial"/>
          <w:color w:val="000000"/>
          <w:lang w:val="en-US"/>
        </w:rPr>
        <w:t>Clonal MSCs, termed Y201, were generated from primary bone marrow derived MSCs engineered to overexpress human telomerase reverse transcriptase (hTERT)</w:t>
      </w:r>
      <w:r w:rsidRPr="00BC59F2">
        <w:rPr>
          <w:rFonts w:cs="Arial"/>
          <w:color w:val="000000"/>
          <w:shd w:val="clear" w:color="auto" w:fill="FFFFFF"/>
        </w:rPr>
        <w:fldChar w:fldCharType="begin" w:fldLock="1"/>
      </w:r>
      <w:r w:rsidR="00E37F00" w:rsidRPr="00BC59F2">
        <w:rPr>
          <w:rFonts w:cs="Arial"/>
          <w:color w:val="000000"/>
          <w:shd w:val="clear" w:color="auto" w:fill="FFFFFF"/>
        </w:rPr>
        <w:instrText xml:space="preserve">ADDIN CSL_CITATION {"citationItems":[{"id":"ITEM-1","itemData":{"DOI":"10.1016/j.stemcr.2015.05.005","ISBN":"2213-6711","ISSN":"22136711","PMID":"26070611","abstract":"Bone marrow stromal cells (BMSCs, also called bone-marrow-derived mesenchymal stromal cells) provide hematopoietic support and immunoregulation and contain a stem cell fraction capable of skeletogenic differentiation. We used immortalized human BMSC clonal lines for multi-level analysis of functional markers for BMSC subsets. All clones expressed typical BMSC cell-surface antigens; however, clones with trilineage differentiation capacity exhibited enhanced vascular interaction gene sets, whereas non-differentiating clones were uniquely CD317 positive with significantly enriched immunomodulatory transcriptional networks and high IL-7 production. IL-7 lineage tracing and CD317 immunolocalization confirmed the existence of a rare non-differentiating BMSC subtype, distinct from Cxcl12-DsRed+ perivascular stromal cells in vivo. Colony-forming CD317+ IL-7hi cells, identified at </w:instrText>
      </w:r>
      <w:r w:rsidR="00E37F00" w:rsidRPr="00BC59F2">
        <w:rPr>
          <w:rFonts w:ascii="Cambria" w:hAnsi="Cambria" w:cs="Cambria"/>
          <w:color w:val="000000"/>
          <w:shd w:val="clear" w:color="auto" w:fill="FFFFFF"/>
        </w:rPr>
        <w:instrText>∼</w:instrText>
      </w:r>
      <w:r w:rsidR="00E37F00" w:rsidRPr="00BC59F2">
        <w:rPr>
          <w:rFonts w:cs="Arial"/>
          <w:color w:val="000000"/>
          <w:shd w:val="clear" w:color="auto" w:fill="FFFFFF"/>
        </w:rPr>
        <w:instrText>1%-3% frequency in heterogeneous human BMSC fractions, were found to have the same biomolecular profile as non-differentiating BMSC clones using Raman spectroscopy. Distinct functional identities can be assigned to BMSC subpopulations, which are likely to have specific roles in immune control, lymphopoiesis, and bone homeostasis.","author":[{"dropping-particle":"","family":"James","given":"Sally","non-dropping-particle":"","parse-names":false,"suffix":""},{"dropping-particle":"","family":"Fox","given":"James","non-dropping-particle":"","parse-names":false,"suffix":""},{"dropping-particle":"","family":"Afsari","given":"Farinaz","non-dropping-particle":"","parse-names":false,"suffix":""},{"dropping-particle":"","family":"Lee","given":"Jennifer","non-dropping-particle":"","parse-names":false,"suffix":""},{"dropping-particle":"","family":"Clough","given":"Sally","non-dropping-particle":"","parse-names":false,"suffix":""},{"dropping-particle":"","family":"Knight","given":"Charlotte","non-dropping-particle":"","parse-names":false,"suffix":""},{"dropping-particle":"","family":"Ashmore","given":"James","non-dropping-particle":"","parse-names":false,"suffix":""},{"dropping-particle":"","family":"Ashton","given":"Peter","non-dropping-particle":"","parse-names":false,"suffix":""},{"dropping-particle":"","family":"Preham","given":"Olivier","non-dropping-particle":"","parse-names":false,"suffix":""},{"dropping-particle":"","family":"Hoogduijn","given":"Martin","non-dropping-particle":"","parse-names":false,"suffix":""},{"dropping-particle":"","family":"Ponzoni","given":"Raquel De Almeida Rocha","non-dropping-particle":"","parse-names":false,"suffix":""},{"dropping-particle":"","family":"Hancock","given":"Y.","non-dropping-particle":"","parse-names":false,"suffix":""},{"dropping-particle":"","family":"Coles","given":"Mark","non-dropping-particle":"","parse-names":false,"suffix":""},{"dropping-particle":"","family":"Genever","given":"Paul","non-dropping-particle":"","parse-names":false,"suffix":""}],"container-title":"Stem Cell Reports","id":"ITEM-1","issue":"6","issued":{"date-parts":[["2015"]]},"page":"1004-1015","title":"Multiparameter Analysis of Human Bone Marrow Stromal Cells Identifies Distinct Immunomodulatory and Differentiation-Competent Subtypes","type":"article-journal","volume":"4"},"uris":["http://www.mendeley.com/documents/?uuid=a61e59d2-3b1f-43d6-a1b9-737bfad61dac"]}],"mendeley":{"formattedCitation":"&lt;sup&gt;29&lt;/sup&gt;","plainTextFormattedCitation":"29","previouslyFormattedCitation":"&lt;sup&gt;29&lt;/sup&gt;"},"properties":{"noteIndex":0},"schema":"https://github.com/citation-style-language/schema/raw/master/csl-citation.json"}</w:instrText>
      </w:r>
      <w:r w:rsidRPr="00BC59F2">
        <w:rPr>
          <w:rFonts w:cs="Arial"/>
          <w:color w:val="000000"/>
          <w:shd w:val="clear" w:color="auto" w:fill="FFFFFF"/>
        </w:rPr>
        <w:fldChar w:fldCharType="separate"/>
      </w:r>
      <w:r w:rsidR="00E37F00" w:rsidRPr="00BC59F2">
        <w:rPr>
          <w:rFonts w:cs="Arial"/>
          <w:noProof/>
          <w:color w:val="000000"/>
          <w:shd w:val="clear" w:color="auto" w:fill="FFFFFF"/>
          <w:vertAlign w:val="superscript"/>
        </w:rPr>
        <w:t>29</w:t>
      </w:r>
      <w:r w:rsidRPr="00BC59F2">
        <w:rPr>
          <w:rFonts w:cs="Arial"/>
          <w:color w:val="000000"/>
          <w:shd w:val="clear" w:color="auto" w:fill="FFFFFF"/>
        </w:rPr>
        <w:fldChar w:fldCharType="end"/>
      </w:r>
      <w:r w:rsidRPr="00BC59F2">
        <w:rPr>
          <w:rFonts w:cs="Arial"/>
          <w:color w:val="000000"/>
          <w:lang w:val="en-US"/>
        </w:rPr>
        <w:t xml:space="preserve">. The use of Y201 MSCs as a model system has been indicated where appropriate. Both primary MSCs and Y201 MSCs were expanded in Dulbecco’s modified Eagle’s medium (DMEM) supplemented with 10 % FBS, 100 Units/mL Penicillin and 100 μg/mL Streptomycin </w:t>
      </w:r>
      <w:r w:rsidRPr="00BC59F2">
        <w:rPr>
          <w:rFonts w:cs="Arial"/>
        </w:rPr>
        <w:t xml:space="preserve">(37 </w:t>
      </w:r>
      <w:r w:rsidRPr="00BC59F2">
        <w:rPr>
          <w:rFonts w:cs="Arial"/>
          <w:color w:val="000000"/>
        </w:rPr>
        <w:t>°C, 5 % CO</w:t>
      </w:r>
      <w:r w:rsidRPr="00BC59F2">
        <w:rPr>
          <w:rFonts w:cs="Arial"/>
          <w:color w:val="000000"/>
          <w:vertAlign w:val="subscript"/>
        </w:rPr>
        <w:t>2</w:t>
      </w:r>
      <w:r w:rsidRPr="00BC59F2">
        <w:rPr>
          <w:rFonts w:cs="Arial"/>
          <w:color w:val="000000"/>
        </w:rPr>
        <w:t xml:space="preserve">). </w:t>
      </w:r>
      <w:r w:rsidRPr="00BC59F2">
        <w:rPr>
          <w:rFonts w:cs="Arial"/>
          <w:color w:val="000000"/>
          <w:lang w:val="en-US"/>
        </w:rPr>
        <w:t xml:space="preserve">Human osteoblasts (hObs) were purchased from PromoCell (Germany) and cultured in osteoblast growth media (PromoCell). Cells were </w:t>
      </w:r>
      <w:r w:rsidRPr="00BC59F2">
        <w:rPr>
          <w:rFonts w:cs="Arial"/>
          <w:color w:val="000000"/>
          <w:lang w:val="en-US"/>
        </w:rPr>
        <w:lastRenderedPageBreak/>
        <w:t>passaged using 0.25 % Trypsin-EDTA once 90% confluent.</w:t>
      </w:r>
      <w:r w:rsidRPr="00BC59F2">
        <w:rPr>
          <w:rFonts w:cs="Arial"/>
          <w:color w:val="000000"/>
        </w:rPr>
        <w:t xml:space="preserve"> All reagents purchased from Sigma (Poole, UK) unless otherwise stated.</w:t>
      </w:r>
    </w:p>
    <w:p w14:paraId="0A738D95" w14:textId="14CB8D53" w:rsidR="00C070C1" w:rsidRPr="00BC59F2" w:rsidRDefault="00C070C1" w:rsidP="00476FA4">
      <w:pPr>
        <w:pStyle w:val="Heading2"/>
        <w:spacing w:line="276" w:lineRule="auto"/>
      </w:pPr>
      <w:bookmarkStart w:id="7" w:name="_Ref401477473"/>
      <w:bookmarkStart w:id="8" w:name="_Toc405634893"/>
      <w:r w:rsidRPr="00BC59F2">
        <w:rPr>
          <w:i/>
        </w:rPr>
        <w:t>In vitro</w:t>
      </w:r>
      <w:r w:rsidRPr="00BC59F2">
        <w:t xml:space="preserve"> viability </w:t>
      </w:r>
      <w:bookmarkEnd w:id="7"/>
      <w:bookmarkEnd w:id="8"/>
      <w:r w:rsidRPr="00BC59F2">
        <w:t>and proliferation</w:t>
      </w:r>
    </w:p>
    <w:p w14:paraId="5F8F596E" w14:textId="30D55319" w:rsidR="00C070C1" w:rsidRPr="00BC59F2" w:rsidRDefault="00C070C1" w:rsidP="00476FA4">
      <w:pPr>
        <w:spacing w:line="276" w:lineRule="auto"/>
        <w:contextualSpacing/>
        <w:jc w:val="left"/>
        <w:rPr>
          <w:rFonts w:cs="Arial"/>
          <w:color w:val="000000"/>
        </w:rPr>
      </w:pPr>
      <w:r w:rsidRPr="00BC59F2">
        <w:rPr>
          <w:rFonts w:cs="Arial"/>
        </w:rPr>
        <w:t>Primary MSCs seeded at 3.125x10</w:t>
      </w:r>
      <w:r w:rsidRPr="00BC59F2">
        <w:rPr>
          <w:rFonts w:cs="Arial"/>
          <w:vertAlign w:val="superscript"/>
        </w:rPr>
        <w:t>4</w:t>
      </w:r>
      <w:r w:rsidRPr="00BC59F2">
        <w:rPr>
          <w:rFonts w:cs="Arial"/>
        </w:rPr>
        <w:t xml:space="preserve"> cells/cm</w:t>
      </w:r>
      <w:r w:rsidRPr="00BC59F2">
        <w:rPr>
          <w:rFonts w:cs="Arial"/>
          <w:vertAlign w:val="superscript"/>
        </w:rPr>
        <w:t>2</w:t>
      </w:r>
      <w:r w:rsidRPr="00BC59F2">
        <w:rPr>
          <w:rFonts w:cs="Arial"/>
        </w:rPr>
        <w:t xml:space="preserve"> in 96-well plates were incubated for 24 hours before addition of an Ag</w:t>
      </w:r>
      <w:r w:rsidRPr="00BC59F2">
        <w:rPr>
          <w:rFonts w:cs="Arial"/>
          <w:vertAlign w:val="superscript"/>
        </w:rPr>
        <w:t>+</w:t>
      </w:r>
      <w:r w:rsidRPr="00BC59F2">
        <w:rPr>
          <w:rFonts w:cs="Arial"/>
        </w:rPr>
        <w:t xml:space="preserve"> dose response (range 8.75-100 </w:t>
      </w:r>
      <w:r w:rsidRPr="00BC59F2">
        <w:rPr>
          <w:rFonts w:cs="Arial"/>
          <w:color w:val="000000"/>
        </w:rPr>
        <w:t>μ</w:t>
      </w:r>
      <w:r w:rsidRPr="00BC59F2">
        <w:rPr>
          <w:rFonts w:cs="Arial"/>
        </w:rPr>
        <w:t>M, Ag</w:t>
      </w:r>
      <w:r w:rsidRPr="00BC59F2">
        <w:rPr>
          <w:rFonts w:cs="Arial"/>
          <w:vertAlign w:val="subscript"/>
        </w:rPr>
        <w:t>2</w:t>
      </w:r>
      <w:r w:rsidRPr="00BC59F2">
        <w:rPr>
          <w:rFonts w:cs="Arial"/>
        </w:rPr>
        <w:t>SO</w:t>
      </w:r>
      <w:r w:rsidRPr="00BC59F2">
        <w:rPr>
          <w:rFonts w:cs="Arial"/>
          <w:vertAlign w:val="subscript"/>
        </w:rPr>
        <w:t>4</w:t>
      </w:r>
      <w:r w:rsidRPr="00BC59F2">
        <w:rPr>
          <w:rFonts w:cs="Arial"/>
        </w:rPr>
        <w:t>, Alfa Aesar, Heysham, UK)</w:t>
      </w:r>
      <w:r w:rsidRPr="00BC59F2">
        <w:rPr>
          <w:rFonts w:cs="Arial"/>
          <w:color w:val="000000"/>
        </w:rPr>
        <w:t>. After a further 24 hours, WST</w:t>
      </w:r>
      <w:r w:rsidRPr="00BC59F2">
        <w:rPr>
          <w:rFonts w:cs="Arial"/>
          <w:color w:val="000000"/>
        </w:rPr>
        <w:noBreakHyphen/>
        <w:t xml:space="preserve">1 reagent was added and the optical density read at 440 nm &amp; 600 nm after 1 hour. Results were converted to viability as a percentage of the untreated control. </w:t>
      </w:r>
      <w:r w:rsidRPr="00BC59F2">
        <w:rPr>
          <w:rFonts w:cs="Arial"/>
        </w:rPr>
        <w:t>Proliferation over 72 hours was assessed using 5</w:t>
      </w:r>
      <w:r w:rsidRPr="00BC59F2">
        <w:rPr>
          <w:rFonts w:cs="Arial"/>
        </w:rPr>
        <w:noBreakHyphen/>
        <w:t>ethynyl-2´-deoxyuridine (EdU) incorporation (ThermoFisher, Loughborough, UK). MSCs were seeded for 24 hours in to 24-well plates (2.5x10</w:t>
      </w:r>
      <w:r w:rsidRPr="00BC59F2">
        <w:rPr>
          <w:rFonts w:cs="Arial"/>
          <w:vertAlign w:val="superscript"/>
        </w:rPr>
        <w:t>3</w:t>
      </w:r>
      <w:r w:rsidRPr="00BC59F2">
        <w:rPr>
          <w:rFonts w:cs="Arial"/>
        </w:rPr>
        <w:t> cells/cm</w:t>
      </w:r>
      <w:r w:rsidRPr="00BC59F2">
        <w:rPr>
          <w:rFonts w:cs="Arial"/>
          <w:vertAlign w:val="superscript"/>
        </w:rPr>
        <w:t>2</w:t>
      </w:r>
      <w:r w:rsidRPr="00BC59F2">
        <w:rPr>
          <w:rFonts w:cs="Arial"/>
        </w:rPr>
        <w:t>) before addition of Ag</w:t>
      </w:r>
      <w:r w:rsidRPr="00BC59F2">
        <w:rPr>
          <w:rFonts w:cs="Arial"/>
          <w:vertAlign w:val="superscript"/>
        </w:rPr>
        <w:t>+</w:t>
      </w:r>
      <w:r w:rsidRPr="00BC59F2">
        <w:rPr>
          <w:rFonts w:cs="Arial"/>
        </w:rPr>
        <w:t xml:space="preserve"> (0-10 µM). After 72 hours, cultures were counterstained with Hoechst and image analysis performed using ImageJ, providing the percentage of EdU positive cells.</w:t>
      </w:r>
    </w:p>
    <w:p w14:paraId="1966B0F2" w14:textId="2AB4B219" w:rsidR="00C070C1" w:rsidRPr="00BC59F2" w:rsidRDefault="00C070C1" w:rsidP="00476FA4">
      <w:pPr>
        <w:pStyle w:val="Heading2"/>
        <w:spacing w:line="276" w:lineRule="auto"/>
      </w:pPr>
      <w:bookmarkStart w:id="9" w:name="_Ref402602610"/>
      <w:bookmarkStart w:id="10" w:name="_Toc405634907"/>
      <w:r w:rsidRPr="00BC59F2">
        <w:t>CFU-f and CFU-Ob formation</w:t>
      </w:r>
      <w:bookmarkEnd w:id="9"/>
      <w:bookmarkEnd w:id="10"/>
    </w:p>
    <w:p w14:paraId="139F018B" w14:textId="77777777" w:rsidR="00C070C1" w:rsidRPr="00BC59F2" w:rsidRDefault="00C070C1" w:rsidP="00476FA4">
      <w:pPr>
        <w:spacing w:line="276" w:lineRule="auto"/>
        <w:contextualSpacing/>
        <w:jc w:val="left"/>
        <w:rPr>
          <w:rFonts w:cs="Arial"/>
        </w:rPr>
      </w:pPr>
      <w:r w:rsidRPr="00BC59F2">
        <w:rPr>
          <w:rFonts w:cs="Arial"/>
        </w:rPr>
        <w:t>Primary MSC cultures at clonal density (10 cells/cm</w:t>
      </w:r>
      <w:r w:rsidRPr="00BC59F2">
        <w:rPr>
          <w:rFonts w:cs="Arial"/>
          <w:vertAlign w:val="superscript"/>
        </w:rPr>
        <w:t>2</w:t>
      </w:r>
      <w:r w:rsidRPr="00BC59F2">
        <w:rPr>
          <w:rFonts w:cs="Arial"/>
        </w:rPr>
        <w:t>) were established in DMEM+20 % HyClone FBS (</w:t>
      </w:r>
      <w:r w:rsidRPr="00BC59F2">
        <w:rPr>
          <w:rFonts w:eastAsia="Times New Roman" w:cs="Arial"/>
          <w:shd w:val="clear" w:color="auto" w:fill="FFFFFF"/>
        </w:rPr>
        <w:t>GE Healthcare, Little Chalfont, UK) to generate CFU-f (colony-forming unit fibroblast)</w:t>
      </w:r>
      <w:r w:rsidRPr="00BC59F2">
        <w:rPr>
          <w:rFonts w:cs="Arial"/>
        </w:rPr>
        <w:t>. As for the assessment of viability and proliferation, medium was changed 24 hours after seeding for that containing Ag</w:t>
      </w:r>
      <w:r w:rsidRPr="00BC59F2">
        <w:rPr>
          <w:rFonts w:cs="Arial"/>
          <w:vertAlign w:val="superscript"/>
        </w:rPr>
        <w:t>+</w:t>
      </w:r>
      <w:r w:rsidRPr="00BC59F2">
        <w:rPr>
          <w:rFonts w:cs="Arial"/>
        </w:rPr>
        <w:t xml:space="preserve"> (0</w:t>
      </w:r>
      <w:r w:rsidRPr="00BC59F2">
        <w:rPr>
          <w:rFonts w:cs="Arial"/>
        </w:rPr>
        <w:noBreakHyphen/>
        <w:t>10 µM). Medium was changed twice per week, with one subset of plates receiving Ag</w:t>
      </w:r>
      <w:r w:rsidRPr="00BC59F2">
        <w:rPr>
          <w:rFonts w:cs="Arial"/>
          <w:vertAlign w:val="superscript"/>
        </w:rPr>
        <w:t>+</w:t>
      </w:r>
      <w:r w:rsidRPr="00BC59F2">
        <w:rPr>
          <w:rFonts w:cs="Arial"/>
        </w:rPr>
        <w:t xml:space="preserve"> for the first three days only, after which medium was without silver. Colony formation (defined as </w:t>
      </w:r>
      <w:r w:rsidRPr="00BC59F2">
        <w:rPr>
          <w:rFonts w:eastAsia="MS Gothic" w:cs="Arial"/>
          <w:color w:val="000000"/>
        </w:rPr>
        <w:t>≥</w:t>
      </w:r>
      <w:r w:rsidRPr="00BC59F2">
        <w:rPr>
          <w:rFonts w:cs="Arial"/>
        </w:rPr>
        <w:t>50 cells) was assessed after 14 days following crystal violet staining (0.05 % w/v crystal violet) for 20 minutes.</w:t>
      </w:r>
    </w:p>
    <w:p w14:paraId="7C076A3A" w14:textId="010D4F11" w:rsidR="00C070C1" w:rsidRPr="00BC59F2" w:rsidRDefault="00C070C1" w:rsidP="00476FA4">
      <w:pPr>
        <w:spacing w:line="276" w:lineRule="auto"/>
        <w:contextualSpacing/>
        <w:jc w:val="left"/>
        <w:rPr>
          <w:rFonts w:eastAsia="Times New Roman" w:cs="Arial"/>
        </w:rPr>
      </w:pPr>
      <w:r w:rsidRPr="00BC59F2">
        <w:rPr>
          <w:rFonts w:cs="Arial"/>
        </w:rPr>
        <w:t xml:space="preserve">CFU-Ob </w:t>
      </w:r>
      <w:r w:rsidRPr="00BC59F2">
        <w:rPr>
          <w:rFonts w:eastAsia="Times New Roman" w:cs="Arial"/>
          <w:shd w:val="clear" w:color="auto" w:fill="FFFFFF"/>
        </w:rPr>
        <w:t>(colony-forming unit osteoblast)</w:t>
      </w:r>
      <w:r w:rsidRPr="00BC59F2">
        <w:rPr>
          <w:rFonts w:cs="Arial"/>
        </w:rPr>
        <w:t xml:space="preserve"> were generated as described for CFU</w:t>
      </w:r>
      <w:r w:rsidRPr="00BC59F2">
        <w:rPr>
          <w:rFonts w:cs="Arial"/>
        </w:rPr>
        <w:noBreakHyphen/>
        <w:t>f, but supplementing the medium with osteogenic additives at the medium change 24 hours after seeding (</w:t>
      </w:r>
      <w:r w:rsidRPr="00BC59F2">
        <w:rPr>
          <w:rFonts w:cs="Arial"/>
          <w:lang w:val="en-US"/>
        </w:rPr>
        <w:t xml:space="preserve">50 μg/mL </w:t>
      </w:r>
      <w:r w:rsidRPr="00BC59F2">
        <w:rPr>
          <w:rFonts w:cs="Arial"/>
        </w:rPr>
        <w:t>L</w:t>
      </w:r>
      <w:r w:rsidRPr="00BC59F2">
        <w:rPr>
          <w:rFonts w:cs="Arial"/>
        </w:rPr>
        <w:noBreakHyphen/>
        <w:t>Ascorbic acid, 10</w:t>
      </w:r>
      <w:r w:rsidRPr="00BC59F2">
        <w:rPr>
          <w:rFonts w:cs="Arial"/>
          <w:vertAlign w:val="superscript"/>
        </w:rPr>
        <w:noBreakHyphen/>
        <w:t>8 </w:t>
      </w:r>
      <w:r w:rsidRPr="00BC59F2">
        <w:rPr>
          <w:rFonts w:cs="Arial"/>
        </w:rPr>
        <w:t>M Dexamethasone, 3 mM β</w:t>
      </w:r>
      <w:r w:rsidRPr="00BC59F2">
        <w:rPr>
          <w:rFonts w:cs="Arial"/>
        </w:rPr>
        <w:noBreakHyphen/>
        <w:t xml:space="preserve">glycerophosphate). Alkaline phosphatase (ALP) positive colonies were identified after 14 days using 1 % </w:t>
      </w:r>
      <w:r w:rsidRPr="00BC59F2">
        <w:rPr>
          <w:rFonts w:eastAsia="Times New Roman" w:cs="Arial"/>
        </w:rPr>
        <w:t>Fast Red TR/0.2 % Naphthol AS-MX applied for 2 minutes.</w:t>
      </w:r>
    </w:p>
    <w:p w14:paraId="43833752" w14:textId="77777777" w:rsidR="00C070C1" w:rsidRPr="00BC59F2" w:rsidRDefault="00C070C1" w:rsidP="00476FA4">
      <w:pPr>
        <w:pStyle w:val="Heading2"/>
        <w:spacing w:line="276" w:lineRule="auto"/>
      </w:pPr>
      <w:r w:rsidRPr="00BC59F2">
        <w:t>Differentiation of MSCs</w:t>
      </w:r>
    </w:p>
    <w:p w14:paraId="1BEE0F32" w14:textId="77777777" w:rsidR="00C070C1" w:rsidRPr="00BC59F2" w:rsidRDefault="00C070C1" w:rsidP="00476FA4">
      <w:pPr>
        <w:spacing w:line="276" w:lineRule="auto"/>
        <w:contextualSpacing/>
        <w:jc w:val="left"/>
        <w:rPr>
          <w:rFonts w:cs="Arial"/>
        </w:rPr>
      </w:pPr>
      <w:r w:rsidRPr="00BC59F2">
        <w:rPr>
          <w:rFonts w:cs="Arial"/>
        </w:rPr>
        <w:t>Primary MSCs were culture expanded, seeded in to well</w:t>
      </w:r>
      <w:r w:rsidRPr="00BC59F2">
        <w:rPr>
          <w:rFonts w:cs="Arial"/>
        </w:rPr>
        <w:noBreakHyphen/>
        <w:t>plates for 24 hours prior to the addition of osteogenic differentiation medium (described above) ±10 µM Ag</w:t>
      </w:r>
      <w:r w:rsidRPr="00BC59F2">
        <w:rPr>
          <w:rFonts w:cs="Arial"/>
          <w:vertAlign w:val="superscript"/>
        </w:rPr>
        <w:t>+</w:t>
      </w:r>
      <w:r w:rsidRPr="00BC59F2">
        <w:rPr>
          <w:rFonts w:cs="Arial"/>
        </w:rPr>
        <w:t>. As before, one group received Ag</w:t>
      </w:r>
      <w:r w:rsidRPr="00BC59F2">
        <w:rPr>
          <w:rFonts w:cs="Arial"/>
          <w:vertAlign w:val="superscript"/>
        </w:rPr>
        <w:t>+</w:t>
      </w:r>
      <w:r w:rsidRPr="00BC59F2">
        <w:rPr>
          <w:rFonts w:cs="Arial"/>
        </w:rPr>
        <w:t xml:space="preserve"> free medium after three days while maintaining 10 µM Ag</w:t>
      </w:r>
      <w:r w:rsidRPr="00BC59F2">
        <w:rPr>
          <w:rFonts w:cs="Arial"/>
          <w:vertAlign w:val="superscript"/>
        </w:rPr>
        <w:t>+</w:t>
      </w:r>
      <w:r w:rsidRPr="00BC59F2">
        <w:rPr>
          <w:rFonts w:cs="Arial"/>
        </w:rPr>
        <w:t xml:space="preserve"> in the second treatment group. Adipogenic differentiation media (10</w:t>
      </w:r>
      <w:r w:rsidRPr="00BC59F2">
        <w:rPr>
          <w:rFonts w:cs="Arial"/>
          <w:vertAlign w:val="superscript"/>
        </w:rPr>
        <w:t>-6</w:t>
      </w:r>
      <w:r w:rsidRPr="00BC59F2">
        <w:rPr>
          <w:rFonts w:cs="Arial"/>
        </w:rPr>
        <w:t>M Dexamethasone, 500 µM 3</w:t>
      </w:r>
      <w:r w:rsidRPr="00BC59F2">
        <w:rPr>
          <w:rFonts w:cs="Arial"/>
        </w:rPr>
        <w:noBreakHyphen/>
        <w:t>Isobutyl-1-methylxanthine, 1 µg/mL Insulin from bovine pancreas, 100 µM Indomethacin) and osteogenic media, were changed twice per week with time points of 21 days (adipogenic) and seven and 14 days (osteogenic). Controls underwent the same medium changes (with/without Ag</w:t>
      </w:r>
      <w:r w:rsidRPr="00BC59F2">
        <w:rPr>
          <w:rFonts w:cs="Arial"/>
          <w:vertAlign w:val="superscript"/>
        </w:rPr>
        <w:t>+</w:t>
      </w:r>
      <w:r w:rsidRPr="00BC59F2">
        <w:rPr>
          <w:rFonts w:cs="Arial"/>
        </w:rPr>
        <w:t>) and time points.</w:t>
      </w:r>
    </w:p>
    <w:p w14:paraId="52DD40CE" w14:textId="666BCE76" w:rsidR="00C070C1" w:rsidRPr="00BC59F2" w:rsidRDefault="00C070C1" w:rsidP="00476FA4">
      <w:pPr>
        <w:spacing w:line="276" w:lineRule="auto"/>
        <w:contextualSpacing/>
        <w:jc w:val="left"/>
        <w:rPr>
          <w:rFonts w:cs="Arial"/>
        </w:rPr>
      </w:pPr>
      <w:r w:rsidRPr="00BC59F2">
        <w:rPr>
          <w:rFonts w:cs="Arial"/>
        </w:rPr>
        <w:t>Adipogenic cultures were rinsed (1xPBS) and fixed for ten minutes in 10 % formaldehyde (Polysciences, USA) followed by a rinse with dH</w:t>
      </w:r>
      <w:r w:rsidRPr="00BC59F2">
        <w:rPr>
          <w:rFonts w:cs="Arial"/>
          <w:vertAlign w:val="subscript"/>
        </w:rPr>
        <w:t>2</w:t>
      </w:r>
      <w:r w:rsidRPr="00BC59F2">
        <w:rPr>
          <w:rFonts w:cs="Arial"/>
        </w:rPr>
        <w:t xml:space="preserve">O and the addition of Oil Red O working solution for five minutes. The stain was removed and the wells washed with 60 % Isopropanol before a final rinse with tap water. </w:t>
      </w:r>
      <w:r w:rsidRPr="00BC59F2">
        <w:rPr>
          <w:rFonts w:eastAsia="Times New Roman" w:cs="Arial"/>
        </w:rPr>
        <w:t>Lipid bound Oil Red O was quantified through removal with 99 % Isopropanol and the optical density measured at 520 nm (Multiskan GO, Thermo Fisher, UK,).</w:t>
      </w:r>
      <w:r w:rsidRPr="00BC59F2">
        <w:rPr>
          <w:rFonts w:cs="Arial"/>
        </w:rPr>
        <w:t xml:space="preserve"> For osteogenic analysis, at the specified time points, cultures were lysed and ALP activity analysed against a p</w:t>
      </w:r>
      <w:r w:rsidRPr="00BC59F2">
        <w:rPr>
          <w:rFonts w:cs="Arial"/>
        </w:rPr>
        <w:noBreakHyphen/>
        <w:t xml:space="preserve">nitrophenol standard (pNP, 0-250 nmol/mL) </w:t>
      </w:r>
      <w:r w:rsidRPr="00BC59F2">
        <w:rPr>
          <w:rFonts w:cs="Arial"/>
        </w:rPr>
        <w:lastRenderedPageBreak/>
        <w:t>using a pNPP substrate (5mM). O</w:t>
      </w:r>
      <w:r w:rsidRPr="00BC59F2">
        <w:rPr>
          <w:rFonts w:cs="Arial"/>
          <w:color w:val="000000"/>
        </w:rPr>
        <w:t>ptical density (405 nm) was measured after 1 hour (</w:t>
      </w:r>
      <w:r w:rsidRPr="00BC59F2">
        <w:rPr>
          <w:rFonts w:cs="Arial"/>
        </w:rPr>
        <w:t>37 </w:t>
      </w:r>
      <w:r w:rsidRPr="00BC59F2">
        <w:rPr>
          <w:rFonts w:cs="Arial"/>
          <w:color w:val="000000"/>
        </w:rPr>
        <w:t>°C). Data were</w:t>
      </w:r>
      <w:r w:rsidRPr="00BC59F2">
        <w:rPr>
          <w:rFonts w:cs="Arial"/>
        </w:rPr>
        <w:t xml:space="preserve"> normalised to DNA, quantified using PicoGreen (ThermoFisher), measured at Ex: 485 nm/Em: 538 nm. Differentiation following MSC expansion as CFU-f was determined, with MSCs seeded at clonal density ±10 μM Ag</w:t>
      </w:r>
      <w:r w:rsidRPr="00BC59F2">
        <w:rPr>
          <w:rFonts w:cs="Arial"/>
          <w:vertAlign w:val="superscript"/>
        </w:rPr>
        <w:t>+</w:t>
      </w:r>
      <w:r w:rsidRPr="00BC59F2">
        <w:rPr>
          <w:rFonts w:cs="Arial"/>
        </w:rPr>
        <w:t xml:space="preserve"> for 14 days, before differentiation in Ag</w:t>
      </w:r>
      <w:r w:rsidRPr="00BC59F2">
        <w:rPr>
          <w:rFonts w:cs="Arial"/>
          <w:vertAlign w:val="superscript"/>
        </w:rPr>
        <w:t>+</w:t>
      </w:r>
      <w:r w:rsidRPr="00BC59F2">
        <w:rPr>
          <w:rFonts w:cs="Arial"/>
        </w:rPr>
        <w:t xml:space="preserve"> free medium. Time points and analysis were as previously described.</w:t>
      </w:r>
    </w:p>
    <w:p w14:paraId="0D0C12FA" w14:textId="77777777" w:rsidR="00C070C1" w:rsidRPr="00BC59F2" w:rsidRDefault="00C070C1" w:rsidP="00476FA4">
      <w:pPr>
        <w:pStyle w:val="Heading2"/>
        <w:spacing w:line="276" w:lineRule="auto"/>
      </w:pPr>
      <w:r w:rsidRPr="00BC59F2">
        <w:t>CFU-f formation following Ag</w:t>
      </w:r>
      <w:r w:rsidRPr="00BC59F2">
        <w:rPr>
          <w:vertAlign w:val="superscript"/>
        </w:rPr>
        <w:t>+</w:t>
      </w:r>
      <w:r w:rsidRPr="00BC59F2">
        <w:t xml:space="preserve"> exposure</w:t>
      </w:r>
    </w:p>
    <w:p w14:paraId="0770B555" w14:textId="56C397F5" w:rsidR="00C070C1" w:rsidRPr="00BC59F2" w:rsidRDefault="00C070C1" w:rsidP="00476FA4">
      <w:pPr>
        <w:spacing w:line="276" w:lineRule="auto"/>
        <w:contextualSpacing/>
        <w:jc w:val="left"/>
        <w:rPr>
          <w:rFonts w:cs="Arial"/>
        </w:rPr>
      </w:pPr>
      <w:r w:rsidRPr="00BC59F2">
        <w:rPr>
          <w:rFonts w:cs="Arial"/>
        </w:rPr>
        <w:t>The continued clonogenic capacity of MSCs following Ag</w:t>
      </w:r>
      <w:r w:rsidRPr="00BC59F2">
        <w:rPr>
          <w:rFonts w:cs="Arial"/>
          <w:vertAlign w:val="superscript"/>
        </w:rPr>
        <w:t xml:space="preserve">+ </w:t>
      </w:r>
      <w:r w:rsidRPr="00BC59F2">
        <w:rPr>
          <w:rFonts w:cs="Arial"/>
        </w:rPr>
        <w:t>treatment and the existence of an Ag</w:t>
      </w:r>
      <w:r w:rsidRPr="00BC59F2">
        <w:rPr>
          <w:rFonts w:cs="Arial"/>
          <w:vertAlign w:val="superscript"/>
        </w:rPr>
        <w:t>+</w:t>
      </w:r>
      <w:r w:rsidRPr="00BC59F2">
        <w:rPr>
          <w:rFonts w:cs="Arial"/>
        </w:rPr>
        <w:t xml:space="preserve"> tolerant subpopulation that maintained colony formation under further Ag</w:t>
      </w:r>
      <w:r w:rsidRPr="00BC59F2">
        <w:rPr>
          <w:rFonts w:cs="Arial"/>
          <w:vertAlign w:val="superscript"/>
        </w:rPr>
        <w:t xml:space="preserve">+ </w:t>
      </w:r>
      <w:r w:rsidRPr="00BC59F2">
        <w:rPr>
          <w:rFonts w:cs="Arial"/>
        </w:rPr>
        <w:t xml:space="preserve">exposure were assessed using a two-stage CFU-f assay (see </w:t>
      </w:r>
      <w:r w:rsidRPr="00BC59F2">
        <w:rPr>
          <w:rFonts w:cs="Arial"/>
          <w:b/>
        </w:rPr>
        <w:t xml:space="preserve">Fig. 3A </w:t>
      </w:r>
      <w:r w:rsidRPr="00BC59F2">
        <w:rPr>
          <w:rFonts w:cs="Arial"/>
        </w:rPr>
        <w:t>for schematic description). In brief, primary MSCs seeded at clonal density were cultured in medium (0, 1 or 10 µM Ag</w:t>
      </w:r>
      <w:r w:rsidRPr="00BC59F2">
        <w:rPr>
          <w:rFonts w:cs="Arial"/>
          <w:vertAlign w:val="superscript"/>
        </w:rPr>
        <w:t>+</w:t>
      </w:r>
      <w:r w:rsidRPr="00BC59F2">
        <w:rPr>
          <w:rFonts w:cs="Arial"/>
        </w:rPr>
        <w:t>) and assigned as ‘Stage 1’. Medium was changed twice per week for 14 days, after which, cells from the same treatment group (e.g. control) were pooled. MSCs were re</w:t>
      </w:r>
      <w:r w:rsidRPr="00BC59F2">
        <w:rPr>
          <w:rFonts w:cs="Arial"/>
        </w:rPr>
        <w:noBreakHyphen/>
        <w:t>seeded in to further 6-well plates at clonal density (‘Stage 2’) and medium (±Ag</w:t>
      </w:r>
      <w:r w:rsidRPr="00BC59F2">
        <w:rPr>
          <w:rFonts w:cs="Arial"/>
          <w:vertAlign w:val="superscript"/>
        </w:rPr>
        <w:t>+</w:t>
      </w:r>
      <w:r w:rsidRPr="00BC59F2">
        <w:rPr>
          <w:rFonts w:cs="Arial"/>
        </w:rPr>
        <w:t>) changed as before. After 14 days, the colonies of the ‘Stage 2’ plates were counted and diameters measured. Assessment of CFU</w:t>
      </w:r>
      <w:r w:rsidRPr="00BC59F2">
        <w:rPr>
          <w:rFonts w:cs="Arial"/>
        </w:rPr>
        <w:noBreakHyphen/>
        <w:t xml:space="preserve">f diameter was performed using the </w:t>
      </w:r>
      <w:r w:rsidRPr="00BC59F2">
        <w:rPr>
          <w:rFonts w:eastAsia="Times New Roman" w:cs="Arial"/>
          <w:shd w:val="clear" w:color="auto" w:fill="FFFFFF"/>
        </w:rPr>
        <w:t xml:space="preserve">Zeiss Zen 2.3 Lite </w:t>
      </w:r>
      <w:r w:rsidRPr="00BC59F2">
        <w:rPr>
          <w:rFonts w:cs="Arial"/>
        </w:rPr>
        <w:t xml:space="preserve">software. </w:t>
      </w:r>
    </w:p>
    <w:p w14:paraId="09E93627" w14:textId="77777777" w:rsidR="00C070C1" w:rsidRPr="00BC59F2" w:rsidRDefault="00C070C1" w:rsidP="00476FA4">
      <w:pPr>
        <w:pStyle w:val="Heading2"/>
        <w:spacing w:line="276" w:lineRule="auto"/>
      </w:pPr>
      <w:bookmarkStart w:id="11" w:name="_Toc405634911"/>
      <w:r w:rsidRPr="00BC59F2">
        <w:t>CFU-f formation in conditioned medium</w:t>
      </w:r>
      <w:bookmarkEnd w:id="11"/>
    </w:p>
    <w:p w14:paraId="72DBF553" w14:textId="4E5803E0" w:rsidR="00C070C1" w:rsidRPr="00BC59F2" w:rsidRDefault="00C070C1" w:rsidP="00476FA4">
      <w:pPr>
        <w:spacing w:line="276" w:lineRule="auto"/>
        <w:contextualSpacing/>
        <w:jc w:val="left"/>
        <w:rPr>
          <w:rFonts w:cs="Arial"/>
        </w:rPr>
      </w:pPr>
      <w:r w:rsidRPr="00BC59F2">
        <w:rPr>
          <w:rFonts w:cs="Arial"/>
        </w:rPr>
        <w:t>The effect of environmental signals on MSC (primary &amp; Y201 MSCs) clonogenicity was determined by culturing clonally seeded MSCs in conditioned medium (MSC-CM). Tissue culture flasks of MSCs at 70 % confluence were rinsed with phosphate buffered saline (PBS) and further culture in serum free DMEM for 24 hours. Medium was removed, centrifuged and filtered (0.45 µm) and HyClone FBS added to give 20 % (stored 2</w:t>
      </w:r>
      <w:r w:rsidRPr="00BC59F2">
        <w:rPr>
          <w:rFonts w:cs="Arial"/>
        </w:rPr>
        <w:noBreakHyphen/>
        <w:t>8 °C). ‘Non</w:t>
      </w:r>
      <w:r w:rsidRPr="00BC59F2">
        <w:rPr>
          <w:rFonts w:cs="Arial"/>
        </w:rPr>
        <w:noBreakHyphen/>
        <w:t>conditioned’ (i.e. basal) or ‘Conditioned’ medium were used during media changes (±10 µM Ag</w:t>
      </w:r>
      <w:r w:rsidRPr="00BC59F2">
        <w:rPr>
          <w:rFonts w:cs="Arial"/>
          <w:vertAlign w:val="superscript"/>
        </w:rPr>
        <w:t>+</w:t>
      </w:r>
      <w:r w:rsidRPr="00BC59F2">
        <w:rPr>
          <w:rFonts w:cs="Arial"/>
        </w:rPr>
        <w:t>) with colonies assessed as before after 14 days.</w:t>
      </w:r>
    </w:p>
    <w:p w14:paraId="7B5F575A" w14:textId="77777777" w:rsidR="00C070C1" w:rsidRPr="00BC59F2" w:rsidRDefault="00C070C1" w:rsidP="00476FA4">
      <w:pPr>
        <w:pStyle w:val="Heading2"/>
        <w:spacing w:line="276" w:lineRule="auto"/>
      </w:pPr>
      <w:bookmarkStart w:id="12" w:name="_Toc405634924"/>
      <w:r w:rsidRPr="00BC59F2">
        <w:t>qPCR of oxidative stress pathway</w:t>
      </w:r>
      <w:bookmarkEnd w:id="12"/>
    </w:p>
    <w:p w14:paraId="0AE83457" w14:textId="0C33D5B8" w:rsidR="00C070C1" w:rsidRPr="00BC59F2" w:rsidRDefault="00C070C1" w:rsidP="00476FA4">
      <w:pPr>
        <w:spacing w:line="276" w:lineRule="auto"/>
        <w:contextualSpacing/>
        <w:jc w:val="left"/>
        <w:rPr>
          <w:rFonts w:cs="Arial"/>
          <w:color w:val="000000"/>
        </w:rPr>
      </w:pPr>
      <w:r w:rsidRPr="00BC59F2">
        <w:rPr>
          <w:rFonts w:cs="Arial"/>
        </w:rPr>
        <w:t>RNA was extracted from primary MSC-generated CFU-f (±10 µM Ag</w:t>
      </w:r>
      <w:r w:rsidRPr="00BC59F2">
        <w:rPr>
          <w:rFonts w:cs="Arial"/>
          <w:vertAlign w:val="superscript"/>
        </w:rPr>
        <w:t>+</w:t>
      </w:r>
      <w:r w:rsidRPr="00BC59F2">
        <w:rPr>
          <w:rFonts w:cs="Arial"/>
        </w:rPr>
        <w:t>). CFU-f were pelleted and RNA isolated according to</w:t>
      </w:r>
      <w:r w:rsidRPr="00BC59F2">
        <w:rPr>
          <w:rFonts w:cs="Arial"/>
          <w:color w:val="000000"/>
        </w:rPr>
        <w:t xml:space="preserve"> </w:t>
      </w:r>
      <w:r w:rsidRPr="00BC59F2">
        <w:rPr>
          <w:rFonts w:cs="Arial"/>
        </w:rPr>
        <w:t xml:space="preserve">RNeasy Mini Kit protocol (Qiagen, Manchester, UK). </w:t>
      </w:r>
      <w:r w:rsidRPr="00BC59F2">
        <w:rPr>
          <w:rFonts w:cs="Arial"/>
          <w:color w:val="000000"/>
        </w:rPr>
        <w:t>cDNA synthesis was performed with 500 ng mRNA per sample reaction using RT</w:t>
      </w:r>
      <w:r w:rsidRPr="00BC59F2">
        <w:rPr>
          <w:rFonts w:cs="Arial"/>
          <w:color w:val="000000"/>
          <w:vertAlign w:val="superscript"/>
        </w:rPr>
        <w:t>2</w:t>
      </w:r>
      <w:r w:rsidRPr="00BC59F2">
        <w:rPr>
          <w:rFonts w:cs="Arial"/>
          <w:color w:val="000000"/>
        </w:rPr>
        <w:t xml:space="preserve"> First Strand Kit (Qiagen). </w:t>
      </w:r>
      <w:r w:rsidRPr="00BC59F2">
        <w:rPr>
          <w:rFonts w:cs="Arial"/>
        </w:rPr>
        <w:t>QPCR was performed using the RT</w:t>
      </w:r>
      <w:r w:rsidRPr="00BC59F2">
        <w:rPr>
          <w:rFonts w:cs="Arial"/>
          <w:vertAlign w:val="superscript"/>
        </w:rPr>
        <w:t>2</w:t>
      </w:r>
      <w:r w:rsidRPr="00BC59F2">
        <w:rPr>
          <w:rFonts w:cs="Arial"/>
        </w:rPr>
        <w:t xml:space="preserve"> Human Oxidative Stress PCR Array (Qiagen, Cat: PAHS</w:t>
      </w:r>
      <w:r w:rsidRPr="00BC59F2">
        <w:rPr>
          <w:rFonts w:cs="Arial"/>
        </w:rPr>
        <w:noBreakHyphen/>
        <w:t>065Z) with SYBR Green detection</w:t>
      </w:r>
      <w:r w:rsidRPr="00BC59F2">
        <w:rPr>
          <w:rFonts w:cs="Arial"/>
          <w:color w:val="000000"/>
        </w:rPr>
        <w:t xml:space="preserve"> run on the Thermo Fisher Quantstudio 3 Real</w:t>
      </w:r>
      <w:r w:rsidRPr="00BC59F2">
        <w:rPr>
          <w:rFonts w:cs="Arial"/>
          <w:color w:val="000000"/>
        </w:rPr>
        <w:noBreakHyphen/>
        <w:t>Time PCR System (95 °C for 10 minutes followed by 40 cycles of 95 °C for 15 seconds, 60 °C for one minute, a final melt curve of 95 °C for 15 seconds, 60 °C for one minute, 95 °C for one second). Fold</w:t>
      </w:r>
      <w:r w:rsidRPr="00BC59F2">
        <w:rPr>
          <w:rFonts w:cs="Arial"/>
          <w:color w:val="000000"/>
        </w:rPr>
        <w:noBreakHyphen/>
        <w:t>changes were calculated for each donor, normalising to β-2-microglobulin (B2M).</w:t>
      </w:r>
    </w:p>
    <w:p w14:paraId="092CB3E4" w14:textId="77777777" w:rsidR="00C070C1" w:rsidRPr="00BC59F2" w:rsidRDefault="00C070C1" w:rsidP="00476FA4">
      <w:pPr>
        <w:pStyle w:val="Heading2"/>
        <w:spacing w:line="276" w:lineRule="auto"/>
      </w:pPr>
      <w:bookmarkStart w:id="13" w:name="_Toc405634925"/>
      <w:r w:rsidRPr="00BC59F2">
        <w:t>Global proteomic analysis of CFU-f</w:t>
      </w:r>
      <w:bookmarkEnd w:id="13"/>
    </w:p>
    <w:p w14:paraId="338059EB" w14:textId="1653AA75" w:rsidR="00C070C1" w:rsidRPr="00BC59F2" w:rsidRDefault="00C070C1" w:rsidP="00476FA4">
      <w:pPr>
        <w:spacing w:line="276" w:lineRule="auto"/>
        <w:contextualSpacing/>
        <w:jc w:val="left"/>
        <w:rPr>
          <w:rFonts w:cs="Arial"/>
        </w:rPr>
      </w:pPr>
      <w:bookmarkStart w:id="14" w:name="OLE_LINK4"/>
      <w:bookmarkStart w:id="15" w:name="OLE_LINK5"/>
      <w:bookmarkStart w:id="16" w:name="OLE_LINK6"/>
      <w:r w:rsidRPr="00BC59F2">
        <w:rPr>
          <w:rFonts w:cs="Arial"/>
        </w:rPr>
        <w:t>Ag</w:t>
      </w:r>
      <w:r w:rsidRPr="00BC59F2">
        <w:rPr>
          <w:rFonts w:cs="Arial"/>
          <w:vertAlign w:val="superscript"/>
        </w:rPr>
        <w:t>+</w:t>
      </w:r>
      <w:r w:rsidRPr="00BC59F2">
        <w:rPr>
          <w:rFonts w:cs="Arial"/>
        </w:rPr>
        <w:t xml:space="preserve"> cultured Y201 CFU-f were washed and lysed in urea lysis buffer added at 5:1 (v:v) of the cell pellet before undergoing three bursts of microtip sonication at 15 watts, cooling on ice for one minute between bursts. Reduction, alkylation, trypsin digestion and peptide fractionation </w:t>
      </w:r>
      <w:r w:rsidRPr="00BC59F2">
        <w:rPr>
          <w:rFonts w:eastAsia="Times New Roman" w:cs="Arial"/>
          <w:color w:val="222222"/>
        </w:rPr>
        <w:t xml:space="preserve">was performed as described by </w:t>
      </w:r>
      <w:r w:rsidRPr="00BC59F2">
        <w:rPr>
          <w:rFonts w:cs="Arial"/>
        </w:rPr>
        <w:t>Geoghegan</w:t>
      </w:r>
      <w:r w:rsidRPr="00BC59F2">
        <w:rPr>
          <w:rFonts w:eastAsia="Times New Roman" w:cs="Arial"/>
          <w:color w:val="222222"/>
        </w:rPr>
        <w:t xml:space="preserve"> </w:t>
      </w:r>
      <w:r w:rsidRPr="00BC59F2">
        <w:rPr>
          <w:rFonts w:eastAsia="Times New Roman" w:cs="Arial"/>
          <w:i/>
          <w:color w:val="222222"/>
        </w:rPr>
        <w:t>et al.</w:t>
      </w:r>
      <w:r w:rsidRPr="00BC59F2">
        <w:rPr>
          <w:rFonts w:eastAsia="Times New Roman" w:cs="Arial"/>
          <w:color w:val="222222"/>
        </w:rPr>
        <w:t xml:space="preserve"> for </w:t>
      </w:r>
      <w:r w:rsidRPr="00BC59F2">
        <w:rPr>
          <w:rFonts w:eastAsia="Times New Roman" w:cs="Arial"/>
          <w:i/>
          <w:color w:val="222222"/>
        </w:rPr>
        <w:t>Aedes aegypti</w:t>
      </w:r>
      <w:r w:rsidRPr="00BC59F2">
        <w:rPr>
          <w:rFonts w:eastAsia="Times New Roman" w:cs="Arial"/>
          <w:color w:val="222222"/>
        </w:rPr>
        <w:t xml:space="preserve"> midguts </w:t>
      </w:r>
      <w:r w:rsidRPr="00BC59F2">
        <w:rPr>
          <w:rFonts w:eastAsia="Times New Roman" w:cs="Arial"/>
          <w:color w:val="222222"/>
        </w:rPr>
        <w:fldChar w:fldCharType="begin" w:fldLock="1"/>
      </w:r>
      <w:r w:rsidR="00C5479F" w:rsidRPr="00BC59F2">
        <w:rPr>
          <w:rFonts w:eastAsia="Times New Roman" w:cs="Arial"/>
          <w:color w:val="222222"/>
        </w:rPr>
        <w:instrText>ADDIN CSL_CITATION {"citationItems":[{"id":"ITEM-1","itemData":{"DOI":"10.1038/s41467-017-00610-8","ISSN":"2041-1723","author":[{"dropping-particle":"","family":"Geoghegan","given":"Vincent","non-dropping-particle":"","parse-names":false,"suffix":""},{"dropping-particle":"","family":"Stainton","given":"Kirsty","non-dropping-particle":"","parse-names":false,"suffix":""},{"dropping-particle":"","family":"Rainey","given":"Stephanie M.","non-dropping-particle":"","parse-names":false,"suffix":""},{"dropping-particle":"","family":"Ant","given":"Thomas H.","non-dropping-particle":"","parse-names":false,"suffix":""},{"dropping-particle":"","family":"Dowle","given":"Adam A.","non-dropping-particle":"","parse-names":false,"suffix":""},{"dropping-particle":"","family":"Larson","given":"Tony","non-dropping-particle":"","parse-names":false,"suffix":""},{"dropping-particle":"","family":"Hester","given":"Svenja","non-dropping-particle":"","parse-names":false,"suffix":""},{"dropping-particle":"","family":"Charles","given":"Philip D.","non-dropping-particle":"","parse-names":false,"suffix":""},{"dropping-particle":"","family":"Thomas","given":"Benjamin","non-dropping-particle":"","parse-names":false,"suffix":""},{"dropping-particle":"","family":"Sinkins","given":"Steven P.","non-dropping-particle":"","parse-names":false,"suffix":""}],"container-title":"Nature Communications","id":"ITEM-1","issue":"1","issued":{"date-parts":[["2017"]]},"publisher":"Springer US","title":"Perturbed cholesterol and vesicular trafficking associated with dengue blocking in Wolbachia-infected Aedes aegypti cells","type":"article-journal","volume":"8"},"uris":["http://www.mendeley.com/documents/?uuid=2d8819d2-ed35-43c0-bc32-874e1cd9eb9a"]}],"mendeley":{"formattedCitation":"&lt;sup&gt;54&lt;/sup&gt;","plainTextFormattedCitation":"54","previouslyFormattedCitation":"&lt;sup&gt;54&lt;/sup&gt;"},"properties":{"noteIndex":0},"schema":"https://github.com/citation-style-language/schema/raw/master/csl-citation.json"}</w:instrText>
      </w:r>
      <w:r w:rsidRPr="00BC59F2">
        <w:rPr>
          <w:rFonts w:eastAsia="Times New Roman" w:cs="Arial"/>
          <w:color w:val="222222"/>
        </w:rPr>
        <w:fldChar w:fldCharType="separate"/>
      </w:r>
      <w:r w:rsidR="00E37F00" w:rsidRPr="00BC59F2">
        <w:rPr>
          <w:rFonts w:eastAsia="Times New Roman" w:cs="Arial"/>
          <w:noProof/>
          <w:color w:val="222222"/>
          <w:vertAlign w:val="superscript"/>
        </w:rPr>
        <w:t>54</w:t>
      </w:r>
      <w:r w:rsidRPr="00BC59F2">
        <w:rPr>
          <w:rFonts w:eastAsia="Times New Roman" w:cs="Arial"/>
          <w:color w:val="222222"/>
        </w:rPr>
        <w:fldChar w:fldCharType="end"/>
      </w:r>
      <w:r w:rsidRPr="00BC59F2">
        <w:rPr>
          <w:rFonts w:eastAsia="Times New Roman" w:cs="Arial"/>
          <w:color w:val="222222"/>
        </w:rPr>
        <w:t xml:space="preserve">. </w:t>
      </w:r>
      <w:bookmarkStart w:id="17" w:name="OLE_LINK1"/>
      <w:bookmarkStart w:id="18" w:name="OLE_LINK2"/>
      <w:bookmarkStart w:id="19" w:name="OLE_LINK3"/>
      <w:r w:rsidRPr="00BC59F2">
        <w:rPr>
          <w:rFonts w:cs="Arial"/>
        </w:rPr>
        <w:t xml:space="preserve">Peptide </w:t>
      </w:r>
      <w:r w:rsidRPr="00BC59F2">
        <w:rPr>
          <w:rFonts w:cs="Arial"/>
        </w:rPr>
        <w:lastRenderedPageBreak/>
        <w:t>fractions were loaded onto an UltiMate 3000 RSLCnano HPLC system (Thermo) equipped with a PepMap 100 Å C</w:t>
      </w:r>
      <w:r w:rsidRPr="00BC59F2">
        <w:rPr>
          <w:rFonts w:cs="Arial"/>
          <w:vertAlign w:val="subscript"/>
        </w:rPr>
        <w:t>18</w:t>
      </w:r>
      <w:r w:rsidRPr="00BC59F2">
        <w:rPr>
          <w:rFonts w:cs="Arial"/>
        </w:rPr>
        <w:t>, 5 µm trap column (300 µm x  5 mm Thermo) and a PepMap, 2 µm, 100 Å, C</w:t>
      </w:r>
      <w:r w:rsidRPr="00BC59F2">
        <w:rPr>
          <w:rFonts w:cs="Arial"/>
          <w:vertAlign w:val="subscript"/>
        </w:rPr>
        <w:t>18</w:t>
      </w:r>
      <w:r w:rsidRPr="00BC59F2">
        <w:rPr>
          <w:rFonts w:cs="Arial"/>
        </w:rPr>
        <w:t xml:space="preserve"> EasyNano nanocapillary column (75 </w:t>
      </w:r>
      <w:r w:rsidRPr="00BC59F2">
        <w:rPr>
          <w:rFonts w:cs="Arial"/>
        </w:rPr>
        <w:sym w:font="Symbol" w:char="F06D"/>
      </w:r>
      <w:r w:rsidRPr="00BC59F2">
        <w:rPr>
          <w:rFonts w:cs="Arial"/>
        </w:rPr>
        <w:t>m x 500 mm, Thermo). Flow rate was 300 nL/min and the column temperature 40 °C. Separation used gradient elution of aqueous 1 % (v:v) formic acid (solvent A) and aqueous 80 % (v:v) acetonitrile containing 1 % (v:v) formic acid (solvent B). The linear multi-step gradient profile was: 3-10 % B over 7 mins, 10-35 % B over 30 mins, 35-99 % B over 5 mins and then proceeded to wash with 99 % solvent B for 4 min. The nanoLC system was interfaced with an Orbitrap Fusion hybrid mass spectrometer and positive ESI-MS and MS</w:t>
      </w:r>
      <w:r w:rsidRPr="00BC59F2">
        <w:rPr>
          <w:rFonts w:cs="Arial"/>
          <w:vertAlign w:val="superscript"/>
        </w:rPr>
        <w:t>2</w:t>
      </w:r>
      <w:r w:rsidRPr="00BC59F2">
        <w:rPr>
          <w:rFonts w:cs="Arial"/>
        </w:rPr>
        <w:t xml:space="preserve"> spectra were acquired using Xcalibur software (version 4.0, Thermo). MS</w:t>
      </w:r>
      <w:r w:rsidRPr="00BC59F2">
        <w:rPr>
          <w:rFonts w:cs="Arial"/>
          <w:vertAlign w:val="superscript"/>
        </w:rPr>
        <w:t>1</w:t>
      </w:r>
      <w:r w:rsidRPr="00BC59F2">
        <w:rPr>
          <w:rFonts w:cs="Arial"/>
        </w:rPr>
        <w:t xml:space="preserve"> spectra were acquired in the Orbitrap with Easy-IC: 120 000 resolution, scan range: </w:t>
      </w:r>
      <w:r w:rsidRPr="00BC59F2">
        <w:rPr>
          <w:rFonts w:cs="Arial"/>
          <w:i/>
        </w:rPr>
        <w:t>m/z</w:t>
      </w:r>
      <w:r w:rsidRPr="00BC59F2">
        <w:rPr>
          <w:rFonts w:cs="Arial"/>
        </w:rPr>
        <w:t xml:space="preserve"> 375-1 500. Data-dependent acquisition was performed in top speed mode using a 1 s cycle and 50 s dynamic exclusion. MS</w:t>
      </w:r>
      <w:r w:rsidRPr="00BC59F2">
        <w:rPr>
          <w:rFonts w:cs="Arial"/>
          <w:vertAlign w:val="superscript"/>
        </w:rPr>
        <w:t>2</w:t>
      </w:r>
      <w:r w:rsidRPr="00BC59F2">
        <w:rPr>
          <w:rFonts w:cs="Arial"/>
        </w:rPr>
        <w:t xml:space="preserve"> spectra were acquired in the linear ion trap with HCD activation energy of 32%.</w:t>
      </w:r>
      <w:bookmarkEnd w:id="17"/>
      <w:bookmarkEnd w:id="18"/>
      <w:bookmarkEnd w:id="19"/>
      <w:r w:rsidRPr="00BC59F2">
        <w:rPr>
          <w:rFonts w:cs="Arial"/>
        </w:rPr>
        <w:t xml:space="preserve"> Peak area derived relative quantification was obtained from non-conflicting precursor intensities using Progensis QI as detailed previously.</w:t>
      </w:r>
      <w:r w:rsidRPr="00BC59F2">
        <w:rPr>
          <w:rFonts w:cs="Arial"/>
        </w:rPr>
        <w:fldChar w:fldCharType="begin" w:fldLock="1"/>
      </w:r>
      <w:r w:rsidR="00C5479F" w:rsidRPr="00BC59F2">
        <w:rPr>
          <w:rFonts w:cs="Arial"/>
        </w:rPr>
        <w:instrText>ADDIN CSL_CITATION {"citationItems":[{"id":"ITEM-1","itemData":{"DOI":"10.1021/acs.jproteome.6b00308","ISBN":"1535-3893","ISSN":"15353907","abstract":"Diagnostic classification accuracy is critical in expression proteomics to ensure that as many true differences as possible are identified with acceptable false-positive rates. We present a comparison of the diagnostic accuracy of iTRAQ with three label-free methods, peak area, spectral counting, and emPAI, for relative quantification using a spiked proteome standard. We provide the first validation of emPAI for intersample relative quantification and find clear differences among the four quantification approaches that could be considered when designing an experiment. Spectral counting was observed to perform surprisingly well in all regards. Peak area performed best for smaller fold differences and was shown to be capable of discerning a 1.1-fold difference with acceptable specificity and sensitivity. The performance of iTRAQ was dramatically worse than the label-free methods with low abundance proteins. Using the iTRAQ data set for validation, we also demonstrate a novel iTRAQ analysis regime that avoid...","author":[{"dropping-particle":"","family":"Dowle","given":"Adam A.","non-dropping-particle":"","parse-names":false,"suffix":""},{"dropping-particle":"","family":"Wilson","given":"Julie","non-dropping-particle":"","parse-names":false,"suffix":""},{"dropping-particle":"","family":"Thomas","given":"Jerry R.","non-dropping-particle":"","parse-names":false,"suffix":""}],"container-title":"Journal of Proteome Research","id":"ITEM-1","issue":"10","issued":{"date-parts":[["2016"]]},"page":"3550-3562","title":"Comparing the Diagnostic Classification Accuracy of iTRAQ, Peak-Area, Spectral-Counting, and emPAI Methods for Relative Quantification in Expression Proteomics","type":"article-journal","volume":"15"},"uris":["http://www.mendeley.com/documents/?uuid=35604d5e-6e94-4027-b871-65d4e56751de"]}],"mendeley":{"formattedCitation":"&lt;sup&gt;55&lt;/sup&gt;","plainTextFormattedCitation":"55","previouslyFormattedCitation":"&lt;sup&gt;55&lt;/sup&gt;"},"properties":{"noteIndex":0},"schema":"https://github.com/citation-style-language/schema/raw/master/csl-citation.json"}</w:instrText>
      </w:r>
      <w:r w:rsidRPr="00BC59F2">
        <w:rPr>
          <w:rFonts w:cs="Arial"/>
        </w:rPr>
        <w:fldChar w:fldCharType="separate"/>
      </w:r>
      <w:r w:rsidR="00E37F00" w:rsidRPr="00BC59F2">
        <w:rPr>
          <w:rFonts w:cs="Arial"/>
          <w:noProof/>
          <w:vertAlign w:val="superscript"/>
        </w:rPr>
        <w:t>55</w:t>
      </w:r>
      <w:r w:rsidRPr="00BC59F2">
        <w:rPr>
          <w:rFonts w:cs="Arial"/>
        </w:rPr>
        <w:fldChar w:fldCharType="end"/>
      </w:r>
      <w:r w:rsidRPr="00BC59F2">
        <w:rPr>
          <w:rFonts w:cs="Arial"/>
        </w:rPr>
        <w:t xml:space="preserve"> Relative abundances were normalised between high pH C</w:t>
      </w:r>
      <w:r w:rsidRPr="00BC59F2">
        <w:rPr>
          <w:rFonts w:cs="Arial"/>
          <w:vertAlign w:val="subscript"/>
        </w:rPr>
        <w:t>18</w:t>
      </w:r>
      <w:r w:rsidRPr="00BC59F2">
        <w:rPr>
          <w:rFonts w:cs="Arial"/>
        </w:rPr>
        <w:t xml:space="preserve"> fractions using total ion intensity.  Database searching was performed against the human subset of the UniProt database (Date 20180123; 20 244 sequences; 11 338 534 residues) using Mascot (Matrix Science Ltd., version 2.5.1), filtering identifications through the Percolator algorithm to achieve a global 1 % FDR. Accepted quantifiable proteins were further filtered to require a minimum of two unique peptides.  Multiple test corrected q-values for differential abundance were calculated in Progenesis QI with the Hochberg and Benjamini FDR estimation additionally applied for further stringency.</w:t>
      </w:r>
      <w:bookmarkStart w:id="20" w:name="_Toc405634928"/>
      <w:bookmarkEnd w:id="14"/>
      <w:bookmarkEnd w:id="15"/>
      <w:bookmarkEnd w:id="16"/>
    </w:p>
    <w:p w14:paraId="5E066BE7" w14:textId="62FC793D" w:rsidR="00C070C1" w:rsidRPr="00BC59F2" w:rsidRDefault="00C070C1" w:rsidP="00476FA4">
      <w:pPr>
        <w:pStyle w:val="Heading2"/>
        <w:spacing w:line="276" w:lineRule="auto"/>
      </w:pPr>
      <w:r w:rsidRPr="00BC59F2">
        <w:t>Immunocytochemistry of CFU-f (GCLM &amp; TRX</w:t>
      </w:r>
      <w:bookmarkEnd w:id="20"/>
      <w:r w:rsidRPr="00BC59F2">
        <w:t>)</w:t>
      </w:r>
    </w:p>
    <w:p w14:paraId="6F821AF6" w14:textId="6D7EFE94" w:rsidR="00C070C1" w:rsidRPr="00BC59F2" w:rsidRDefault="00C070C1" w:rsidP="00476FA4">
      <w:pPr>
        <w:spacing w:line="276" w:lineRule="auto"/>
        <w:contextualSpacing/>
        <w:jc w:val="left"/>
        <w:rPr>
          <w:rFonts w:eastAsia="Times New Roman" w:cs="Arial"/>
          <w:shd w:val="clear" w:color="auto" w:fill="FFFFFF"/>
        </w:rPr>
      </w:pPr>
      <w:r w:rsidRPr="00BC59F2">
        <w:rPr>
          <w:rFonts w:cs="Arial"/>
        </w:rPr>
        <w:t xml:space="preserve">Detection of </w:t>
      </w:r>
      <w:r w:rsidRPr="00BC59F2">
        <w:rPr>
          <w:rFonts w:eastAsia="Times New Roman" w:cs="Arial"/>
          <w:shd w:val="clear" w:color="auto" w:fill="FFFFFF"/>
        </w:rPr>
        <w:t>γ</w:t>
      </w:r>
      <w:r w:rsidRPr="00BC59F2">
        <w:rPr>
          <w:rFonts w:eastAsia="Times New Roman" w:cs="Arial"/>
          <w:color w:val="000000"/>
          <w:shd w:val="clear" w:color="auto" w:fill="FFFFFF"/>
        </w:rPr>
        <w:t>-glutamylcysteine synthetase (GCLM) and thioredoxin (TRX) was in CFU-f of primary MSCs cultured with Ag</w:t>
      </w:r>
      <w:r w:rsidRPr="00BC59F2">
        <w:rPr>
          <w:rFonts w:eastAsia="Times New Roman" w:cs="Arial"/>
          <w:color w:val="000000"/>
          <w:shd w:val="clear" w:color="auto" w:fill="FFFFFF"/>
          <w:vertAlign w:val="superscript"/>
        </w:rPr>
        <w:t>+</w:t>
      </w:r>
      <w:r w:rsidRPr="00BC59F2">
        <w:rPr>
          <w:rFonts w:eastAsia="Times New Roman" w:cs="Arial"/>
          <w:color w:val="000000"/>
          <w:shd w:val="clear" w:color="auto" w:fill="FFFFFF"/>
        </w:rPr>
        <w:t xml:space="preserve"> on g</w:t>
      </w:r>
      <w:r w:rsidRPr="00BC59F2">
        <w:rPr>
          <w:rFonts w:cs="Arial"/>
        </w:rPr>
        <w:t>lass coverslips (using a HeLa cell positive control). Slides were fixed with ice cold 100% methanol (10 mins) rinsed with PBS and incubated with</w:t>
      </w:r>
      <w:r w:rsidRPr="00BC59F2">
        <w:rPr>
          <w:rFonts w:eastAsia="Times New Roman" w:cs="Arial"/>
          <w:color w:val="000000"/>
          <w:shd w:val="clear" w:color="auto" w:fill="FFFFFF"/>
        </w:rPr>
        <w:t xml:space="preserve"> </w:t>
      </w:r>
      <w:r w:rsidRPr="00BC59F2">
        <w:rPr>
          <w:rFonts w:cs="Arial"/>
        </w:rPr>
        <w:t xml:space="preserve">5 % goat serum/PBS at room temperature (1 hour). Primary antibody incubation (1 hour, RT) also occurred in 5 % goat serum/PBS 10 </w:t>
      </w:r>
      <w:r w:rsidRPr="00BC59F2">
        <w:rPr>
          <w:rFonts w:cs="Arial"/>
          <w:color w:val="000000"/>
        </w:rPr>
        <w:t xml:space="preserve">μg/mL </w:t>
      </w:r>
      <w:r w:rsidRPr="00BC59F2">
        <w:rPr>
          <w:rFonts w:cs="Arial"/>
        </w:rPr>
        <w:t>polyclonal rabbit anti-GCLM IgG (Cat: NBP1-33405,</w:t>
      </w:r>
      <w:r w:rsidR="002F770D" w:rsidRPr="00BC59F2">
        <w:rPr>
          <w:rFonts w:cs="Arial"/>
        </w:rPr>
        <w:t xml:space="preserve"> RRID: AB_2107841,</w:t>
      </w:r>
      <w:r w:rsidR="006370CE" w:rsidRPr="00BC59F2">
        <w:rPr>
          <w:rFonts w:cs="Arial"/>
        </w:rPr>
        <w:t xml:space="preserve"> Novusbio</w:t>
      </w:r>
      <w:r w:rsidRPr="00BC59F2">
        <w:rPr>
          <w:rFonts w:cs="Arial"/>
        </w:rPr>
        <w:t>, UK) and 4 </w:t>
      </w:r>
      <w:r w:rsidRPr="00BC59F2">
        <w:rPr>
          <w:rFonts w:cs="Arial"/>
          <w:color w:val="000000"/>
        </w:rPr>
        <w:t xml:space="preserve">μg/mL </w:t>
      </w:r>
      <w:r w:rsidRPr="00BC59F2">
        <w:rPr>
          <w:rFonts w:cs="Arial"/>
        </w:rPr>
        <w:t>polyclonal rabbit anti-thioredoxin IgG (Cat:  NBP2-48873,</w:t>
      </w:r>
      <w:r w:rsidR="006370CE" w:rsidRPr="00BC59F2">
        <w:rPr>
          <w:rFonts w:cs="Arial"/>
        </w:rPr>
        <w:t xml:space="preserve"> RRID AB_2819005</w:t>
      </w:r>
      <w:r w:rsidR="005A5D75" w:rsidRPr="00BC59F2">
        <w:rPr>
          <w:rFonts w:cs="Arial"/>
        </w:rPr>
        <w:t>,</w:t>
      </w:r>
      <w:r w:rsidRPr="00BC59F2">
        <w:rPr>
          <w:rFonts w:cs="Arial"/>
        </w:rPr>
        <w:t xml:space="preserve"> Novusbio). Slides were rinsed before incubation with 10 </w:t>
      </w:r>
      <w:r w:rsidRPr="00BC59F2">
        <w:rPr>
          <w:rFonts w:cs="Arial"/>
          <w:color w:val="000000"/>
        </w:rPr>
        <w:t>μg/mL Alex fluor 647-conjugated goat anti-rabbit IgG (H+L) cross adsorbed (1 hour, RT; Cat: A-21244</w:t>
      </w:r>
      <w:r w:rsidR="00ED567E" w:rsidRPr="00BC59F2">
        <w:rPr>
          <w:rFonts w:cs="Arial"/>
          <w:color w:val="000000"/>
        </w:rPr>
        <w:t>, RRID: AB_2535812</w:t>
      </w:r>
      <w:r w:rsidR="00AA440A" w:rsidRPr="00BC59F2">
        <w:rPr>
          <w:rFonts w:cs="Arial"/>
          <w:color w:val="000000"/>
        </w:rPr>
        <w:t>, ThermoFisher</w:t>
      </w:r>
      <w:r w:rsidRPr="00BC59F2">
        <w:rPr>
          <w:rFonts w:cs="Arial"/>
          <w:color w:val="000000"/>
        </w:rPr>
        <w:t>) and counterstained with 2 μg/</w:t>
      </w:r>
      <w:r w:rsidRPr="00BC59F2">
        <w:rPr>
          <w:rFonts w:cs="Arial"/>
        </w:rPr>
        <w:t xml:space="preserve">mL </w:t>
      </w:r>
      <w:r w:rsidRPr="00BC59F2">
        <w:rPr>
          <w:rFonts w:eastAsia="Times New Roman" w:cs="Arial"/>
          <w:shd w:val="clear" w:color="auto" w:fill="FFFFFF"/>
        </w:rPr>
        <w:t>DAPI. Coverslips were mounted in aqueous mounting media (Abcam, Cambridge, UK). All immunofluorescence imaging was performed using the Zeiss Axio Imager.M2 LSM 710 confocal microscope (Carl Zeiss, Cambridge, UK).</w:t>
      </w:r>
    </w:p>
    <w:p w14:paraId="6D513A10" w14:textId="77777777" w:rsidR="00C070C1" w:rsidRPr="00BC59F2" w:rsidRDefault="00C070C1" w:rsidP="00476FA4">
      <w:pPr>
        <w:pStyle w:val="Heading2"/>
        <w:spacing w:line="276" w:lineRule="auto"/>
      </w:pPr>
      <w:r w:rsidRPr="00BC59F2">
        <w:t>Inhibition of glutathione synthesis and addition of GSH-MEE</w:t>
      </w:r>
    </w:p>
    <w:p w14:paraId="496819F6" w14:textId="39A225D0" w:rsidR="00C070C1" w:rsidRPr="00BC59F2" w:rsidRDefault="00C070C1" w:rsidP="00476FA4">
      <w:pPr>
        <w:spacing w:line="276" w:lineRule="auto"/>
        <w:contextualSpacing/>
        <w:jc w:val="left"/>
        <w:rPr>
          <w:rFonts w:eastAsia="Times New Roman" w:cs="Arial"/>
          <w:shd w:val="clear" w:color="auto" w:fill="FFFFFF"/>
        </w:rPr>
      </w:pPr>
      <w:r w:rsidRPr="00BC59F2">
        <w:rPr>
          <w:rFonts w:cs="Arial"/>
        </w:rPr>
        <w:t>CFU-f from primary MSCs were cultured with Ag</w:t>
      </w:r>
      <w:r w:rsidRPr="00BC59F2">
        <w:rPr>
          <w:rFonts w:cs="Arial"/>
          <w:vertAlign w:val="superscript"/>
        </w:rPr>
        <w:t>+</w:t>
      </w:r>
      <w:r w:rsidRPr="00BC59F2">
        <w:rPr>
          <w:rFonts w:cs="Arial"/>
        </w:rPr>
        <w:t xml:space="preserve"> (0, 1, 5 &amp; 10 </w:t>
      </w:r>
      <w:r w:rsidRPr="00BC59F2">
        <w:rPr>
          <w:rFonts w:cs="Arial"/>
          <w:color w:val="000000"/>
        </w:rPr>
        <w:t>μ</w:t>
      </w:r>
      <w:r w:rsidRPr="00BC59F2">
        <w:rPr>
          <w:rFonts w:cs="Arial"/>
        </w:rPr>
        <w:t xml:space="preserve">M) in the presence/absence of </w:t>
      </w:r>
      <w:r w:rsidRPr="00BC59F2">
        <w:rPr>
          <w:rFonts w:eastAsia="Times New Roman" w:cs="Arial"/>
          <w:shd w:val="clear" w:color="auto" w:fill="FFFFFF"/>
        </w:rPr>
        <w:t xml:space="preserve">a pharmacological </w:t>
      </w:r>
      <w:r w:rsidRPr="00BC59F2">
        <w:rPr>
          <w:rFonts w:cs="Arial"/>
        </w:rPr>
        <w:t xml:space="preserve">inhibitor of </w:t>
      </w:r>
      <w:r w:rsidRPr="00BC59F2">
        <w:rPr>
          <w:rFonts w:eastAsia="Times New Roman" w:cs="Arial"/>
          <w:shd w:val="clear" w:color="auto" w:fill="FFFFFF"/>
        </w:rPr>
        <w:t>γ</w:t>
      </w:r>
      <w:r w:rsidRPr="00BC59F2">
        <w:rPr>
          <w:rFonts w:eastAsia="Times New Roman" w:cs="Arial"/>
          <w:shd w:val="clear" w:color="auto" w:fill="FFFFFF"/>
        </w:rPr>
        <w:noBreakHyphen/>
        <w:t>glutamylcysteine synthetase, L</w:t>
      </w:r>
      <w:r w:rsidRPr="00BC59F2">
        <w:rPr>
          <w:rFonts w:eastAsia="Times New Roman" w:cs="Arial"/>
          <w:shd w:val="clear" w:color="auto" w:fill="FFFFFF"/>
        </w:rPr>
        <w:noBreakHyphen/>
        <w:t>Buthionine</w:t>
      </w:r>
      <w:r w:rsidRPr="00BC59F2">
        <w:rPr>
          <w:rFonts w:eastAsia="Times New Roman" w:cs="Arial"/>
          <w:shd w:val="clear" w:color="auto" w:fill="FFFFFF"/>
        </w:rPr>
        <w:noBreakHyphen/>
        <w:t xml:space="preserve">sulfoxamine (BSO, </w:t>
      </w:r>
      <w:r w:rsidRPr="00BC59F2">
        <w:rPr>
          <w:rFonts w:cs="Arial"/>
        </w:rPr>
        <w:t>0.01, 0.1 1 </w:t>
      </w:r>
      <w:r w:rsidRPr="00BC59F2">
        <w:rPr>
          <w:rFonts w:cs="Arial"/>
          <w:color w:val="000000"/>
        </w:rPr>
        <w:t>μ</w:t>
      </w:r>
      <w:r w:rsidRPr="00BC59F2">
        <w:rPr>
          <w:rFonts w:cs="Arial"/>
        </w:rPr>
        <w:t>M</w:t>
      </w:r>
      <w:r w:rsidRPr="00BC59F2">
        <w:rPr>
          <w:rFonts w:eastAsia="Times New Roman" w:cs="Arial"/>
          <w:shd w:val="clear" w:color="auto" w:fill="FFFFFF"/>
        </w:rPr>
        <w:t xml:space="preserve">). Recovery the glutathione pathway in BSO treated cultures was through media supplementation with 2 mM GSH-MEE. Media were changed twice per week with CFU-f number assessed at 14 days. </w:t>
      </w:r>
    </w:p>
    <w:p w14:paraId="39B8CF21" w14:textId="77777777" w:rsidR="00C070C1" w:rsidRPr="00BC59F2" w:rsidRDefault="00C070C1" w:rsidP="00476FA4">
      <w:pPr>
        <w:pStyle w:val="Heading2"/>
        <w:spacing w:line="276" w:lineRule="auto"/>
      </w:pPr>
      <w:r w:rsidRPr="00BC59F2">
        <w:rPr>
          <w:i/>
        </w:rPr>
        <w:lastRenderedPageBreak/>
        <w:t>In vivo</w:t>
      </w:r>
      <w:r w:rsidRPr="00BC59F2">
        <w:t xml:space="preserve"> Ag</w:t>
      </w:r>
      <w:r w:rsidRPr="00BC59F2">
        <w:rPr>
          <w:vertAlign w:val="superscript"/>
        </w:rPr>
        <w:t>+</w:t>
      </w:r>
      <w:r w:rsidRPr="00BC59F2">
        <w:t xml:space="preserve"> release from intramedullary implants</w:t>
      </w:r>
    </w:p>
    <w:p w14:paraId="22A1D88C" w14:textId="2FCA2E1C" w:rsidR="00C070C1" w:rsidRPr="00BC59F2" w:rsidRDefault="00A818F5" w:rsidP="00EB1305">
      <w:pPr>
        <w:spacing w:line="276" w:lineRule="auto"/>
        <w:jc w:val="left"/>
        <w:rPr>
          <w:rFonts w:cs="Arial"/>
          <w:b/>
        </w:rPr>
      </w:pPr>
      <w:r w:rsidRPr="00BC59F2">
        <w:t xml:space="preserve">Study design was approved by the Smith &amp; Nephew Animal Welfare and Ethical Review Board in compliance with the Animals (Scientific Procedures) Act 1986, taking into consideration the requirements for reduction, replacement and </w:t>
      </w:r>
      <w:r w:rsidR="004B0FC3" w:rsidRPr="003F13ED">
        <w:t>refinement</w:t>
      </w:r>
      <w:r w:rsidRPr="00BC59F2">
        <w:t xml:space="preserve">. </w:t>
      </w:r>
      <w:r w:rsidR="00C070C1" w:rsidRPr="00BC59F2">
        <w:rPr>
          <w:rFonts w:cs="Arial"/>
        </w:rPr>
        <w:t>Twelve male Sprague Dawley rats (250-300 g) were randomised in to four groups consisting of three animals per group. Each group was allocated to a time point of 24, 48, 72 hours or 28 days. Animals were group housed in temperature controlled rooms at 21 °C ± 2 °C with a relative humidity of 55 % ± 10 % and artificial lighting cycle of 12 hours light/dark. Sub-cutaneous antibiotic prophylaxis (Septrin, 24 mg/kg), was provided prior to surgery and twice per day for the initial two days of the study. In addition, intra-peritoneal injections of Buprenorphine analgesia (0.05 mg/kg) and medetomidine sedative (0.1 mg/kg) were provided. Following surgery, Buprenorphine (0.05 mg/kg) was administered every eight hours for a minimum of 48 hours. Animals were anaesthetised using an Isoflurane/Oxygen/Nitrous oxide mixture. Access to the femoral canal was via an entry hole in the inter-condylar notch of the left hind leg. The test article was inserted and the wound closed using absorbable sub-articular sutures. Following surgery, the animals underwent X-rays and were returned to individual housing to recover, after which they were returned to the group. Animals were sacrificed at allocated time points and plasma samples prepared from whole blood collected in heparin sodium salt anticoagulant. The femurs were removed and the implants retrieved.</w:t>
      </w:r>
    </w:p>
    <w:p w14:paraId="35FD3F5D" w14:textId="77777777" w:rsidR="00C070C1" w:rsidRPr="00BC59F2" w:rsidRDefault="00C070C1" w:rsidP="00476FA4">
      <w:pPr>
        <w:pStyle w:val="Heading2"/>
        <w:spacing w:line="276" w:lineRule="auto"/>
      </w:pPr>
      <w:bookmarkStart w:id="21" w:name="_Toc405634882"/>
      <w:r w:rsidRPr="00BC59F2">
        <w:t xml:space="preserve">Silver quantification </w:t>
      </w:r>
      <w:bookmarkEnd w:id="21"/>
      <w:r w:rsidRPr="00BC59F2">
        <w:t>of plasma and femurs</w:t>
      </w:r>
    </w:p>
    <w:p w14:paraId="46ED4BE1" w14:textId="60855054" w:rsidR="00C070C1" w:rsidRPr="00BC59F2" w:rsidRDefault="00C070C1" w:rsidP="00476FA4">
      <w:pPr>
        <w:spacing w:line="276" w:lineRule="auto"/>
        <w:contextualSpacing/>
        <w:jc w:val="left"/>
        <w:rPr>
          <w:rFonts w:cs="Arial"/>
        </w:rPr>
      </w:pPr>
      <w:r w:rsidRPr="00BC59F2">
        <w:rPr>
          <w:rFonts w:cs="Arial"/>
        </w:rPr>
        <w:t>Plasma samples were diluted 1:25 (v/v) in 1 % nitric acid and the Ag</w:t>
      </w:r>
      <w:r w:rsidRPr="00BC59F2">
        <w:rPr>
          <w:rFonts w:cs="Arial"/>
          <w:vertAlign w:val="superscript"/>
        </w:rPr>
        <w:t>+</w:t>
      </w:r>
      <w:r w:rsidRPr="00BC59F2">
        <w:rPr>
          <w:rFonts w:cs="Arial"/>
        </w:rPr>
        <w:t xml:space="preserve"> content determined against a matrix matched standard (0.05-2 ppb, 4 % rat plasma (Innovative Research)). Femurs were heated to 700 °C for four hours and mixed with a 1:2 (v/v) nitric acid/dH</w:t>
      </w:r>
      <w:r w:rsidRPr="00BC59F2">
        <w:rPr>
          <w:rFonts w:cs="Arial"/>
          <w:vertAlign w:val="subscript"/>
        </w:rPr>
        <w:t>2</w:t>
      </w:r>
      <w:r w:rsidRPr="00BC59F2">
        <w:rPr>
          <w:rFonts w:cs="Arial"/>
        </w:rPr>
        <w:t>O solution and left overnight at RT. Samples were diluted 1:200 (v/v) in 1 % nitric acid and Ag</w:t>
      </w:r>
      <w:r w:rsidRPr="00BC59F2">
        <w:rPr>
          <w:rFonts w:cs="Arial"/>
          <w:vertAlign w:val="superscript"/>
        </w:rPr>
        <w:t>+</w:t>
      </w:r>
      <w:r w:rsidRPr="00BC59F2">
        <w:rPr>
          <w:rFonts w:cs="Arial"/>
        </w:rPr>
        <w:t xml:space="preserve"> quantified as before (0.2-20 ppb).</w:t>
      </w:r>
    </w:p>
    <w:p w14:paraId="1884CF02" w14:textId="77777777" w:rsidR="00C070C1" w:rsidRPr="00BC59F2" w:rsidRDefault="00C070C1" w:rsidP="00476FA4">
      <w:pPr>
        <w:pStyle w:val="Heading2"/>
        <w:spacing w:line="276" w:lineRule="auto"/>
      </w:pPr>
      <w:bookmarkStart w:id="22" w:name="_Toc405634876"/>
      <w:r w:rsidRPr="00BC59F2">
        <w:t>Statistical analysis</w:t>
      </w:r>
      <w:bookmarkEnd w:id="22"/>
    </w:p>
    <w:p w14:paraId="51B37179" w14:textId="1A8A55D4" w:rsidR="00F71219" w:rsidRPr="00BC59F2" w:rsidRDefault="00C070C1" w:rsidP="002475B6">
      <w:pPr>
        <w:spacing w:line="276" w:lineRule="auto"/>
        <w:contextualSpacing/>
        <w:jc w:val="left"/>
        <w:rPr>
          <w:rFonts w:cs="Arial"/>
        </w:rPr>
      </w:pPr>
      <w:r w:rsidRPr="00BC59F2">
        <w:rPr>
          <w:rFonts w:cs="Arial"/>
        </w:rPr>
        <w:t xml:space="preserve">Data were expressed as the mean </w:t>
      </w:r>
      <w:r w:rsidRPr="00BC59F2">
        <w:rPr>
          <w:rFonts w:eastAsia="MS Gothic" w:cs="Arial"/>
          <w:color w:val="000000"/>
        </w:rPr>
        <w:t xml:space="preserve">± SEM. </w:t>
      </w:r>
      <w:r w:rsidRPr="00BC59F2">
        <w:rPr>
          <w:rFonts w:eastAsia="MS Gothic" w:cs="Arial"/>
          <w:i/>
          <w:color w:val="000000"/>
        </w:rPr>
        <w:t>In vitro</w:t>
      </w:r>
      <w:r w:rsidRPr="00BC59F2">
        <w:rPr>
          <w:rFonts w:eastAsia="MS Gothic" w:cs="Arial"/>
          <w:color w:val="000000"/>
        </w:rPr>
        <w:t xml:space="preserve"> experiments were performed with a minimum of three primary donors.</w:t>
      </w:r>
      <w:r w:rsidRPr="00BC59F2">
        <w:rPr>
          <w:rFonts w:cs="Arial"/>
        </w:rPr>
        <w:t xml:space="preserve"> Data were interrogated as stated in the individual methods using appropriate multiple comparison test. Statistical analysis was performed using GraphPad Prism 7 software (GraphPad Software, La Jolla, CA, USA).</w:t>
      </w:r>
    </w:p>
    <w:p w14:paraId="55221678" w14:textId="3848929C" w:rsidR="00F71219" w:rsidRPr="00BC59F2" w:rsidRDefault="00F71219" w:rsidP="00476FA4">
      <w:pPr>
        <w:spacing w:before="0" w:after="0" w:line="276" w:lineRule="auto"/>
        <w:jc w:val="left"/>
        <w:rPr>
          <w:rFonts w:cs="Arial"/>
        </w:rPr>
      </w:pPr>
    </w:p>
    <w:p w14:paraId="532D4196" w14:textId="77777777" w:rsidR="00F71219" w:rsidRPr="00BC59F2" w:rsidRDefault="00F71219" w:rsidP="00476FA4">
      <w:pPr>
        <w:spacing w:before="0" w:after="0" w:line="276" w:lineRule="auto"/>
        <w:jc w:val="left"/>
        <w:rPr>
          <w:rFonts w:cs="Arial"/>
        </w:rPr>
      </w:pPr>
    </w:p>
    <w:p w14:paraId="74AB3AEE" w14:textId="77777777" w:rsidR="00DB58E4" w:rsidRPr="00BC59F2" w:rsidRDefault="00E46428" w:rsidP="00476FA4">
      <w:pPr>
        <w:spacing w:before="0" w:after="0" w:line="276" w:lineRule="auto"/>
        <w:jc w:val="left"/>
        <w:rPr>
          <w:rFonts w:cs="Arial"/>
        </w:rPr>
      </w:pPr>
      <w:r w:rsidRPr="00BC59F2">
        <w:rPr>
          <w:rFonts w:cs="Arial"/>
          <w:b/>
        </w:rPr>
        <w:t>References</w:t>
      </w:r>
    </w:p>
    <w:p w14:paraId="440D8ECF" w14:textId="44B820F1" w:rsidR="00C5479F" w:rsidRPr="00BC59F2" w:rsidRDefault="00E46428"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rPr>
        <w:fldChar w:fldCharType="begin" w:fldLock="1"/>
      </w:r>
      <w:r w:rsidRPr="00BC59F2">
        <w:rPr>
          <w:rFonts w:cs="Arial"/>
        </w:rPr>
        <w:instrText xml:space="preserve">ADDIN Mendeley Bibliography CSL_BIBLIOGRAPHY </w:instrText>
      </w:r>
      <w:r w:rsidRPr="00BC59F2">
        <w:rPr>
          <w:rFonts w:cs="Arial"/>
        </w:rPr>
        <w:fldChar w:fldCharType="separate"/>
      </w:r>
      <w:r w:rsidR="00C5479F" w:rsidRPr="00BC59F2">
        <w:rPr>
          <w:rFonts w:cs="Arial"/>
          <w:noProof/>
          <w:szCs w:val="24"/>
          <w:lang w:val="en-US"/>
        </w:rPr>
        <w:t>1.</w:t>
      </w:r>
      <w:r w:rsidR="00C5479F" w:rsidRPr="00BC59F2">
        <w:rPr>
          <w:rFonts w:cs="Arial"/>
          <w:noProof/>
          <w:szCs w:val="24"/>
          <w:lang w:val="en-US"/>
        </w:rPr>
        <w:tab/>
        <w:t xml:space="preserve">Thakore, R. V. </w:t>
      </w:r>
      <w:r w:rsidR="00C5479F" w:rsidRPr="00BC59F2">
        <w:rPr>
          <w:rFonts w:cs="Arial"/>
          <w:i/>
          <w:iCs/>
          <w:noProof/>
          <w:szCs w:val="24"/>
          <w:lang w:val="en-US"/>
        </w:rPr>
        <w:t>et al.</w:t>
      </w:r>
      <w:r w:rsidR="00C5479F" w:rsidRPr="00BC59F2">
        <w:rPr>
          <w:rFonts w:cs="Arial"/>
          <w:noProof/>
          <w:szCs w:val="24"/>
          <w:lang w:val="en-US"/>
        </w:rPr>
        <w:t xml:space="preserve"> Surgical site infection in orthopedic trauma: A case-control study evaluating risk factors and cost. </w:t>
      </w:r>
      <w:r w:rsidR="00C5479F" w:rsidRPr="00BC59F2">
        <w:rPr>
          <w:rFonts w:cs="Arial"/>
          <w:i/>
          <w:iCs/>
          <w:noProof/>
          <w:szCs w:val="24"/>
          <w:lang w:val="en-US"/>
        </w:rPr>
        <w:t>J. Clin. Orthop. Trauma</w:t>
      </w:r>
      <w:r w:rsidR="00C5479F" w:rsidRPr="00BC59F2">
        <w:rPr>
          <w:rFonts w:cs="Arial"/>
          <w:noProof/>
          <w:szCs w:val="24"/>
          <w:lang w:val="en-US"/>
        </w:rPr>
        <w:t xml:space="preserve"> </w:t>
      </w:r>
      <w:r w:rsidR="00C5479F" w:rsidRPr="00BC59F2">
        <w:rPr>
          <w:rFonts w:cs="Arial"/>
          <w:b/>
          <w:bCs/>
          <w:noProof/>
          <w:szCs w:val="24"/>
          <w:lang w:val="en-US"/>
        </w:rPr>
        <w:t>6</w:t>
      </w:r>
      <w:r w:rsidR="00C5479F" w:rsidRPr="00BC59F2">
        <w:rPr>
          <w:rFonts w:cs="Arial"/>
          <w:noProof/>
          <w:szCs w:val="24"/>
          <w:lang w:val="en-US"/>
        </w:rPr>
        <w:t>, 220–226 (2015).</w:t>
      </w:r>
    </w:p>
    <w:p w14:paraId="572C8705"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w:t>
      </w:r>
      <w:r w:rsidRPr="00BC59F2">
        <w:rPr>
          <w:rFonts w:cs="Arial"/>
          <w:noProof/>
          <w:szCs w:val="24"/>
          <w:lang w:val="en-US"/>
        </w:rPr>
        <w:tab/>
        <w:t xml:space="preserve">Metsemakers, W. J., Smeets, B., Nijs, S. &amp; Hoekstra, H. Infection after fracture fixation of the tibia: Analysis of healthcare utilization and related costs. </w:t>
      </w:r>
      <w:r w:rsidRPr="00BC59F2">
        <w:rPr>
          <w:rFonts w:cs="Arial"/>
          <w:i/>
          <w:iCs/>
          <w:noProof/>
          <w:szCs w:val="24"/>
          <w:lang w:val="en-US"/>
        </w:rPr>
        <w:t>Injury</w:t>
      </w:r>
      <w:r w:rsidRPr="00BC59F2">
        <w:rPr>
          <w:rFonts w:cs="Arial"/>
          <w:noProof/>
          <w:szCs w:val="24"/>
          <w:lang w:val="en-US"/>
        </w:rPr>
        <w:t xml:space="preserve"> </w:t>
      </w:r>
      <w:r w:rsidRPr="00BC59F2">
        <w:rPr>
          <w:rFonts w:cs="Arial"/>
          <w:b/>
          <w:bCs/>
          <w:noProof/>
          <w:szCs w:val="24"/>
          <w:lang w:val="en-US"/>
        </w:rPr>
        <w:t>48</w:t>
      </w:r>
      <w:r w:rsidRPr="00BC59F2">
        <w:rPr>
          <w:rFonts w:cs="Arial"/>
          <w:noProof/>
          <w:szCs w:val="24"/>
          <w:lang w:val="en-US"/>
        </w:rPr>
        <w:t>, 1204–1210 (2017).</w:t>
      </w:r>
    </w:p>
    <w:p w14:paraId="6244B344"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w:t>
      </w:r>
      <w:r w:rsidRPr="00BC59F2">
        <w:rPr>
          <w:rFonts w:cs="Arial"/>
          <w:noProof/>
          <w:szCs w:val="24"/>
          <w:lang w:val="en-US"/>
        </w:rPr>
        <w:tab/>
        <w:t xml:space="preserve">Trampuz, A. &amp; Zimmerli, W. Diagnosis and treatment of infections associated with fracture-fixation devices. </w:t>
      </w:r>
      <w:r w:rsidRPr="00BC59F2">
        <w:rPr>
          <w:rFonts w:cs="Arial"/>
          <w:i/>
          <w:iCs/>
          <w:noProof/>
          <w:szCs w:val="24"/>
          <w:lang w:val="en-US"/>
        </w:rPr>
        <w:t>Injury</w:t>
      </w:r>
      <w:r w:rsidRPr="00BC59F2">
        <w:rPr>
          <w:rFonts w:cs="Arial"/>
          <w:noProof/>
          <w:szCs w:val="24"/>
          <w:lang w:val="en-US"/>
        </w:rPr>
        <w:t xml:space="preserve"> </w:t>
      </w:r>
      <w:r w:rsidRPr="00BC59F2">
        <w:rPr>
          <w:rFonts w:cs="Arial"/>
          <w:b/>
          <w:bCs/>
          <w:noProof/>
          <w:szCs w:val="24"/>
          <w:lang w:val="en-US"/>
        </w:rPr>
        <w:t>37 Suppl 2</w:t>
      </w:r>
      <w:r w:rsidRPr="00BC59F2">
        <w:rPr>
          <w:rFonts w:cs="Arial"/>
          <w:noProof/>
          <w:szCs w:val="24"/>
          <w:lang w:val="en-US"/>
        </w:rPr>
        <w:t>, S59-66 (2006).</w:t>
      </w:r>
    </w:p>
    <w:p w14:paraId="009E197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w:t>
      </w:r>
      <w:r w:rsidRPr="00BC59F2">
        <w:rPr>
          <w:rFonts w:cs="Arial"/>
          <w:noProof/>
          <w:szCs w:val="24"/>
          <w:lang w:val="en-US"/>
        </w:rPr>
        <w:tab/>
        <w:t xml:space="preserve">Williams, I., Venables, W. A., Lloyd, D., Paul, F. &amp; Critchley, I. The effects of adherence to silicone surfaces on antibiotic susceptibility in Staphylococcus aureus. </w:t>
      </w:r>
      <w:r w:rsidRPr="00BC59F2">
        <w:rPr>
          <w:rFonts w:cs="Arial"/>
          <w:i/>
          <w:iCs/>
          <w:noProof/>
          <w:szCs w:val="24"/>
          <w:lang w:val="en-US"/>
        </w:rPr>
        <w:t>Microbiology</w:t>
      </w:r>
      <w:r w:rsidRPr="00BC59F2">
        <w:rPr>
          <w:rFonts w:cs="Arial"/>
          <w:noProof/>
          <w:szCs w:val="24"/>
          <w:lang w:val="en-US"/>
        </w:rPr>
        <w:t xml:space="preserve"> </w:t>
      </w:r>
      <w:r w:rsidRPr="00BC59F2">
        <w:rPr>
          <w:rFonts w:cs="Arial"/>
          <w:b/>
          <w:bCs/>
          <w:noProof/>
          <w:szCs w:val="24"/>
          <w:lang w:val="en-US"/>
        </w:rPr>
        <w:t>143</w:t>
      </w:r>
      <w:r w:rsidRPr="00BC59F2">
        <w:rPr>
          <w:rFonts w:cs="Arial"/>
          <w:noProof/>
          <w:szCs w:val="24"/>
          <w:lang w:val="en-US"/>
        </w:rPr>
        <w:t>, 2407–2413 (1997).</w:t>
      </w:r>
    </w:p>
    <w:p w14:paraId="4C448575"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lastRenderedPageBreak/>
        <w:t>5.</w:t>
      </w:r>
      <w:r w:rsidRPr="00BC59F2">
        <w:rPr>
          <w:rFonts w:cs="Arial"/>
          <w:noProof/>
          <w:szCs w:val="24"/>
          <w:lang w:val="en-US"/>
        </w:rPr>
        <w:tab/>
        <w:t xml:space="preserve">Høiby, N., Bjarnsholt, T., Givskov, M., Molin, S. &amp; Ciofu, O. Antibiotic resistance of bacterial biofilms. </w:t>
      </w:r>
      <w:r w:rsidRPr="00BC59F2">
        <w:rPr>
          <w:rFonts w:cs="Arial"/>
          <w:i/>
          <w:iCs/>
          <w:noProof/>
          <w:szCs w:val="24"/>
          <w:lang w:val="en-US"/>
        </w:rPr>
        <w:t>Int. J. Antimicrob. Agents</w:t>
      </w:r>
      <w:r w:rsidRPr="00BC59F2">
        <w:rPr>
          <w:rFonts w:cs="Arial"/>
          <w:noProof/>
          <w:szCs w:val="24"/>
          <w:lang w:val="en-US"/>
        </w:rPr>
        <w:t xml:space="preserve"> </w:t>
      </w:r>
      <w:r w:rsidRPr="00BC59F2">
        <w:rPr>
          <w:rFonts w:cs="Arial"/>
          <w:b/>
          <w:bCs/>
          <w:noProof/>
          <w:szCs w:val="24"/>
          <w:lang w:val="en-US"/>
        </w:rPr>
        <w:t>35</w:t>
      </w:r>
      <w:r w:rsidRPr="00BC59F2">
        <w:rPr>
          <w:rFonts w:cs="Arial"/>
          <w:noProof/>
          <w:szCs w:val="24"/>
          <w:lang w:val="en-US"/>
        </w:rPr>
        <w:t>, 322–332 (2010).</w:t>
      </w:r>
    </w:p>
    <w:p w14:paraId="7BC0CA6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6.</w:t>
      </w:r>
      <w:r w:rsidRPr="00BC59F2">
        <w:rPr>
          <w:rFonts w:cs="Arial"/>
          <w:noProof/>
          <w:szCs w:val="24"/>
          <w:lang w:val="en-US"/>
        </w:rPr>
        <w:tab/>
        <w:t xml:space="preserve">Singh, R., Ray, P., Das, A. &amp; Sharma, M. Penetration of antibiotics through Staphylococcus aureus and Staphylococcus epidermidis biofilms. </w:t>
      </w:r>
      <w:r w:rsidRPr="00BC59F2">
        <w:rPr>
          <w:rFonts w:cs="Arial"/>
          <w:i/>
          <w:iCs/>
          <w:noProof/>
          <w:szCs w:val="24"/>
          <w:lang w:val="en-US"/>
        </w:rPr>
        <w:t>J. Antimicrob. Chemother.</w:t>
      </w:r>
      <w:r w:rsidRPr="00BC59F2">
        <w:rPr>
          <w:rFonts w:cs="Arial"/>
          <w:noProof/>
          <w:szCs w:val="24"/>
          <w:lang w:val="en-US"/>
        </w:rPr>
        <w:t xml:space="preserve"> </w:t>
      </w:r>
      <w:r w:rsidRPr="00BC59F2">
        <w:rPr>
          <w:rFonts w:cs="Arial"/>
          <w:b/>
          <w:bCs/>
          <w:noProof/>
          <w:szCs w:val="24"/>
          <w:lang w:val="en-US"/>
        </w:rPr>
        <w:t>65</w:t>
      </w:r>
      <w:r w:rsidRPr="00BC59F2">
        <w:rPr>
          <w:rFonts w:cs="Arial"/>
          <w:noProof/>
          <w:szCs w:val="24"/>
          <w:lang w:val="en-US"/>
        </w:rPr>
        <w:t>, 1955–1958 (2010).</w:t>
      </w:r>
    </w:p>
    <w:p w14:paraId="2E226C46"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7.</w:t>
      </w:r>
      <w:r w:rsidRPr="00BC59F2">
        <w:rPr>
          <w:rFonts w:cs="Arial"/>
          <w:noProof/>
          <w:szCs w:val="24"/>
          <w:lang w:val="en-US"/>
        </w:rPr>
        <w:tab/>
        <w:t xml:space="preserve">Jesaitis, A. J. </w:t>
      </w:r>
      <w:r w:rsidRPr="00BC59F2">
        <w:rPr>
          <w:rFonts w:cs="Arial"/>
          <w:i/>
          <w:iCs/>
          <w:noProof/>
          <w:szCs w:val="24"/>
          <w:lang w:val="en-US"/>
        </w:rPr>
        <w:t>et al.</w:t>
      </w:r>
      <w:r w:rsidRPr="00BC59F2">
        <w:rPr>
          <w:rFonts w:cs="Arial"/>
          <w:noProof/>
          <w:szCs w:val="24"/>
          <w:lang w:val="en-US"/>
        </w:rPr>
        <w:t xml:space="preserve"> Compromised Host Defense on Pseudomonas aeruginosa Biofilms: Characterization of Neutrophil and Biofilm Interactions. </w:t>
      </w:r>
      <w:r w:rsidRPr="00BC59F2">
        <w:rPr>
          <w:rFonts w:cs="Arial"/>
          <w:i/>
          <w:iCs/>
          <w:noProof/>
          <w:szCs w:val="24"/>
          <w:lang w:val="en-US"/>
        </w:rPr>
        <w:t>J. Immunol.</w:t>
      </w:r>
      <w:r w:rsidRPr="00BC59F2">
        <w:rPr>
          <w:rFonts w:cs="Arial"/>
          <w:noProof/>
          <w:szCs w:val="24"/>
          <w:lang w:val="en-US"/>
        </w:rPr>
        <w:t xml:space="preserve"> </w:t>
      </w:r>
      <w:r w:rsidRPr="00BC59F2">
        <w:rPr>
          <w:rFonts w:cs="Arial"/>
          <w:b/>
          <w:bCs/>
          <w:noProof/>
          <w:szCs w:val="24"/>
          <w:lang w:val="en-US"/>
        </w:rPr>
        <w:t>171</w:t>
      </w:r>
      <w:r w:rsidRPr="00BC59F2">
        <w:rPr>
          <w:rFonts w:cs="Arial"/>
          <w:noProof/>
          <w:szCs w:val="24"/>
          <w:lang w:val="en-US"/>
        </w:rPr>
        <w:t>, 4329–4339 (2003).</w:t>
      </w:r>
    </w:p>
    <w:p w14:paraId="79A08794"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8.</w:t>
      </w:r>
      <w:r w:rsidRPr="00BC59F2">
        <w:rPr>
          <w:rFonts w:cs="Arial"/>
          <w:noProof/>
          <w:szCs w:val="24"/>
          <w:lang w:val="en-US"/>
        </w:rPr>
        <w:tab/>
        <w:t xml:space="preserve">Kristian, S. A. </w:t>
      </w:r>
      <w:r w:rsidRPr="00BC59F2">
        <w:rPr>
          <w:rFonts w:cs="Arial"/>
          <w:i/>
          <w:iCs/>
          <w:noProof/>
          <w:szCs w:val="24"/>
          <w:lang w:val="en-US"/>
        </w:rPr>
        <w:t>et al.</w:t>
      </w:r>
      <w:r w:rsidRPr="00BC59F2">
        <w:rPr>
          <w:rFonts w:cs="Arial"/>
          <w:noProof/>
          <w:szCs w:val="24"/>
          <w:lang w:val="en-US"/>
        </w:rPr>
        <w:t xml:space="preserve"> Biofilm Formation Induces C3a Release and Protects </w:t>
      </w:r>
      <w:r w:rsidRPr="00BC59F2">
        <w:rPr>
          <w:rFonts w:cs="Arial"/>
          <w:i/>
          <w:iCs/>
          <w:noProof/>
          <w:szCs w:val="24"/>
          <w:lang w:val="en-US"/>
        </w:rPr>
        <w:t>Staphylococcus epidermidis</w:t>
      </w:r>
      <w:r w:rsidRPr="00BC59F2">
        <w:rPr>
          <w:rFonts w:cs="Arial"/>
          <w:noProof/>
          <w:szCs w:val="24"/>
          <w:lang w:val="en-US"/>
        </w:rPr>
        <w:t xml:space="preserve"> from IgG and Complement Deposition and from Neutrophil</w:t>
      </w:r>
      <w:r w:rsidRPr="00BC59F2">
        <w:rPr>
          <w:rFonts w:ascii="American Typewriter" w:hAnsi="American Typewriter" w:cs="American Typewriter"/>
          <w:noProof/>
          <w:szCs w:val="24"/>
          <w:lang w:val="en-US"/>
        </w:rPr>
        <w:t>‐</w:t>
      </w:r>
      <w:r w:rsidRPr="00BC59F2">
        <w:rPr>
          <w:rFonts w:cs="Arial"/>
          <w:noProof/>
          <w:szCs w:val="24"/>
          <w:lang w:val="en-US"/>
        </w:rPr>
        <w:t xml:space="preserve">Dependent Killing. </w:t>
      </w:r>
      <w:r w:rsidRPr="00BC59F2">
        <w:rPr>
          <w:rFonts w:cs="Arial"/>
          <w:i/>
          <w:iCs/>
          <w:noProof/>
          <w:szCs w:val="24"/>
          <w:lang w:val="en-US"/>
        </w:rPr>
        <w:t>J. Infect. Dis.</w:t>
      </w:r>
      <w:r w:rsidRPr="00BC59F2">
        <w:rPr>
          <w:rFonts w:cs="Arial"/>
          <w:noProof/>
          <w:szCs w:val="24"/>
          <w:lang w:val="en-US"/>
        </w:rPr>
        <w:t xml:space="preserve"> </w:t>
      </w:r>
      <w:r w:rsidRPr="00BC59F2">
        <w:rPr>
          <w:rFonts w:cs="Arial"/>
          <w:b/>
          <w:bCs/>
          <w:noProof/>
          <w:szCs w:val="24"/>
          <w:lang w:val="en-US"/>
        </w:rPr>
        <w:t>197</w:t>
      </w:r>
      <w:r w:rsidRPr="00BC59F2">
        <w:rPr>
          <w:rFonts w:cs="Arial"/>
          <w:noProof/>
          <w:szCs w:val="24"/>
          <w:lang w:val="en-US"/>
        </w:rPr>
        <w:t>, 1028–1035 (2008).</w:t>
      </w:r>
    </w:p>
    <w:p w14:paraId="1E7E23EA"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9.</w:t>
      </w:r>
      <w:r w:rsidRPr="00BC59F2">
        <w:rPr>
          <w:rFonts w:cs="Arial"/>
          <w:noProof/>
          <w:szCs w:val="24"/>
          <w:lang w:val="en-US"/>
        </w:rPr>
        <w:tab/>
        <w:t xml:space="preserve">Thurlow, L. R. </w:t>
      </w:r>
      <w:r w:rsidRPr="00BC59F2">
        <w:rPr>
          <w:rFonts w:cs="Arial"/>
          <w:i/>
          <w:iCs/>
          <w:noProof/>
          <w:szCs w:val="24"/>
          <w:lang w:val="en-US"/>
        </w:rPr>
        <w:t>et al.</w:t>
      </w:r>
      <w:r w:rsidRPr="00BC59F2">
        <w:rPr>
          <w:rFonts w:cs="Arial"/>
          <w:noProof/>
          <w:szCs w:val="24"/>
          <w:lang w:val="en-US"/>
        </w:rPr>
        <w:t xml:space="preserve"> Staphylococcus aureus Biofilms Prevent Macrophage Phagocytosis and Attenuate Inflammation In Vivo. </w:t>
      </w:r>
      <w:r w:rsidRPr="00BC59F2">
        <w:rPr>
          <w:rFonts w:cs="Arial"/>
          <w:i/>
          <w:iCs/>
          <w:noProof/>
          <w:szCs w:val="24"/>
          <w:lang w:val="en-US"/>
        </w:rPr>
        <w:t>J. Immunol.</w:t>
      </w:r>
      <w:r w:rsidRPr="00BC59F2">
        <w:rPr>
          <w:rFonts w:cs="Arial"/>
          <w:noProof/>
          <w:szCs w:val="24"/>
          <w:lang w:val="en-US"/>
        </w:rPr>
        <w:t xml:space="preserve"> </w:t>
      </w:r>
      <w:r w:rsidRPr="00BC59F2">
        <w:rPr>
          <w:rFonts w:cs="Arial"/>
          <w:b/>
          <w:bCs/>
          <w:noProof/>
          <w:szCs w:val="24"/>
          <w:lang w:val="en-US"/>
        </w:rPr>
        <w:t>186</w:t>
      </w:r>
      <w:r w:rsidRPr="00BC59F2">
        <w:rPr>
          <w:rFonts w:cs="Arial"/>
          <w:noProof/>
          <w:szCs w:val="24"/>
          <w:lang w:val="en-US"/>
        </w:rPr>
        <w:t>, 6585–6596 (2011).</w:t>
      </w:r>
    </w:p>
    <w:p w14:paraId="6834984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10.</w:t>
      </w:r>
      <w:r w:rsidRPr="00BC59F2">
        <w:rPr>
          <w:rFonts w:cs="Arial"/>
          <w:noProof/>
          <w:szCs w:val="24"/>
          <w:lang w:val="en-US"/>
        </w:rPr>
        <w:tab/>
        <w:t xml:space="preserve">Elek, S. D. &amp; Conen, P. E. The virulence of Staphylococcus pyogenes for man. A study of the problems of wound infection. </w:t>
      </w:r>
      <w:r w:rsidRPr="00BC59F2">
        <w:rPr>
          <w:rFonts w:cs="Arial"/>
          <w:i/>
          <w:iCs/>
          <w:noProof/>
          <w:szCs w:val="24"/>
          <w:lang w:val="en-US"/>
        </w:rPr>
        <w:t>Br. J. Exp. Pathol.</w:t>
      </w:r>
      <w:r w:rsidRPr="00BC59F2">
        <w:rPr>
          <w:rFonts w:cs="Arial"/>
          <w:noProof/>
          <w:szCs w:val="24"/>
          <w:lang w:val="en-US"/>
        </w:rPr>
        <w:t xml:space="preserve"> </w:t>
      </w:r>
      <w:r w:rsidRPr="00BC59F2">
        <w:rPr>
          <w:rFonts w:cs="Arial"/>
          <w:b/>
          <w:bCs/>
          <w:noProof/>
          <w:szCs w:val="24"/>
          <w:lang w:val="en-US"/>
        </w:rPr>
        <w:t>38</w:t>
      </w:r>
      <w:r w:rsidRPr="00BC59F2">
        <w:rPr>
          <w:rFonts w:cs="Arial"/>
          <w:noProof/>
          <w:szCs w:val="24"/>
          <w:lang w:val="en-US"/>
        </w:rPr>
        <w:t>, 573–586 (1957).</w:t>
      </w:r>
    </w:p>
    <w:p w14:paraId="44C1E40F"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11.</w:t>
      </w:r>
      <w:r w:rsidRPr="00BC59F2">
        <w:rPr>
          <w:rFonts w:cs="Arial"/>
          <w:noProof/>
          <w:szCs w:val="24"/>
          <w:lang w:val="en-US"/>
        </w:rPr>
        <w:tab/>
        <w:t xml:space="preserve">Gristina, A. G., Costerton, J. W. &amp; McGainty, P. L. J. Bacteria-Laden Biofilms: A hazard of orthopedic prostheses. </w:t>
      </w:r>
      <w:r w:rsidRPr="00BC59F2">
        <w:rPr>
          <w:rFonts w:cs="Arial"/>
          <w:i/>
          <w:iCs/>
          <w:noProof/>
          <w:szCs w:val="24"/>
          <w:lang w:val="en-US"/>
        </w:rPr>
        <w:t>Infect. Surg.</w:t>
      </w:r>
      <w:r w:rsidRPr="00BC59F2">
        <w:rPr>
          <w:rFonts w:cs="Arial"/>
          <w:noProof/>
          <w:szCs w:val="24"/>
          <w:lang w:val="en-US"/>
        </w:rPr>
        <w:t xml:space="preserve"> 655–62 (1984).</w:t>
      </w:r>
    </w:p>
    <w:p w14:paraId="5D56E33F"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12.</w:t>
      </w:r>
      <w:r w:rsidRPr="00BC59F2">
        <w:rPr>
          <w:rFonts w:cs="Arial"/>
          <w:noProof/>
          <w:szCs w:val="24"/>
          <w:lang w:val="en-US"/>
        </w:rPr>
        <w:tab/>
        <w:t xml:space="preserve">Fuchs, T., Stange, R., Schmidmaier, G. &amp; Raschke, M. J. The use of gentamicin-coated nails in the tibia: Preliminary results of a prospective study. </w:t>
      </w:r>
      <w:r w:rsidRPr="00BC59F2">
        <w:rPr>
          <w:rFonts w:cs="Arial"/>
          <w:i/>
          <w:iCs/>
          <w:noProof/>
          <w:szCs w:val="24"/>
          <w:lang w:val="en-US"/>
        </w:rPr>
        <w:t>Arch. Orthop. Trauma Surg.</w:t>
      </w:r>
      <w:r w:rsidRPr="00BC59F2">
        <w:rPr>
          <w:rFonts w:cs="Arial"/>
          <w:noProof/>
          <w:szCs w:val="24"/>
          <w:lang w:val="en-US"/>
        </w:rPr>
        <w:t xml:space="preserve"> </w:t>
      </w:r>
      <w:r w:rsidRPr="00BC59F2">
        <w:rPr>
          <w:rFonts w:cs="Arial"/>
          <w:b/>
          <w:bCs/>
          <w:noProof/>
          <w:szCs w:val="24"/>
          <w:lang w:val="en-US"/>
        </w:rPr>
        <w:t>131</w:t>
      </w:r>
      <w:r w:rsidRPr="00BC59F2">
        <w:rPr>
          <w:rFonts w:cs="Arial"/>
          <w:noProof/>
          <w:szCs w:val="24"/>
          <w:lang w:val="en-US"/>
        </w:rPr>
        <w:t>, 1419–1425 (2011).</w:t>
      </w:r>
    </w:p>
    <w:p w14:paraId="6958D2E2"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13.</w:t>
      </w:r>
      <w:r w:rsidRPr="00BC59F2">
        <w:rPr>
          <w:rFonts w:cs="Arial"/>
          <w:noProof/>
          <w:szCs w:val="24"/>
          <w:lang w:val="en-US"/>
        </w:rPr>
        <w:tab/>
        <w:t xml:space="preserve">Shahverdi, A. R., Fakhimi, A., Shahverdi, H. R. &amp; Minaian, S. Synthesis and effect of silver nanoparticles on the antibacterial activity of different antibiotics against Staphylococcus aureus and Escherichia coli. </w:t>
      </w:r>
      <w:r w:rsidRPr="00BC59F2">
        <w:rPr>
          <w:rFonts w:cs="Arial"/>
          <w:i/>
          <w:iCs/>
          <w:noProof/>
          <w:szCs w:val="24"/>
          <w:lang w:val="en-US"/>
        </w:rPr>
        <w:t>Nanomedicine Nanotechnology, Biol. Med.</w:t>
      </w:r>
      <w:r w:rsidRPr="00BC59F2">
        <w:rPr>
          <w:rFonts w:cs="Arial"/>
          <w:noProof/>
          <w:szCs w:val="24"/>
          <w:lang w:val="en-US"/>
        </w:rPr>
        <w:t xml:space="preserve"> </w:t>
      </w:r>
      <w:r w:rsidRPr="00BC59F2">
        <w:rPr>
          <w:rFonts w:cs="Arial"/>
          <w:b/>
          <w:bCs/>
          <w:noProof/>
          <w:szCs w:val="24"/>
          <w:lang w:val="en-US"/>
        </w:rPr>
        <w:t>3</w:t>
      </w:r>
      <w:r w:rsidRPr="00BC59F2">
        <w:rPr>
          <w:rFonts w:cs="Arial"/>
          <w:noProof/>
          <w:szCs w:val="24"/>
          <w:lang w:val="en-US"/>
        </w:rPr>
        <w:t>, 168–171 (2007).</w:t>
      </w:r>
    </w:p>
    <w:p w14:paraId="0F9F10A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14.</w:t>
      </w:r>
      <w:r w:rsidRPr="00BC59F2">
        <w:rPr>
          <w:rFonts w:cs="Arial"/>
          <w:noProof/>
          <w:szCs w:val="24"/>
          <w:lang w:val="en-US"/>
        </w:rPr>
        <w:tab/>
        <w:t xml:space="preserve">Morones-Ramirez, J. R., Winkler, J. A., Spina, C. S. &amp; Collins, J. J. Silver Enhances Antibiotic Activity Against Gram-Negative Bacteria. </w:t>
      </w:r>
      <w:r w:rsidRPr="00BC59F2">
        <w:rPr>
          <w:rFonts w:cs="Arial"/>
          <w:i/>
          <w:iCs/>
          <w:noProof/>
          <w:szCs w:val="24"/>
          <w:lang w:val="en-US"/>
        </w:rPr>
        <w:t>Sci. Transl. Med.</w:t>
      </w:r>
      <w:r w:rsidRPr="00BC59F2">
        <w:rPr>
          <w:rFonts w:cs="Arial"/>
          <w:noProof/>
          <w:szCs w:val="24"/>
          <w:lang w:val="en-US"/>
        </w:rPr>
        <w:t xml:space="preserve"> </w:t>
      </w:r>
      <w:r w:rsidRPr="00BC59F2">
        <w:rPr>
          <w:rFonts w:cs="Arial"/>
          <w:b/>
          <w:bCs/>
          <w:noProof/>
          <w:szCs w:val="24"/>
          <w:lang w:val="en-US"/>
        </w:rPr>
        <w:t>5</w:t>
      </w:r>
      <w:r w:rsidRPr="00BC59F2">
        <w:rPr>
          <w:rFonts w:cs="Arial"/>
          <w:noProof/>
          <w:szCs w:val="24"/>
          <w:lang w:val="en-US"/>
        </w:rPr>
        <w:t>, 1–11 (2013).</w:t>
      </w:r>
    </w:p>
    <w:p w14:paraId="644DB2DF"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15.</w:t>
      </w:r>
      <w:r w:rsidRPr="00BC59F2">
        <w:rPr>
          <w:rFonts w:cs="Arial"/>
          <w:noProof/>
          <w:szCs w:val="24"/>
          <w:lang w:val="en-US"/>
        </w:rPr>
        <w:tab/>
        <w:t xml:space="preserve">Kuehl, R. </w:t>
      </w:r>
      <w:r w:rsidRPr="00BC59F2">
        <w:rPr>
          <w:rFonts w:cs="Arial"/>
          <w:i/>
          <w:iCs/>
          <w:noProof/>
          <w:szCs w:val="24"/>
          <w:lang w:val="en-US"/>
        </w:rPr>
        <w:t>et al.</w:t>
      </w:r>
      <w:r w:rsidRPr="00BC59F2">
        <w:rPr>
          <w:rFonts w:cs="Arial"/>
          <w:noProof/>
          <w:szCs w:val="24"/>
          <w:lang w:val="en-US"/>
        </w:rPr>
        <w:t xml:space="preserve"> Preventing Implant-Associated infections by silver coating. </w:t>
      </w:r>
      <w:r w:rsidRPr="00BC59F2">
        <w:rPr>
          <w:rFonts w:cs="Arial"/>
          <w:i/>
          <w:iCs/>
          <w:noProof/>
          <w:szCs w:val="24"/>
          <w:lang w:val="en-US"/>
        </w:rPr>
        <w:t>Antimicrob. Agents Chemother.</w:t>
      </w:r>
      <w:r w:rsidRPr="00BC59F2">
        <w:rPr>
          <w:rFonts w:cs="Arial"/>
          <w:noProof/>
          <w:szCs w:val="24"/>
          <w:lang w:val="en-US"/>
        </w:rPr>
        <w:t xml:space="preserve"> </w:t>
      </w:r>
      <w:r w:rsidRPr="00BC59F2">
        <w:rPr>
          <w:rFonts w:cs="Arial"/>
          <w:b/>
          <w:bCs/>
          <w:noProof/>
          <w:szCs w:val="24"/>
          <w:lang w:val="en-US"/>
        </w:rPr>
        <w:t>60</w:t>
      </w:r>
      <w:r w:rsidRPr="00BC59F2">
        <w:rPr>
          <w:rFonts w:cs="Arial"/>
          <w:noProof/>
          <w:szCs w:val="24"/>
          <w:lang w:val="en-US"/>
        </w:rPr>
        <w:t>, 2467–2475 (2016).</w:t>
      </w:r>
    </w:p>
    <w:p w14:paraId="13D412A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16.</w:t>
      </w:r>
      <w:r w:rsidRPr="00BC59F2">
        <w:rPr>
          <w:rFonts w:cs="Arial"/>
          <w:noProof/>
          <w:szCs w:val="24"/>
          <w:lang w:val="en-US"/>
        </w:rPr>
        <w:tab/>
        <w:t xml:space="preserve">Feng, Q. L. </w:t>
      </w:r>
      <w:r w:rsidRPr="00BC59F2">
        <w:rPr>
          <w:rFonts w:cs="Arial"/>
          <w:i/>
          <w:iCs/>
          <w:noProof/>
          <w:szCs w:val="24"/>
          <w:lang w:val="en-US"/>
        </w:rPr>
        <w:t>et al.</w:t>
      </w:r>
      <w:r w:rsidRPr="00BC59F2">
        <w:rPr>
          <w:rFonts w:cs="Arial"/>
          <w:noProof/>
          <w:szCs w:val="24"/>
          <w:lang w:val="en-US"/>
        </w:rPr>
        <w:t xml:space="preserve"> A mechanistic study of the antibacterial effect of silver ions on Escherichia coli and Staphylococcus aureus. </w:t>
      </w:r>
      <w:r w:rsidRPr="00BC59F2">
        <w:rPr>
          <w:rFonts w:cs="Arial"/>
          <w:i/>
          <w:iCs/>
          <w:noProof/>
          <w:szCs w:val="24"/>
          <w:lang w:val="en-US"/>
        </w:rPr>
        <w:t>J. Biomed. Mater. Res.</w:t>
      </w:r>
      <w:r w:rsidRPr="00BC59F2">
        <w:rPr>
          <w:rFonts w:cs="Arial"/>
          <w:noProof/>
          <w:szCs w:val="24"/>
          <w:lang w:val="en-US"/>
        </w:rPr>
        <w:t xml:space="preserve"> </w:t>
      </w:r>
      <w:r w:rsidRPr="00BC59F2">
        <w:rPr>
          <w:rFonts w:cs="Arial"/>
          <w:b/>
          <w:bCs/>
          <w:noProof/>
          <w:szCs w:val="24"/>
          <w:lang w:val="en-US"/>
        </w:rPr>
        <w:t>52</w:t>
      </w:r>
      <w:r w:rsidRPr="00BC59F2">
        <w:rPr>
          <w:rFonts w:cs="Arial"/>
          <w:noProof/>
          <w:szCs w:val="24"/>
          <w:lang w:val="en-US"/>
        </w:rPr>
        <w:t>, 662–8 (2000).</w:t>
      </w:r>
    </w:p>
    <w:p w14:paraId="49DCF50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17.</w:t>
      </w:r>
      <w:r w:rsidRPr="00BC59F2">
        <w:rPr>
          <w:rFonts w:cs="Arial"/>
          <w:noProof/>
          <w:szCs w:val="24"/>
          <w:lang w:val="en-US"/>
        </w:rPr>
        <w:tab/>
        <w:t xml:space="preserve">Yamanaka, M., Hara, K. &amp; Kudo, J. Bactericidal Actions of a Silver Ion Solution on Escherichia coli, Studied by Energy-Filtering Transmission Electron Microscopy and Proteomic Analysis. </w:t>
      </w:r>
      <w:r w:rsidRPr="00BC59F2">
        <w:rPr>
          <w:rFonts w:cs="Arial"/>
          <w:i/>
          <w:iCs/>
          <w:noProof/>
          <w:szCs w:val="24"/>
          <w:lang w:val="en-US"/>
        </w:rPr>
        <w:t>Appl. Environ. Microbiol.</w:t>
      </w:r>
      <w:r w:rsidRPr="00BC59F2">
        <w:rPr>
          <w:rFonts w:cs="Arial"/>
          <w:noProof/>
          <w:szCs w:val="24"/>
          <w:lang w:val="en-US"/>
        </w:rPr>
        <w:t xml:space="preserve"> </w:t>
      </w:r>
      <w:r w:rsidRPr="00BC59F2">
        <w:rPr>
          <w:rFonts w:cs="Arial"/>
          <w:b/>
          <w:bCs/>
          <w:noProof/>
          <w:szCs w:val="24"/>
          <w:lang w:val="en-US"/>
        </w:rPr>
        <w:t>71</w:t>
      </w:r>
      <w:r w:rsidRPr="00BC59F2">
        <w:rPr>
          <w:rFonts w:cs="Arial"/>
          <w:noProof/>
          <w:szCs w:val="24"/>
          <w:lang w:val="en-US"/>
        </w:rPr>
        <w:t>, 7589–7593 (2005).</w:t>
      </w:r>
    </w:p>
    <w:p w14:paraId="3CB1BFC7"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18.</w:t>
      </w:r>
      <w:r w:rsidRPr="00BC59F2">
        <w:rPr>
          <w:rFonts w:cs="Arial"/>
          <w:noProof/>
          <w:szCs w:val="24"/>
          <w:lang w:val="en-US"/>
        </w:rPr>
        <w:tab/>
        <w:t xml:space="preserve">Holt, K. B. &amp; Bard, A. J. Interaction of silver(I) ions with the respiratory chain of Escherichia coli: An electrochemical and scanning electrochemical microscopy study of the antimicrobial mechanism of micromolar Ag. </w:t>
      </w:r>
      <w:r w:rsidRPr="00BC59F2">
        <w:rPr>
          <w:rFonts w:cs="Arial"/>
          <w:i/>
          <w:iCs/>
          <w:noProof/>
          <w:szCs w:val="24"/>
          <w:lang w:val="en-US"/>
        </w:rPr>
        <w:t>Biochemistry</w:t>
      </w:r>
      <w:r w:rsidRPr="00BC59F2">
        <w:rPr>
          <w:rFonts w:cs="Arial"/>
          <w:noProof/>
          <w:szCs w:val="24"/>
          <w:lang w:val="en-US"/>
        </w:rPr>
        <w:t xml:space="preserve"> </w:t>
      </w:r>
      <w:r w:rsidRPr="00BC59F2">
        <w:rPr>
          <w:rFonts w:cs="Arial"/>
          <w:b/>
          <w:bCs/>
          <w:noProof/>
          <w:szCs w:val="24"/>
          <w:lang w:val="en-US"/>
        </w:rPr>
        <w:t>44</w:t>
      </w:r>
      <w:r w:rsidRPr="00BC59F2">
        <w:rPr>
          <w:rFonts w:cs="Arial"/>
          <w:noProof/>
          <w:szCs w:val="24"/>
          <w:lang w:val="en-US"/>
        </w:rPr>
        <w:t>, 13214–13223 (2005).</w:t>
      </w:r>
    </w:p>
    <w:p w14:paraId="0A16F6C9"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19.</w:t>
      </w:r>
      <w:r w:rsidRPr="00BC59F2">
        <w:rPr>
          <w:rFonts w:cs="Arial"/>
          <w:noProof/>
          <w:szCs w:val="24"/>
          <w:lang w:val="en-US"/>
        </w:rPr>
        <w:tab/>
        <w:t xml:space="preserve">Jung, W. K. </w:t>
      </w:r>
      <w:r w:rsidRPr="00BC59F2">
        <w:rPr>
          <w:rFonts w:cs="Arial"/>
          <w:i/>
          <w:iCs/>
          <w:noProof/>
          <w:szCs w:val="24"/>
          <w:lang w:val="en-US"/>
        </w:rPr>
        <w:t>et al.</w:t>
      </w:r>
      <w:r w:rsidRPr="00BC59F2">
        <w:rPr>
          <w:rFonts w:cs="Arial"/>
          <w:noProof/>
          <w:szCs w:val="24"/>
          <w:lang w:val="en-US"/>
        </w:rPr>
        <w:t xml:space="preserve"> Antibacterial activity and mechanism of action of the silver ion in Staphylococcus aureus and Escherichia coli. </w:t>
      </w:r>
      <w:r w:rsidRPr="00BC59F2">
        <w:rPr>
          <w:rFonts w:cs="Arial"/>
          <w:i/>
          <w:iCs/>
          <w:noProof/>
          <w:szCs w:val="24"/>
          <w:lang w:val="en-US"/>
        </w:rPr>
        <w:t>Appl. Environ. Microbiol.</w:t>
      </w:r>
      <w:r w:rsidRPr="00BC59F2">
        <w:rPr>
          <w:rFonts w:cs="Arial"/>
          <w:noProof/>
          <w:szCs w:val="24"/>
          <w:lang w:val="en-US"/>
        </w:rPr>
        <w:t xml:space="preserve"> </w:t>
      </w:r>
      <w:r w:rsidRPr="00BC59F2">
        <w:rPr>
          <w:rFonts w:cs="Arial"/>
          <w:b/>
          <w:bCs/>
          <w:noProof/>
          <w:szCs w:val="24"/>
          <w:lang w:val="en-US"/>
        </w:rPr>
        <w:t>74</w:t>
      </w:r>
      <w:r w:rsidRPr="00BC59F2">
        <w:rPr>
          <w:rFonts w:cs="Arial"/>
          <w:noProof/>
          <w:szCs w:val="24"/>
          <w:lang w:val="en-US"/>
        </w:rPr>
        <w:t>, 2171–8 (2008).</w:t>
      </w:r>
    </w:p>
    <w:p w14:paraId="2E06270E"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20.</w:t>
      </w:r>
      <w:r w:rsidRPr="00BC59F2">
        <w:rPr>
          <w:rFonts w:cs="Arial"/>
          <w:noProof/>
          <w:szCs w:val="24"/>
          <w:lang w:val="en-US"/>
        </w:rPr>
        <w:tab/>
        <w:t xml:space="preserve">Anas, A. </w:t>
      </w:r>
      <w:r w:rsidRPr="00BC59F2">
        <w:rPr>
          <w:rFonts w:cs="Arial"/>
          <w:i/>
          <w:iCs/>
          <w:noProof/>
          <w:szCs w:val="24"/>
          <w:lang w:val="en-US"/>
        </w:rPr>
        <w:t>et al.</w:t>
      </w:r>
      <w:r w:rsidRPr="00BC59F2">
        <w:rPr>
          <w:rFonts w:cs="Arial"/>
          <w:noProof/>
          <w:szCs w:val="24"/>
          <w:lang w:val="en-US"/>
        </w:rPr>
        <w:t xml:space="preserve"> Sequential interactions of silver-silica nanocomposite (Ag-SiO2NC) with cell wall, metabolism and genetic stability of Pseudomonas aeruginosa, a multiple antibiotic-resistant bacterium. </w:t>
      </w:r>
      <w:r w:rsidRPr="00BC59F2">
        <w:rPr>
          <w:rFonts w:cs="Arial"/>
          <w:i/>
          <w:iCs/>
          <w:noProof/>
          <w:szCs w:val="24"/>
          <w:lang w:val="en-US"/>
        </w:rPr>
        <w:t>Lett. Appl. Microbiol.</w:t>
      </w:r>
      <w:r w:rsidRPr="00BC59F2">
        <w:rPr>
          <w:rFonts w:cs="Arial"/>
          <w:noProof/>
          <w:szCs w:val="24"/>
          <w:lang w:val="en-US"/>
        </w:rPr>
        <w:t xml:space="preserve"> </w:t>
      </w:r>
      <w:r w:rsidRPr="00BC59F2">
        <w:rPr>
          <w:rFonts w:cs="Arial"/>
          <w:b/>
          <w:bCs/>
          <w:noProof/>
          <w:szCs w:val="24"/>
          <w:lang w:val="en-US"/>
        </w:rPr>
        <w:t>56</w:t>
      </w:r>
      <w:r w:rsidRPr="00BC59F2">
        <w:rPr>
          <w:rFonts w:cs="Arial"/>
          <w:noProof/>
          <w:szCs w:val="24"/>
          <w:lang w:val="en-US"/>
        </w:rPr>
        <w:t>, 57–62 (2013).</w:t>
      </w:r>
    </w:p>
    <w:p w14:paraId="3D151A1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21.</w:t>
      </w:r>
      <w:r w:rsidRPr="00BC59F2">
        <w:rPr>
          <w:rFonts w:cs="Arial"/>
          <w:noProof/>
          <w:szCs w:val="24"/>
          <w:lang w:val="en-US"/>
        </w:rPr>
        <w:tab/>
        <w:t xml:space="preserve">Hardes, J. </w:t>
      </w:r>
      <w:r w:rsidRPr="00BC59F2">
        <w:rPr>
          <w:rFonts w:cs="Arial"/>
          <w:i/>
          <w:iCs/>
          <w:noProof/>
          <w:szCs w:val="24"/>
          <w:lang w:val="en-US"/>
        </w:rPr>
        <w:t>et al.</w:t>
      </w:r>
      <w:r w:rsidRPr="00BC59F2">
        <w:rPr>
          <w:rFonts w:cs="Arial"/>
          <w:noProof/>
          <w:szCs w:val="24"/>
          <w:lang w:val="en-US"/>
        </w:rPr>
        <w:t xml:space="preserve"> Reduction of periprosthetic infection with silver-coated megaprostheses in patients with bone sarcoma. </w:t>
      </w:r>
      <w:r w:rsidRPr="00BC59F2">
        <w:rPr>
          <w:rFonts w:cs="Arial"/>
          <w:i/>
          <w:iCs/>
          <w:noProof/>
          <w:szCs w:val="24"/>
          <w:lang w:val="en-US"/>
        </w:rPr>
        <w:t>J. Surg. Oncol.</w:t>
      </w:r>
      <w:r w:rsidRPr="00BC59F2">
        <w:rPr>
          <w:rFonts w:cs="Arial"/>
          <w:noProof/>
          <w:szCs w:val="24"/>
          <w:lang w:val="en-US"/>
        </w:rPr>
        <w:t xml:space="preserve"> </w:t>
      </w:r>
      <w:r w:rsidRPr="00BC59F2">
        <w:rPr>
          <w:rFonts w:cs="Arial"/>
          <w:b/>
          <w:bCs/>
          <w:noProof/>
          <w:szCs w:val="24"/>
          <w:lang w:val="en-US"/>
        </w:rPr>
        <w:t>101</w:t>
      </w:r>
      <w:r w:rsidRPr="00BC59F2">
        <w:rPr>
          <w:rFonts w:cs="Arial"/>
          <w:noProof/>
          <w:szCs w:val="24"/>
          <w:lang w:val="en-US"/>
        </w:rPr>
        <w:t>, 389–395 (2010).</w:t>
      </w:r>
    </w:p>
    <w:p w14:paraId="6D97455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22.</w:t>
      </w:r>
      <w:r w:rsidRPr="00BC59F2">
        <w:rPr>
          <w:rFonts w:cs="Arial"/>
          <w:noProof/>
          <w:szCs w:val="24"/>
          <w:lang w:val="en-US"/>
        </w:rPr>
        <w:tab/>
        <w:t xml:space="preserve">Wafa, H. </w:t>
      </w:r>
      <w:r w:rsidRPr="00BC59F2">
        <w:rPr>
          <w:rFonts w:cs="Arial"/>
          <w:i/>
          <w:iCs/>
          <w:noProof/>
          <w:szCs w:val="24"/>
          <w:lang w:val="en-US"/>
        </w:rPr>
        <w:t>et al.</w:t>
      </w:r>
      <w:r w:rsidRPr="00BC59F2">
        <w:rPr>
          <w:rFonts w:cs="Arial"/>
          <w:noProof/>
          <w:szCs w:val="24"/>
          <w:lang w:val="en-US"/>
        </w:rPr>
        <w:t xml:space="preserve"> Retrospective evaluation of the incidence of early periprosthetic infection with silver-treated endoprostheses in high-risk patients: Case-control study. </w:t>
      </w:r>
      <w:r w:rsidRPr="00BC59F2">
        <w:rPr>
          <w:rFonts w:cs="Arial"/>
          <w:i/>
          <w:iCs/>
          <w:noProof/>
          <w:szCs w:val="24"/>
          <w:lang w:val="en-US"/>
        </w:rPr>
        <w:t>Bone Joint J.</w:t>
      </w:r>
      <w:r w:rsidRPr="00BC59F2">
        <w:rPr>
          <w:rFonts w:cs="Arial"/>
          <w:noProof/>
          <w:szCs w:val="24"/>
          <w:lang w:val="en-US"/>
        </w:rPr>
        <w:t xml:space="preserve"> </w:t>
      </w:r>
      <w:r w:rsidRPr="00BC59F2">
        <w:rPr>
          <w:rFonts w:cs="Arial"/>
          <w:b/>
          <w:bCs/>
          <w:noProof/>
          <w:szCs w:val="24"/>
          <w:lang w:val="en-US"/>
        </w:rPr>
        <w:t>97</w:t>
      </w:r>
      <w:r w:rsidRPr="00BC59F2">
        <w:rPr>
          <w:rFonts w:cs="Arial"/>
          <w:noProof/>
          <w:szCs w:val="24"/>
          <w:lang w:val="en-US"/>
        </w:rPr>
        <w:t>-</w:t>
      </w:r>
      <w:r w:rsidRPr="00BC59F2">
        <w:rPr>
          <w:rFonts w:cs="Arial"/>
          <w:b/>
          <w:bCs/>
          <w:noProof/>
          <w:szCs w:val="24"/>
          <w:lang w:val="en-US"/>
        </w:rPr>
        <w:t>B</w:t>
      </w:r>
      <w:r w:rsidRPr="00BC59F2">
        <w:rPr>
          <w:rFonts w:cs="Arial"/>
          <w:noProof/>
          <w:szCs w:val="24"/>
          <w:lang w:val="en-US"/>
        </w:rPr>
        <w:t>, 252–257 (2015).</w:t>
      </w:r>
    </w:p>
    <w:p w14:paraId="5F4CEC88"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23.</w:t>
      </w:r>
      <w:r w:rsidRPr="00BC59F2">
        <w:rPr>
          <w:rFonts w:cs="Arial"/>
          <w:noProof/>
          <w:szCs w:val="24"/>
          <w:lang w:val="en-US"/>
        </w:rPr>
        <w:tab/>
        <w:t xml:space="preserve">Donati, F. </w:t>
      </w:r>
      <w:r w:rsidRPr="00BC59F2">
        <w:rPr>
          <w:rFonts w:cs="Arial"/>
          <w:i/>
          <w:iCs/>
          <w:noProof/>
          <w:szCs w:val="24"/>
          <w:lang w:val="en-US"/>
        </w:rPr>
        <w:t>et al.</w:t>
      </w:r>
      <w:r w:rsidRPr="00BC59F2">
        <w:rPr>
          <w:rFonts w:cs="Arial"/>
          <w:noProof/>
          <w:szCs w:val="24"/>
          <w:lang w:val="en-US"/>
        </w:rPr>
        <w:t xml:space="preserve"> Silver-Coated Hip Megaprosthesis in Oncological Limb Savage Surgery. </w:t>
      </w:r>
      <w:r w:rsidRPr="00BC59F2">
        <w:rPr>
          <w:rFonts w:cs="Arial"/>
          <w:i/>
          <w:iCs/>
          <w:noProof/>
          <w:szCs w:val="24"/>
          <w:lang w:val="en-US"/>
        </w:rPr>
        <w:t>Biomed Res. Int.</w:t>
      </w:r>
      <w:r w:rsidRPr="00BC59F2">
        <w:rPr>
          <w:rFonts w:cs="Arial"/>
          <w:noProof/>
          <w:szCs w:val="24"/>
          <w:lang w:val="en-US"/>
        </w:rPr>
        <w:t xml:space="preserve"> </w:t>
      </w:r>
      <w:r w:rsidRPr="00BC59F2">
        <w:rPr>
          <w:rFonts w:cs="Arial"/>
          <w:b/>
          <w:bCs/>
          <w:noProof/>
          <w:szCs w:val="24"/>
          <w:lang w:val="en-US"/>
        </w:rPr>
        <w:t>2016</w:t>
      </w:r>
      <w:r w:rsidRPr="00BC59F2">
        <w:rPr>
          <w:rFonts w:cs="Arial"/>
          <w:noProof/>
          <w:szCs w:val="24"/>
          <w:lang w:val="en-US"/>
        </w:rPr>
        <w:t>, (2016).</w:t>
      </w:r>
    </w:p>
    <w:p w14:paraId="251AFF0A"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24.</w:t>
      </w:r>
      <w:r w:rsidRPr="00BC59F2">
        <w:rPr>
          <w:rFonts w:cs="Arial"/>
          <w:noProof/>
          <w:szCs w:val="24"/>
          <w:lang w:val="en-US"/>
        </w:rPr>
        <w:tab/>
        <w:t xml:space="preserve">Bielby, R., Jones, E. &amp; McGonagle, D. The role of mesenchymal stem cells in maintenance and repair of bone. </w:t>
      </w:r>
      <w:r w:rsidRPr="00BC59F2">
        <w:rPr>
          <w:rFonts w:cs="Arial"/>
          <w:i/>
          <w:iCs/>
          <w:noProof/>
          <w:szCs w:val="24"/>
          <w:lang w:val="en-US"/>
        </w:rPr>
        <w:t>Injury</w:t>
      </w:r>
      <w:r w:rsidRPr="00BC59F2">
        <w:rPr>
          <w:rFonts w:cs="Arial"/>
          <w:noProof/>
          <w:szCs w:val="24"/>
          <w:lang w:val="en-US"/>
        </w:rPr>
        <w:t xml:space="preserve"> </w:t>
      </w:r>
      <w:r w:rsidRPr="00BC59F2">
        <w:rPr>
          <w:rFonts w:cs="Arial"/>
          <w:b/>
          <w:bCs/>
          <w:noProof/>
          <w:szCs w:val="24"/>
          <w:lang w:val="en-US"/>
        </w:rPr>
        <w:t>38</w:t>
      </w:r>
      <w:r w:rsidRPr="00BC59F2">
        <w:rPr>
          <w:rFonts w:cs="Arial"/>
          <w:noProof/>
          <w:szCs w:val="24"/>
          <w:lang w:val="en-US"/>
        </w:rPr>
        <w:t>, (2007).</w:t>
      </w:r>
    </w:p>
    <w:p w14:paraId="17B6F01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25.</w:t>
      </w:r>
      <w:r w:rsidRPr="00BC59F2">
        <w:rPr>
          <w:rFonts w:cs="Arial"/>
          <w:noProof/>
          <w:szCs w:val="24"/>
          <w:lang w:val="en-US"/>
        </w:rPr>
        <w:tab/>
        <w:t xml:space="preserve">Marsell, R. &amp; Einhorn, T. A. The biology of fracture healing. </w:t>
      </w:r>
      <w:r w:rsidRPr="00BC59F2">
        <w:rPr>
          <w:rFonts w:cs="Arial"/>
          <w:i/>
          <w:iCs/>
          <w:noProof/>
          <w:szCs w:val="24"/>
          <w:lang w:val="en-US"/>
        </w:rPr>
        <w:t>Injury</w:t>
      </w:r>
      <w:r w:rsidRPr="00BC59F2">
        <w:rPr>
          <w:rFonts w:cs="Arial"/>
          <w:noProof/>
          <w:szCs w:val="24"/>
          <w:lang w:val="en-US"/>
        </w:rPr>
        <w:t xml:space="preserve"> </w:t>
      </w:r>
      <w:r w:rsidRPr="00BC59F2">
        <w:rPr>
          <w:rFonts w:cs="Arial"/>
          <w:b/>
          <w:bCs/>
          <w:noProof/>
          <w:szCs w:val="24"/>
          <w:lang w:val="en-US"/>
        </w:rPr>
        <w:t>42</w:t>
      </w:r>
      <w:r w:rsidRPr="00BC59F2">
        <w:rPr>
          <w:rFonts w:cs="Arial"/>
          <w:noProof/>
          <w:szCs w:val="24"/>
          <w:lang w:val="en-US"/>
        </w:rPr>
        <w:t>, 551–555 (2011).</w:t>
      </w:r>
    </w:p>
    <w:p w14:paraId="602634F7"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26.</w:t>
      </w:r>
      <w:r w:rsidRPr="00BC59F2">
        <w:rPr>
          <w:rFonts w:cs="Arial"/>
          <w:noProof/>
          <w:szCs w:val="24"/>
          <w:lang w:val="en-US"/>
        </w:rPr>
        <w:tab/>
        <w:t xml:space="preserve">Kanda, Y., Hinata, T., Kang, S. W. &amp; Watanabe, Y. Reactive oxygen species mediate adipocyte differentiation in mesenchymal stem cells. </w:t>
      </w:r>
      <w:r w:rsidRPr="00BC59F2">
        <w:rPr>
          <w:rFonts w:cs="Arial"/>
          <w:i/>
          <w:iCs/>
          <w:noProof/>
          <w:szCs w:val="24"/>
          <w:lang w:val="en-US"/>
        </w:rPr>
        <w:t>Life Sci.</w:t>
      </w:r>
      <w:r w:rsidRPr="00BC59F2">
        <w:rPr>
          <w:rFonts w:cs="Arial"/>
          <w:noProof/>
          <w:szCs w:val="24"/>
          <w:lang w:val="en-US"/>
        </w:rPr>
        <w:t xml:space="preserve"> </w:t>
      </w:r>
      <w:r w:rsidRPr="00BC59F2">
        <w:rPr>
          <w:rFonts w:cs="Arial"/>
          <w:b/>
          <w:bCs/>
          <w:noProof/>
          <w:szCs w:val="24"/>
          <w:lang w:val="en-US"/>
        </w:rPr>
        <w:t>89</w:t>
      </w:r>
      <w:r w:rsidRPr="00BC59F2">
        <w:rPr>
          <w:rFonts w:cs="Arial"/>
          <w:noProof/>
          <w:szCs w:val="24"/>
          <w:lang w:val="en-US"/>
        </w:rPr>
        <w:t>, 250–258 (2011).</w:t>
      </w:r>
    </w:p>
    <w:p w14:paraId="34CADCE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27.</w:t>
      </w:r>
      <w:r w:rsidRPr="00BC59F2">
        <w:rPr>
          <w:rFonts w:cs="Arial"/>
          <w:noProof/>
          <w:szCs w:val="24"/>
          <w:lang w:val="en-US"/>
        </w:rPr>
        <w:tab/>
        <w:t xml:space="preserve">Yoshimaru, T., Suzuki, Y., Inoue, T., Niide, O. &amp; Ra, C. Silver activates mast cells </w:t>
      </w:r>
      <w:r w:rsidRPr="00BC59F2">
        <w:rPr>
          <w:rFonts w:cs="Arial"/>
          <w:noProof/>
          <w:szCs w:val="24"/>
          <w:lang w:val="en-US"/>
        </w:rPr>
        <w:lastRenderedPageBreak/>
        <w:t xml:space="preserve">through reactive oxygen species production and a thiol-sensitive store-independent Ca2+ influx. </w:t>
      </w:r>
      <w:r w:rsidRPr="00BC59F2">
        <w:rPr>
          <w:rFonts w:cs="Arial"/>
          <w:i/>
          <w:iCs/>
          <w:noProof/>
          <w:szCs w:val="24"/>
          <w:lang w:val="en-US"/>
        </w:rPr>
        <w:t>Free Radic. Biol. Med.</w:t>
      </w:r>
      <w:r w:rsidRPr="00BC59F2">
        <w:rPr>
          <w:rFonts w:cs="Arial"/>
          <w:noProof/>
          <w:szCs w:val="24"/>
          <w:lang w:val="en-US"/>
        </w:rPr>
        <w:t xml:space="preserve"> </w:t>
      </w:r>
      <w:r w:rsidRPr="00BC59F2">
        <w:rPr>
          <w:rFonts w:cs="Arial"/>
          <w:b/>
          <w:bCs/>
          <w:noProof/>
          <w:szCs w:val="24"/>
          <w:lang w:val="en-US"/>
        </w:rPr>
        <w:t>40</w:t>
      </w:r>
      <w:r w:rsidRPr="00BC59F2">
        <w:rPr>
          <w:rFonts w:cs="Arial"/>
          <w:noProof/>
          <w:szCs w:val="24"/>
          <w:lang w:val="en-US"/>
        </w:rPr>
        <w:t>, 1949–1959 (2006).</w:t>
      </w:r>
    </w:p>
    <w:p w14:paraId="658A008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28.</w:t>
      </w:r>
      <w:r w:rsidRPr="00BC59F2">
        <w:rPr>
          <w:rFonts w:cs="Arial"/>
          <w:noProof/>
          <w:szCs w:val="24"/>
          <w:lang w:val="en-US"/>
        </w:rPr>
        <w:tab/>
        <w:t xml:space="preserve">Cortese-Krott, M. M. </w:t>
      </w:r>
      <w:r w:rsidRPr="00BC59F2">
        <w:rPr>
          <w:rFonts w:cs="Arial"/>
          <w:i/>
          <w:iCs/>
          <w:noProof/>
          <w:szCs w:val="24"/>
          <w:lang w:val="en-US"/>
        </w:rPr>
        <w:t>et al.</w:t>
      </w:r>
      <w:r w:rsidRPr="00BC59F2">
        <w:rPr>
          <w:rFonts w:cs="Arial"/>
          <w:noProof/>
          <w:szCs w:val="24"/>
          <w:lang w:val="en-US"/>
        </w:rPr>
        <w:t xml:space="preserve"> Silver ions induce oxidative stress and intracellular zinc release in human skin fibroblasts. </w:t>
      </w:r>
      <w:r w:rsidRPr="00BC59F2">
        <w:rPr>
          <w:rFonts w:cs="Arial"/>
          <w:i/>
          <w:iCs/>
          <w:noProof/>
          <w:szCs w:val="24"/>
          <w:lang w:val="en-US"/>
        </w:rPr>
        <w:t>Free Radic. Biol. Med.</w:t>
      </w:r>
      <w:r w:rsidRPr="00BC59F2">
        <w:rPr>
          <w:rFonts w:cs="Arial"/>
          <w:noProof/>
          <w:szCs w:val="24"/>
          <w:lang w:val="en-US"/>
        </w:rPr>
        <w:t xml:space="preserve"> </w:t>
      </w:r>
      <w:r w:rsidRPr="00BC59F2">
        <w:rPr>
          <w:rFonts w:cs="Arial"/>
          <w:b/>
          <w:bCs/>
          <w:noProof/>
          <w:szCs w:val="24"/>
          <w:lang w:val="en-US"/>
        </w:rPr>
        <w:t>47</w:t>
      </w:r>
      <w:r w:rsidRPr="00BC59F2">
        <w:rPr>
          <w:rFonts w:cs="Arial"/>
          <w:noProof/>
          <w:szCs w:val="24"/>
          <w:lang w:val="en-US"/>
        </w:rPr>
        <w:t>, 1570–1577 (2009).</w:t>
      </w:r>
    </w:p>
    <w:p w14:paraId="7A424C98"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29.</w:t>
      </w:r>
      <w:r w:rsidRPr="00BC59F2">
        <w:rPr>
          <w:rFonts w:cs="Arial"/>
          <w:noProof/>
          <w:szCs w:val="24"/>
          <w:lang w:val="en-US"/>
        </w:rPr>
        <w:tab/>
        <w:t xml:space="preserve">James, S. </w:t>
      </w:r>
      <w:r w:rsidRPr="00BC59F2">
        <w:rPr>
          <w:rFonts w:cs="Arial"/>
          <w:i/>
          <w:iCs/>
          <w:noProof/>
          <w:szCs w:val="24"/>
          <w:lang w:val="en-US"/>
        </w:rPr>
        <w:t>et al.</w:t>
      </w:r>
      <w:r w:rsidRPr="00BC59F2">
        <w:rPr>
          <w:rFonts w:cs="Arial"/>
          <w:noProof/>
          <w:szCs w:val="24"/>
          <w:lang w:val="en-US"/>
        </w:rPr>
        <w:t xml:space="preserve"> Multiparameter Analysis of Human Bone Marrow Stromal Cells Identifies Distinct Immunomodulatory and Differentiation-Competent Subtypes. </w:t>
      </w:r>
      <w:r w:rsidRPr="00BC59F2">
        <w:rPr>
          <w:rFonts w:cs="Arial"/>
          <w:i/>
          <w:iCs/>
          <w:noProof/>
          <w:szCs w:val="24"/>
          <w:lang w:val="en-US"/>
        </w:rPr>
        <w:t>Stem Cell Reports</w:t>
      </w:r>
      <w:r w:rsidRPr="00BC59F2">
        <w:rPr>
          <w:rFonts w:cs="Arial"/>
          <w:noProof/>
          <w:szCs w:val="24"/>
          <w:lang w:val="en-US"/>
        </w:rPr>
        <w:t xml:space="preserve"> </w:t>
      </w:r>
      <w:r w:rsidRPr="00BC59F2">
        <w:rPr>
          <w:rFonts w:cs="Arial"/>
          <w:b/>
          <w:bCs/>
          <w:noProof/>
          <w:szCs w:val="24"/>
          <w:lang w:val="en-US"/>
        </w:rPr>
        <w:t>4</w:t>
      </w:r>
      <w:r w:rsidRPr="00BC59F2">
        <w:rPr>
          <w:rFonts w:cs="Arial"/>
          <w:noProof/>
          <w:szCs w:val="24"/>
          <w:lang w:val="en-US"/>
        </w:rPr>
        <w:t>, 1004–1015 (2015).</w:t>
      </w:r>
    </w:p>
    <w:p w14:paraId="5C816D76"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30.</w:t>
      </w:r>
      <w:r w:rsidRPr="00BC59F2">
        <w:rPr>
          <w:rFonts w:cs="Arial"/>
          <w:noProof/>
          <w:szCs w:val="24"/>
          <w:lang w:val="en-US"/>
        </w:rPr>
        <w:tab/>
        <w:t xml:space="preserve">Jenks, P. J., Laurent, M., McQuarry, S. &amp; Watkins, R. Clinical and economic burden of surgical site infection (SSI) and predicted financial consequences of elimination of SSI from an English hospital. </w:t>
      </w:r>
      <w:r w:rsidRPr="00BC59F2">
        <w:rPr>
          <w:rFonts w:cs="Arial"/>
          <w:i/>
          <w:iCs/>
          <w:noProof/>
          <w:szCs w:val="24"/>
          <w:lang w:val="en-US"/>
        </w:rPr>
        <w:t>J. Hosp. Infect.</w:t>
      </w:r>
      <w:r w:rsidRPr="00BC59F2">
        <w:rPr>
          <w:rFonts w:cs="Arial"/>
          <w:noProof/>
          <w:szCs w:val="24"/>
          <w:lang w:val="en-US"/>
        </w:rPr>
        <w:t xml:space="preserve"> </w:t>
      </w:r>
      <w:r w:rsidRPr="00BC59F2">
        <w:rPr>
          <w:rFonts w:cs="Arial"/>
          <w:b/>
          <w:bCs/>
          <w:noProof/>
          <w:szCs w:val="24"/>
          <w:lang w:val="en-US"/>
        </w:rPr>
        <w:t>86</w:t>
      </w:r>
      <w:r w:rsidRPr="00BC59F2">
        <w:rPr>
          <w:rFonts w:cs="Arial"/>
          <w:noProof/>
          <w:szCs w:val="24"/>
          <w:lang w:val="en-US"/>
        </w:rPr>
        <w:t>, 24–33 (2014).</w:t>
      </w:r>
    </w:p>
    <w:p w14:paraId="6C5126A6"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31.</w:t>
      </w:r>
      <w:r w:rsidRPr="00BC59F2">
        <w:rPr>
          <w:rFonts w:cs="Arial"/>
          <w:noProof/>
          <w:szCs w:val="24"/>
          <w:lang w:val="en-US"/>
        </w:rPr>
        <w:tab/>
        <w:t xml:space="preserve">Papakostidis, C. </w:t>
      </w:r>
      <w:r w:rsidRPr="00BC59F2">
        <w:rPr>
          <w:rFonts w:cs="Arial"/>
          <w:i/>
          <w:iCs/>
          <w:noProof/>
          <w:szCs w:val="24"/>
          <w:lang w:val="en-US"/>
        </w:rPr>
        <w:t>et al.</w:t>
      </w:r>
      <w:r w:rsidRPr="00BC59F2">
        <w:rPr>
          <w:rFonts w:cs="Arial"/>
          <w:noProof/>
          <w:szCs w:val="24"/>
          <w:lang w:val="en-US"/>
        </w:rPr>
        <w:t xml:space="preserve"> Prevalence of complications of open tibial shaft fractures stratified as per the Gustilo-Anderson classification. </w:t>
      </w:r>
      <w:r w:rsidRPr="00BC59F2">
        <w:rPr>
          <w:rFonts w:cs="Arial"/>
          <w:i/>
          <w:iCs/>
          <w:noProof/>
          <w:szCs w:val="24"/>
          <w:lang w:val="en-US"/>
        </w:rPr>
        <w:t>Injury</w:t>
      </w:r>
      <w:r w:rsidRPr="00BC59F2">
        <w:rPr>
          <w:rFonts w:cs="Arial"/>
          <w:noProof/>
          <w:szCs w:val="24"/>
          <w:lang w:val="en-US"/>
        </w:rPr>
        <w:t xml:space="preserve"> </w:t>
      </w:r>
      <w:r w:rsidRPr="00BC59F2">
        <w:rPr>
          <w:rFonts w:cs="Arial"/>
          <w:b/>
          <w:bCs/>
          <w:noProof/>
          <w:szCs w:val="24"/>
          <w:lang w:val="en-US"/>
        </w:rPr>
        <w:t>42</w:t>
      </w:r>
      <w:r w:rsidRPr="00BC59F2">
        <w:rPr>
          <w:rFonts w:cs="Arial"/>
          <w:noProof/>
          <w:szCs w:val="24"/>
          <w:lang w:val="en-US"/>
        </w:rPr>
        <w:t>, 1408–1415 (2011).</w:t>
      </w:r>
    </w:p>
    <w:p w14:paraId="0044A5E5"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32.</w:t>
      </w:r>
      <w:r w:rsidRPr="00BC59F2">
        <w:rPr>
          <w:rFonts w:cs="Arial"/>
          <w:noProof/>
          <w:szCs w:val="24"/>
          <w:lang w:val="en-US"/>
        </w:rPr>
        <w:tab/>
        <w:t xml:space="preserve">Vernè, E. </w:t>
      </w:r>
      <w:r w:rsidRPr="00BC59F2">
        <w:rPr>
          <w:rFonts w:cs="Arial"/>
          <w:i/>
          <w:iCs/>
          <w:noProof/>
          <w:szCs w:val="24"/>
          <w:lang w:val="en-US"/>
        </w:rPr>
        <w:t>et al.</w:t>
      </w:r>
      <w:r w:rsidRPr="00BC59F2">
        <w:rPr>
          <w:rFonts w:cs="Arial"/>
          <w:noProof/>
          <w:szCs w:val="24"/>
          <w:lang w:val="en-US"/>
        </w:rPr>
        <w:t xml:space="preserve"> Surface characterization of silver-doped bioactive glass. </w:t>
      </w:r>
      <w:r w:rsidRPr="00BC59F2">
        <w:rPr>
          <w:rFonts w:cs="Arial"/>
          <w:i/>
          <w:iCs/>
          <w:noProof/>
          <w:szCs w:val="24"/>
          <w:lang w:val="en-US"/>
        </w:rPr>
        <w:t>Biomaterials</w:t>
      </w:r>
      <w:r w:rsidRPr="00BC59F2">
        <w:rPr>
          <w:rFonts w:cs="Arial"/>
          <w:noProof/>
          <w:szCs w:val="24"/>
          <w:lang w:val="en-US"/>
        </w:rPr>
        <w:t xml:space="preserve"> </w:t>
      </w:r>
      <w:r w:rsidRPr="00BC59F2">
        <w:rPr>
          <w:rFonts w:cs="Arial"/>
          <w:b/>
          <w:bCs/>
          <w:noProof/>
          <w:szCs w:val="24"/>
          <w:lang w:val="en-US"/>
        </w:rPr>
        <w:t>26</w:t>
      </w:r>
      <w:r w:rsidRPr="00BC59F2">
        <w:rPr>
          <w:rFonts w:cs="Arial"/>
          <w:noProof/>
          <w:szCs w:val="24"/>
          <w:lang w:val="en-US"/>
        </w:rPr>
        <w:t>, 5111–5119 (2005).</w:t>
      </w:r>
    </w:p>
    <w:p w14:paraId="649CF1C5"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33.</w:t>
      </w:r>
      <w:r w:rsidRPr="00BC59F2">
        <w:rPr>
          <w:rFonts w:cs="Arial"/>
          <w:noProof/>
          <w:szCs w:val="24"/>
          <w:lang w:val="en-US"/>
        </w:rPr>
        <w:tab/>
        <w:t xml:space="preserve">Mohandas, A., Krishnan, A. G., Biswas, R., Menon, D. &amp; Nair, M. B. Antibacterial and cytocompatible nanotextured Ti surface incorporating silver via single step hydrothermal processing. </w:t>
      </w:r>
      <w:r w:rsidRPr="00BC59F2">
        <w:rPr>
          <w:rFonts w:cs="Arial"/>
          <w:i/>
          <w:iCs/>
          <w:noProof/>
          <w:szCs w:val="24"/>
          <w:lang w:val="en-US"/>
        </w:rPr>
        <w:t>Mater. Sci. Eng. C</w:t>
      </w:r>
      <w:r w:rsidRPr="00BC59F2">
        <w:rPr>
          <w:rFonts w:cs="Arial"/>
          <w:noProof/>
          <w:szCs w:val="24"/>
          <w:lang w:val="en-US"/>
        </w:rPr>
        <w:t xml:space="preserve"> </w:t>
      </w:r>
      <w:r w:rsidRPr="00BC59F2">
        <w:rPr>
          <w:rFonts w:cs="Arial"/>
          <w:b/>
          <w:bCs/>
          <w:noProof/>
          <w:szCs w:val="24"/>
          <w:lang w:val="en-US"/>
        </w:rPr>
        <w:t>75</w:t>
      </w:r>
      <w:r w:rsidRPr="00BC59F2">
        <w:rPr>
          <w:rFonts w:cs="Arial"/>
          <w:noProof/>
          <w:szCs w:val="24"/>
          <w:lang w:val="en-US"/>
        </w:rPr>
        <w:t>, 115–124 (2017).</w:t>
      </w:r>
    </w:p>
    <w:p w14:paraId="73F3F984"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34.</w:t>
      </w:r>
      <w:r w:rsidRPr="00BC59F2">
        <w:rPr>
          <w:rFonts w:cs="Arial"/>
          <w:noProof/>
          <w:szCs w:val="24"/>
          <w:lang w:val="en-US"/>
        </w:rPr>
        <w:tab/>
        <w:t xml:space="preserve">Hendricks, K. J. </w:t>
      </w:r>
      <w:r w:rsidRPr="00BC59F2">
        <w:rPr>
          <w:rFonts w:cs="Arial"/>
          <w:i/>
          <w:iCs/>
          <w:noProof/>
          <w:szCs w:val="24"/>
          <w:lang w:val="en-US"/>
        </w:rPr>
        <w:t>et al.</w:t>
      </w:r>
      <w:r w:rsidRPr="00BC59F2">
        <w:rPr>
          <w:rFonts w:cs="Arial"/>
          <w:noProof/>
          <w:szCs w:val="24"/>
          <w:lang w:val="en-US"/>
        </w:rPr>
        <w:t xml:space="preserve"> Elution Characteristics of Tobramycin From Polycaprolactone in a Rabbit Model. </w:t>
      </w:r>
      <w:r w:rsidRPr="00BC59F2">
        <w:rPr>
          <w:rFonts w:cs="Arial"/>
          <w:i/>
          <w:iCs/>
          <w:noProof/>
          <w:szCs w:val="24"/>
          <w:lang w:val="en-US"/>
        </w:rPr>
        <w:t>Clin. Orthop. Relat. Res.</w:t>
      </w:r>
      <w:r w:rsidRPr="00BC59F2">
        <w:rPr>
          <w:rFonts w:cs="Arial"/>
          <w:noProof/>
          <w:szCs w:val="24"/>
          <w:lang w:val="en-US"/>
        </w:rPr>
        <w:t xml:space="preserve"> </w:t>
      </w:r>
      <w:r w:rsidRPr="00BC59F2">
        <w:rPr>
          <w:rFonts w:cs="Arial"/>
          <w:b/>
          <w:bCs/>
          <w:noProof/>
          <w:szCs w:val="24"/>
          <w:lang w:val="en-US"/>
        </w:rPr>
        <w:t>392</w:t>
      </w:r>
      <w:r w:rsidRPr="00BC59F2">
        <w:rPr>
          <w:rFonts w:cs="Arial"/>
          <w:noProof/>
          <w:szCs w:val="24"/>
          <w:lang w:val="en-US"/>
        </w:rPr>
        <w:t>, (2001).</w:t>
      </w:r>
    </w:p>
    <w:p w14:paraId="71B83B34"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35.</w:t>
      </w:r>
      <w:r w:rsidRPr="00BC59F2">
        <w:rPr>
          <w:rFonts w:cs="Arial"/>
          <w:noProof/>
          <w:szCs w:val="24"/>
          <w:lang w:val="en-US"/>
        </w:rPr>
        <w:tab/>
        <w:t xml:space="preserve">Pittenger, M. F. Multilineage Potential of Adult Human Mesenchymal Stem Cells. </w:t>
      </w:r>
      <w:r w:rsidRPr="00BC59F2">
        <w:rPr>
          <w:rFonts w:cs="Arial"/>
          <w:i/>
          <w:iCs/>
          <w:noProof/>
          <w:szCs w:val="24"/>
          <w:lang w:val="en-US"/>
        </w:rPr>
        <w:t>Science</w:t>
      </w:r>
      <w:r w:rsidRPr="00BC59F2">
        <w:rPr>
          <w:rFonts w:cs="Arial"/>
          <w:noProof/>
          <w:szCs w:val="24"/>
          <w:lang w:val="en-US"/>
        </w:rPr>
        <w:t xml:space="preserve"> </w:t>
      </w:r>
      <w:r w:rsidRPr="00BC59F2">
        <w:rPr>
          <w:rFonts w:cs="Arial"/>
          <w:b/>
          <w:bCs/>
          <w:noProof/>
          <w:szCs w:val="24"/>
          <w:lang w:val="en-US"/>
        </w:rPr>
        <w:t>284</w:t>
      </w:r>
      <w:r w:rsidRPr="00BC59F2">
        <w:rPr>
          <w:rFonts w:cs="Arial"/>
          <w:noProof/>
          <w:szCs w:val="24"/>
          <w:lang w:val="en-US"/>
        </w:rPr>
        <w:t>, 143–147 (1999).</w:t>
      </w:r>
    </w:p>
    <w:p w14:paraId="43C43CA4"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36.</w:t>
      </w:r>
      <w:r w:rsidRPr="00BC59F2">
        <w:rPr>
          <w:rFonts w:cs="Arial"/>
          <w:noProof/>
          <w:szCs w:val="24"/>
          <w:lang w:val="en-US"/>
        </w:rPr>
        <w:tab/>
        <w:t xml:space="preserve">Castro-Malaspina, H. </w:t>
      </w:r>
      <w:r w:rsidRPr="00BC59F2">
        <w:rPr>
          <w:rFonts w:cs="Arial"/>
          <w:i/>
          <w:iCs/>
          <w:noProof/>
          <w:szCs w:val="24"/>
          <w:lang w:val="en-US"/>
        </w:rPr>
        <w:t>et al.</w:t>
      </w:r>
      <w:r w:rsidRPr="00BC59F2">
        <w:rPr>
          <w:rFonts w:cs="Arial"/>
          <w:noProof/>
          <w:szCs w:val="24"/>
          <w:lang w:val="en-US"/>
        </w:rPr>
        <w:t xml:space="preserve"> Characterization of human bone marrow fibroblast colony-forming cells (CFU-F) and their progeny. </w:t>
      </w:r>
      <w:r w:rsidRPr="00BC59F2">
        <w:rPr>
          <w:rFonts w:cs="Arial"/>
          <w:i/>
          <w:iCs/>
          <w:noProof/>
          <w:szCs w:val="24"/>
          <w:lang w:val="en-US"/>
        </w:rPr>
        <w:t>Blood</w:t>
      </w:r>
      <w:r w:rsidRPr="00BC59F2">
        <w:rPr>
          <w:rFonts w:cs="Arial"/>
          <w:noProof/>
          <w:szCs w:val="24"/>
          <w:lang w:val="en-US"/>
        </w:rPr>
        <w:t xml:space="preserve"> </w:t>
      </w:r>
      <w:r w:rsidRPr="00BC59F2">
        <w:rPr>
          <w:rFonts w:cs="Arial"/>
          <w:b/>
          <w:bCs/>
          <w:noProof/>
          <w:szCs w:val="24"/>
          <w:lang w:val="en-US"/>
        </w:rPr>
        <w:t>56</w:t>
      </w:r>
      <w:r w:rsidRPr="00BC59F2">
        <w:rPr>
          <w:rFonts w:cs="Arial"/>
          <w:noProof/>
          <w:szCs w:val="24"/>
          <w:lang w:val="en-US"/>
        </w:rPr>
        <w:t>, 289–301 (1980).</w:t>
      </w:r>
    </w:p>
    <w:p w14:paraId="5A57381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37.</w:t>
      </w:r>
      <w:r w:rsidRPr="00BC59F2">
        <w:rPr>
          <w:rFonts w:cs="Arial"/>
          <w:noProof/>
          <w:szCs w:val="24"/>
          <w:lang w:val="en-US"/>
        </w:rPr>
        <w:tab/>
        <w:t xml:space="preserve">Bianco, P., Kuznetsov, S. A., Riminucci, M. &amp; Gehron Robey, P. Postnatal Skeletal Stem Cells. </w:t>
      </w:r>
      <w:r w:rsidRPr="00BC59F2">
        <w:rPr>
          <w:rFonts w:cs="Arial"/>
          <w:i/>
          <w:iCs/>
          <w:noProof/>
          <w:szCs w:val="24"/>
          <w:lang w:val="en-US"/>
        </w:rPr>
        <w:t>Methods Enzymol.</w:t>
      </w:r>
      <w:r w:rsidRPr="00BC59F2">
        <w:rPr>
          <w:rFonts w:cs="Arial"/>
          <w:noProof/>
          <w:szCs w:val="24"/>
          <w:lang w:val="en-US"/>
        </w:rPr>
        <w:t xml:space="preserve"> </w:t>
      </w:r>
      <w:r w:rsidRPr="00BC59F2">
        <w:rPr>
          <w:rFonts w:cs="Arial"/>
          <w:b/>
          <w:bCs/>
          <w:noProof/>
          <w:szCs w:val="24"/>
          <w:lang w:val="en-US"/>
        </w:rPr>
        <w:t>419</w:t>
      </w:r>
      <w:r w:rsidRPr="00BC59F2">
        <w:rPr>
          <w:rFonts w:cs="Arial"/>
          <w:noProof/>
          <w:szCs w:val="24"/>
          <w:lang w:val="en-US"/>
        </w:rPr>
        <w:t>, 117–148 (2006).</w:t>
      </w:r>
    </w:p>
    <w:p w14:paraId="5F0ED1DF"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38.</w:t>
      </w:r>
      <w:r w:rsidRPr="00BC59F2">
        <w:rPr>
          <w:rFonts w:cs="Arial"/>
          <w:noProof/>
          <w:szCs w:val="24"/>
          <w:lang w:val="en-US"/>
        </w:rPr>
        <w:tab/>
        <w:t xml:space="preserve">Hansen, J. M., Zhang, H. &amp; Jones, D. P. Differential oxidation of thioredoxin-1, thioredoxin-2, and glutathione by metal ions. </w:t>
      </w:r>
      <w:r w:rsidRPr="00BC59F2">
        <w:rPr>
          <w:rFonts w:cs="Arial"/>
          <w:i/>
          <w:iCs/>
          <w:noProof/>
          <w:szCs w:val="24"/>
          <w:lang w:val="en-US"/>
        </w:rPr>
        <w:t>Free Radic. Biol. Med.</w:t>
      </w:r>
      <w:r w:rsidRPr="00BC59F2">
        <w:rPr>
          <w:rFonts w:cs="Arial"/>
          <w:noProof/>
          <w:szCs w:val="24"/>
          <w:lang w:val="en-US"/>
        </w:rPr>
        <w:t xml:space="preserve"> </w:t>
      </w:r>
      <w:r w:rsidRPr="00BC59F2">
        <w:rPr>
          <w:rFonts w:cs="Arial"/>
          <w:b/>
          <w:bCs/>
          <w:noProof/>
          <w:szCs w:val="24"/>
          <w:lang w:val="en-US"/>
        </w:rPr>
        <w:t>40</w:t>
      </w:r>
      <w:r w:rsidRPr="00BC59F2">
        <w:rPr>
          <w:rFonts w:cs="Arial"/>
          <w:noProof/>
          <w:szCs w:val="24"/>
          <w:lang w:val="en-US"/>
        </w:rPr>
        <w:t>, 138–145 (2006).</w:t>
      </w:r>
    </w:p>
    <w:p w14:paraId="56962EDA"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39.</w:t>
      </w:r>
      <w:r w:rsidRPr="00BC59F2">
        <w:rPr>
          <w:rFonts w:cs="Arial"/>
          <w:noProof/>
          <w:szCs w:val="24"/>
          <w:lang w:val="en-US"/>
        </w:rPr>
        <w:tab/>
        <w:t xml:space="preserve">Cuypers, A. </w:t>
      </w:r>
      <w:r w:rsidRPr="00BC59F2">
        <w:rPr>
          <w:rFonts w:cs="Arial"/>
          <w:i/>
          <w:iCs/>
          <w:noProof/>
          <w:szCs w:val="24"/>
          <w:lang w:val="en-US"/>
        </w:rPr>
        <w:t>et al.</w:t>
      </w:r>
      <w:r w:rsidRPr="00BC59F2">
        <w:rPr>
          <w:rFonts w:cs="Arial"/>
          <w:noProof/>
          <w:szCs w:val="24"/>
          <w:lang w:val="en-US"/>
        </w:rPr>
        <w:t xml:space="preserve"> Cadmium stress: An oxidative challenge. </w:t>
      </w:r>
      <w:r w:rsidRPr="00BC59F2">
        <w:rPr>
          <w:rFonts w:cs="Arial"/>
          <w:i/>
          <w:iCs/>
          <w:noProof/>
          <w:szCs w:val="24"/>
          <w:lang w:val="en-US"/>
        </w:rPr>
        <w:t>BioMetals</w:t>
      </w:r>
      <w:r w:rsidRPr="00BC59F2">
        <w:rPr>
          <w:rFonts w:cs="Arial"/>
          <w:noProof/>
          <w:szCs w:val="24"/>
          <w:lang w:val="en-US"/>
        </w:rPr>
        <w:t xml:space="preserve"> </w:t>
      </w:r>
      <w:r w:rsidRPr="00BC59F2">
        <w:rPr>
          <w:rFonts w:cs="Arial"/>
          <w:b/>
          <w:bCs/>
          <w:noProof/>
          <w:szCs w:val="24"/>
          <w:lang w:val="en-US"/>
        </w:rPr>
        <w:t>23</w:t>
      </w:r>
      <w:r w:rsidRPr="00BC59F2">
        <w:rPr>
          <w:rFonts w:cs="Arial"/>
          <w:noProof/>
          <w:szCs w:val="24"/>
          <w:lang w:val="en-US"/>
        </w:rPr>
        <w:t>, 927–940 (2010).</w:t>
      </w:r>
    </w:p>
    <w:p w14:paraId="5A904F0A"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40.</w:t>
      </w:r>
      <w:r w:rsidRPr="00BC59F2">
        <w:rPr>
          <w:rFonts w:cs="Arial"/>
          <w:noProof/>
          <w:szCs w:val="24"/>
          <w:lang w:val="en-US"/>
        </w:rPr>
        <w:tab/>
        <w:t xml:space="preserve">Shukla, G. S. </w:t>
      </w:r>
      <w:r w:rsidRPr="00BC59F2">
        <w:rPr>
          <w:rFonts w:cs="Arial"/>
          <w:i/>
          <w:iCs/>
          <w:noProof/>
          <w:szCs w:val="24"/>
          <w:lang w:val="en-US"/>
        </w:rPr>
        <w:t>et al.</w:t>
      </w:r>
      <w:r w:rsidRPr="00BC59F2">
        <w:rPr>
          <w:rFonts w:cs="Arial"/>
          <w:noProof/>
          <w:szCs w:val="24"/>
          <w:lang w:val="en-US"/>
        </w:rPr>
        <w:t xml:space="preserve"> Cadmium-mediated oxidative stress in alveolar epithelial cells induces the expression of γ-glutamylcysteine synthetase catalytic subunit and glutathione S-transferase α and π isoforms: Potential role of activator protein-1. </w:t>
      </w:r>
      <w:r w:rsidRPr="00BC59F2">
        <w:rPr>
          <w:rFonts w:cs="Arial"/>
          <w:i/>
          <w:iCs/>
          <w:noProof/>
          <w:szCs w:val="24"/>
          <w:lang w:val="en-US"/>
        </w:rPr>
        <w:t>Cell Biol. Toxicol.</w:t>
      </w:r>
      <w:r w:rsidRPr="00BC59F2">
        <w:rPr>
          <w:rFonts w:cs="Arial"/>
          <w:noProof/>
          <w:szCs w:val="24"/>
          <w:lang w:val="en-US"/>
        </w:rPr>
        <w:t xml:space="preserve"> </w:t>
      </w:r>
      <w:r w:rsidRPr="00BC59F2">
        <w:rPr>
          <w:rFonts w:cs="Arial"/>
          <w:b/>
          <w:bCs/>
          <w:noProof/>
          <w:szCs w:val="24"/>
          <w:lang w:val="en-US"/>
        </w:rPr>
        <w:t>16</w:t>
      </w:r>
      <w:r w:rsidRPr="00BC59F2">
        <w:rPr>
          <w:rFonts w:cs="Arial"/>
          <w:noProof/>
          <w:szCs w:val="24"/>
          <w:lang w:val="en-US"/>
        </w:rPr>
        <w:t>, 347–362 (2000).</w:t>
      </w:r>
    </w:p>
    <w:p w14:paraId="6D351769"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41.</w:t>
      </w:r>
      <w:r w:rsidRPr="00BC59F2">
        <w:rPr>
          <w:rFonts w:cs="Arial"/>
          <w:noProof/>
          <w:szCs w:val="24"/>
          <w:lang w:val="en-US"/>
        </w:rPr>
        <w:tab/>
        <w:t xml:space="preserve">Chen, D.-J. </w:t>
      </w:r>
      <w:r w:rsidRPr="00BC59F2">
        <w:rPr>
          <w:rFonts w:cs="Arial"/>
          <w:i/>
          <w:iCs/>
          <w:noProof/>
          <w:szCs w:val="24"/>
          <w:lang w:val="en-US"/>
        </w:rPr>
        <w:t>et al.</w:t>
      </w:r>
      <w:r w:rsidRPr="00BC59F2">
        <w:rPr>
          <w:rFonts w:cs="Arial"/>
          <w:noProof/>
          <w:szCs w:val="24"/>
          <w:lang w:val="en-US"/>
        </w:rPr>
        <w:t xml:space="preserve"> Proteomic analysis of secreted proteins by human bronchial epithelial cells in response to cadmium toxicity. </w:t>
      </w:r>
      <w:r w:rsidRPr="00BC59F2">
        <w:rPr>
          <w:rFonts w:cs="Arial"/>
          <w:i/>
          <w:iCs/>
          <w:noProof/>
          <w:szCs w:val="24"/>
          <w:lang w:val="en-US"/>
        </w:rPr>
        <w:t>Proteomics</w:t>
      </w:r>
      <w:r w:rsidRPr="00BC59F2">
        <w:rPr>
          <w:rFonts w:cs="Arial"/>
          <w:noProof/>
          <w:szCs w:val="24"/>
          <w:lang w:val="en-US"/>
        </w:rPr>
        <w:t xml:space="preserve"> </w:t>
      </w:r>
      <w:r w:rsidRPr="00BC59F2">
        <w:rPr>
          <w:rFonts w:cs="Arial"/>
          <w:b/>
          <w:bCs/>
          <w:noProof/>
          <w:szCs w:val="24"/>
          <w:lang w:val="en-US"/>
        </w:rPr>
        <w:t>15</w:t>
      </w:r>
      <w:r w:rsidRPr="00BC59F2">
        <w:rPr>
          <w:rFonts w:cs="Arial"/>
          <w:noProof/>
          <w:szCs w:val="24"/>
          <w:lang w:val="en-US"/>
        </w:rPr>
        <w:t>, 3075–3086 (2015).</w:t>
      </w:r>
    </w:p>
    <w:p w14:paraId="28CFFCC0"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42.</w:t>
      </w:r>
      <w:r w:rsidRPr="00BC59F2">
        <w:rPr>
          <w:rFonts w:cs="Arial"/>
          <w:noProof/>
          <w:szCs w:val="24"/>
          <w:lang w:val="en-US"/>
        </w:rPr>
        <w:tab/>
        <w:t xml:space="preserve">Dekkers, S. </w:t>
      </w:r>
      <w:r w:rsidRPr="00BC59F2">
        <w:rPr>
          <w:rFonts w:cs="Arial"/>
          <w:i/>
          <w:iCs/>
          <w:noProof/>
          <w:szCs w:val="24"/>
          <w:lang w:val="en-US"/>
        </w:rPr>
        <w:t>et al.</w:t>
      </w:r>
      <w:r w:rsidRPr="00BC59F2">
        <w:rPr>
          <w:rFonts w:cs="Arial"/>
          <w:noProof/>
          <w:szCs w:val="24"/>
          <w:lang w:val="en-US"/>
        </w:rPr>
        <w:t xml:space="preserve"> Multi-omics approaches confirm metal ions mediate the main toxicological pathways of metal-bearing nanoparticles in lung epithelial A549 cells. </w:t>
      </w:r>
      <w:r w:rsidRPr="00BC59F2">
        <w:rPr>
          <w:rFonts w:cs="Arial"/>
          <w:i/>
          <w:iCs/>
          <w:noProof/>
          <w:szCs w:val="24"/>
          <w:lang w:val="en-US"/>
        </w:rPr>
        <w:t>Environ. Sci. Nano</w:t>
      </w:r>
      <w:r w:rsidRPr="00BC59F2">
        <w:rPr>
          <w:rFonts w:cs="Arial"/>
          <w:noProof/>
          <w:szCs w:val="24"/>
          <w:lang w:val="en-US"/>
        </w:rPr>
        <w:t xml:space="preserve"> </w:t>
      </w:r>
      <w:r w:rsidRPr="00BC59F2">
        <w:rPr>
          <w:rFonts w:cs="Arial"/>
          <w:b/>
          <w:bCs/>
          <w:noProof/>
          <w:szCs w:val="24"/>
          <w:lang w:val="en-US"/>
        </w:rPr>
        <w:t>5</w:t>
      </w:r>
      <w:r w:rsidRPr="00BC59F2">
        <w:rPr>
          <w:rFonts w:cs="Arial"/>
          <w:noProof/>
          <w:szCs w:val="24"/>
          <w:lang w:val="en-US"/>
        </w:rPr>
        <w:t>, 1506–1517 (2018).</w:t>
      </w:r>
    </w:p>
    <w:p w14:paraId="4E2010EA"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43.</w:t>
      </w:r>
      <w:r w:rsidRPr="00BC59F2">
        <w:rPr>
          <w:rFonts w:cs="Arial"/>
          <w:noProof/>
          <w:szCs w:val="24"/>
          <w:lang w:val="en-US"/>
        </w:rPr>
        <w:tab/>
        <w:t xml:space="preserve">Wellner, V. P., Anderson, M. E., Puri, R. N., Jensen, G. L. &amp; Meister, A. Radioprotection by glutathione ester: transport of glutathione ester into human lymphoid cells and fibroblasts. </w:t>
      </w:r>
      <w:r w:rsidRPr="00BC59F2">
        <w:rPr>
          <w:rFonts w:cs="Arial"/>
          <w:i/>
          <w:iCs/>
          <w:noProof/>
          <w:szCs w:val="24"/>
          <w:lang w:val="en-US"/>
        </w:rPr>
        <w:t>PNAS</w:t>
      </w:r>
      <w:r w:rsidRPr="00BC59F2">
        <w:rPr>
          <w:rFonts w:cs="Arial"/>
          <w:noProof/>
          <w:szCs w:val="24"/>
          <w:lang w:val="en-US"/>
        </w:rPr>
        <w:t xml:space="preserve"> </w:t>
      </w:r>
      <w:r w:rsidRPr="00BC59F2">
        <w:rPr>
          <w:rFonts w:cs="Arial"/>
          <w:b/>
          <w:bCs/>
          <w:noProof/>
          <w:szCs w:val="24"/>
          <w:lang w:val="en-US"/>
        </w:rPr>
        <w:t>81</w:t>
      </w:r>
      <w:r w:rsidRPr="00BC59F2">
        <w:rPr>
          <w:rFonts w:cs="Arial"/>
          <w:noProof/>
          <w:szCs w:val="24"/>
          <w:lang w:val="en-US"/>
        </w:rPr>
        <w:t>, 4732–5 (1984).</w:t>
      </w:r>
    </w:p>
    <w:p w14:paraId="3F35BF9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44.</w:t>
      </w:r>
      <w:r w:rsidRPr="00BC59F2">
        <w:rPr>
          <w:rFonts w:cs="Arial"/>
          <w:noProof/>
          <w:szCs w:val="24"/>
          <w:lang w:val="en-US"/>
        </w:rPr>
        <w:tab/>
        <w:t xml:space="preserve">Lu, H. </w:t>
      </w:r>
      <w:r w:rsidRPr="00BC59F2">
        <w:rPr>
          <w:rFonts w:cs="Arial"/>
          <w:i/>
          <w:iCs/>
          <w:noProof/>
          <w:szCs w:val="24"/>
          <w:lang w:val="en-US"/>
        </w:rPr>
        <w:t>et al.</w:t>
      </w:r>
      <w:r w:rsidRPr="00BC59F2">
        <w:rPr>
          <w:rFonts w:cs="Arial"/>
          <w:noProof/>
          <w:szCs w:val="24"/>
          <w:lang w:val="en-US"/>
        </w:rPr>
        <w:t xml:space="preserve"> Chemotherapy triggers HIF-1–dependent glutathione synthesis and copper chelation that induces the breast cancer stem cell phenotype. </w:t>
      </w:r>
      <w:r w:rsidRPr="00BC59F2">
        <w:rPr>
          <w:rFonts w:cs="Arial"/>
          <w:i/>
          <w:iCs/>
          <w:noProof/>
          <w:szCs w:val="24"/>
          <w:lang w:val="en-US"/>
        </w:rPr>
        <w:t>PNAS</w:t>
      </w:r>
      <w:r w:rsidRPr="00BC59F2">
        <w:rPr>
          <w:rFonts w:cs="Arial"/>
          <w:noProof/>
          <w:szCs w:val="24"/>
          <w:lang w:val="en-US"/>
        </w:rPr>
        <w:t xml:space="preserve"> </w:t>
      </w:r>
      <w:r w:rsidRPr="00BC59F2">
        <w:rPr>
          <w:rFonts w:cs="Arial"/>
          <w:b/>
          <w:bCs/>
          <w:noProof/>
          <w:szCs w:val="24"/>
          <w:lang w:val="en-US"/>
        </w:rPr>
        <w:t>112</w:t>
      </w:r>
      <w:r w:rsidRPr="00BC59F2">
        <w:rPr>
          <w:rFonts w:cs="Arial"/>
          <w:noProof/>
          <w:szCs w:val="24"/>
          <w:lang w:val="en-US"/>
        </w:rPr>
        <w:t>, E4600–E4609 (2015).</w:t>
      </w:r>
    </w:p>
    <w:p w14:paraId="0C03005C"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45.</w:t>
      </w:r>
      <w:r w:rsidRPr="00BC59F2">
        <w:rPr>
          <w:rFonts w:cs="Arial"/>
          <w:noProof/>
          <w:szCs w:val="24"/>
          <w:lang w:val="en-US"/>
        </w:rPr>
        <w:tab/>
        <w:t xml:space="preserve">Ito, K. </w:t>
      </w:r>
      <w:r w:rsidRPr="00BC59F2">
        <w:rPr>
          <w:rFonts w:cs="Arial"/>
          <w:i/>
          <w:iCs/>
          <w:noProof/>
          <w:szCs w:val="24"/>
          <w:lang w:val="en-US"/>
        </w:rPr>
        <w:t>et al.</w:t>
      </w:r>
      <w:r w:rsidRPr="00BC59F2">
        <w:rPr>
          <w:rFonts w:cs="Arial"/>
          <w:noProof/>
          <w:szCs w:val="24"/>
          <w:lang w:val="en-US"/>
        </w:rPr>
        <w:t xml:space="preserve"> Reactive oxygen species act through p38 MAPK to limit the lifespan of hematopoietic stem cells. </w:t>
      </w:r>
      <w:r w:rsidRPr="00BC59F2">
        <w:rPr>
          <w:rFonts w:cs="Arial"/>
          <w:i/>
          <w:iCs/>
          <w:noProof/>
          <w:szCs w:val="24"/>
          <w:lang w:val="en-US"/>
        </w:rPr>
        <w:t>Nat. Med.</w:t>
      </w:r>
      <w:r w:rsidRPr="00BC59F2">
        <w:rPr>
          <w:rFonts w:cs="Arial"/>
          <w:noProof/>
          <w:szCs w:val="24"/>
          <w:lang w:val="en-US"/>
        </w:rPr>
        <w:t xml:space="preserve"> </w:t>
      </w:r>
      <w:r w:rsidRPr="00BC59F2">
        <w:rPr>
          <w:rFonts w:cs="Arial"/>
          <w:b/>
          <w:bCs/>
          <w:noProof/>
          <w:szCs w:val="24"/>
          <w:lang w:val="en-US"/>
        </w:rPr>
        <w:t>12</w:t>
      </w:r>
      <w:r w:rsidRPr="00BC59F2">
        <w:rPr>
          <w:rFonts w:cs="Arial"/>
          <w:noProof/>
          <w:szCs w:val="24"/>
          <w:lang w:val="en-US"/>
        </w:rPr>
        <w:t>, 446–451 (2006).</w:t>
      </w:r>
    </w:p>
    <w:p w14:paraId="6A31855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46.</w:t>
      </w:r>
      <w:r w:rsidRPr="00BC59F2">
        <w:rPr>
          <w:rFonts w:cs="Arial"/>
          <w:noProof/>
          <w:szCs w:val="24"/>
          <w:lang w:val="en-US"/>
        </w:rPr>
        <w:tab/>
        <w:t xml:space="preserve">Arai, Y., Miyayama, T. &amp; Hirano, S. Difference in the toxicity mechanism between ion and nanoparticle forms of silver in the mouse lung and in macrophages. </w:t>
      </w:r>
      <w:r w:rsidRPr="00BC59F2">
        <w:rPr>
          <w:rFonts w:cs="Arial"/>
          <w:i/>
          <w:iCs/>
          <w:noProof/>
          <w:szCs w:val="24"/>
          <w:lang w:val="en-US"/>
        </w:rPr>
        <w:t>Toxicology</w:t>
      </w:r>
      <w:r w:rsidRPr="00BC59F2">
        <w:rPr>
          <w:rFonts w:cs="Arial"/>
          <w:noProof/>
          <w:szCs w:val="24"/>
          <w:lang w:val="en-US"/>
        </w:rPr>
        <w:t xml:space="preserve"> </w:t>
      </w:r>
      <w:r w:rsidRPr="00BC59F2">
        <w:rPr>
          <w:rFonts w:cs="Arial"/>
          <w:b/>
          <w:bCs/>
          <w:noProof/>
          <w:szCs w:val="24"/>
          <w:lang w:val="en-US"/>
        </w:rPr>
        <w:t>328</w:t>
      </w:r>
      <w:r w:rsidRPr="00BC59F2">
        <w:rPr>
          <w:rFonts w:cs="Arial"/>
          <w:noProof/>
          <w:szCs w:val="24"/>
          <w:lang w:val="en-US"/>
        </w:rPr>
        <w:t>, 84–92 (2015).</w:t>
      </w:r>
    </w:p>
    <w:p w14:paraId="08D6269E"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47.</w:t>
      </w:r>
      <w:r w:rsidRPr="00BC59F2">
        <w:rPr>
          <w:rFonts w:cs="Arial"/>
          <w:noProof/>
          <w:szCs w:val="24"/>
          <w:lang w:val="en-US"/>
        </w:rPr>
        <w:tab/>
        <w:t xml:space="preserve">Jiang, X. </w:t>
      </w:r>
      <w:r w:rsidRPr="00BC59F2">
        <w:rPr>
          <w:rFonts w:cs="Arial"/>
          <w:i/>
          <w:iCs/>
          <w:noProof/>
          <w:szCs w:val="24"/>
          <w:lang w:val="en-US"/>
        </w:rPr>
        <w:t>et al.</w:t>
      </w:r>
      <w:r w:rsidRPr="00BC59F2">
        <w:rPr>
          <w:rFonts w:cs="Arial"/>
          <w:noProof/>
          <w:szCs w:val="24"/>
          <w:lang w:val="en-US"/>
        </w:rPr>
        <w:t xml:space="preserve"> Multi-platform genotoxicity analysis of silver nanoparticles in the model cell line CHO-K1. </w:t>
      </w:r>
      <w:r w:rsidRPr="00BC59F2">
        <w:rPr>
          <w:rFonts w:cs="Arial"/>
          <w:i/>
          <w:iCs/>
          <w:noProof/>
          <w:szCs w:val="24"/>
          <w:lang w:val="en-US"/>
        </w:rPr>
        <w:t>Toxicol. Lett.</w:t>
      </w:r>
      <w:r w:rsidRPr="00BC59F2">
        <w:rPr>
          <w:rFonts w:cs="Arial"/>
          <w:noProof/>
          <w:szCs w:val="24"/>
          <w:lang w:val="en-US"/>
        </w:rPr>
        <w:t xml:space="preserve"> </w:t>
      </w:r>
      <w:r w:rsidRPr="00BC59F2">
        <w:rPr>
          <w:rFonts w:cs="Arial"/>
          <w:b/>
          <w:bCs/>
          <w:noProof/>
          <w:szCs w:val="24"/>
          <w:lang w:val="en-US"/>
        </w:rPr>
        <w:t>222</w:t>
      </w:r>
      <w:r w:rsidRPr="00BC59F2">
        <w:rPr>
          <w:rFonts w:cs="Arial"/>
          <w:noProof/>
          <w:szCs w:val="24"/>
          <w:lang w:val="en-US"/>
        </w:rPr>
        <w:t>, 55–63 (2013).</w:t>
      </w:r>
    </w:p>
    <w:p w14:paraId="1A94291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48.</w:t>
      </w:r>
      <w:r w:rsidRPr="00BC59F2">
        <w:rPr>
          <w:rFonts w:cs="Arial"/>
          <w:noProof/>
          <w:szCs w:val="24"/>
          <w:lang w:val="en-US"/>
        </w:rPr>
        <w:tab/>
        <w:t xml:space="preserve">Göktürk, E. </w:t>
      </w:r>
      <w:r w:rsidRPr="00BC59F2">
        <w:rPr>
          <w:rFonts w:cs="Arial"/>
          <w:i/>
          <w:iCs/>
          <w:noProof/>
          <w:szCs w:val="24"/>
          <w:lang w:val="en-US"/>
        </w:rPr>
        <w:t>et al.</w:t>
      </w:r>
      <w:r w:rsidRPr="00BC59F2">
        <w:rPr>
          <w:rFonts w:cs="Arial"/>
          <w:noProof/>
          <w:szCs w:val="24"/>
          <w:lang w:val="en-US"/>
        </w:rPr>
        <w:t xml:space="preserve"> Oxygen-free radicals impair fracture healing in rats. </w:t>
      </w:r>
      <w:r w:rsidRPr="00BC59F2">
        <w:rPr>
          <w:rFonts w:cs="Arial"/>
          <w:i/>
          <w:iCs/>
          <w:noProof/>
          <w:szCs w:val="24"/>
          <w:lang w:val="en-US"/>
        </w:rPr>
        <w:t>Acta Orthop.</w:t>
      </w:r>
      <w:r w:rsidRPr="00BC59F2">
        <w:rPr>
          <w:rFonts w:cs="Arial"/>
          <w:noProof/>
          <w:szCs w:val="24"/>
          <w:lang w:val="en-US"/>
        </w:rPr>
        <w:t xml:space="preserve"> </w:t>
      </w:r>
      <w:r w:rsidRPr="00BC59F2">
        <w:rPr>
          <w:rFonts w:cs="Arial"/>
          <w:b/>
          <w:bCs/>
          <w:noProof/>
          <w:szCs w:val="24"/>
          <w:lang w:val="en-US"/>
        </w:rPr>
        <w:t>66</w:t>
      </w:r>
      <w:r w:rsidRPr="00BC59F2">
        <w:rPr>
          <w:rFonts w:cs="Arial"/>
          <w:noProof/>
          <w:szCs w:val="24"/>
          <w:lang w:val="en-US"/>
        </w:rPr>
        <w:t>, 473–475 (1995).</w:t>
      </w:r>
    </w:p>
    <w:p w14:paraId="40F9C301"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49.</w:t>
      </w:r>
      <w:r w:rsidRPr="00BC59F2">
        <w:rPr>
          <w:rFonts w:cs="Arial"/>
          <w:noProof/>
          <w:szCs w:val="24"/>
          <w:lang w:val="en-US"/>
        </w:rPr>
        <w:tab/>
        <w:t xml:space="preserve">Lippross, S. </w:t>
      </w:r>
      <w:r w:rsidRPr="00BC59F2">
        <w:rPr>
          <w:rFonts w:cs="Arial"/>
          <w:i/>
          <w:iCs/>
          <w:noProof/>
          <w:szCs w:val="24"/>
          <w:lang w:val="en-US"/>
        </w:rPr>
        <w:t>et al.</w:t>
      </w:r>
      <w:r w:rsidRPr="00BC59F2">
        <w:rPr>
          <w:rFonts w:cs="Arial"/>
          <w:noProof/>
          <w:szCs w:val="24"/>
          <w:lang w:val="en-US"/>
        </w:rPr>
        <w:t xml:space="preserve"> Nrf2 Deficiency Impairs Fracture Healing in Mice. </w:t>
      </w:r>
      <w:r w:rsidRPr="00BC59F2">
        <w:rPr>
          <w:rFonts w:cs="Arial"/>
          <w:i/>
          <w:iCs/>
          <w:noProof/>
          <w:szCs w:val="24"/>
          <w:lang w:val="en-US"/>
        </w:rPr>
        <w:t>Calcif. Tissue Int.</w:t>
      </w:r>
      <w:r w:rsidRPr="00BC59F2">
        <w:rPr>
          <w:rFonts w:cs="Arial"/>
          <w:noProof/>
          <w:szCs w:val="24"/>
          <w:lang w:val="en-US"/>
        </w:rPr>
        <w:t xml:space="preserve"> </w:t>
      </w:r>
      <w:r w:rsidRPr="00BC59F2">
        <w:rPr>
          <w:rFonts w:cs="Arial"/>
          <w:b/>
          <w:bCs/>
          <w:noProof/>
          <w:szCs w:val="24"/>
          <w:lang w:val="en-US"/>
        </w:rPr>
        <w:lastRenderedPageBreak/>
        <w:t>95</w:t>
      </w:r>
      <w:r w:rsidRPr="00BC59F2">
        <w:rPr>
          <w:rFonts w:cs="Arial"/>
          <w:noProof/>
          <w:szCs w:val="24"/>
          <w:lang w:val="en-US"/>
        </w:rPr>
        <w:t>, 349–361 (2014).</w:t>
      </w:r>
    </w:p>
    <w:p w14:paraId="48BAE12B"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50.</w:t>
      </w:r>
      <w:r w:rsidRPr="00BC59F2">
        <w:rPr>
          <w:rFonts w:cs="Arial"/>
          <w:noProof/>
          <w:szCs w:val="24"/>
          <w:lang w:val="en-US"/>
        </w:rPr>
        <w:tab/>
        <w:t xml:space="preserve">Cortizo, M. C., de Mele, M. F. L. &amp; Cortizo, A. M. Metallic Dental Material Biocompatibility in Osteoblastlike Cells: Correlation with Metal Ion Release. </w:t>
      </w:r>
      <w:r w:rsidRPr="00BC59F2">
        <w:rPr>
          <w:rFonts w:cs="Arial"/>
          <w:i/>
          <w:iCs/>
          <w:noProof/>
          <w:szCs w:val="24"/>
          <w:lang w:val="en-US"/>
        </w:rPr>
        <w:t>Biol. Trace Elem. Res.</w:t>
      </w:r>
      <w:r w:rsidRPr="00BC59F2">
        <w:rPr>
          <w:rFonts w:cs="Arial"/>
          <w:noProof/>
          <w:szCs w:val="24"/>
          <w:lang w:val="en-US"/>
        </w:rPr>
        <w:t xml:space="preserve"> </w:t>
      </w:r>
      <w:r w:rsidRPr="00BC59F2">
        <w:rPr>
          <w:rFonts w:cs="Arial"/>
          <w:b/>
          <w:bCs/>
          <w:noProof/>
          <w:szCs w:val="24"/>
          <w:lang w:val="en-US"/>
        </w:rPr>
        <w:t>100</w:t>
      </w:r>
      <w:r w:rsidRPr="00BC59F2">
        <w:rPr>
          <w:rFonts w:cs="Arial"/>
          <w:noProof/>
          <w:szCs w:val="24"/>
          <w:lang w:val="en-US"/>
        </w:rPr>
        <w:t>, 151–168 (2004).</w:t>
      </w:r>
    </w:p>
    <w:p w14:paraId="445D065D"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51.</w:t>
      </w:r>
      <w:r w:rsidRPr="00BC59F2">
        <w:rPr>
          <w:rFonts w:cs="Arial"/>
          <w:noProof/>
          <w:szCs w:val="24"/>
          <w:lang w:val="en-US"/>
        </w:rPr>
        <w:tab/>
        <w:t xml:space="preserve">Kim, W.-K., Meliton, V., Bourquard, N., Hahn, T. J. &amp; Parhami, F. Hedgehog signaling and osteogenic differentiation in multipotent bone marrow stromal cells are inhibited by oxidative stress. </w:t>
      </w:r>
      <w:r w:rsidRPr="00BC59F2">
        <w:rPr>
          <w:rFonts w:cs="Arial"/>
          <w:i/>
          <w:iCs/>
          <w:noProof/>
          <w:szCs w:val="24"/>
          <w:lang w:val="en-US"/>
        </w:rPr>
        <w:t>J. Cell. Biochem.</w:t>
      </w:r>
      <w:r w:rsidRPr="00BC59F2">
        <w:rPr>
          <w:rFonts w:cs="Arial"/>
          <w:noProof/>
          <w:szCs w:val="24"/>
          <w:lang w:val="en-US"/>
        </w:rPr>
        <w:t xml:space="preserve"> </w:t>
      </w:r>
      <w:r w:rsidRPr="00BC59F2">
        <w:rPr>
          <w:rFonts w:cs="Arial"/>
          <w:b/>
          <w:bCs/>
          <w:noProof/>
          <w:szCs w:val="24"/>
          <w:lang w:val="en-US"/>
        </w:rPr>
        <w:t>111</w:t>
      </w:r>
      <w:r w:rsidRPr="00BC59F2">
        <w:rPr>
          <w:rFonts w:cs="Arial"/>
          <w:noProof/>
          <w:szCs w:val="24"/>
          <w:lang w:val="en-US"/>
        </w:rPr>
        <w:t>, 1199–1209 (2010).</w:t>
      </w:r>
    </w:p>
    <w:p w14:paraId="3FC9EC29"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52.</w:t>
      </w:r>
      <w:r w:rsidRPr="00BC59F2">
        <w:rPr>
          <w:rFonts w:cs="Arial"/>
          <w:noProof/>
          <w:szCs w:val="24"/>
          <w:lang w:val="en-US"/>
        </w:rPr>
        <w:tab/>
        <w:t xml:space="preserve">Sengstock, C., Diendorf, J., Epple, M., Schildhauer, T. A. &amp; Köller, M. Effect of silver nanoparticles on human mesenchymal stem cell differentiation. </w:t>
      </w:r>
      <w:r w:rsidRPr="00BC59F2">
        <w:rPr>
          <w:rFonts w:cs="Arial"/>
          <w:i/>
          <w:iCs/>
          <w:noProof/>
          <w:szCs w:val="24"/>
          <w:lang w:val="en-US"/>
        </w:rPr>
        <w:t>Beilstein J. Nanotechnol.</w:t>
      </w:r>
      <w:r w:rsidRPr="00BC59F2">
        <w:rPr>
          <w:rFonts w:cs="Arial"/>
          <w:noProof/>
          <w:szCs w:val="24"/>
          <w:lang w:val="en-US"/>
        </w:rPr>
        <w:t xml:space="preserve"> </w:t>
      </w:r>
      <w:r w:rsidRPr="00BC59F2">
        <w:rPr>
          <w:rFonts w:cs="Arial"/>
          <w:b/>
          <w:bCs/>
          <w:noProof/>
          <w:szCs w:val="24"/>
          <w:lang w:val="en-US"/>
        </w:rPr>
        <w:t>5</w:t>
      </w:r>
      <w:r w:rsidRPr="00BC59F2">
        <w:rPr>
          <w:rFonts w:cs="Arial"/>
          <w:noProof/>
          <w:szCs w:val="24"/>
          <w:lang w:val="en-US"/>
        </w:rPr>
        <w:t>, 2058–2069 (2014).</w:t>
      </w:r>
    </w:p>
    <w:p w14:paraId="4075BA96"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53.</w:t>
      </w:r>
      <w:r w:rsidRPr="00BC59F2">
        <w:rPr>
          <w:rFonts w:cs="Arial"/>
          <w:noProof/>
          <w:szCs w:val="24"/>
          <w:lang w:val="en-US"/>
        </w:rPr>
        <w:tab/>
        <w:t xml:space="preserve">Hernigou, P. H., Poignard, A., Beaujean, F. &amp; Rouard, H. Percutaneous autologous bone- marrow grafting for nonunions. Influence of the number and concentration of progenitor cells. </w:t>
      </w:r>
      <w:r w:rsidRPr="00BC59F2">
        <w:rPr>
          <w:rFonts w:cs="Arial"/>
          <w:i/>
          <w:iCs/>
          <w:noProof/>
          <w:szCs w:val="24"/>
          <w:lang w:val="en-US"/>
        </w:rPr>
        <w:t>J. Bone Jt. Surg.</w:t>
      </w:r>
      <w:r w:rsidRPr="00BC59F2">
        <w:rPr>
          <w:rFonts w:cs="Arial"/>
          <w:noProof/>
          <w:szCs w:val="24"/>
          <w:lang w:val="en-US"/>
        </w:rPr>
        <w:t xml:space="preserve"> </w:t>
      </w:r>
      <w:r w:rsidRPr="00BC59F2">
        <w:rPr>
          <w:rFonts w:cs="Arial"/>
          <w:b/>
          <w:bCs/>
          <w:noProof/>
          <w:szCs w:val="24"/>
          <w:lang w:val="en-US"/>
        </w:rPr>
        <w:t>87</w:t>
      </w:r>
      <w:r w:rsidRPr="00BC59F2">
        <w:rPr>
          <w:rFonts w:cs="Arial"/>
          <w:noProof/>
          <w:szCs w:val="24"/>
          <w:lang w:val="en-US"/>
        </w:rPr>
        <w:t>-</w:t>
      </w:r>
      <w:r w:rsidRPr="00BC59F2">
        <w:rPr>
          <w:rFonts w:cs="Arial"/>
          <w:b/>
          <w:bCs/>
          <w:noProof/>
          <w:szCs w:val="24"/>
          <w:lang w:val="en-US"/>
        </w:rPr>
        <w:t>A</w:t>
      </w:r>
      <w:r w:rsidRPr="00BC59F2">
        <w:rPr>
          <w:rFonts w:cs="Arial"/>
          <w:noProof/>
          <w:szCs w:val="24"/>
          <w:lang w:val="en-US"/>
        </w:rPr>
        <w:t>, 1430–1437 (2005).</w:t>
      </w:r>
    </w:p>
    <w:p w14:paraId="7F83D039"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szCs w:val="24"/>
          <w:lang w:val="en-US"/>
        </w:rPr>
      </w:pPr>
      <w:r w:rsidRPr="00BC59F2">
        <w:rPr>
          <w:rFonts w:cs="Arial"/>
          <w:noProof/>
          <w:szCs w:val="24"/>
          <w:lang w:val="en-US"/>
        </w:rPr>
        <w:t>54.</w:t>
      </w:r>
      <w:r w:rsidRPr="00BC59F2">
        <w:rPr>
          <w:rFonts w:cs="Arial"/>
          <w:noProof/>
          <w:szCs w:val="24"/>
          <w:lang w:val="en-US"/>
        </w:rPr>
        <w:tab/>
        <w:t xml:space="preserve">Geoghegan, V. </w:t>
      </w:r>
      <w:r w:rsidRPr="00BC59F2">
        <w:rPr>
          <w:rFonts w:cs="Arial"/>
          <w:i/>
          <w:iCs/>
          <w:noProof/>
          <w:szCs w:val="24"/>
          <w:lang w:val="en-US"/>
        </w:rPr>
        <w:t>et al.</w:t>
      </w:r>
      <w:r w:rsidRPr="00BC59F2">
        <w:rPr>
          <w:rFonts w:cs="Arial"/>
          <w:noProof/>
          <w:szCs w:val="24"/>
          <w:lang w:val="en-US"/>
        </w:rPr>
        <w:t xml:space="preserve"> Perturbed cholesterol and vesicular trafficking associated with dengue blocking in Wolbachia-infected Aedes aegypti cells. </w:t>
      </w:r>
      <w:r w:rsidRPr="00BC59F2">
        <w:rPr>
          <w:rFonts w:cs="Arial"/>
          <w:i/>
          <w:iCs/>
          <w:noProof/>
          <w:szCs w:val="24"/>
          <w:lang w:val="en-US"/>
        </w:rPr>
        <w:t>Nat. Commun.</w:t>
      </w:r>
      <w:r w:rsidRPr="00BC59F2">
        <w:rPr>
          <w:rFonts w:cs="Arial"/>
          <w:noProof/>
          <w:szCs w:val="24"/>
          <w:lang w:val="en-US"/>
        </w:rPr>
        <w:t xml:space="preserve"> </w:t>
      </w:r>
      <w:r w:rsidRPr="00BC59F2">
        <w:rPr>
          <w:rFonts w:cs="Arial"/>
          <w:b/>
          <w:bCs/>
          <w:noProof/>
          <w:szCs w:val="24"/>
          <w:lang w:val="en-US"/>
        </w:rPr>
        <w:t>8</w:t>
      </w:r>
      <w:r w:rsidRPr="00BC59F2">
        <w:rPr>
          <w:rFonts w:cs="Arial"/>
          <w:noProof/>
          <w:szCs w:val="24"/>
          <w:lang w:val="en-US"/>
        </w:rPr>
        <w:t>, (2017).</w:t>
      </w:r>
    </w:p>
    <w:p w14:paraId="7ED822B3" w14:textId="77777777" w:rsidR="00C5479F" w:rsidRPr="00BC59F2" w:rsidRDefault="00C5479F" w:rsidP="00C5479F">
      <w:pPr>
        <w:widowControl w:val="0"/>
        <w:autoSpaceDE w:val="0"/>
        <w:autoSpaceDN w:val="0"/>
        <w:adjustRightInd w:val="0"/>
        <w:spacing w:before="0" w:after="0" w:line="240" w:lineRule="auto"/>
        <w:ind w:left="640" w:hanging="640"/>
        <w:rPr>
          <w:rFonts w:cs="Arial"/>
          <w:noProof/>
        </w:rPr>
      </w:pPr>
      <w:r w:rsidRPr="00BC59F2">
        <w:rPr>
          <w:rFonts w:cs="Arial"/>
          <w:noProof/>
          <w:szCs w:val="24"/>
          <w:lang w:val="en-US"/>
        </w:rPr>
        <w:t>55.</w:t>
      </w:r>
      <w:r w:rsidRPr="00BC59F2">
        <w:rPr>
          <w:rFonts w:cs="Arial"/>
          <w:noProof/>
          <w:szCs w:val="24"/>
          <w:lang w:val="en-US"/>
        </w:rPr>
        <w:tab/>
        <w:t xml:space="preserve">Dowle, A. A., Wilson, J. &amp; Thomas, J. R. Comparing the Diagnostic Classification Accuracy of iTRAQ, Peak-Area, Spectral-Counting, and emPAI Methods for Relative Quantification in Expression Proteomics. </w:t>
      </w:r>
      <w:r w:rsidRPr="00BC59F2">
        <w:rPr>
          <w:rFonts w:cs="Arial"/>
          <w:i/>
          <w:iCs/>
          <w:noProof/>
          <w:szCs w:val="24"/>
          <w:lang w:val="en-US"/>
        </w:rPr>
        <w:t>J. Proteome Res.</w:t>
      </w:r>
      <w:r w:rsidRPr="00BC59F2">
        <w:rPr>
          <w:rFonts w:cs="Arial"/>
          <w:noProof/>
          <w:szCs w:val="24"/>
          <w:lang w:val="en-US"/>
        </w:rPr>
        <w:t xml:space="preserve"> </w:t>
      </w:r>
      <w:r w:rsidRPr="00BC59F2">
        <w:rPr>
          <w:rFonts w:cs="Arial"/>
          <w:b/>
          <w:bCs/>
          <w:noProof/>
          <w:szCs w:val="24"/>
          <w:lang w:val="en-US"/>
        </w:rPr>
        <w:t>15</w:t>
      </w:r>
      <w:r w:rsidRPr="00BC59F2">
        <w:rPr>
          <w:rFonts w:cs="Arial"/>
          <w:noProof/>
          <w:szCs w:val="24"/>
          <w:lang w:val="en-US"/>
        </w:rPr>
        <w:t>, 3550–3562 (2016).</w:t>
      </w:r>
    </w:p>
    <w:p w14:paraId="189B3374" w14:textId="22BF107D" w:rsidR="00E46428" w:rsidRPr="00BC59F2" w:rsidRDefault="00E46428" w:rsidP="00C5479F">
      <w:pPr>
        <w:widowControl w:val="0"/>
        <w:autoSpaceDE w:val="0"/>
        <w:autoSpaceDN w:val="0"/>
        <w:adjustRightInd w:val="0"/>
        <w:spacing w:before="0" w:after="0" w:line="240" w:lineRule="auto"/>
        <w:ind w:left="640" w:hanging="640"/>
        <w:rPr>
          <w:rFonts w:cs="Arial"/>
        </w:rPr>
      </w:pPr>
      <w:r w:rsidRPr="00BC59F2">
        <w:rPr>
          <w:rFonts w:cs="Arial"/>
        </w:rPr>
        <w:fldChar w:fldCharType="end"/>
      </w:r>
    </w:p>
    <w:p w14:paraId="1A98786F" w14:textId="77777777" w:rsidR="00D51544" w:rsidRPr="00BC59F2" w:rsidRDefault="00D51544" w:rsidP="00476FA4">
      <w:pPr>
        <w:autoSpaceDE w:val="0"/>
        <w:autoSpaceDN w:val="0"/>
        <w:adjustRightInd w:val="0"/>
        <w:spacing w:before="0" w:after="0" w:line="276" w:lineRule="auto"/>
        <w:jc w:val="left"/>
        <w:rPr>
          <w:rFonts w:cs="Arial"/>
          <w:b/>
        </w:rPr>
      </w:pPr>
    </w:p>
    <w:p w14:paraId="1A36884E" w14:textId="77777777" w:rsidR="00953F24" w:rsidRPr="00BC59F2" w:rsidRDefault="00953F24" w:rsidP="00476FA4">
      <w:pPr>
        <w:autoSpaceDE w:val="0"/>
        <w:autoSpaceDN w:val="0"/>
        <w:adjustRightInd w:val="0"/>
        <w:spacing w:before="0" w:after="0" w:line="276" w:lineRule="auto"/>
        <w:jc w:val="left"/>
        <w:rPr>
          <w:rFonts w:cs="Arial"/>
          <w:b/>
        </w:rPr>
      </w:pPr>
      <w:r w:rsidRPr="00BC59F2">
        <w:rPr>
          <w:rFonts w:cs="Arial"/>
          <w:b/>
        </w:rPr>
        <w:t>Acknowledgements</w:t>
      </w:r>
    </w:p>
    <w:p w14:paraId="607721CB" w14:textId="7DFA5D1C" w:rsidR="00953F24" w:rsidRPr="00BC59F2" w:rsidRDefault="00953F24" w:rsidP="00476FA4">
      <w:pPr>
        <w:autoSpaceDE w:val="0"/>
        <w:autoSpaceDN w:val="0"/>
        <w:adjustRightInd w:val="0"/>
        <w:spacing w:before="0" w:after="0" w:line="276" w:lineRule="auto"/>
        <w:jc w:val="left"/>
        <w:rPr>
          <w:rFonts w:cs="Arial"/>
        </w:rPr>
      </w:pPr>
      <w:r w:rsidRPr="00BC59F2">
        <w:rPr>
          <w:rFonts w:cs="Arial"/>
        </w:rPr>
        <w:t>We are grateful to staff and patients of Clifton Park Hospital for samples.</w:t>
      </w:r>
    </w:p>
    <w:p w14:paraId="555859E3" w14:textId="77777777" w:rsidR="00953F24" w:rsidRPr="00BC59F2" w:rsidRDefault="00953F24" w:rsidP="00476FA4">
      <w:pPr>
        <w:spacing w:before="0" w:after="0" w:line="276" w:lineRule="auto"/>
        <w:jc w:val="left"/>
        <w:rPr>
          <w:rFonts w:cs="Arial"/>
        </w:rPr>
      </w:pPr>
    </w:p>
    <w:p w14:paraId="397D3DF2" w14:textId="77777777" w:rsidR="00953F24" w:rsidRPr="00BC59F2" w:rsidRDefault="00953F24" w:rsidP="00476FA4">
      <w:pPr>
        <w:spacing w:before="0" w:after="0" w:line="276" w:lineRule="auto"/>
        <w:jc w:val="left"/>
        <w:rPr>
          <w:rFonts w:cs="Arial"/>
          <w:b/>
        </w:rPr>
      </w:pPr>
      <w:r w:rsidRPr="00BC59F2">
        <w:rPr>
          <w:rFonts w:cs="Arial"/>
          <w:b/>
        </w:rPr>
        <w:t>Funding</w:t>
      </w:r>
    </w:p>
    <w:p w14:paraId="14BE36A5" w14:textId="77777777" w:rsidR="00953F24" w:rsidRPr="00BC59F2" w:rsidRDefault="00953F24" w:rsidP="00476FA4">
      <w:pPr>
        <w:spacing w:before="0" w:after="0" w:line="276" w:lineRule="auto"/>
        <w:jc w:val="left"/>
        <w:rPr>
          <w:rFonts w:cs="Arial"/>
        </w:rPr>
      </w:pPr>
      <w:r w:rsidRPr="00BC59F2">
        <w:rPr>
          <w:rFonts w:cs="Arial"/>
        </w:rPr>
        <w:t>The York Centre of Excellence in Mass Spectrometry was created thanks to a major capital investment through Science City York, supported by Yorkshire Forward with funds from the Northern Way Initiative, and subsequent support from EPSRC (EP/K039660/1; EP/M028127/1). Financial support was provided by Smith &amp; Nephew plc, Innovate UK (55657-420144) and the Tissue Engineering and Regenerative Therapies Centre Versus Arthritis (21156).</w:t>
      </w:r>
    </w:p>
    <w:p w14:paraId="60001C4A" w14:textId="77777777" w:rsidR="00953F24" w:rsidRPr="00BC59F2" w:rsidRDefault="00953F24" w:rsidP="00476FA4">
      <w:pPr>
        <w:spacing w:before="0" w:after="0" w:line="276" w:lineRule="auto"/>
        <w:jc w:val="left"/>
        <w:rPr>
          <w:rFonts w:cs="Arial"/>
          <w:b/>
        </w:rPr>
      </w:pPr>
    </w:p>
    <w:p w14:paraId="67350753" w14:textId="77777777" w:rsidR="00953F24" w:rsidRPr="00BC59F2" w:rsidRDefault="00953F24" w:rsidP="00476FA4">
      <w:pPr>
        <w:spacing w:before="0" w:after="0" w:line="276" w:lineRule="auto"/>
        <w:jc w:val="left"/>
        <w:rPr>
          <w:rFonts w:cs="Arial"/>
          <w:b/>
        </w:rPr>
      </w:pPr>
      <w:r w:rsidRPr="00BC59F2">
        <w:rPr>
          <w:rFonts w:cs="Arial"/>
          <w:b/>
        </w:rPr>
        <w:t>Author contributions</w:t>
      </w:r>
    </w:p>
    <w:p w14:paraId="010191E1" w14:textId="7F5263A5" w:rsidR="00F3615E" w:rsidRPr="00BC59F2" w:rsidRDefault="00F3615E" w:rsidP="00476FA4">
      <w:pPr>
        <w:spacing w:before="0" w:after="0" w:line="276" w:lineRule="auto"/>
        <w:jc w:val="left"/>
        <w:rPr>
          <w:rFonts w:cs="Arial"/>
        </w:rPr>
      </w:pPr>
      <w:r w:rsidRPr="00BC59F2">
        <w:rPr>
          <w:rFonts w:cs="Arial"/>
        </w:rPr>
        <w:t>PS performed all cell biology and associated data acquisition, analysis and figure preparation, while also being involved with all experimental and study planning, figure and manuscript preparation. JV, KB and JC were responsible for the acquisition and analysis of microbiology, microCT and ICP-MS; AD performed and analysed the proteomics. JV (Fig 1a), KB (Fig 1c) and AD (Fig 4b, Figs S1 &amp; S3) also prepared the relevant figures and text for the manuscript. JD was responsible for completion of the in vivo study, while MH prepared implants and technology development. DW, AH and PG were involved in experimental design and planning the work. AH and PG had overall supervision responsibility, PG also contributed to manuscript preparation and writing.</w:t>
      </w:r>
    </w:p>
    <w:p w14:paraId="4228DBE5" w14:textId="77777777" w:rsidR="00F3615E" w:rsidRPr="00BC59F2" w:rsidRDefault="00F3615E" w:rsidP="00476FA4">
      <w:pPr>
        <w:spacing w:before="0" w:after="0" w:line="276" w:lineRule="auto"/>
        <w:jc w:val="left"/>
        <w:rPr>
          <w:rFonts w:cs="Arial"/>
        </w:rPr>
      </w:pPr>
    </w:p>
    <w:p w14:paraId="4DA03384" w14:textId="4220627B" w:rsidR="00062AB8" w:rsidRPr="00BC59F2" w:rsidRDefault="00F71219" w:rsidP="00476FA4">
      <w:pPr>
        <w:spacing w:before="0" w:after="0" w:line="276" w:lineRule="auto"/>
        <w:jc w:val="left"/>
        <w:rPr>
          <w:rFonts w:cs="Arial"/>
          <w:b/>
          <w:szCs w:val="24"/>
        </w:rPr>
      </w:pPr>
      <w:r w:rsidRPr="00BC59F2">
        <w:rPr>
          <w:rFonts w:cs="Arial"/>
          <w:b/>
          <w:szCs w:val="24"/>
        </w:rPr>
        <w:t>Competing interests</w:t>
      </w:r>
    </w:p>
    <w:p w14:paraId="1511A802" w14:textId="7A907C3E" w:rsidR="00833FB5" w:rsidRPr="00BC59F2" w:rsidRDefault="00062AB8" w:rsidP="00476FA4">
      <w:pPr>
        <w:spacing w:before="0" w:after="160" w:line="276" w:lineRule="auto"/>
        <w:jc w:val="left"/>
        <w:rPr>
          <w:rFonts w:cs="Arial"/>
          <w:szCs w:val="24"/>
        </w:rPr>
      </w:pPr>
      <w:r w:rsidRPr="00BC59F2">
        <w:rPr>
          <w:rFonts w:cs="Arial"/>
          <w:szCs w:val="24"/>
        </w:rPr>
        <w:t>P Souter’s PhD was funded by Smith &amp; Nephew plc. Paul Souter,</w:t>
      </w:r>
      <w:r w:rsidR="00553178" w:rsidRPr="00BC59F2">
        <w:rPr>
          <w:rFonts w:cs="Arial"/>
          <w:szCs w:val="24"/>
        </w:rPr>
        <w:t xml:space="preserve"> John Vaughan, Kerry Butcher, Jim Cunningham, James Dodd, Michael</w:t>
      </w:r>
      <w:r w:rsidRPr="00BC59F2">
        <w:rPr>
          <w:rFonts w:cs="Arial"/>
          <w:szCs w:val="24"/>
        </w:rPr>
        <w:t xml:space="preserve"> Hall, </w:t>
      </w:r>
      <w:r w:rsidR="00553178" w:rsidRPr="00BC59F2">
        <w:rPr>
          <w:rFonts w:cs="Arial"/>
          <w:szCs w:val="24"/>
        </w:rPr>
        <w:t xml:space="preserve">Darren Wilson </w:t>
      </w:r>
      <w:r w:rsidRPr="00BC59F2">
        <w:rPr>
          <w:rFonts w:cs="Arial"/>
          <w:szCs w:val="24"/>
        </w:rPr>
        <w:t>and Alan Horner are current or were previous employees of Smith &amp; Nephew plc.</w:t>
      </w:r>
      <w:r w:rsidR="00F71219" w:rsidRPr="00BC59F2">
        <w:rPr>
          <w:rFonts w:cs="Arial"/>
          <w:szCs w:val="24"/>
        </w:rPr>
        <w:t xml:space="preserve"> Dr Wilson has a patent application concerning the silver technology use in the </w:t>
      </w:r>
      <w:r w:rsidR="00F71219" w:rsidRPr="00BC59F2">
        <w:rPr>
          <w:rFonts w:cs="Arial"/>
          <w:i/>
          <w:szCs w:val="24"/>
        </w:rPr>
        <w:t>in vivo</w:t>
      </w:r>
      <w:r w:rsidR="00F71219" w:rsidRPr="00BC59F2">
        <w:rPr>
          <w:rFonts w:cs="Arial"/>
          <w:szCs w:val="24"/>
        </w:rPr>
        <w:t xml:space="preserve"> study. </w:t>
      </w:r>
      <w:r w:rsidR="00DD621E" w:rsidRPr="00BC59F2">
        <w:rPr>
          <w:rFonts w:cs="Arial"/>
          <w:szCs w:val="24"/>
        </w:rPr>
        <w:t>Adam Dowle and Paul</w:t>
      </w:r>
      <w:r w:rsidR="00F71219" w:rsidRPr="00BC59F2">
        <w:rPr>
          <w:rFonts w:cs="Arial"/>
          <w:szCs w:val="24"/>
        </w:rPr>
        <w:t xml:space="preserve"> Genever declare no potential conflict of interest</w:t>
      </w:r>
      <w:r w:rsidR="00077C60" w:rsidRPr="00BC59F2">
        <w:rPr>
          <w:rFonts w:cs="Arial"/>
          <w:szCs w:val="24"/>
        </w:rPr>
        <w:t>.</w:t>
      </w:r>
      <w:r w:rsidR="00833FB5" w:rsidRPr="00BC59F2">
        <w:rPr>
          <w:rFonts w:cs="Arial"/>
        </w:rPr>
        <w:br w:type="page"/>
      </w:r>
    </w:p>
    <w:p w14:paraId="61671769" w14:textId="3CE99E7D" w:rsidR="00CA3588" w:rsidRDefault="00CA3588" w:rsidP="00476FA4">
      <w:pPr>
        <w:widowControl w:val="0"/>
        <w:autoSpaceDE w:val="0"/>
        <w:autoSpaceDN w:val="0"/>
        <w:adjustRightInd w:val="0"/>
        <w:spacing w:before="0" w:after="0" w:line="276" w:lineRule="auto"/>
        <w:ind w:left="640" w:hanging="640"/>
        <w:jc w:val="left"/>
        <w:rPr>
          <w:rFonts w:cs="Arial"/>
          <w:b/>
        </w:rPr>
      </w:pPr>
      <w:r w:rsidRPr="00BC59F2">
        <w:rPr>
          <w:rFonts w:cs="Arial"/>
          <w:b/>
        </w:rPr>
        <w:lastRenderedPageBreak/>
        <w:t>Figure</w:t>
      </w:r>
      <w:r w:rsidR="00995A0F">
        <w:rPr>
          <w:rFonts w:cs="Arial"/>
          <w:b/>
        </w:rPr>
        <w:t>s</w:t>
      </w:r>
    </w:p>
    <w:p w14:paraId="6971E7D7" w14:textId="77777777" w:rsidR="00995A0F" w:rsidRPr="00BC59F2" w:rsidRDefault="00995A0F" w:rsidP="00476FA4">
      <w:pPr>
        <w:widowControl w:val="0"/>
        <w:autoSpaceDE w:val="0"/>
        <w:autoSpaceDN w:val="0"/>
        <w:adjustRightInd w:val="0"/>
        <w:spacing w:before="0" w:after="0" w:line="276" w:lineRule="auto"/>
        <w:ind w:left="640" w:hanging="640"/>
        <w:jc w:val="left"/>
        <w:rPr>
          <w:rFonts w:cs="Arial"/>
          <w:b/>
        </w:rPr>
      </w:pPr>
    </w:p>
    <w:p w14:paraId="1E98FD96" w14:textId="77777777" w:rsidR="00995A0F" w:rsidRDefault="00995A0F" w:rsidP="00476FA4">
      <w:pPr>
        <w:widowControl w:val="0"/>
        <w:autoSpaceDE w:val="0"/>
        <w:autoSpaceDN w:val="0"/>
        <w:adjustRightInd w:val="0"/>
        <w:spacing w:before="0" w:after="0" w:line="276" w:lineRule="auto"/>
        <w:jc w:val="left"/>
        <w:rPr>
          <w:rFonts w:cs="Arial"/>
        </w:rPr>
      </w:pPr>
    </w:p>
    <w:p w14:paraId="2F59938B" w14:textId="4D417BC0" w:rsidR="00995A0F" w:rsidRDefault="00995A0F" w:rsidP="00476FA4">
      <w:pPr>
        <w:widowControl w:val="0"/>
        <w:autoSpaceDE w:val="0"/>
        <w:autoSpaceDN w:val="0"/>
        <w:adjustRightInd w:val="0"/>
        <w:spacing w:before="0" w:after="0" w:line="276" w:lineRule="auto"/>
        <w:jc w:val="left"/>
        <w:rPr>
          <w:rFonts w:cs="Arial"/>
        </w:rPr>
      </w:pPr>
      <w:r>
        <w:rPr>
          <w:rFonts w:cs="Arial"/>
          <w:noProof/>
          <w:lang w:eastAsia="en-GB"/>
        </w:rPr>
        <w:drawing>
          <wp:inline distT="0" distB="0" distL="0" distR="0" wp14:anchorId="6435539C" wp14:editId="5977A4D1">
            <wp:extent cx="5731510" cy="27946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a-f.tif"/>
                    <pic:cNvPicPr/>
                  </pic:nvPicPr>
                  <pic:blipFill>
                    <a:blip r:embed="rId11" cstate="hqprint">
                      <a:extLst>
                        <a:ext uri="{28A0092B-C50C-407E-A947-70E740481C1C}">
                          <a14:useLocalDpi xmlns:a14="http://schemas.microsoft.com/office/drawing/2010/main"/>
                        </a:ext>
                      </a:extLst>
                    </a:blip>
                    <a:stretch>
                      <a:fillRect/>
                    </a:stretch>
                  </pic:blipFill>
                  <pic:spPr>
                    <a:xfrm>
                      <a:off x="0" y="0"/>
                      <a:ext cx="5731510" cy="2794635"/>
                    </a:xfrm>
                    <a:prstGeom prst="rect">
                      <a:avLst/>
                    </a:prstGeom>
                  </pic:spPr>
                </pic:pic>
              </a:graphicData>
            </a:graphic>
          </wp:inline>
        </w:drawing>
      </w:r>
    </w:p>
    <w:p w14:paraId="756A5981" w14:textId="0049EEC4" w:rsidR="00CA3588" w:rsidRPr="00BC59F2" w:rsidRDefault="00D32060" w:rsidP="00476FA4">
      <w:pPr>
        <w:widowControl w:val="0"/>
        <w:autoSpaceDE w:val="0"/>
        <w:autoSpaceDN w:val="0"/>
        <w:adjustRightInd w:val="0"/>
        <w:spacing w:before="0" w:after="0" w:line="276" w:lineRule="auto"/>
        <w:jc w:val="left"/>
        <w:rPr>
          <w:rFonts w:cs="Arial"/>
          <w:color w:val="000000"/>
        </w:rPr>
      </w:pPr>
      <w:r w:rsidRPr="00BC59F2">
        <w:rPr>
          <w:rFonts w:cs="Arial"/>
        </w:rPr>
        <w:t>Figure 1a-f</w:t>
      </w:r>
      <w:r w:rsidR="00CA3588" w:rsidRPr="00BC59F2">
        <w:rPr>
          <w:rFonts w:cs="Arial"/>
        </w:rPr>
        <w:t xml:space="preserve">: </w:t>
      </w:r>
      <w:r w:rsidR="00CA3588" w:rsidRPr="00BC59F2">
        <w:rPr>
          <w:rFonts w:cs="Arial"/>
          <w:b/>
        </w:rPr>
        <w:t xml:space="preserve">Surface recovery of </w:t>
      </w:r>
      <w:r w:rsidR="00CA3588" w:rsidRPr="00BC59F2">
        <w:rPr>
          <w:rFonts w:cs="Arial"/>
          <w:b/>
          <w:i/>
        </w:rPr>
        <w:t>S. aureus</w:t>
      </w:r>
      <w:r w:rsidR="00CA3588" w:rsidRPr="00BC59F2">
        <w:rPr>
          <w:rFonts w:cs="Arial"/>
          <w:b/>
        </w:rPr>
        <w:t xml:space="preserve"> from silver-coated grit blasted Ti64 pins following </w:t>
      </w:r>
      <w:r w:rsidR="00CA3588" w:rsidRPr="00BC59F2">
        <w:rPr>
          <w:rFonts w:cs="Arial"/>
          <w:b/>
          <w:i/>
        </w:rPr>
        <w:t>in vitro</w:t>
      </w:r>
      <w:r w:rsidR="00CA3588" w:rsidRPr="00BC59F2">
        <w:rPr>
          <w:rFonts w:cs="Arial"/>
          <w:b/>
        </w:rPr>
        <w:t xml:space="preserve"> challenge</w:t>
      </w:r>
      <w:r w:rsidR="00CA3588" w:rsidRPr="00BC59F2">
        <w:rPr>
          <w:rFonts w:cs="Arial"/>
        </w:rPr>
        <w:t xml:space="preserve"> (</w:t>
      </w:r>
      <w:r w:rsidRPr="00BC59F2">
        <w:rPr>
          <w:rFonts w:cs="Arial"/>
          <w:b/>
        </w:rPr>
        <w:t>a</w:t>
      </w:r>
      <w:r w:rsidR="00CA3588" w:rsidRPr="00BC59F2">
        <w:rPr>
          <w:rFonts w:cs="Arial"/>
        </w:rPr>
        <w:t>), line represents the limit of detection of 0.95 CFU/mL, (</w:t>
      </w:r>
      <w:r w:rsidRPr="00BC59F2">
        <w:rPr>
          <w:rFonts w:cs="Arial"/>
          <w:b/>
        </w:rPr>
        <w:t>b</w:t>
      </w:r>
      <w:r w:rsidR="00CA3588" w:rsidRPr="00BC59F2">
        <w:rPr>
          <w:rFonts w:cs="Arial"/>
        </w:rPr>
        <w:t xml:space="preserve">) confirmation of pin implantation during </w:t>
      </w:r>
      <w:r w:rsidR="00CA3588" w:rsidRPr="00BC59F2">
        <w:rPr>
          <w:rFonts w:cs="Arial"/>
          <w:i/>
        </w:rPr>
        <w:t>in vivo</w:t>
      </w:r>
      <w:r w:rsidR="00CA3588" w:rsidRPr="00BC59F2">
        <w:rPr>
          <w:rFonts w:cs="Arial"/>
        </w:rPr>
        <w:t xml:space="preserve"> assessment of silver elution, (</w:t>
      </w:r>
      <w:r w:rsidRPr="00BC59F2">
        <w:rPr>
          <w:rFonts w:cs="Arial"/>
          <w:b/>
        </w:rPr>
        <w:t>c</w:t>
      </w:r>
      <w:r w:rsidR="00CA3588" w:rsidRPr="00BC59F2">
        <w:rPr>
          <w:rFonts w:cs="Arial"/>
        </w:rPr>
        <w:t xml:space="preserve">) microCT scan of rat femur highlighting intramedullary canal volume. </w:t>
      </w:r>
      <w:r w:rsidR="00CA3588" w:rsidRPr="00BC59F2">
        <w:rPr>
          <w:rFonts w:cs="Arial"/>
          <w:color w:val="000000"/>
        </w:rPr>
        <w:t xml:space="preserve">Measurement of total Ag </w:t>
      </w:r>
      <w:r w:rsidR="00CA3588" w:rsidRPr="00BC59F2">
        <w:rPr>
          <w:rFonts w:cs="Arial"/>
        </w:rPr>
        <w:t>from (</w:t>
      </w:r>
      <w:r w:rsidRPr="00BC59F2">
        <w:rPr>
          <w:rFonts w:cs="Arial"/>
          <w:b/>
        </w:rPr>
        <w:t>d</w:t>
      </w:r>
      <w:r w:rsidR="00CA3588" w:rsidRPr="00BC59F2">
        <w:rPr>
          <w:rFonts w:cs="Arial"/>
        </w:rPr>
        <w:t>) recovered implants (µg), (</w:t>
      </w:r>
      <w:r w:rsidRPr="00BC59F2">
        <w:rPr>
          <w:rFonts w:cs="Arial"/>
          <w:b/>
        </w:rPr>
        <w:t>e</w:t>
      </w:r>
      <w:r w:rsidR="00CA3588" w:rsidRPr="00BC59F2">
        <w:rPr>
          <w:rFonts w:cs="Arial"/>
        </w:rPr>
        <w:t>) operated femurs (µg), and silver concentration</w:t>
      </w:r>
      <w:r w:rsidR="00CA3588" w:rsidRPr="00BC59F2">
        <w:rPr>
          <w:rFonts w:cs="Arial"/>
          <w:color w:val="000000"/>
        </w:rPr>
        <w:t xml:space="preserve"> in (</w:t>
      </w:r>
      <w:r w:rsidR="00CA3588" w:rsidRPr="00BC59F2">
        <w:rPr>
          <w:rFonts w:cs="Arial"/>
          <w:b/>
          <w:color w:val="000000"/>
        </w:rPr>
        <w:t>f</w:t>
      </w:r>
      <w:r w:rsidR="00CA3588" w:rsidRPr="00BC59F2">
        <w:rPr>
          <w:rFonts w:cs="Arial"/>
          <w:color w:val="000000"/>
        </w:rPr>
        <w:t>) plasma</w:t>
      </w:r>
      <w:r w:rsidR="00CA3588" w:rsidRPr="00BC59F2">
        <w:rPr>
          <w:rFonts w:cs="Arial"/>
        </w:rPr>
        <w:t xml:space="preserve"> (</w:t>
      </w:r>
      <w:r w:rsidR="00CA3588" w:rsidRPr="00BC59F2">
        <w:rPr>
          <w:rFonts w:cs="Arial"/>
          <w:color w:val="000000"/>
        </w:rPr>
        <w:t xml:space="preserve">μg/mL), </w:t>
      </w:r>
      <w:r w:rsidR="00CA3588" w:rsidRPr="00BC59F2">
        <w:rPr>
          <w:rFonts w:cs="Arial"/>
          <w:color w:val="000000"/>
          <w:spacing w:val="-4"/>
          <w:kern w:val="1"/>
          <w:lang w:val="en-US"/>
        </w:rPr>
        <w:t xml:space="preserve">red line represents limit of detection (= 0.00125 </w:t>
      </w:r>
      <w:r w:rsidR="00CA3588" w:rsidRPr="00BC59F2">
        <w:rPr>
          <w:rFonts w:cs="Arial"/>
          <w:color w:val="000000"/>
        </w:rPr>
        <w:t>μg/mL). A</w:t>
      </w:r>
      <w:r w:rsidR="00CA3588" w:rsidRPr="00BC59F2">
        <w:rPr>
          <w:rFonts w:cs="Arial"/>
        </w:rPr>
        <w:t xml:space="preserve">ll values are means ±SEM (n=3) determined via ICP-MS for samples taken at termination (Day 1, 2, 3 &amp; 28). </w:t>
      </w:r>
      <w:r w:rsidR="00CA3588" w:rsidRPr="00BC59F2">
        <w:rPr>
          <w:rFonts w:cs="Arial"/>
          <w:lang w:val="en-US"/>
        </w:rPr>
        <w:t xml:space="preserve">Statistical analysis </w:t>
      </w:r>
      <w:r w:rsidR="00CA3588" w:rsidRPr="00BC59F2">
        <w:rPr>
          <w:rFonts w:cs="Arial"/>
          <w:color w:val="000000"/>
        </w:rPr>
        <w:t>by one</w:t>
      </w:r>
      <w:r w:rsidR="00CA3588" w:rsidRPr="00BC59F2">
        <w:rPr>
          <w:rFonts w:cs="Arial"/>
          <w:color w:val="000000"/>
        </w:rPr>
        <w:noBreakHyphen/>
        <w:t xml:space="preserve">way ANOVA using </w:t>
      </w:r>
      <w:r w:rsidR="00CA3588" w:rsidRPr="00BC59F2">
        <w:rPr>
          <w:rFonts w:cs="Arial"/>
        </w:rPr>
        <w:t xml:space="preserve">Tukey correction for multiple comparisons, significance indicated against Day 0 by </w:t>
      </w:r>
      <w:r w:rsidR="00CA3588" w:rsidRPr="00BC59F2">
        <w:rPr>
          <w:rFonts w:cs="Arial"/>
          <w:color w:val="000000"/>
          <w:spacing w:val="-4"/>
          <w:kern w:val="1"/>
          <w:lang w:val="en-US"/>
        </w:rPr>
        <w:t xml:space="preserve">* </w:t>
      </w:r>
      <w:r w:rsidR="00CA3588" w:rsidRPr="00BC59F2">
        <w:rPr>
          <w:rFonts w:cs="Arial"/>
          <w:i/>
          <w:color w:val="000000"/>
          <w:spacing w:val="-4"/>
          <w:kern w:val="1"/>
          <w:lang w:val="en-US"/>
        </w:rPr>
        <w:t>p</w:t>
      </w:r>
      <w:r w:rsidR="00CA3588" w:rsidRPr="00BC59F2">
        <w:rPr>
          <w:rFonts w:cs="Arial"/>
          <w:color w:val="000000"/>
          <w:spacing w:val="-4"/>
          <w:kern w:val="1"/>
          <w:lang w:val="en-US"/>
        </w:rPr>
        <w:t>&lt;0.05, Day 1</w:t>
      </w:r>
      <w:r w:rsidR="00CA3588" w:rsidRPr="00BC59F2">
        <w:rPr>
          <w:rFonts w:cs="Arial"/>
          <w:lang w:val="en-US"/>
        </w:rPr>
        <w:t xml:space="preserve"> by # = </w:t>
      </w:r>
      <w:r w:rsidR="00CA3588" w:rsidRPr="00BC59F2">
        <w:rPr>
          <w:rFonts w:cs="Arial"/>
          <w:i/>
          <w:lang w:val="en-US"/>
        </w:rPr>
        <w:t>p</w:t>
      </w:r>
      <w:r w:rsidR="00CA3588" w:rsidRPr="00BC59F2">
        <w:rPr>
          <w:rFonts w:cs="Arial"/>
          <w:lang w:val="en-US"/>
        </w:rPr>
        <w:t>&lt;0.05, Day 2 by</w:t>
      </w:r>
      <w:r w:rsidR="00CA3588" w:rsidRPr="00BC59F2">
        <w:rPr>
          <w:rFonts w:cs="Arial"/>
          <w:color w:val="000000"/>
          <w:spacing w:val="-4"/>
          <w:kern w:val="1"/>
          <w:lang w:val="en-US"/>
        </w:rPr>
        <w:t xml:space="preserve"> </w:t>
      </w:r>
      <w:r w:rsidR="00CA3588" w:rsidRPr="00BC59F2">
        <w:rPr>
          <w:rFonts w:cs="Arial"/>
          <w:lang w:val="en-US"/>
        </w:rPr>
        <w:t xml:space="preserve">$ = </w:t>
      </w:r>
      <w:r w:rsidR="00CA3588" w:rsidRPr="00BC59F2">
        <w:rPr>
          <w:rFonts w:cs="Arial"/>
          <w:i/>
          <w:lang w:val="en-US"/>
        </w:rPr>
        <w:t>p</w:t>
      </w:r>
      <w:r w:rsidR="00CA3588" w:rsidRPr="00BC59F2">
        <w:rPr>
          <w:rFonts w:cs="Arial"/>
          <w:lang w:val="en-US"/>
        </w:rPr>
        <w:t xml:space="preserve">&lt;0.05 </w:t>
      </w:r>
      <w:r w:rsidR="00CA3588" w:rsidRPr="00BC59F2">
        <w:rPr>
          <w:rFonts w:cs="Arial"/>
          <w:color w:val="000000"/>
        </w:rPr>
        <w:t xml:space="preserve">and Day 3 by ~ </w:t>
      </w:r>
      <w:r w:rsidR="00CA3588" w:rsidRPr="00BC59F2">
        <w:rPr>
          <w:rFonts w:cs="Arial"/>
          <w:i/>
          <w:color w:val="000000"/>
        </w:rPr>
        <w:t>p</w:t>
      </w:r>
      <w:r w:rsidR="00CA3588" w:rsidRPr="00BC59F2">
        <w:rPr>
          <w:rFonts w:cs="Arial"/>
          <w:color w:val="000000"/>
        </w:rPr>
        <w:t>&lt;0.05.</w:t>
      </w:r>
    </w:p>
    <w:p w14:paraId="7AD18DA8" w14:textId="77777777" w:rsidR="00995A0F" w:rsidRDefault="00995A0F" w:rsidP="00476FA4">
      <w:pPr>
        <w:pStyle w:val="Caption"/>
        <w:spacing w:line="276" w:lineRule="auto"/>
        <w:contextualSpacing/>
        <w:jc w:val="left"/>
        <w:rPr>
          <w:rFonts w:cs="Arial"/>
          <w:sz w:val="22"/>
          <w:szCs w:val="22"/>
        </w:rPr>
      </w:pPr>
    </w:p>
    <w:p w14:paraId="334CB26A" w14:textId="20142186" w:rsidR="00995A0F" w:rsidRDefault="00995A0F" w:rsidP="00476FA4">
      <w:pPr>
        <w:pStyle w:val="Caption"/>
        <w:spacing w:line="276" w:lineRule="auto"/>
        <w:contextualSpacing/>
        <w:jc w:val="left"/>
        <w:rPr>
          <w:rFonts w:cs="Arial"/>
          <w:sz w:val="22"/>
          <w:szCs w:val="22"/>
        </w:rPr>
      </w:pPr>
      <w:r>
        <w:rPr>
          <w:rFonts w:cs="Arial"/>
          <w:noProof/>
          <w:sz w:val="22"/>
          <w:szCs w:val="22"/>
          <w:lang w:eastAsia="en-GB"/>
        </w:rPr>
        <w:lastRenderedPageBreak/>
        <w:drawing>
          <wp:inline distT="0" distB="0" distL="0" distR="0" wp14:anchorId="3F56CD79" wp14:editId="2AF51BE4">
            <wp:extent cx="5613400" cy="53848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a-g.tiff"/>
                    <pic:cNvPicPr/>
                  </pic:nvPicPr>
                  <pic:blipFill>
                    <a:blip r:embed="rId12" cstate="hqprint">
                      <a:extLst>
                        <a:ext uri="{28A0092B-C50C-407E-A947-70E740481C1C}">
                          <a14:useLocalDpi xmlns:a14="http://schemas.microsoft.com/office/drawing/2010/main"/>
                        </a:ext>
                      </a:extLst>
                    </a:blip>
                    <a:stretch>
                      <a:fillRect/>
                    </a:stretch>
                  </pic:blipFill>
                  <pic:spPr>
                    <a:xfrm>
                      <a:off x="0" y="0"/>
                      <a:ext cx="5613400" cy="5384800"/>
                    </a:xfrm>
                    <a:prstGeom prst="rect">
                      <a:avLst/>
                    </a:prstGeom>
                  </pic:spPr>
                </pic:pic>
              </a:graphicData>
            </a:graphic>
          </wp:inline>
        </w:drawing>
      </w:r>
    </w:p>
    <w:p w14:paraId="0BF89DC8" w14:textId="7034C3E9" w:rsidR="00CA3588" w:rsidRPr="00BC59F2" w:rsidRDefault="00D32060" w:rsidP="00476FA4">
      <w:pPr>
        <w:pStyle w:val="Caption"/>
        <w:spacing w:line="276" w:lineRule="auto"/>
        <w:contextualSpacing/>
        <w:jc w:val="left"/>
        <w:rPr>
          <w:rFonts w:cs="Arial"/>
          <w:sz w:val="22"/>
          <w:szCs w:val="22"/>
        </w:rPr>
      </w:pPr>
      <w:r w:rsidRPr="00BC59F2">
        <w:rPr>
          <w:rFonts w:cs="Arial"/>
          <w:sz w:val="22"/>
          <w:szCs w:val="22"/>
        </w:rPr>
        <w:t>Figure 2a-g</w:t>
      </w:r>
      <w:r w:rsidR="00CA3588" w:rsidRPr="00BC59F2">
        <w:rPr>
          <w:rFonts w:cs="Arial"/>
          <w:sz w:val="22"/>
          <w:szCs w:val="22"/>
        </w:rPr>
        <w:t xml:space="preserve">: </w:t>
      </w:r>
      <w:r w:rsidR="00CA3588" w:rsidRPr="00BC59F2">
        <w:rPr>
          <w:rFonts w:cs="Arial"/>
          <w:b/>
          <w:sz w:val="22"/>
          <w:szCs w:val="22"/>
        </w:rPr>
        <w:t>Effect of Ag</w:t>
      </w:r>
      <w:r w:rsidR="00CA3588" w:rsidRPr="00BC59F2">
        <w:rPr>
          <w:rFonts w:cs="Arial"/>
          <w:b/>
          <w:sz w:val="22"/>
          <w:szCs w:val="22"/>
          <w:vertAlign w:val="superscript"/>
        </w:rPr>
        <w:t>+</w:t>
      </w:r>
      <w:r w:rsidR="00CA3588" w:rsidRPr="00BC59F2">
        <w:rPr>
          <w:rFonts w:cs="Arial"/>
          <w:b/>
          <w:sz w:val="22"/>
          <w:szCs w:val="22"/>
        </w:rPr>
        <w:t xml:space="preserve"> dose response on percentage viability</w:t>
      </w:r>
      <w:r w:rsidR="00CA3588" w:rsidRPr="00BC59F2">
        <w:rPr>
          <w:rFonts w:cs="Arial"/>
          <w:sz w:val="22"/>
          <w:szCs w:val="22"/>
        </w:rPr>
        <w:t xml:space="preserve"> of (</w:t>
      </w:r>
      <w:r w:rsidRPr="00BC59F2">
        <w:rPr>
          <w:rFonts w:cs="Arial"/>
          <w:b/>
          <w:sz w:val="22"/>
          <w:szCs w:val="22"/>
        </w:rPr>
        <w:t>a</w:t>
      </w:r>
      <w:r w:rsidR="00CA3588" w:rsidRPr="00BC59F2">
        <w:rPr>
          <w:rFonts w:cs="Arial"/>
          <w:sz w:val="22"/>
          <w:szCs w:val="22"/>
        </w:rPr>
        <w:t>) hObs (EC</w:t>
      </w:r>
      <w:r w:rsidR="00CA3588" w:rsidRPr="00BC59F2">
        <w:rPr>
          <w:rFonts w:cs="Arial"/>
          <w:sz w:val="22"/>
          <w:szCs w:val="22"/>
          <w:vertAlign w:val="subscript"/>
        </w:rPr>
        <w:t>50</w:t>
      </w:r>
      <w:r w:rsidR="00CA3588" w:rsidRPr="00BC59F2">
        <w:rPr>
          <w:rFonts w:cs="Arial"/>
          <w:sz w:val="22"/>
          <w:szCs w:val="22"/>
        </w:rPr>
        <w:t>: 41.4 μM) and (</w:t>
      </w:r>
      <w:r w:rsidRPr="00BC59F2">
        <w:rPr>
          <w:rFonts w:cs="Arial"/>
          <w:b/>
          <w:sz w:val="22"/>
          <w:szCs w:val="22"/>
        </w:rPr>
        <w:t>b</w:t>
      </w:r>
      <w:r w:rsidR="00CA3588" w:rsidRPr="00BC59F2">
        <w:rPr>
          <w:rFonts w:cs="Arial"/>
          <w:sz w:val="22"/>
          <w:szCs w:val="22"/>
        </w:rPr>
        <w:t>) MSCs (EC</w:t>
      </w:r>
      <w:r w:rsidR="00CA3588" w:rsidRPr="00BC59F2">
        <w:rPr>
          <w:rFonts w:cs="Arial"/>
          <w:sz w:val="22"/>
          <w:szCs w:val="22"/>
          <w:vertAlign w:val="subscript"/>
        </w:rPr>
        <w:t>50</w:t>
      </w:r>
      <w:r w:rsidR="00CA3588" w:rsidRPr="00BC59F2">
        <w:rPr>
          <w:rFonts w:cs="Arial"/>
          <w:sz w:val="22"/>
          <w:szCs w:val="22"/>
        </w:rPr>
        <w:t xml:space="preserve">: </w:t>
      </w:r>
      <w:r w:rsidR="00CA3588" w:rsidRPr="00BC59F2">
        <w:rPr>
          <w:rFonts w:cs="Arial"/>
          <w:sz w:val="22"/>
          <w:szCs w:val="22"/>
          <w:lang w:val="en-US"/>
        </w:rPr>
        <w:t xml:space="preserve">33.06 </w:t>
      </w:r>
      <w:r w:rsidR="00CA3588" w:rsidRPr="00BC59F2">
        <w:rPr>
          <w:rFonts w:cs="Arial"/>
          <w:sz w:val="22"/>
          <w:szCs w:val="22"/>
        </w:rPr>
        <w:t>μM). (</w:t>
      </w:r>
      <w:r w:rsidRPr="00BC59F2">
        <w:rPr>
          <w:rFonts w:cs="Arial"/>
          <w:b/>
          <w:sz w:val="22"/>
          <w:szCs w:val="22"/>
        </w:rPr>
        <w:t>c</w:t>
      </w:r>
      <w:r w:rsidR="00CA3588" w:rsidRPr="00BC59F2">
        <w:rPr>
          <w:rFonts w:cs="Arial"/>
          <w:sz w:val="22"/>
          <w:szCs w:val="22"/>
        </w:rPr>
        <w:t>) proliferation (EdU) and CFU-f number (</w:t>
      </w:r>
      <w:r w:rsidRPr="00BC59F2">
        <w:rPr>
          <w:rFonts w:cs="Arial"/>
          <w:b/>
          <w:sz w:val="22"/>
          <w:szCs w:val="22"/>
        </w:rPr>
        <w:t>d</w:t>
      </w:r>
      <w:r w:rsidR="00CA3588" w:rsidRPr="00BC59F2">
        <w:rPr>
          <w:rFonts w:cs="Arial"/>
          <w:sz w:val="22"/>
          <w:szCs w:val="22"/>
        </w:rPr>
        <w:t>) and area (</w:t>
      </w:r>
      <w:r w:rsidRPr="00BC59F2">
        <w:rPr>
          <w:rFonts w:cs="Arial"/>
          <w:b/>
          <w:sz w:val="22"/>
          <w:szCs w:val="22"/>
        </w:rPr>
        <w:t>e</w:t>
      </w:r>
      <w:r w:rsidR="00CA3588" w:rsidRPr="00BC59F2">
        <w:rPr>
          <w:rFonts w:cs="Arial"/>
          <w:sz w:val="22"/>
          <w:szCs w:val="22"/>
        </w:rPr>
        <w:t>) of MSCs at sub-EC</w:t>
      </w:r>
      <w:r w:rsidR="00CA3588" w:rsidRPr="00BC59F2">
        <w:rPr>
          <w:rFonts w:cs="Arial"/>
          <w:sz w:val="22"/>
          <w:szCs w:val="22"/>
          <w:vertAlign w:val="subscript"/>
        </w:rPr>
        <w:t>50</w:t>
      </w:r>
      <w:r w:rsidR="00CA3588" w:rsidRPr="00BC59F2">
        <w:rPr>
          <w:rFonts w:cs="Arial"/>
          <w:sz w:val="22"/>
          <w:szCs w:val="22"/>
        </w:rPr>
        <w:t xml:space="preserve"> concentrations (≤10 µM) during 3 day exposure. CFU-f number (</w:t>
      </w:r>
      <w:r w:rsidRPr="00BC59F2">
        <w:rPr>
          <w:rFonts w:cs="Arial"/>
          <w:b/>
          <w:sz w:val="22"/>
          <w:szCs w:val="22"/>
        </w:rPr>
        <w:t>f</w:t>
      </w:r>
      <w:r w:rsidR="00CA3588" w:rsidRPr="00BC59F2">
        <w:rPr>
          <w:rFonts w:cs="Arial"/>
          <w:sz w:val="22"/>
          <w:szCs w:val="22"/>
        </w:rPr>
        <w:t>) and area (</w:t>
      </w:r>
      <w:r w:rsidRPr="00BC59F2">
        <w:rPr>
          <w:rFonts w:cs="Arial"/>
          <w:b/>
          <w:sz w:val="22"/>
          <w:szCs w:val="22"/>
        </w:rPr>
        <w:t>g</w:t>
      </w:r>
      <w:r w:rsidR="00CA3588" w:rsidRPr="00BC59F2">
        <w:rPr>
          <w:rFonts w:cs="Arial"/>
          <w:sz w:val="22"/>
          <w:szCs w:val="22"/>
        </w:rPr>
        <w:t>) during continuous Ag</w:t>
      </w:r>
      <w:r w:rsidR="00CA3588" w:rsidRPr="00BC59F2">
        <w:rPr>
          <w:rFonts w:cs="Arial"/>
          <w:sz w:val="22"/>
          <w:szCs w:val="22"/>
          <w:vertAlign w:val="superscript"/>
        </w:rPr>
        <w:t>+</w:t>
      </w:r>
      <w:r w:rsidR="00CA3588" w:rsidRPr="00BC59F2">
        <w:rPr>
          <w:rFonts w:cs="Arial"/>
          <w:sz w:val="22"/>
          <w:szCs w:val="22"/>
        </w:rPr>
        <w:t xml:space="preserve"> exposure. All values are means ±SEM (n=3). Images in the right panel are representative of 6-well plates, stained with crystal violet (blue) and analysed (brown) for CFU-f number and area; Ag</w:t>
      </w:r>
      <w:r w:rsidR="00CA3588" w:rsidRPr="00BC59F2">
        <w:rPr>
          <w:rFonts w:cs="Arial"/>
          <w:sz w:val="22"/>
          <w:szCs w:val="22"/>
          <w:vertAlign w:val="superscript"/>
        </w:rPr>
        <w:t>+</w:t>
      </w:r>
      <w:r w:rsidR="00CA3588" w:rsidRPr="00BC59F2">
        <w:rPr>
          <w:rFonts w:cs="Arial"/>
          <w:sz w:val="22"/>
          <w:szCs w:val="22"/>
        </w:rPr>
        <w:t xml:space="preserve"> concentrations for the plates are (L-R): top row, 0, 0.1, 0.5 μM; bottom row, 1, 5, 10 μM. </w:t>
      </w:r>
      <w:r w:rsidR="00CA3588" w:rsidRPr="00BC59F2">
        <w:rPr>
          <w:rFonts w:cs="Arial"/>
          <w:sz w:val="22"/>
          <w:szCs w:val="22"/>
          <w:lang w:val="en-US"/>
        </w:rPr>
        <w:t>Statistical analysis was performed for all Ag</w:t>
      </w:r>
      <w:r w:rsidR="00CA3588" w:rsidRPr="00BC59F2">
        <w:rPr>
          <w:rFonts w:cs="Arial"/>
          <w:sz w:val="22"/>
          <w:szCs w:val="22"/>
          <w:vertAlign w:val="superscript"/>
          <w:lang w:val="en-US"/>
        </w:rPr>
        <w:t>+</w:t>
      </w:r>
      <w:r w:rsidR="00CA3588" w:rsidRPr="00BC59F2">
        <w:rPr>
          <w:rFonts w:cs="Arial"/>
          <w:sz w:val="22"/>
          <w:szCs w:val="22"/>
          <w:lang w:val="en-US"/>
        </w:rPr>
        <w:t xml:space="preserve"> groups compared to control </w:t>
      </w:r>
      <w:r w:rsidR="00CA3588" w:rsidRPr="00BC59F2">
        <w:rPr>
          <w:rFonts w:cs="Arial"/>
          <w:sz w:val="22"/>
          <w:szCs w:val="22"/>
        </w:rPr>
        <w:t xml:space="preserve">(by one-way ANOVA using Dunnett’s correction for multiple comparisons), significance indicated by </w:t>
      </w:r>
      <w:r w:rsidR="00CA3588" w:rsidRPr="00BC59F2">
        <w:rPr>
          <w:rFonts w:cs="Arial"/>
          <w:color w:val="000000"/>
          <w:spacing w:val="-4"/>
          <w:kern w:val="1"/>
          <w:sz w:val="22"/>
          <w:szCs w:val="22"/>
          <w:lang w:val="en-US"/>
        </w:rPr>
        <w:t xml:space="preserve">* </w:t>
      </w:r>
      <w:r w:rsidR="00CA3588" w:rsidRPr="00BC59F2">
        <w:rPr>
          <w:rFonts w:cs="Arial"/>
          <w:i/>
          <w:color w:val="000000"/>
          <w:spacing w:val="-4"/>
          <w:kern w:val="1"/>
          <w:sz w:val="22"/>
          <w:szCs w:val="22"/>
          <w:lang w:val="en-US"/>
        </w:rPr>
        <w:t>p</w:t>
      </w:r>
      <w:r w:rsidR="00CA3588" w:rsidRPr="00BC59F2">
        <w:rPr>
          <w:rFonts w:cs="Arial"/>
          <w:color w:val="000000"/>
          <w:spacing w:val="-4"/>
          <w:kern w:val="1"/>
          <w:sz w:val="22"/>
          <w:szCs w:val="22"/>
          <w:lang w:val="en-US"/>
        </w:rPr>
        <w:t xml:space="preserve">&lt;0.05, ** </w:t>
      </w:r>
      <w:r w:rsidR="00CA3588" w:rsidRPr="00BC59F2">
        <w:rPr>
          <w:rFonts w:cs="Arial"/>
          <w:i/>
          <w:color w:val="000000"/>
          <w:spacing w:val="-4"/>
          <w:kern w:val="1"/>
          <w:sz w:val="22"/>
          <w:szCs w:val="22"/>
          <w:lang w:val="en-US"/>
        </w:rPr>
        <w:t>p</w:t>
      </w:r>
      <w:r w:rsidR="00CA3588" w:rsidRPr="00BC59F2">
        <w:rPr>
          <w:rFonts w:cs="Arial"/>
          <w:color w:val="000000"/>
          <w:spacing w:val="-4"/>
          <w:kern w:val="1"/>
          <w:sz w:val="22"/>
          <w:szCs w:val="22"/>
          <w:lang w:val="en-US"/>
        </w:rPr>
        <w:t xml:space="preserve">&lt;0.01, **** </w:t>
      </w:r>
      <w:r w:rsidR="00CA3588" w:rsidRPr="00BC59F2">
        <w:rPr>
          <w:rFonts w:cs="Arial"/>
          <w:i/>
          <w:color w:val="000000"/>
          <w:spacing w:val="-4"/>
          <w:kern w:val="1"/>
          <w:sz w:val="22"/>
          <w:szCs w:val="22"/>
          <w:lang w:val="en-US"/>
        </w:rPr>
        <w:t>p</w:t>
      </w:r>
      <w:r w:rsidR="00CA3588" w:rsidRPr="00BC59F2">
        <w:rPr>
          <w:rFonts w:cs="Arial"/>
          <w:color w:val="000000"/>
          <w:spacing w:val="-4"/>
          <w:kern w:val="1"/>
          <w:sz w:val="22"/>
          <w:szCs w:val="22"/>
          <w:lang w:val="en-US"/>
        </w:rPr>
        <w:t>&lt;0.0001</w:t>
      </w:r>
      <w:r w:rsidR="00CA3588" w:rsidRPr="00BC59F2">
        <w:rPr>
          <w:rFonts w:cs="Arial"/>
          <w:sz w:val="22"/>
          <w:szCs w:val="22"/>
        </w:rPr>
        <w:t>.</w:t>
      </w:r>
    </w:p>
    <w:p w14:paraId="5BC9B521" w14:textId="3A7E7832" w:rsidR="00CA3588" w:rsidRDefault="00CA3588" w:rsidP="00476FA4">
      <w:pPr>
        <w:widowControl w:val="0"/>
        <w:autoSpaceDE w:val="0"/>
        <w:autoSpaceDN w:val="0"/>
        <w:adjustRightInd w:val="0"/>
        <w:spacing w:before="0" w:after="0" w:line="276" w:lineRule="auto"/>
        <w:jc w:val="left"/>
        <w:rPr>
          <w:rFonts w:cs="Arial"/>
        </w:rPr>
      </w:pPr>
    </w:p>
    <w:p w14:paraId="20D5DCD3" w14:textId="39D3B61D" w:rsidR="00995A0F" w:rsidRDefault="00995A0F" w:rsidP="00476FA4">
      <w:pPr>
        <w:widowControl w:val="0"/>
        <w:autoSpaceDE w:val="0"/>
        <w:autoSpaceDN w:val="0"/>
        <w:adjustRightInd w:val="0"/>
        <w:spacing w:before="0" w:after="0" w:line="276" w:lineRule="auto"/>
        <w:jc w:val="left"/>
        <w:rPr>
          <w:rFonts w:cs="Arial"/>
        </w:rPr>
      </w:pPr>
    </w:p>
    <w:p w14:paraId="09FE4A62" w14:textId="37F336A5" w:rsidR="00995A0F" w:rsidRPr="00BC59F2" w:rsidRDefault="00995A0F" w:rsidP="00476FA4">
      <w:pPr>
        <w:widowControl w:val="0"/>
        <w:autoSpaceDE w:val="0"/>
        <w:autoSpaceDN w:val="0"/>
        <w:adjustRightInd w:val="0"/>
        <w:spacing w:before="0" w:after="0" w:line="276" w:lineRule="auto"/>
        <w:jc w:val="left"/>
        <w:rPr>
          <w:rFonts w:cs="Arial"/>
        </w:rPr>
      </w:pPr>
      <w:r>
        <w:rPr>
          <w:rFonts w:cs="Arial"/>
          <w:noProof/>
          <w:lang w:eastAsia="en-GB"/>
        </w:rPr>
        <w:lastRenderedPageBreak/>
        <w:drawing>
          <wp:inline distT="0" distB="0" distL="0" distR="0" wp14:anchorId="08842B31" wp14:editId="59FE6282">
            <wp:extent cx="5731510" cy="69653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a-e.tiff"/>
                    <pic:cNvPicPr/>
                  </pic:nvPicPr>
                  <pic:blipFill>
                    <a:blip r:embed="rId13" cstate="hqprint">
                      <a:extLst>
                        <a:ext uri="{28A0092B-C50C-407E-A947-70E740481C1C}">
                          <a14:useLocalDpi xmlns:a14="http://schemas.microsoft.com/office/drawing/2010/main"/>
                        </a:ext>
                      </a:extLst>
                    </a:blip>
                    <a:stretch>
                      <a:fillRect/>
                    </a:stretch>
                  </pic:blipFill>
                  <pic:spPr>
                    <a:xfrm>
                      <a:off x="0" y="0"/>
                      <a:ext cx="5731510" cy="6965315"/>
                    </a:xfrm>
                    <a:prstGeom prst="rect">
                      <a:avLst/>
                    </a:prstGeom>
                  </pic:spPr>
                </pic:pic>
              </a:graphicData>
            </a:graphic>
          </wp:inline>
        </w:drawing>
      </w:r>
    </w:p>
    <w:p w14:paraId="6436AB06" w14:textId="336D1CA8" w:rsidR="00CA3588" w:rsidRPr="00BC59F2" w:rsidRDefault="00D32060" w:rsidP="00476FA4">
      <w:pPr>
        <w:widowControl w:val="0"/>
        <w:autoSpaceDE w:val="0"/>
        <w:autoSpaceDN w:val="0"/>
        <w:adjustRightInd w:val="0"/>
        <w:spacing w:before="0" w:after="0" w:line="276" w:lineRule="auto"/>
        <w:jc w:val="left"/>
        <w:rPr>
          <w:rFonts w:cs="Arial"/>
        </w:rPr>
      </w:pPr>
      <w:r w:rsidRPr="00BC59F2">
        <w:rPr>
          <w:rFonts w:cs="Arial"/>
        </w:rPr>
        <w:t>Figure 3a-e</w:t>
      </w:r>
      <w:r w:rsidR="00CA3588" w:rsidRPr="00BC59F2">
        <w:rPr>
          <w:rFonts w:cs="Arial"/>
        </w:rPr>
        <w:t xml:space="preserve">: </w:t>
      </w:r>
      <w:r w:rsidR="00CA3588" w:rsidRPr="00BC59F2">
        <w:rPr>
          <w:rFonts w:cs="Arial"/>
          <w:b/>
          <w:lang w:val="en-US"/>
        </w:rPr>
        <w:t>Two-stage assay design</w:t>
      </w:r>
      <w:r w:rsidR="00CA3588" w:rsidRPr="00BC59F2">
        <w:rPr>
          <w:rFonts w:cs="Arial"/>
          <w:lang w:val="en-US"/>
        </w:rPr>
        <w:t xml:space="preserve"> (</w:t>
      </w:r>
      <w:r w:rsidRPr="00BC59F2">
        <w:rPr>
          <w:rFonts w:cs="Arial"/>
          <w:b/>
          <w:lang w:val="en-US"/>
        </w:rPr>
        <w:t>a</w:t>
      </w:r>
      <w:r w:rsidR="00CA3588" w:rsidRPr="00BC59F2">
        <w:rPr>
          <w:rFonts w:cs="Arial"/>
          <w:lang w:val="en-US"/>
        </w:rPr>
        <w:t>) used to determine the continued MSC colony-forming capacity and Ag</w:t>
      </w:r>
      <w:r w:rsidR="00CA3588" w:rsidRPr="00BC59F2">
        <w:rPr>
          <w:rFonts w:cs="Arial"/>
          <w:vertAlign w:val="superscript"/>
          <w:lang w:val="en-US"/>
        </w:rPr>
        <w:t>+</w:t>
      </w:r>
      <w:r w:rsidR="00CA3588" w:rsidRPr="00BC59F2">
        <w:rPr>
          <w:rFonts w:cs="Arial"/>
          <w:lang w:val="en-US"/>
        </w:rPr>
        <w:t xml:space="preserve"> tolerance. Clonal density MSCs were cultured for 14 days ±Ag</w:t>
      </w:r>
      <w:r w:rsidR="00CA3588" w:rsidRPr="00BC59F2">
        <w:rPr>
          <w:rFonts w:cs="Arial"/>
          <w:vertAlign w:val="superscript"/>
          <w:lang w:val="en-US"/>
        </w:rPr>
        <w:t>+</w:t>
      </w:r>
      <w:r w:rsidR="00CA3588" w:rsidRPr="00BC59F2">
        <w:rPr>
          <w:rFonts w:cs="Arial"/>
          <w:lang w:val="en-US"/>
        </w:rPr>
        <w:t xml:space="preserve"> after which colonies of treatment groups were pooled and reseeded at clonal density and re-cultured ±Ag</w:t>
      </w:r>
      <w:r w:rsidR="00CA3588" w:rsidRPr="00BC59F2">
        <w:rPr>
          <w:rFonts w:cs="Arial"/>
          <w:vertAlign w:val="superscript"/>
          <w:lang w:val="en-US"/>
        </w:rPr>
        <w:t>+</w:t>
      </w:r>
      <w:r w:rsidR="00CA3588" w:rsidRPr="00BC59F2">
        <w:rPr>
          <w:rFonts w:cs="Arial"/>
          <w:lang w:val="en-US"/>
        </w:rPr>
        <w:t xml:space="preserve"> for a further 14 days. The resulting clonogenic capacity was measured, represented by (</w:t>
      </w:r>
      <w:r w:rsidRPr="00BC59F2">
        <w:rPr>
          <w:rFonts w:cs="Arial"/>
          <w:b/>
          <w:lang w:val="en-US"/>
        </w:rPr>
        <w:t>b</w:t>
      </w:r>
      <w:r w:rsidR="00CA3588" w:rsidRPr="00BC59F2">
        <w:rPr>
          <w:rFonts w:cs="Arial"/>
          <w:lang w:val="en-US"/>
        </w:rPr>
        <w:t>) CFU-f number and (</w:t>
      </w:r>
      <w:r w:rsidRPr="00BC59F2">
        <w:rPr>
          <w:rFonts w:cs="Arial"/>
          <w:b/>
          <w:lang w:val="en-US"/>
        </w:rPr>
        <w:t>c</w:t>
      </w:r>
      <w:r w:rsidR="00FB092F" w:rsidRPr="00BC59F2">
        <w:rPr>
          <w:rFonts w:cs="Arial"/>
          <w:lang w:val="en-US"/>
        </w:rPr>
        <w:t xml:space="preserve">) CFU-f diameter. </w:t>
      </w:r>
      <w:r w:rsidR="00CA3588" w:rsidRPr="00BC59F2">
        <w:rPr>
          <w:rFonts w:cs="Arial"/>
          <w:lang w:val="en-US"/>
        </w:rPr>
        <w:t>Ag</w:t>
      </w:r>
      <w:r w:rsidR="00CA3588" w:rsidRPr="00BC59F2">
        <w:rPr>
          <w:rFonts w:cs="Arial"/>
          <w:vertAlign w:val="superscript"/>
          <w:lang w:val="en-US"/>
        </w:rPr>
        <w:t>+</w:t>
      </w:r>
      <w:r w:rsidR="00CA3588" w:rsidRPr="00BC59F2">
        <w:rPr>
          <w:rFonts w:cs="Arial"/>
          <w:lang w:val="en-US"/>
        </w:rPr>
        <w:t xml:space="preserve"> exposure during initial culture is represented on the x</w:t>
      </w:r>
      <w:r w:rsidR="00CA3588" w:rsidRPr="00BC59F2">
        <w:rPr>
          <w:rFonts w:cs="Arial"/>
          <w:lang w:val="en-US"/>
        </w:rPr>
        <w:noBreakHyphen/>
        <w:t>axis with different Ag</w:t>
      </w:r>
      <w:r w:rsidR="00CA3588" w:rsidRPr="00BC59F2">
        <w:rPr>
          <w:rFonts w:cs="Arial"/>
          <w:vertAlign w:val="superscript"/>
          <w:lang w:val="en-US"/>
        </w:rPr>
        <w:t>+</w:t>
      </w:r>
      <w:r w:rsidR="00CA3588" w:rsidRPr="00BC59F2">
        <w:rPr>
          <w:rFonts w:cs="Arial"/>
          <w:lang w:val="en-US"/>
        </w:rPr>
        <w:t xml:space="preserve"> exposures during Stage 2 displayed. Values represent mean (±SEM, n=3). Statistical analysis </w:t>
      </w:r>
      <w:r w:rsidR="00CA3588" w:rsidRPr="00BC59F2">
        <w:rPr>
          <w:rFonts w:cs="Arial"/>
        </w:rPr>
        <w:t>by ANOVA; both</w:t>
      </w:r>
      <w:r w:rsidR="00CA3588" w:rsidRPr="00BC59F2">
        <w:rPr>
          <w:rFonts w:cs="Arial"/>
          <w:lang w:val="en-US"/>
        </w:rPr>
        <w:t xml:space="preserve"> using</w:t>
      </w:r>
      <w:r w:rsidR="00CA3588" w:rsidRPr="00BC59F2">
        <w:rPr>
          <w:rFonts w:cs="Arial"/>
        </w:rPr>
        <w:t xml:space="preserve"> appropriate correction for multiple comparisons. Analysis</w:t>
      </w:r>
      <w:r w:rsidR="00CA3588" w:rsidRPr="00BC59F2">
        <w:rPr>
          <w:rFonts w:cs="Arial"/>
          <w:lang w:val="en-US"/>
        </w:rPr>
        <w:t xml:space="preserve"> performed for data within each ‘Stage 1’ Ag</w:t>
      </w:r>
      <w:r w:rsidR="00CA3588" w:rsidRPr="00BC59F2">
        <w:rPr>
          <w:rFonts w:cs="Arial"/>
          <w:vertAlign w:val="superscript"/>
          <w:lang w:val="en-US"/>
        </w:rPr>
        <w:t>+</w:t>
      </w:r>
      <w:r w:rsidR="00CA3588" w:rsidRPr="00BC59F2">
        <w:rPr>
          <w:rFonts w:cs="Arial"/>
          <w:lang w:val="en-US"/>
        </w:rPr>
        <w:t xml:space="preserve"> concentration, comparing against control, represented by </w:t>
      </w:r>
      <w:r w:rsidR="00CA3588" w:rsidRPr="00BC59F2">
        <w:rPr>
          <w:rFonts w:cs="Arial"/>
          <w:color w:val="000000"/>
          <w:spacing w:val="-4"/>
          <w:kern w:val="1"/>
          <w:lang w:val="en-US"/>
        </w:rPr>
        <w:t xml:space="preserve">*** </w:t>
      </w:r>
      <w:r w:rsidR="00CA3588" w:rsidRPr="00BC59F2">
        <w:rPr>
          <w:rFonts w:cs="Arial"/>
          <w:i/>
          <w:color w:val="000000"/>
          <w:spacing w:val="-4"/>
          <w:kern w:val="1"/>
          <w:lang w:val="en-US"/>
        </w:rPr>
        <w:t>p</w:t>
      </w:r>
      <w:r w:rsidR="00CA3588" w:rsidRPr="00BC59F2">
        <w:rPr>
          <w:rFonts w:cs="Arial"/>
          <w:color w:val="000000"/>
          <w:spacing w:val="-4"/>
          <w:kern w:val="1"/>
          <w:lang w:val="en-US"/>
        </w:rPr>
        <w:t>&lt;0.001, **** </w:t>
      </w:r>
      <w:r w:rsidR="00CA3588" w:rsidRPr="00BC59F2">
        <w:rPr>
          <w:rFonts w:cs="Arial"/>
          <w:i/>
          <w:color w:val="000000"/>
          <w:spacing w:val="-4"/>
          <w:kern w:val="1"/>
          <w:lang w:val="en-US"/>
        </w:rPr>
        <w:t>p</w:t>
      </w:r>
      <w:r w:rsidR="00CA3588" w:rsidRPr="00BC59F2">
        <w:rPr>
          <w:rFonts w:cs="Arial"/>
          <w:color w:val="000000"/>
          <w:spacing w:val="-4"/>
          <w:kern w:val="1"/>
          <w:lang w:val="en-US"/>
        </w:rPr>
        <w:t>&lt;0.0001</w:t>
      </w:r>
      <w:r w:rsidR="00CA3588" w:rsidRPr="00BC59F2">
        <w:rPr>
          <w:rFonts w:cs="Arial"/>
          <w:lang w:val="en-US"/>
        </w:rPr>
        <w:t>; and against 1 </w:t>
      </w:r>
      <w:r w:rsidR="00CA3588" w:rsidRPr="00BC59F2">
        <w:rPr>
          <w:rFonts w:cs="Arial"/>
          <w:color w:val="000000"/>
        </w:rPr>
        <w:t xml:space="preserve">μM </w:t>
      </w:r>
      <w:r w:rsidR="00CA3588" w:rsidRPr="00BC59F2">
        <w:rPr>
          <w:rFonts w:cs="Arial"/>
          <w:lang w:val="en-US"/>
        </w:rPr>
        <w:t>Ag</w:t>
      </w:r>
      <w:r w:rsidR="00CA3588" w:rsidRPr="00BC59F2">
        <w:rPr>
          <w:rFonts w:cs="Arial"/>
          <w:vertAlign w:val="superscript"/>
          <w:lang w:val="en-US"/>
        </w:rPr>
        <w:t>+</w:t>
      </w:r>
      <w:r w:rsidR="00CA3588" w:rsidRPr="00BC59F2">
        <w:rPr>
          <w:rFonts w:cs="Arial"/>
          <w:lang w:val="en-US"/>
        </w:rPr>
        <w:t xml:space="preserve"> represented by $$ </w:t>
      </w:r>
      <w:r w:rsidR="00CA3588" w:rsidRPr="00BC59F2">
        <w:rPr>
          <w:rFonts w:cs="Arial"/>
          <w:i/>
          <w:lang w:val="en-US"/>
        </w:rPr>
        <w:t>p</w:t>
      </w:r>
      <w:r w:rsidR="00CA3588" w:rsidRPr="00BC59F2">
        <w:rPr>
          <w:rFonts w:cs="Arial"/>
          <w:lang w:val="en-US"/>
        </w:rPr>
        <w:t>&lt;0.005. Comparison of each ‘Stage 2’ Ag</w:t>
      </w:r>
      <w:r w:rsidR="00CA3588" w:rsidRPr="00BC59F2">
        <w:rPr>
          <w:rFonts w:cs="Arial"/>
          <w:vertAlign w:val="superscript"/>
          <w:lang w:val="en-US"/>
        </w:rPr>
        <w:t>+</w:t>
      </w:r>
      <w:r w:rsidR="00CA3588" w:rsidRPr="00BC59F2">
        <w:rPr>
          <w:rFonts w:cs="Arial"/>
          <w:lang w:val="en-US"/>
        </w:rPr>
        <w:t xml:space="preserve"> treatment </w:t>
      </w:r>
      <w:r w:rsidR="00CA3588" w:rsidRPr="00BC59F2">
        <w:rPr>
          <w:rFonts w:cs="Arial"/>
          <w:lang w:val="en-US"/>
        </w:rPr>
        <w:lastRenderedPageBreak/>
        <w:t xml:space="preserve">to its equivalent from the ‘Stage 1’ control group (# </w:t>
      </w:r>
      <w:r w:rsidR="00CA3588" w:rsidRPr="00BC59F2">
        <w:rPr>
          <w:rFonts w:cs="Arial"/>
          <w:i/>
          <w:lang w:val="en-US"/>
        </w:rPr>
        <w:t>p</w:t>
      </w:r>
      <w:r w:rsidR="00CA3588" w:rsidRPr="00BC59F2">
        <w:rPr>
          <w:rFonts w:cs="Arial"/>
          <w:lang w:val="en-US"/>
        </w:rPr>
        <w:t>&lt;0.05).</w:t>
      </w:r>
      <w:r w:rsidR="00CA3588" w:rsidRPr="00BC59F2">
        <w:rPr>
          <w:rFonts w:cs="Arial"/>
          <w:noProof/>
          <w:lang w:val="en-US"/>
        </w:rPr>
        <w:t xml:space="preserve"> </w:t>
      </w:r>
      <w:r w:rsidR="00CA3588" w:rsidRPr="00BC59F2">
        <w:rPr>
          <w:rFonts w:cs="Arial"/>
        </w:rPr>
        <w:t>Effect on CFU-f number when Ag</w:t>
      </w:r>
      <w:r w:rsidR="00CA3588" w:rsidRPr="00BC59F2">
        <w:rPr>
          <w:rFonts w:cs="Arial"/>
          <w:vertAlign w:val="superscript"/>
        </w:rPr>
        <w:t>+</w:t>
      </w:r>
      <w:r w:rsidR="00CA3588" w:rsidRPr="00BC59F2">
        <w:rPr>
          <w:rFonts w:cs="Arial"/>
        </w:rPr>
        <w:t xml:space="preserve"> is applied in MSC-CM. (</w:t>
      </w:r>
      <w:r w:rsidRPr="00BC59F2">
        <w:rPr>
          <w:rFonts w:cs="Arial"/>
          <w:b/>
        </w:rPr>
        <w:t>d</w:t>
      </w:r>
      <w:r w:rsidR="00CA3588" w:rsidRPr="00BC59F2">
        <w:rPr>
          <w:rFonts w:cs="Arial"/>
        </w:rPr>
        <w:t>) Effect of 10 µM Ag</w:t>
      </w:r>
      <w:r w:rsidR="00CA3588" w:rsidRPr="00BC59F2">
        <w:rPr>
          <w:rFonts w:cs="Arial"/>
          <w:vertAlign w:val="superscript"/>
        </w:rPr>
        <w:t>+</w:t>
      </w:r>
      <w:r w:rsidR="00CA3588" w:rsidRPr="00BC59F2">
        <w:rPr>
          <w:rFonts w:cs="Arial"/>
        </w:rPr>
        <w:t xml:space="preserve"> treatment on CFU-f number (±SEM, n=3) in the presence of non-conditioned and MSC-conditioned medium using primary MSCs (</w:t>
      </w:r>
      <w:r w:rsidR="00CA3588" w:rsidRPr="00BC59F2">
        <w:rPr>
          <w:rFonts w:cs="Arial"/>
          <w:i/>
        </w:rPr>
        <w:t>p</w:t>
      </w:r>
      <w:r w:rsidR="00CA3588" w:rsidRPr="00BC59F2">
        <w:rPr>
          <w:rFonts w:cs="Arial"/>
        </w:rPr>
        <w:t>=0.52) and Y201 MSCs (</w:t>
      </w:r>
      <w:r w:rsidR="00CA3588" w:rsidRPr="00BC59F2">
        <w:rPr>
          <w:rFonts w:cs="Arial"/>
          <w:i/>
        </w:rPr>
        <w:t>p</w:t>
      </w:r>
      <w:r w:rsidR="00CA3588" w:rsidRPr="00BC59F2">
        <w:rPr>
          <w:rFonts w:cs="Arial"/>
        </w:rPr>
        <w:t>=0.81) in the CFU-f assays. Statistical analysis by two</w:t>
      </w:r>
      <w:r w:rsidR="00CA3588" w:rsidRPr="00BC59F2">
        <w:rPr>
          <w:rFonts w:cs="Arial"/>
        </w:rPr>
        <w:noBreakHyphen/>
        <w:t xml:space="preserve">way ANOVA using Sidak’s correction for multiple comparisons, significance indicated by </w:t>
      </w:r>
      <w:r w:rsidR="00CA3588" w:rsidRPr="00BC59F2">
        <w:rPr>
          <w:rFonts w:cs="Arial"/>
          <w:color w:val="000000"/>
          <w:spacing w:val="-4"/>
          <w:kern w:val="1"/>
          <w:lang w:val="en-US"/>
        </w:rPr>
        <w:t xml:space="preserve">* </w:t>
      </w:r>
      <w:r w:rsidR="00CA3588" w:rsidRPr="00BC59F2">
        <w:rPr>
          <w:rFonts w:cs="Arial"/>
          <w:i/>
        </w:rPr>
        <w:t>p</w:t>
      </w:r>
      <w:r w:rsidR="00CA3588" w:rsidRPr="00BC59F2">
        <w:rPr>
          <w:rFonts w:cs="Arial"/>
        </w:rPr>
        <w:t xml:space="preserve">&lt;0.05, </w:t>
      </w:r>
      <w:r w:rsidR="00CA3588" w:rsidRPr="00BC59F2">
        <w:rPr>
          <w:rFonts w:cs="Arial"/>
          <w:color w:val="000000"/>
          <w:spacing w:val="-4"/>
          <w:kern w:val="1"/>
          <w:lang w:val="en-US"/>
        </w:rPr>
        <w:t xml:space="preserve">** </w:t>
      </w:r>
      <w:r w:rsidR="00CA3588" w:rsidRPr="00BC59F2">
        <w:rPr>
          <w:rFonts w:cs="Arial"/>
          <w:i/>
        </w:rPr>
        <w:t>p</w:t>
      </w:r>
      <w:r w:rsidR="00CA3588" w:rsidRPr="00BC59F2">
        <w:rPr>
          <w:rFonts w:cs="Arial"/>
        </w:rPr>
        <w:t>&lt;0.001. (</w:t>
      </w:r>
      <w:r w:rsidRPr="00BC59F2">
        <w:rPr>
          <w:rFonts w:cs="Arial"/>
          <w:b/>
        </w:rPr>
        <w:t>e</w:t>
      </w:r>
      <w:r w:rsidR="00CA3588" w:rsidRPr="00BC59F2">
        <w:rPr>
          <w:rFonts w:cs="Arial"/>
        </w:rPr>
        <w:t>) Representative images of crystal violet stained CFU-f for primary MSCs and Y201 MSCs.</w:t>
      </w:r>
    </w:p>
    <w:p w14:paraId="204BDE92" w14:textId="77777777" w:rsidR="00CA3588" w:rsidRPr="00BC59F2" w:rsidRDefault="00CA3588" w:rsidP="00476FA4">
      <w:pPr>
        <w:widowControl w:val="0"/>
        <w:autoSpaceDE w:val="0"/>
        <w:autoSpaceDN w:val="0"/>
        <w:adjustRightInd w:val="0"/>
        <w:spacing w:before="0" w:after="0" w:line="276" w:lineRule="auto"/>
        <w:jc w:val="left"/>
        <w:rPr>
          <w:rFonts w:cs="Arial"/>
        </w:rPr>
      </w:pPr>
    </w:p>
    <w:p w14:paraId="14E410D2" w14:textId="77777777" w:rsidR="00995A0F" w:rsidRDefault="00995A0F" w:rsidP="00476FA4">
      <w:pPr>
        <w:pStyle w:val="Caption"/>
        <w:spacing w:before="0" w:after="0" w:line="276" w:lineRule="auto"/>
        <w:contextualSpacing/>
        <w:jc w:val="left"/>
        <w:rPr>
          <w:rFonts w:cs="Arial"/>
          <w:sz w:val="22"/>
          <w:szCs w:val="22"/>
        </w:rPr>
      </w:pPr>
      <w:bookmarkStart w:id="23" w:name="_Ref400093679"/>
    </w:p>
    <w:p w14:paraId="431A879F" w14:textId="5B2E5A0D" w:rsidR="00995A0F" w:rsidRDefault="00995A0F" w:rsidP="00476FA4">
      <w:pPr>
        <w:pStyle w:val="Caption"/>
        <w:spacing w:before="0" w:after="0" w:line="276" w:lineRule="auto"/>
        <w:contextualSpacing/>
        <w:jc w:val="left"/>
        <w:rPr>
          <w:rFonts w:cs="Arial"/>
          <w:sz w:val="22"/>
          <w:szCs w:val="22"/>
        </w:rPr>
      </w:pPr>
      <w:r>
        <w:rPr>
          <w:rFonts w:cs="Arial"/>
          <w:noProof/>
          <w:sz w:val="22"/>
          <w:szCs w:val="22"/>
          <w:lang w:eastAsia="en-GB"/>
        </w:rPr>
        <w:lastRenderedPageBreak/>
        <w:drawing>
          <wp:inline distT="0" distB="0" distL="0" distR="0" wp14:anchorId="1C417FFD" wp14:editId="23A88E46">
            <wp:extent cx="5731510" cy="73183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a-g.tiff"/>
                    <pic:cNvPicPr/>
                  </pic:nvPicPr>
                  <pic:blipFill>
                    <a:blip r:embed="rId14" cstate="hqprint">
                      <a:extLst>
                        <a:ext uri="{28A0092B-C50C-407E-A947-70E740481C1C}">
                          <a14:useLocalDpi xmlns:a14="http://schemas.microsoft.com/office/drawing/2010/main"/>
                        </a:ext>
                      </a:extLst>
                    </a:blip>
                    <a:stretch>
                      <a:fillRect/>
                    </a:stretch>
                  </pic:blipFill>
                  <pic:spPr>
                    <a:xfrm>
                      <a:off x="0" y="0"/>
                      <a:ext cx="5731510" cy="7318375"/>
                    </a:xfrm>
                    <a:prstGeom prst="rect">
                      <a:avLst/>
                    </a:prstGeom>
                  </pic:spPr>
                </pic:pic>
              </a:graphicData>
            </a:graphic>
          </wp:inline>
        </w:drawing>
      </w:r>
    </w:p>
    <w:p w14:paraId="22831847" w14:textId="77777777" w:rsidR="00995A0F" w:rsidRDefault="00995A0F" w:rsidP="00476FA4">
      <w:pPr>
        <w:pStyle w:val="Caption"/>
        <w:spacing w:before="0" w:after="0" w:line="276" w:lineRule="auto"/>
        <w:contextualSpacing/>
        <w:jc w:val="left"/>
        <w:rPr>
          <w:rFonts w:cs="Arial"/>
          <w:sz w:val="22"/>
          <w:szCs w:val="22"/>
        </w:rPr>
      </w:pPr>
    </w:p>
    <w:p w14:paraId="19A65544" w14:textId="459C9168" w:rsidR="00CA3588" w:rsidRPr="00BC59F2" w:rsidRDefault="00D32060" w:rsidP="00476FA4">
      <w:pPr>
        <w:pStyle w:val="Caption"/>
        <w:spacing w:before="0" w:after="0" w:line="276" w:lineRule="auto"/>
        <w:contextualSpacing/>
        <w:jc w:val="left"/>
        <w:rPr>
          <w:rFonts w:cs="Arial"/>
          <w:sz w:val="22"/>
          <w:szCs w:val="22"/>
        </w:rPr>
      </w:pPr>
      <w:r w:rsidRPr="00BC59F2">
        <w:rPr>
          <w:rFonts w:cs="Arial"/>
          <w:sz w:val="22"/>
          <w:szCs w:val="22"/>
        </w:rPr>
        <w:t>Figure 4a-g</w:t>
      </w:r>
      <w:r w:rsidR="00CA3588" w:rsidRPr="00BC59F2">
        <w:rPr>
          <w:rFonts w:cs="Arial"/>
          <w:sz w:val="22"/>
          <w:szCs w:val="22"/>
        </w:rPr>
        <w:t xml:space="preserve">: </w:t>
      </w:r>
      <w:r w:rsidR="00CA3588" w:rsidRPr="00BC59F2">
        <w:rPr>
          <w:rFonts w:cs="Arial"/>
          <w:b/>
          <w:sz w:val="22"/>
          <w:szCs w:val="22"/>
        </w:rPr>
        <w:t>Proteomic and molecular identification of the oxidative stress response of MSCs during exposure to Ag</w:t>
      </w:r>
      <w:r w:rsidR="00CA3588" w:rsidRPr="00BC59F2">
        <w:rPr>
          <w:rFonts w:cs="Arial"/>
          <w:b/>
          <w:sz w:val="22"/>
          <w:szCs w:val="22"/>
          <w:vertAlign w:val="superscript"/>
        </w:rPr>
        <w:t>+</w:t>
      </w:r>
      <w:r w:rsidR="00CA3588" w:rsidRPr="00BC59F2">
        <w:rPr>
          <w:rFonts w:cs="Arial"/>
          <w:b/>
          <w:sz w:val="22"/>
          <w:szCs w:val="22"/>
        </w:rPr>
        <w:t>.</w:t>
      </w:r>
      <w:r w:rsidR="00CA3588" w:rsidRPr="00BC59F2">
        <w:rPr>
          <w:rFonts w:cs="Arial"/>
          <w:sz w:val="22"/>
          <w:szCs w:val="22"/>
        </w:rPr>
        <w:t xml:space="preserve"> (</w:t>
      </w:r>
      <w:r w:rsidRPr="00BC59F2">
        <w:rPr>
          <w:rFonts w:cs="Arial"/>
          <w:b/>
          <w:sz w:val="22"/>
          <w:szCs w:val="22"/>
        </w:rPr>
        <w:t>a</w:t>
      </w:r>
      <w:r w:rsidR="00CA3588" w:rsidRPr="00BC59F2">
        <w:rPr>
          <w:rFonts w:cs="Arial"/>
          <w:sz w:val="22"/>
          <w:szCs w:val="22"/>
        </w:rPr>
        <w:t xml:space="preserve">) </w:t>
      </w:r>
      <w:r w:rsidR="00CA3588" w:rsidRPr="00BC59F2">
        <w:rPr>
          <w:rFonts w:cs="Arial"/>
          <w:color w:val="000000"/>
          <w:sz w:val="22"/>
          <w:szCs w:val="22"/>
        </w:rPr>
        <w:t>Protein relative abundance heat map from Y201 CFU-f under control and Ag</w:t>
      </w:r>
      <w:r w:rsidR="00CA3588" w:rsidRPr="00BC59F2">
        <w:rPr>
          <w:rFonts w:cs="Arial"/>
          <w:color w:val="000000"/>
          <w:sz w:val="22"/>
          <w:szCs w:val="22"/>
          <w:vertAlign w:val="superscript"/>
        </w:rPr>
        <w:t>+</w:t>
      </w:r>
      <w:r w:rsidR="00CA3588" w:rsidRPr="00BC59F2">
        <w:rPr>
          <w:rFonts w:cs="Arial"/>
          <w:color w:val="000000"/>
          <w:sz w:val="22"/>
          <w:szCs w:val="22"/>
        </w:rPr>
        <w:t xml:space="preserve"> exposure conditions (green &lt;15, red &gt;20). (</w:t>
      </w:r>
      <w:r w:rsidRPr="00BC59F2">
        <w:rPr>
          <w:rFonts w:cs="Arial"/>
          <w:b/>
          <w:color w:val="000000"/>
          <w:sz w:val="22"/>
          <w:szCs w:val="22"/>
        </w:rPr>
        <w:t>b</w:t>
      </w:r>
      <w:r w:rsidR="00CA3588" w:rsidRPr="00BC59F2">
        <w:rPr>
          <w:rFonts w:cs="Arial"/>
          <w:color w:val="000000"/>
          <w:sz w:val="22"/>
          <w:szCs w:val="22"/>
        </w:rPr>
        <w:t xml:space="preserve">) Volcano plot of 5050 quantified proteins, </w:t>
      </w:r>
      <w:r w:rsidR="00CA3588" w:rsidRPr="00BC59F2">
        <w:rPr>
          <w:rFonts w:cs="Arial"/>
          <w:sz w:val="22"/>
          <w:szCs w:val="22"/>
        </w:rPr>
        <w:t>negative/positive log</w:t>
      </w:r>
      <w:r w:rsidR="00CA3588" w:rsidRPr="00BC59F2">
        <w:rPr>
          <w:rFonts w:cs="Arial"/>
          <w:sz w:val="22"/>
          <w:szCs w:val="22"/>
          <w:vertAlign w:val="subscript"/>
        </w:rPr>
        <w:t>2</w:t>
      </w:r>
      <w:r w:rsidR="00CA3588" w:rsidRPr="00BC59F2">
        <w:rPr>
          <w:rFonts w:cs="Arial"/>
          <w:sz w:val="22"/>
          <w:szCs w:val="22"/>
        </w:rPr>
        <w:t xml:space="preserve"> data equate to Ag</w:t>
      </w:r>
      <w:r w:rsidR="00CA3588" w:rsidRPr="00BC59F2">
        <w:rPr>
          <w:rFonts w:cs="Arial"/>
          <w:sz w:val="22"/>
          <w:szCs w:val="22"/>
          <w:vertAlign w:val="superscript"/>
        </w:rPr>
        <w:t>+</w:t>
      </w:r>
      <w:r w:rsidR="00CA3588" w:rsidRPr="00BC59F2">
        <w:rPr>
          <w:rFonts w:cs="Arial"/>
          <w:sz w:val="22"/>
          <w:szCs w:val="22"/>
        </w:rPr>
        <w:t xml:space="preserve"> group down/upregulated, respectively. 15.19% of proteins were significantly differentially regulated </w:t>
      </w:r>
      <w:bookmarkEnd w:id="23"/>
      <w:r w:rsidR="00CA3588" w:rsidRPr="00BC59F2">
        <w:rPr>
          <w:rFonts w:cs="Arial"/>
          <w:sz w:val="22"/>
          <w:szCs w:val="22"/>
        </w:rPr>
        <w:t>accepting Progenesis QI calculated q</w:t>
      </w:r>
      <w:r w:rsidR="00CA3588" w:rsidRPr="00BC59F2">
        <w:rPr>
          <w:rFonts w:cs="Arial"/>
          <w:sz w:val="22"/>
          <w:szCs w:val="22"/>
        </w:rPr>
        <w:noBreakHyphen/>
        <w:t>value of &lt;0.05 (orange), reducing to 2.17% (green) when applying additional multiple test correction to 5% FDR (Benjamini &amp; Hochberg). (</w:t>
      </w:r>
      <w:r w:rsidRPr="00BC59F2">
        <w:rPr>
          <w:rFonts w:cs="Arial"/>
          <w:b/>
          <w:color w:val="000000"/>
          <w:sz w:val="22"/>
          <w:szCs w:val="22"/>
        </w:rPr>
        <w:t>c</w:t>
      </w:r>
      <w:r w:rsidR="00CA3588" w:rsidRPr="00BC59F2">
        <w:rPr>
          <w:rFonts w:cs="Arial"/>
          <w:color w:val="000000"/>
          <w:sz w:val="22"/>
          <w:szCs w:val="22"/>
        </w:rPr>
        <w:t xml:space="preserve">) </w:t>
      </w:r>
      <w:r w:rsidR="00CA3588" w:rsidRPr="00BC59F2">
        <w:rPr>
          <w:rFonts w:cs="Arial"/>
          <w:sz w:val="22"/>
          <w:szCs w:val="22"/>
        </w:rPr>
        <w:t xml:space="preserve">GO </w:t>
      </w:r>
      <w:r w:rsidR="00CA3588" w:rsidRPr="00BC59F2">
        <w:rPr>
          <w:rFonts w:cs="Arial"/>
          <w:sz w:val="22"/>
          <w:szCs w:val="22"/>
        </w:rPr>
        <w:lastRenderedPageBreak/>
        <w:t>terminology of biological processes</w:t>
      </w:r>
      <w:r w:rsidR="00CA3588" w:rsidRPr="00BC59F2">
        <w:rPr>
          <w:rFonts w:cs="Arial"/>
          <w:sz w:val="22"/>
          <w:szCs w:val="22"/>
          <w:lang w:val="en-US"/>
        </w:rPr>
        <w:t xml:space="preserve"> (FDR &lt;0.05)</w:t>
      </w:r>
      <w:r w:rsidR="00CA3588" w:rsidRPr="00BC59F2">
        <w:rPr>
          <w:rFonts w:cs="Arial"/>
          <w:sz w:val="22"/>
          <w:szCs w:val="22"/>
        </w:rPr>
        <w:t xml:space="preserve"> associated with differentially upregulated proteins of Ag</w:t>
      </w:r>
      <w:r w:rsidR="00CA3588" w:rsidRPr="00BC59F2">
        <w:rPr>
          <w:rFonts w:cs="Arial"/>
          <w:sz w:val="22"/>
          <w:szCs w:val="22"/>
          <w:vertAlign w:val="superscript"/>
        </w:rPr>
        <w:t>+</w:t>
      </w:r>
      <w:r w:rsidR="00CA3588" w:rsidRPr="00BC59F2">
        <w:rPr>
          <w:rFonts w:cs="Arial"/>
          <w:sz w:val="22"/>
          <w:szCs w:val="22"/>
        </w:rPr>
        <w:t xml:space="preserve"> cultured Y201 CFU-f.</w:t>
      </w:r>
      <w:r w:rsidR="00CA3588" w:rsidRPr="00BC59F2">
        <w:rPr>
          <w:rFonts w:cs="Arial"/>
          <w:color w:val="000000"/>
          <w:sz w:val="22"/>
          <w:szCs w:val="22"/>
        </w:rPr>
        <w:t xml:space="preserve"> (</w:t>
      </w:r>
      <w:r w:rsidRPr="00BC59F2">
        <w:rPr>
          <w:rFonts w:cs="Arial"/>
          <w:b/>
          <w:color w:val="000000"/>
          <w:sz w:val="22"/>
          <w:szCs w:val="22"/>
        </w:rPr>
        <w:t>d</w:t>
      </w:r>
      <w:r w:rsidR="00CA3588" w:rsidRPr="00BC59F2">
        <w:rPr>
          <w:rFonts w:cs="Arial"/>
          <w:color w:val="000000"/>
          <w:sz w:val="22"/>
          <w:szCs w:val="22"/>
        </w:rPr>
        <w:t>) Fold change of oxidative stress response genes in 3 primary MSC donors (grey, pink/red and green; dots represent different genes), the red line represents 1.5 fold-change. (</w:t>
      </w:r>
      <w:r w:rsidRPr="00BC59F2">
        <w:rPr>
          <w:rFonts w:cs="Arial"/>
          <w:b/>
          <w:sz w:val="22"/>
          <w:szCs w:val="22"/>
        </w:rPr>
        <w:t>e</w:t>
      </w:r>
      <w:r w:rsidR="00CA3588" w:rsidRPr="00BC59F2">
        <w:rPr>
          <w:rFonts w:cs="Arial"/>
          <w:sz w:val="22"/>
          <w:szCs w:val="22"/>
        </w:rPr>
        <w:t xml:space="preserve">) Oxidative stress genes exhibiting </w:t>
      </w:r>
      <w:r w:rsidR="00CA3588" w:rsidRPr="00BC59F2">
        <w:rPr>
          <w:rFonts w:eastAsia="MS Gothic" w:cs="Arial"/>
          <w:color w:val="000000"/>
          <w:sz w:val="22"/>
          <w:szCs w:val="22"/>
        </w:rPr>
        <w:t>≥</w:t>
      </w:r>
      <w:r w:rsidR="00CA3588" w:rsidRPr="00BC59F2">
        <w:rPr>
          <w:rFonts w:cs="Arial"/>
          <w:color w:val="000000"/>
          <w:sz w:val="22"/>
          <w:szCs w:val="22"/>
        </w:rPr>
        <w:t>1.5 fold</w:t>
      </w:r>
      <w:r w:rsidR="00CA3588" w:rsidRPr="00BC59F2">
        <w:rPr>
          <w:rFonts w:cs="Arial"/>
          <w:color w:val="000000"/>
          <w:sz w:val="22"/>
          <w:szCs w:val="22"/>
        </w:rPr>
        <w:noBreakHyphen/>
        <w:t>change following Ag</w:t>
      </w:r>
      <w:r w:rsidR="00CA3588" w:rsidRPr="00BC59F2">
        <w:rPr>
          <w:rFonts w:cs="Arial"/>
          <w:color w:val="000000"/>
          <w:sz w:val="22"/>
          <w:szCs w:val="22"/>
          <w:vertAlign w:val="superscript"/>
        </w:rPr>
        <w:t>+</w:t>
      </w:r>
      <w:r w:rsidR="00CA3588" w:rsidRPr="00BC59F2">
        <w:rPr>
          <w:rFonts w:cs="Arial"/>
          <w:color w:val="000000"/>
          <w:sz w:val="22"/>
          <w:szCs w:val="22"/>
        </w:rPr>
        <w:t xml:space="preserve"> exposure versus controls , values are</w:t>
      </w:r>
      <w:r w:rsidR="00CA3588" w:rsidRPr="00BC59F2">
        <w:rPr>
          <w:rFonts w:cs="Arial"/>
          <w:sz w:val="22"/>
          <w:szCs w:val="22"/>
        </w:rPr>
        <w:t xml:space="preserve"> </w:t>
      </w:r>
      <w:r w:rsidR="00CA3588" w:rsidRPr="00BC59F2">
        <w:rPr>
          <w:rFonts w:cs="Arial"/>
          <w:color w:val="000000"/>
          <w:sz w:val="22"/>
          <w:szCs w:val="22"/>
        </w:rPr>
        <w:t>mean ±SEM (n=3). (</w:t>
      </w:r>
      <w:r w:rsidRPr="00BC59F2">
        <w:rPr>
          <w:rFonts w:cs="Arial"/>
          <w:b/>
          <w:sz w:val="22"/>
          <w:szCs w:val="22"/>
        </w:rPr>
        <w:t>f</w:t>
      </w:r>
      <w:r w:rsidR="00CA3588" w:rsidRPr="00BC59F2">
        <w:rPr>
          <w:rFonts w:cs="Arial"/>
          <w:sz w:val="22"/>
          <w:szCs w:val="22"/>
        </w:rPr>
        <w:t>) Immunostaining of CFU-f for GCLM and TRX (both red), counterstained with DAPI (blue). Scale bar: 50 µm. (</w:t>
      </w:r>
      <w:r w:rsidRPr="00BC59F2">
        <w:rPr>
          <w:rFonts w:cs="Arial"/>
          <w:b/>
          <w:sz w:val="22"/>
          <w:szCs w:val="22"/>
        </w:rPr>
        <w:t>g</w:t>
      </w:r>
      <w:r w:rsidR="00CA3588" w:rsidRPr="00BC59F2">
        <w:rPr>
          <w:rFonts w:cs="Arial"/>
          <w:sz w:val="22"/>
          <w:szCs w:val="22"/>
        </w:rPr>
        <w:t>) Ag</w:t>
      </w:r>
      <w:r w:rsidR="00CA3588" w:rsidRPr="00BC59F2">
        <w:rPr>
          <w:rFonts w:cs="Arial"/>
          <w:sz w:val="22"/>
          <w:szCs w:val="22"/>
          <w:vertAlign w:val="superscript"/>
        </w:rPr>
        <w:t>+</w:t>
      </w:r>
      <w:r w:rsidR="00CA3588" w:rsidRPr="00BC59F2">
        <w:rPr>
          <w:rFonts w:cs="Arial"/>
          <w:sz w:val="22"/>
          <w:szCs w:val="22"/>
        </w:rPr>
        <w:t xml:space="preserve"> induced reduction of CFU-f is potentiated by inhibition of glutathione synthesis with BSO, with recovery aided by exogenous GSH. Results represent the mean CFU</w:t>
      </w:r>
      <w:r w:rsidR="00CA3588" w:rsidRPr="00BC59F2">
        <w:rPr>
          <w:rFonts w:cs="Arial"/>
          <w:sz w:val="22"/>
          <w:szCs w:val="22"/>
        </w:rPr>
        <w:noBreakHyphen/>
        <w:t>f number ±SEM (n=3)</w:t>
      </w:r>
      <w:r w:rsidR="00CA3588" w:rsidRPr="00BC59F2">
        <w:rPr>
          <w:rFonts w:cs="Arial"/>
          <w:sz w:val="22"/>
          <w:szCs w:val="22"/>
          <w:lang w:val="en-US"/>
        </w:rPr>
        <w:t xml:space="preserve">. </w:t>
      </w:r>
      <w:r w:rsidR="00CA3588" w:rsidRPr="00BC59F2">
        <w:rPr>
          <w:rFonts w:cs="Arial"/>
          <w:color w:val="000000"/>
          <w:sz w:val="22"/>
          <w:szCs w:val="22"/>
          <w:lang w:val="en-US"/>
        </w:rPr>
        <w:t xml:space="preserve">Statistical analysis by one-way ANOVA using Sidak’s correction for multiple comparisons. Comparisons performed against control represented by </w:t>
      </w:r>
      <w:r w:rsidR="00CA3588" w:rsidRPr="00BC59F2">
        <w:rPr>
          <w:rFonts w:cs="Arial"/>
          <w:color w:val="000000"/>
          <w:spacing w:val="-4"/>
          <w:kern w:val="1"/>
          <w:sz w:val="22"/>
          <w:szCs w:val="22"/>
          <w:lang w:val="en-US"/>
        </w:rPr>
        <w:t>*  </w:t>
      </w:r>
      <w:r w:rsidR="00CA3588" w:rsidRPr="00BC59F2">
        <w:rPr>
          <w:rFonts w:cs="Arial"/>
          <w:i/>
          <w:iCs/>
          <w:color w:val="000000"/>
          <w:spacing w:val="-4"/>
          <w:kern w:val="1"/>
          <w:sz w:val="22"/>
          <w:szCs w:val="22"/>
          <w:lang w:val="en-US"/>
        </w:rPr>
        <w:t>p</w:t>
      </w:r>
      <w:r w:rsidR="00CA3588" w:rsidRPr="00BC59F2">
        <w:rPr>
          <w:rFonts w:cs="Arial"/>
          <w:color w:val="000000"/>
          <w:spacing w:val="-4"/>
          <w:kern w:val="1"/>
          <w:sz w:val="22"/>
          <w:szCs w:val="22"/>
          <w:lang w:val="en-US"/>
        </w:rPr>
        <w:t xml:space="preserve">&lt;0.05, ** </w:t>
      </w:r>
      <w:r w:rsidR="00CA3588" w:rsidRPr="00BC59F2">
        <w:rPr>
          <w:rFonts w:cs="Arial"/>
          <w:i/>
          <w:iCs/>
          <w:color w:val="000000"/>
          <w:spacing w:val="-4"/>
          <w:kern w:val="1"/>
          <w:sz w:val="22"/>
          <w:szCs w:val="22"/>
          <w:lang w:val="en-US"/>
        </w:rPr>
        <w:t>p</w:t>
      </w:r>
      <w:r w:rsidR="00CA3588" w:rsidRPr="00BC59F2">
        <w:rPr>
          <w:rFonts w:cs="Arial"/>
          <w:color w:val="000000"/>
          <w:spacing w:val="-4"/>
          <w:kern w:val="1"/>
          <w:sz w:val="22"/>
          <w:szCs w:val="22"/>
          <w:lang w:val="en-US"/>
        </w:rPr>
        <w:t xml:space="preserve">&lt;0.01, *** </w:t>
      </w:r>
      <w:r w:rsidR="00CA3588" w:rsidRPr="00BC59F2">
        <w:rPr>
          <w:rFonts w:cs="Arial"/>
          <w:i/>
          <w:iCs/>
          <w:color w:val="000000"/>
          <w:spacing w:val="-4"/>
          <w:kern w:val="1"/>
          <w:sz w:val="22"/>
          <w:szCs w:val="22"/>
          <w:lang w:val="en-US"/>
        </w:rPr>
        <w:t>p</w:t>
      </w:r>
      <w:r w:rsidR="00CA3588" w:rsidRPr="00BC59F2">
        <w:rPr>
          <w:rFonts w:cs="Arial"/>
          <w:color w:val="000000"/>
          <w:spacing w:val="-4"/>
          <w:kern w:val="1"/>
          <w:sz w:val="22"/>
          <w:szCs w:val="22"/>
          <w:lang w:val="en-US"/>
        </w:rPr>
        <w:t xml:space="preserve">&lt;0.001, **** </w:t>
      </w:r>
      <w:r w:rsidR="00CA3588" w:rsidRPr="00BC59F2">
        <w:rPr>
          <w:rFonts w:cs="Arial"/>
          <w:i/>
          <w:iCs/>
          <w:color w:val="000000"/>
          <w:spacing w:val="-4"/>
          <w:kern w:val="1"/>
          <w:sz w:val="22"/>
          <w:szCs w:val="22"/>
          <w:lang w:val="en-US"/>
        </w:rPr>
        <w:t>p</w:t>
      </w:r>
      <w:r w:rsidR="00CA3588" w:rsidRPr="00BC59F2">
        <w:rPr>
          <w:rFonts w:cs="Arial"/>
          <w:color w:val="000000"/>
          <w:spacing w:val="-4"/>
          <w:kern w:val="1"/>
          <w:sz w:val="22"/>
          <w:szCs w:val="22"/>
          <w:lang w:val="en-US"/>
        </w:rPr>
        <w:t>&lt;0.0001</w:t>
      </w:r>
      <w:r w:rsidR="00CA3588" w:rsidRPr="00BC59F2">
        <w:rPr>
          <w:rFonts w:cs="Arial"/>
          <w:color w:val="000000"/>
          <w:sz w:val="22"/>
          <w:szCs w:val="22"/>
          <w:lang w:val="en-US"/>
        </w:rPr>
        <w:t>. Additional comparisons made against treatment groups containing the same level of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 xml:space="preserve"> (e.g. 1 μM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 xml:space="preserve"> v 1 μM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/1 μM BSO), significance indicated compared to 5 μM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 xml:space="preserve"> ($) and 10 μM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 xml:space="preserve"> (#). Exogenous GSH in the presence/absence of 10 µM Ag+ and 1 µM BSO. Comparisons performed against control as before, with additional comparisons made against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 xml:space="preserve"> (@) and Ag</w:t>
      </w:r>
      <w:r w:rsidR="00CA3588" w:rsidRPr="00BC59F2">
        <w:rPr>
          <w:rFonts w:cs="Arial"/>
          <w:color w:val="000000"/>
          <w:sz w:val="22"/>
          <w:szCs w:val="22"/>
          <w:vertAlign w:val="superscript"/>
          <w:lang w:val="en-US"/>
        </w:rPr>
        <w:t>+</w:t>
      </w:r>
      <w:r w:rsidR="00CA3588" w:rsidRPr="00BC59F2">
        <w:rPr>
          <w:rFonts w:cs="Arial"/>
          <w:color w:val="000000"/>
          <w:sz w:val="22"/>
          <w:szCs w:val="22"/>
          <w:lang w:val="en-US"/>
        </w:rPr>
        <w:t>/BSO (&amp;).</w:t>
      </w:r>
      <w:r w:rsidR="00BD379F" w:rsidRPr="00BC59F2">
        <w:rPr>
          <w:rFonts w:cs="Arial"/>
          <w:color w:val="000000"/>
          <w:sz w:val="22"/>
          <w:szCs w:val="22"/>
          <w:lang w:val="en-US"/>
        </w:rPr>
        <w:t xml:space="preserve"> </w:t>
      </w:r>
    </w:p>
    <w:p w14:paraId="1D21DD75" w14:textId="3DFC06B8" w:rsidR="00CA3588" w:rsidRDefault="00CA3588" w:rsidP="00476FA4">
      <w:pPr>
        <w:widowControl w:val="0"/>
        <w:autoSpaceDE w:val="0"/>
        <w:autoSpaceDN w:val="0"/>
        <w:adjustRightInd w:val="0"/>
        <w:spacing w:before="0" w:after="0" w:line="276" w:lineRule="auto"/>
        <w:jc w:val="left"/>
        <w:rPr>
          <w:rFonts w:cs="Arial"/>
        </w:rPr>
      </w:pPr>
    </w:p>
    <w:p w14:paraId="089A858F" w14:textId="642E7D6D" w:rsidR="00995A0F" w:rsidRDefault="00995A0F" w:rsidP="00476FA4">
      <w:pPr>
        <w:widowControl w:val="0"/>
        <w:autoSpaceDE w:val="0"/>
        <w:autoSpaceDN w:val="0"/>
        <w:adjustRightInd w:val="0"/>
        <w:spacing w:before="0" w:after="0" w:line="276" w:lineRule="auto"/>
        <w:jc w:val="left"/>
        <w:rPr>
          <w:rFonts w:cs="Arial"/>
        </w:rPr>
      </w:pPr>
    </w:p>
    <w:p w14:paraId="668EA326" w14:textId="779534E1" w:rsidR="00995A0F" w:rsidRPr="00BC59F2" w:rsidRDefault="00995A0F" w:rsidP="00476FA4">
      <w:pPr>
        <w:widowControl w:val="0"/>
        <w:autoSpaceDE w:val="0"/>
        <w:autoSpaceDN w:val="0"/>
        <w:adjustRightInd w:val="0"/>
        <w:spacing w:before="0" w:after="0" w:line="276" w:lineRule="auto"/>
        <w:jc w:val="left"/>
        <w:rPr>
          <w:rFonts w:cs="Arial"/>
        </w:rPr>
      </w:pPr>
      <w:r>
        <w:rPr>
          <w:rFonts w:cs="Arial"/>
          <w:noProof/>
          <w:lang w:eastAsia="en-GB"/>
        </w:rPr>
        <w:drawing>
          <wp:inline distT="0" distB="0" distL="0" distR="0" wp14:anchorId="321AA070" wp14:editId="1FADDB00">
            <wp:extent cx="5731510" cy="51523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a-d.tif"/>
                    <pic:cNvPicPr/>
                  </pic:nvPicPr>
                  <pic:blipFill>
                    <a:blip r:embed="rId15" cstate="hqprint">
                      <a:extLst>
                        <a:ext uri="{28A0092B-C50C-407E-A947-70E740481C1C}">
                          <a14:useLocalDpi xmlns:a14="http://schemas.microsoft.com/office/drawing/2010/main"/>
                        </a:ext>
                      </a:extLst>
                    </a:blip>
                    <a:stretch>
                      <a:fillRect/>
                    </a:stretch>
                  </pic:blipFill>
                  <pic:spPr>
                    <a:xfrm>
                      <a:off x="0" y="0"/>
                      <a:ext cx="5731510" cy="5152390"/>
                    </a:xfrm>
                    <a:prstGeom prst="rect">
                      <a:avLst/>
                    </a:prstGeom>
                  </pic:spPr>
                </pic:pic>
              </a:graphicData>
            </a:graphic>
          </wp:inline>
        </w:drawing>
      </w:r>
    </w:p>
    <w:p w14:paraId="37399D7B" w14:textId="49DD1E97" w:rsidR="00CA3588" w:rsidRPr="00FC714C" w:rsidRDefault="00D32060" w:rsidP="00476FA4">
      <w:pPr>
        <w:widowControl w:val="0"/>
        <w:autoSpaceDE w:val="0"/>
        <w:autoSpaceDN w:val="0"/>
        <w:adjustRightInd w:val="0"/>
        <w:spacing w:before="0" w:after="0" w:line="276" w:lineRule="auto"/>
        <w:jc w:val="left"/>
        <w:rPr>
          <w:rFonts w:cs="Arial"/>
        </w:rPr>
      </w:pPr>
      <w:r w:rsidRPr="00BC59F2">
        <w:rPr>
          <w:rFonts w:cs="Arial"/>
        </w:rPr>
        <w:t>Figure 5a-d</w:t>
      </w:r>
      <w:r w:rsidR="00CA3588" w:rsidRPr="00BC59F2">
        <w:rPr>
          <w:rFonts w:cs="Arial"/>
        </w:rPr>
        <w:t xml:space="preserve">: </w:t>
      </w:r>
      <w:r w:rsidR="00CA3588" w:rsidRPr="00BC59F2">
        <w:rPr>
          <w:rFonts w:cs="Arial"/>
          <w:b/>
        </w:rPr>
        <w:t>Normalised ALP activity of MSCs following Ag</w:t>
      </w:r>
      <w:r w:rsidR="00CA3588" w:rsidRPr="00BC59F2">
        <w:rPr>
          <w:rFonts w:cs="Arial"/>
          <w:b/>
          <w:vertAlign w:val="superscript"/>
        </w:rPr>
        <w:t>+</w:t>
      </w:r>
      <w:r w:rsidR="00CA3588" w:rsidRPr="00BC59F2">
        <w:rPr>
          <w:rFonts w:cs="Arial"/>
          <w:b/>
        </w:rPr>
        <w:t xml:space="preserve"> exposure</w:t>
      </w:r>
      <w:r w:rsidR="00CA3588" w:rsidRPr="00BC59F2">
        <w:rPr>
          <w:rFonts w:cs="Arial"/>
        </w:rPr>
        <w:t xml:space="preserve"> (</w:t>
      </w:r>
      <w:r w:rsidRPr="00BC59F2">
        <w:rPr>
          <w:rFonts w:cs="Arial"/>
          <w:b/>
        </w:rPr>
        <w:t>a</w:t>
      </w:r>
      <w:r w:rsidR="00CA3588" w:rsidRPr="00BC59F2">
        <w:rPr>
          <w:rFonts w:cs="Arial"/>
        </w:rPr>
        <w:t>) during, and (</w:t>
      </w:r>
      <w:r w:rsidRPr="00BC59F2">
        <w:rPr>
          <w:rFonts w:cs="Arial"/>
          <w:b/>
        </w:rPr>
        <w:t>b</w:t>
      </w:r>
      <w:r w:rsidR="00CA3588" w:rsidRPr="00BC59F2">
        <w:rPr>
          <w:rFonts w:cs="Arial"/>
        </w:rPr>
        <w:t>) prior to differentiation. (</w:t>
      </w:r>
      <w:r w:rsidRPr="00BC59F2">
        <w:rPr>
          <w:rFonts w:cs="Arial"/>
          <w:b/>
        </w:rPr>
        <w:t>a</w:t>
      </w:r>
      <w:r w:rsidR="00CA3588" w:rsidRPr="00BC59F2">
        <w:rPr>
          <w:rFonts w:cs="Arial"/>
        </w:rPr>
        <w:t xml:space="preserve">) </w:t>
      </w:r>
      <w:r w:rsidR="00CA3588" w:rsidRPr="00BC59F2">
        <w:rPr>
          <w:rFonts w:cs="Arial"/>
          <w:lang w:val="en-US"/>
        </w:rPr>
        <w:t>Normalised ALP activity in the presence of 10 μM Ag</w:t>
      </w:r>
      <w:r w:rsidR="00CA3588" w:rsidRPr="00BC59F2">
        <w:rPr>
          <w:rFonts w:cs="Arial"/>
          <w:vertAlign w:val="superscript"/>
          <w:lang w:val="en-US"/>
        </w:rPr>
        <w:t>+</w:t>
      </w:r>
      <w:r w:rsidR="00CA3588" w:rsidRPr="00BC59F2">
        <w:rPr>
          <w:rFonts w:cs="Arial"/>
          <w:lang w:val="en-US"/>
        </w:rPr>
        <w:t xml:space="preserve"> for either the initial three days of culture (Ag</w:t>
      </w:r>
      <w:r w:rsidR="00CA3588" w:rsidRPr="00BC59F2">
        <w:rPr>
          <w:rFonts w:cs="Arial"/>
          <w:vertAlign w:val="superscript"/>
          <w:lang w:val="en-US"/>
        </w:rPr>
        <w:t>+</w:t>
      </w:r>
      <w:r w:rsidR="00CA3588" w:rsidRPr="00BC59F2">
        <w:rPr>
          <w:rFonts w:cs="Arial"/>
          <w:lang w:val="en-US"/>
        </w:rPr>
        <w:t xml:space="preserve"> 10 μM (Day 0-3)) or for the entire differentiation period </w:t>
      </w:r>
      <w:r w:rsidR="00CA3588" w:rsidRPr="00BC59F2">
        <w:rPr>
          <w:rFonts w:cs="Arial"/>
          <w:lang w:val="en-US"/>
        </w:rPr>
        <w:lastRenderedPageBreak/>
        <w:t>(Ag</w:t>
      </w:r>
      <w:r w:rsidR="00CA3588" w:rsidRPr="00BC59F2">
        <w:rPr>
          <w:rFonts w:cs="Arial"/>
          <w:vertAlign w:val="superscript"/>
          <w:lang w:val="en-US"/>
        </w:rPr>
        <w:t>+</w:t>
      </w:r>
      <w:r w:rsidR="00CA3588" w:rsidRPr="00BC59F2">
        <w:rPr>
          <w:rFonts w:cs="Arial"/>
          <w:lang w:val="en-US"/>
        </w:rPr>
        <w:t xml:space="preserve"> 10 μM). Control cultures received Ag</w:t>
      </w:r>
      <w:r w:rsidR="00CA3588" w:rsidRPr="00BC59F2">
        <w:rPr>
          <w:rFonts w:cs="Arial"/>
          <w:vertAlign w:val="superscript"/>
          <w:lang w:val="en-US"/>
        </w:rPr>
        <w:t>+</w:t>
      </w:r>
      <w:r w:rsidR="00CA3588" w:rsidRPr="00BC59F2">
        <w:rPr>
          <w:rFonts w:cs="Arial"/>
          <w:lang w:val="en-US"/>
        </w:rPr>
        <w:t xml:space="preserve"> free osteogenic differentiation medium only. Total ALP activity (i) and DNA quantification (ii) were measured from cell lysates. (</w:t>
      </w:r>
      <w:r w:rsidRPr="00BC59F2">
        <w:rPr>
          <w:rFonts w:cs="Arial"/>
          <w:b/>
          <w:lang w:val="en-US"/>
        </w:rPr>
        <w:t>b</w:t>
      </w:r>
      <w:r w:rsidR="00CA3588" w:rsidRPr="00BC59F2">
        <w:rPr>
          <w:rFonts w:cs="Arial"/>
          <w:lang w:val="en-US"/>
        </w:rPr>
        <w:t xml:space="preserve">) Normalised ALP activity of </w:t>
      </w:r>
      <w:r w:rsidR="00CA3588" w:rsidRPr="00BC59F2">
        <w:rPr>
          <w:rFonts w:cs="Arial"/>
        </w:rPr>
        <w:t>CFU-f derived MSCs cultured in the presence/absence of 10μM Ag</w:t>
      </w:r>
      <w:r w:rsidR="00CA3588" w:rsidRPr="00BC59F2">
        <w:rPr>
          <w:rFonts w:cs="Arial"/>
          <w:vertAlign w:val="superscript"/>
        </w:rPr>
        <w:t>+</w:t>
      </w:r>
      <w:r w:rsidR="00CA3588" w:rsidRPr="00BC59F2">
        <w:rPr>
          <w:rFonts w:cs="Arial"/>
        </w:rPr>
        <w:t xml:space="preserve"> prior to osteogenic differentiation in Ag</w:t>
      </w:r>
      <w:r w:rsidR="00CA3588" w:rsidRPr="00BC59F2">
        <w:rPr>
          <w:rFonts w:cs="Arial"/>
          <w:vertAlign w:val="superscript"/>
        </w:rPr>
        <w:t>+</w:t>
      </w:r>
      <w:r w:rsidR="00CA3588" w:rsidRPr="00BC59F2">
        <w:rPr>
          <w:rFonts w:cs="Arial"/>
        </w:rPr>
        <w:t xml:space="preserve"> free medium. Total </w:t>
      </w:r>
      <w:r w:rsidR="00CA3588" w:rsidRPr="00BC59F2">
        <w:rPr>
          <w:rFonts w:cs="Arial"/>
          <w:lang w:val="en-US"/>
        </w:rPr>
        <w:t xml:space="preserve">ALP activity (i) and DNA quantification (ii) were measured from cell lysates. </w:t>
      </w:r>
      <w:r w:rsidR="00CA3588" w:rsidRPr="00BC59F2">
        <w:rPr>
          <w:rFonts w:cs="Arial"/>
        </w:rPr>
        <w:t>The results represent the mean ±SEM for three donors, performed in triplicate. CFU-Ob, (</w:t>
      </w:r>
      <w:r w:rsidRPr="00BC59F2">
        <w:rPr>
          <w:rFonts w:cs="Arial"/>
          <w:b/>
          <w:color w:val="000000"/>
          <w:spacing w:val="-4"/>
          <w:kern w:val="1"/>
          <w:lang w:val="en-US"/>
        </w:rPr>
        <w:t>c</w:t>
      </w:r>
      <w:r w:rsidR="00CA3588" w:rsidRPr="00BC59F2">
        <w:rPr>
          <w:rFonts w:cs="Arial"/>
          <w:color w:val="000000"/>
          <w:spacing w:val="-4"/>
          <w:kern w:val="1"/>
          <w:lang w:val="en-US"/>
        </w:rPr>
        <w:t>) number, and (</w:t>
      </w:r>
      <w:r w:rsidRPr="00BC59F2">
        <w:rPr>
          <w:rFonts w:cs="Arial"/>
          <w:b/>
          <w:color w:val="000000"/>
          <w:spacing w:val="-4"/>
          <w:kern w:val="1"/>
          <w:lang w:val="en-US"/>
        </w:rPr>
        <w:t>d</w:t>
      </w:r>
      <w:r w:rsidR="00CA3588" w:rsidRPr="00BC59F2">
        <w:rPr>
          <w:rFonts w:cs="Arial"/>
          <w:color w:val="000000"/>
          <w:spacing w:val="-4"/>
          <w:kern w:val="1"/>
          <w:lang w:val="en-US"/>
        </w:rPr>
        <w:t>)</w:t>
      </w:r>
      <w:r w:rsidR="00CA3588" w:rsidRPr="00BC59F2">
        <w:rPr>
          <w:rFonts w:cs="Arial"/>
          <w:b/>
          <w:color w:val="000000"/>
          <w:spacing w:val="-4"/>
          <w:kern w:val="1"/>
          <w:lang w:val="en-US"/>
        </w:rPr>
        <w:t>,</w:t>
      </w:r>
      <w:r w:rsidR="00CA3588" w:rsidRPr="00BC59F2">
        <w:rPr>
          <w:rFonts w:cs="Arial"/>
          <w:color w:val="000000"/>
          <w:spacing w:val="-4"/>
          <w:kern w:val="1"/>
          <w:lang w:val="en-US"/>
        </w:rPr>
        <w:t xml:space="preserve"> total percentage area during Ag</w:t>
      </w:r>
      <w:r w:rsidR="00CA3588" w:rsidRPr="00BC59F2">
        <w:rPr>
          <w:rFonts w:cs="Arial"/>
          <w:color w:val="000000"/>
          <w:spacing w:val="-4"/>
          <w:kern w:val="1"/>
          <w:vertAlign w:val="superscript"/>
          <w:lang w:val="en-US"/>
        </w:rPr>
        <w:t>+</w:t>
      </w:r>
      <w:r w:rsidR="00CA3588" w:rsidRPr="00BC59F2">
        <w:rPr>
          <w:rFonts w:cs="Arial"/>
          <w:color w:val="000000"/>
          <w:spacing w:val="-4"/>
          <w:kern w:val="1"/>
          <w:lang w:val="en-US"/>
        </w:rPr>
        <w:t xml:space="preserve"> exposure. </w:t>
      </w:r>
      <w:r w:rsidR="00CA3588" w:rsidRPr="00BC59F2">
        <w:rPr>
          <w:rFonts w:cs="Arial"/>
        </w:rPr>
        <w:t xml:space="preserve">All values are means ±SEM (n=3). </w:t>
      </w:r>
      <w:r w:rsidR="00CA3588" w:rsidRPr="00BC59F2">
        <w:rPr>
          <w:rFonts w:cs="Arial"/>
          <w:color w:val="000000"/>
          <w:spacing w:val="-4"/>
          <w:kern w:val="1"/>
          <w:lang w:val="en-US"/>
        </w:rPr>
        <w:t>R</w:t>
      </w:r>
      <w:r w:rsidR="00CA3588" w:rsidRPr="00BC59F2">
        <w:rPr>
          <w:rFonts w:cs="Arial"/>
        </w:rPr>
        <w:t>epresentative image (right) of CFU-Ob, with Ag</w:t>
      </w:r>
      <w:r w:rsidR="00CA3588" w:rsidRPr="00BC59F2">
        <w:rPr>
          <w:rFonts w:cs="Arial"/>
          <w:vertAlign w:val="superscript"/>
        </w:rPr>
        <w:t>+</w:t>
      </w:r>
      <w:r w:rsidR="00CA3588" w:rsidRPr="00BC59F2">
        <w:rPr>
          <w:rFonts w:cs="Arial"/>
        </w:rPr>
        <w:t xml:space="preserve"> concentrations for plates (L-R): top row, 0, 0.1, 0.5 μM; bottom row, 1, 5, 10 μM. Statistical analysis performed by ANOVA using appropriate correction for multiple comparisons. Significance against control indicated by </w:t>
      </w:r>
      <w:r w:rsidR="00CA3588" w:rsidRPr="00BC59F2">
        <w:rPr>
          <w:rFonts w:cs="Arial"/>
          <w:color w:val="000000"/>
          <w:spacing w:val="-4"/>
          <w:kern w:val="1"/>
          <w:lang w:val="en-US"/>
        </w:rPr>
        <w:t xml:space="preserve">* </w:t>
      </w:r>
      <w:r w:rsidR="00CA3588" w:rsidRPr="00BC59F2">
        <w:rPr>
          <w:rFonts w:cs="Arial"/>
          <w:i/>
          <w:color w:val="000000"/>
          <w:spacing w:val="-4"/>
          <w:kern w:val="1"/>
          <w:lang w:val="en-US"/>
        </w:rPr>
        <w:t>p</w:t>
      </w:r>
      <w:r w:rsidR="00CA3588" w:rsidRPr="00BC59F2">
        <w:rPr>
          <w:rFonts w:cs="Arial"/>
          <w:color w:val="000000"/>
          <w:spacing w:val="-4"/>
          <w:kern w:val="1"/>
          <w:lang w:val="en-US"/>
        </w:rPr>
        <w:t>&lt;0.05</w:t>
      </w:r>
      <w:r w:rsidR="00CA3588" w:rsidRPr="00BC59F2">
        <w:rPr>
          <w:rFonts w:cs="Arial"/>
        </w:rPr>
        <w:t xml:space="preserve">, </w:t>
      </w:r>
      <w:r w:rsidR="00CA3588" w:rsidRPr="00BC59F2">
        <w:rPr>
          <w:rFonts w:cs="Arial"/>
          <w:color w:val="000000"/>
          <w:spacing w:val="-4"/>
          <w:kern w:val="1"/>
          <w:lang w:val="en-US"/>
        </w:rPr>
        <w:t>** </w:t>
      </w:r>
      <w:r w:rsidR="00CA3588" w:rsidRPr="00BC59F2">
        <w:rPr>
          <w:rFonts w:cs="Arial"/>
          <w:i/>
          <w:color w:val="000000"/>
          <w:spacing w:val="-4"/>
          <w:kern w:val="1"/>
          <w:lang w:val="en-US"/>
        </w:rPr>
        <w:t>p</w:t>
      </w:r>
      <w:r w:rsidR="00CA3588" w:rsidRPr="00BC59F2">
        <w:rPr>
          <w:rFonts w:cs="Arial"/>
          <w:color w:val="000000"/>
          <w:spacing w:val="-4"/>
          <w:kern w:val="1"/>
          <w:lang w:val="en-US"/>
        </w:rPr>
        <w:t>&lt;0.01.</w:t>
      </w:r>
      <w:r w:rsidR="00CA3588" w:rsidRPr="00FC714C">
        <w:rPr>
          <w:rFonts w:cs="Arial"/>
          <w:color w:val="000000"/>
          <w:spacing w:val="-4"/>
          <w:kern w:val="1"/>
          <w:lang w:val="en-US"/>
        </w:rPr>
        <w:t xml:space="preserve"> </w:t>
      </w:r>
    </w:p>
    <w:sectPr w:rsidR="00CA3588" w:rsidRPr="00FC714C" w:rsidSect="008839A8">
      <w:footerReference w:type="even" r:id="rId16"/>
      <w:footerReference w:type="default" r:id="rId17"/>
      <w:pgSz w:w="11906" w:h="16838" w:code="9"/>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B557A" w14:textId="77777777" w:rsidR="00C85975" w:rsidRDefault="00C85975" w:rsidP="00F36FCB">
      <w:pPr>
        <w:spacing w:after="0" w:line="240" w:lineRule="auto"/>
      </w:pPr>
      <w:r>
        <w:separator/>
      </w:r>
    </w:p>
  </w:endnote>
  <w:endnote w:type="continuationSeparator" w:id="0">
    <w:p w14:paraId="6E73AD3B" w14:textId="77777777" w:rsidR="00C85975" w:rsidRDefault="00C85975" w:rsidP="00F3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merican Typewriter">
    <w:altName w:val="Times New Roman"/>
    <w:charset w:val="00"/>
    <w:family w:val="auto"/>
    <w:pitch w:val="variable"/>
    <w:sig w:usb0="A000006F" w:usb1="00000019" w:usb2="00000000" w:usb3="00000000" w:csb0="0000011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4EC9C" w14:textId="77777777" w:rsidR="00C85975" w:rsidRDefault="00C85975" w:rsidP="00D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361B61" w14:textId="77777777" w:rsidR="00C85975" w:rsidRDefault="00C85975" w:rsidP="00FA43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52EF" w14:textId="3EAD35B9" w:rsidR="00C85975" w:rsidRDefault="00C85975" w:rsidP="00D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3D21">
      <w:rPr>
        <w:rStyle w:val="PageNumber"/>
        <w:noProof/>
      </w:rPr>
      <w:t>20</w:t>
    </w:r>
    <w:r>
      <w:rPr>
        <w:rStyle w:val="PageNumber"/>
      </w:rPr>
      <w:fldChar w:fldCharType="end"/>
    </w:r>
  </w:p>
  <w:p w14:paraId="0C748800" w14:textId="77777777" w:rsidR="00C85975" w:rsidRDefault="00C85975" w:rsidP="00FA4373">
    <w:pPr>
      <w:pStyle w:val="Footer"/>
      <w:ind w:left="7920"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E9493" w14:textId="77777777" w:rsidR="00C85975" w:rsidRDefault="00C85975" w:rsidP="00F36FCB">
      <w:pPr>
        <w:spacing w:after="0" w:line="240" w:lineRule="auto"/>
      </w:pPr>
      <w:r>
        <w:separator/>
      </w:r>
    </w:p>
  </w:footnote>
  <w:footnote w:type="continuationSeparator" w:id="0">
    <w:p w14:paraId="408594D8" w14:textId="77777777" w:rsidR="00C85975" w:rsidRDefault="00C85975" w:rsidP="00F36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0BB7"/>
    <w:multiLevelType w:val="multilevel"/>
    <w:tmpl w:val="0CFA57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BF27A24"/>
    <w:multiLevelType w:val="multilevel"/>
    <w:tmpl w:val="302A0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CC0922"/>
    <w:multiLevelType w:val="hybridMultilevel"/>
    <w:tmpl w:val="1DF49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339A1"/>
    <w:multiLevelType w:val="multilevel"/>
    <w:tmpl w:val="0CFA57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786FEE"/>
    <w:multiLevelType w:val="hybridMultilevel"/>
    <w:tmpl w:val="7B7E1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03E3B"/>
    <w:multiLevelType w:val="multilevel"/>
    <w:tmpl w:val="5A7EEB1E"/>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775F01"/>
    <w:multiLevelType w:val="multilevel"/>
    <w:tmpl w:val="302A0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0B32D48"/>
    <w:multiLevelType w:val="multilevel"/>
    <w:tmpl w:val="DDA0EA4E"/>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2.%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F76092"/>
    <w:multiLevelType w:val="hybridMultilevel"/>
    <w:tmpl w:val="0884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22B76"/>
    <w:multiLevelType w:val="hybridMultilevel"/>
    <w:tmpl w:val="F91C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A6B2B"/>
    <w:multiLevelType w:val="multilevel"/>
    <w:tmpl w:val="302A0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5FB4015"/>
    <w:multiLevelType w:val="hybridMultilevel"/>
    <w:tmpl w:val="4AA8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E26D0"/>
    <w:multiLevelType w:val="multilevel"/>
    <w:tmpl w:val="302A0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877F84"/>
    <w:multiLevelType w:val="multilevel"/>
    <w:tmpl w:val="DB4C9114"/>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B20331F"/>
    <w:multiLevelType w:val="multilevel"/>
    <w:tmpl w:val="7EFA9EF2"/>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pStyle w:val="Heading3"/>
      <w:lvlText w:val="2.%2.%3"/>
      <w:lvlJc w:val="left"/>
      <w:pPr>
        <w:ind w:left="720" w:hanging="720"/>
      </w:pPr>
      <w:rPr>
        <w:rFonts w:hint="default"/>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73478B6"/>
    <w:multiLevelType w:val="hybridMultilevel"/>
    <w:tmpl w:val="3BC2C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870726E"/>
    <w:multiLevelType w:val="hybridMultilevel"/>
    <w:tmpl w:val="8C78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81351"/>
    <w:multiLevelType w:val="hybridMultilevel"/>
    <w:tmpl w:val="606E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82AFB"/>
    <w:multiLevelType w:val="hybridMultilevel"/>
    <w:tmpl w:val="FB26A55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60F6C"/>
    <w:multiLevelType w:val="multilevel"/>
    <w:tmpl w:val="62863006"/>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3"/>
      <w:numFmt w:val="decimal"/>
      <w:lvlText w:val="2.%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D3D048B"/>
    <w:multiLevelType w:val="hybridMultilevel"/>
    <w:tmpl w:val="1146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36956"/>
    <w:multiLevelType w:val="multilevel"/>
    <w:tmpl w:val="62863006"/>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3"/>
      <w:numFmt w:val="decimal"/>
      <w:lvlText w:val="2.%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3D215A8"/>
    <w:multiLevelType w:val="multilevel"/>
    <w:tmpl w:val="31120B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5214F8E"/>
    <w:multiLevelType w:val="multilevel"/>
    <w:tmpl w:val="BFC8CF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C10405F"/>
    <w:multiLevelType w:val="hybridMultilevel"/>
    <w:tmpl w:val="987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C0C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DB7871"/>
    <w:multiLevelType w:val="multilevel"/>
    <w:tmpl w:val="302A0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6B81EB5"/>
    <w:multiLevelType w:val="multilevel"/>
    <w:tmpl w:val="6AB4F8A0"/>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7CC6537"/>
    <w:multiLevelType w:val="multilevel"/>
    <w:tmpl w:val="6AB4F8A0"/>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866A0F"/>
    <w:multiLevelType w:val="multilevel"/>
    <w:tmpl w:val="F90CDA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F371E03"/>
    <w:multiLevelType w:val="multilevel"/>
    <w:tmpl w:val="31120B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1DF7B31"/>
    <w:multiLevelType w:val="multilevel"/>
    <w:tmpl w:val="62863006"/>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3"/>
      <w:numFmt w:val="decimal"/>
      <w:lvlText w:val="2.%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4124563"/>
    <w:multiLevelType w:val="hybridMultilevel"/>
    <w:tmpl w:val="7352A3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2069DA"/>
    <w:multiLevelType w:val="hybridMultilevel"/>
    <w:tmpl w:val="208AA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62575"/>
    <w:multiLevelType w:val="multilevel"/>
    <w:tmpl w:val="796EFF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EB60D8C"/>
    <w:multiLevelType w:val="hybridMultilevel"/>
    <w:tmpl w:val="EC0E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82245E"/>
    <w:multiLevelType w:val="multilevel"/>
    <w:tmpl w:val="F50689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900384A"/>
    <w:multiLevelType w:val="multilevel"/>
    <w:tmpl w:val="6AB4F8A0"/>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A8A662D"/>
    <w:multiLevelType w:val="hybridMultilevel"/>
    <w:tmpl w:val="141497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DC2E96"/>
    <w:multiLevelType w:val="hybridMultilevel"/>
    <w:tmpl w:val="EF703072"/>
    <w:lvl w:ilvl="0" w:tplc="C1C4F0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3"/>
  </w:num>
  <w:num w:numId="3">
    <w:abstractNumId w:val="25"/>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8"/>
  </w:num>
  <w:num w:numId="7">
    <w:abstractNumId w:val="33"/>
  </w:num>
  <w:num w:numId="8">
    <w:abstractNumId w:val="39"/>
  </w:num>
  <w:num w:numId="9">
    <w:abstractNumId w:val="20"/>
  </w:num>
  <w:num w:numId="10">
    <w:abstractNumId w:val="6"/>
  </w:num>
  <w:num w:numId="11">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4"/>
  </w:num>
  <w:num w:numId="14">
    <w:abstractNumId w:val="10"/>
  </w:num>
  <w:num w:numId="15">
    <w:abstractNumId w:val="9"/>
  </w:num>
  <w:num w:numId="16">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1"/>
  </w:num>
  <w:num w:numId="20">
    <w:abstractNumId w:val="32"/>
  </w:num>
  <w:num w:numId="21">
    <w:abstractNumId w:val="16"/>
  </w:num>
  <w:num w:numId="22">
    <w:abstractNumId w:val="11"/>
  </w:num>
  <w:num w:numId="23">
    <w:abstractNumId w:val="38"/>
  </w:num>
  <w:num w:numId="24">
    <w:abstractNumId w:val="13"/>
  </w:num>
  <w:num w:numId="25">
    <w:abstractNumId w:val="14"/>
  </w:num>
  <w:num w:numId="26">
    <w:abstractNumId w:val="12"/>
  </w:num>
  <w:num w:numId="27">
    <w:abstractNumId w:val="34"/>
  </w:num>
  <w:num w:numId="28">
    <w:abstractNumId w:val="36"/>
  </w:num>
  <w:num w:numId="2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9"/>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
  </w:num>
  <w:num w:numId="35">
    <w:abstractNumId w:val="30"/>
  </w:num>
  <w:num w:numId="36">
    <w:abstractNumId w:val="22"/>
  </w:num>
  <w:num w:numId="37">
    <w:abstractNumId w:val="27"/>
  </w:num>
  <w:num w:numId="38">
    <w:abstractNumId w:val="5"/>
  </w:num>
  <w:num w:numId="39">
    <w:abstractNumId w:val="1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1"/>
  </w:num>
  <w:num w:numId="42">
    <w:abstractNumId w:val="7"/>
  </w:num>
  <w:num w:numId="43">
    <w:abstractNumId w:val="14"/>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8"/>
  </w:num>
  <w:num w:numId="46">
    <w:abstractNumId w:val="1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A14"/>
    <w:rsid w:val="00001268"/>
    <w:rsid w:val="00003B99"/>
    <w:rsid w:val="00004B1E"/>
    <w:rsid w:val="00013F09"/>
    <w:rsid w:val="0001674F"/>
    <w:rsid w:val="00031147"/>
    <w:rsid w:val="000434BD"/>
    <w:rsid w:val="000439EC"/>
    <w:rsid w:val="00054FA3"/>
    <w:rsid w:val="00061D1C"/>
    <w:rsid w:val="00062AB8"/>
    <w:rsid w:val="00062C73"/>
    <w:rsid w:val="00063C3C"/>
    <w:rsid w:val="000662D1"/>
    <w:rsid w:val="000679D4"/>
    <w:rsid w:val="0007101F"/>
    <w:rsid w:val="0007375F"/>
    <w:rsid w:val="00077C60"/>
    <w:rsid w:val="00081A7D"/>
    <w:rsid w:val="00091CBA"/>
    <w:rsid w:val="00091E99"/>
    <w:rsid w:val="000924FA"/>
    <w:rsid w:val="000930B4"/>
    <w:rsid w:val="00096F3C"/>
    <w:rsid w:val="0009791B"/>
    <w:rsid w:val="000A1BB1"/>
    <w:rsid w:val="000A6921"/>
    <w:rsid w:val="000A7F58"/>
    <w:rsid w:val="000B1C60"/>
    <w:rsid w:val="000B297B"/>
    <w:rsid w:val="000B2CB4"/>
    <w:rsid w:val="000B363B"/>
    <w:rsid w:val="000B78AF"/>
    <w:rsid w:val="000B7CCD"/>
    <w:rsid w:val="000C23EB"/>
    <w:rsid w:val="000C4DDF"/>
    <w:rsid w:val="000D40AA"/>
    <w:rsid w:val="000D4A14"/>
    <w:rsid w:val="000D6A1B"/>
    <w:rsid w:val="000E051F"/>
    <w:rsid w:val="000E052B"/>
    <w:rsid w:val="000E5628"/>
    <w:rsid w:val="000F5A26"/>
    <w:rsid w:val="000F7F61"/>
    <w:rsid w:val="00102A43"/>
    <w:rsid w:val="00104534"/>
    <w:rsid w:val="001073A5"/>
    <w:rsid w:val="0011076C"/>
    <w:rsid w:val="001112D0"/>
    <w:rsid w:val="001159A1"/>
    <w:rsid w:val="00115E0A"/>
    <w:rsid w:val="0012072A"/>
    <w:rsid w:val="001213A8"/>
    <w:rsid w:val="001220EA"/>
    <w:rsid w:val="001320C1"/>
    <w:rsid w:val="0013343C"/>
    <w:rsid w:val="00134980"/>
    <w:rsid w:val="00134C2B"/>
    <w:rsid w:val="00134F3F"/>
    <w:rsid w:val="001406D4"/>
    <w:rsid w:val="00141260"/>
    <w:rsid w:val="001425B5"/>
    <w:rsid w:val="00143047"/>
    <w:rsid w:val="001448BC"/>
    <w:rsid w:val="00144E9A"/>
    <w:rsid w:val="00146591"/>
    <w:rsid w:val="00151A78"/>
    <w:rsid w:val="00153D33"/>
    <w:rsid w:val="001544C7"/>
    <w:rsid w:val="00154FD3"/>
    <w:rsid w:val="00155159"/>
    <w:rsid w:val="001628C2"/>
    <w:rsid w:val="00164EA1"/>
    <w:rsid w:val="00170787"/>
    <w:rsid w:val="00170C88"/>
    <w:rsid w:val="001809B7"/>
    <w:rsid w:val="0018314D"/>
    <w:rsid w:val="00183831"/>
    <w:rsid w:val="00184F07"/>
    <w:rsid w:val="00185829"/>
    <w:rsid w:val="00191EC8"/>
    <w:rsid w:val="00192F27"/>
    <w:rsid w:val="00194900"/>
    <w:rsid w:val="00194F19"/>
    <w:rsid w:val="00196CB4"/>
    <w:rsid w:val="001A17BB"/>
    <w:rsid w:val="001B0988"/>
    <w:rsid w:val="001B6957"/>
    <w:rsid w:val="001C331A"/>
    <w:rsid w:val="001C6A13"/>
    <w:rsid w:val="001D17FA"/>
    <w:rsid w:val="001E1993"/>
    <w:rsid w:val="001E4AE7"/>
    <w:rsid w:val="001E5447"/>
    <w:rsid w:val="00200AE7"/>
    <w:rsid w:val="00201309"/>
    <w:rsid w:val="00205D76"/>
    <w:rsid w:val="002076B8"/>
    <w:rsid w:val="00212BBC"/>
    <w:rsid w:val="002339C0"/>
    <w:rsid w:val="00240C99"/>
    <w:rsid w:val="002410E1"/>
    <w:rsid w:val="002414B3"/>
    <w:rsid w:val="00241715"/>
    <w:rsid w:val="0024375A"/>
    <w:rsid w:val="00247223"/>
    <w:rsid w:val="002475B6"/>
    <w:rsid w:val="00254D7A"/>
    <w:rsid w:val="00254E39"/>
    <w:rsid w:val="0026113D"/>
    <w:rsid w:val="00267373"/>
    <w:rsid w:val="00270308"/>
    <w:rsid w:val="002727CF"/>
    <w:rsid w:val="002737F6"/>
    <w:rsid w:val="00273E35"/>
    <w:rsid w:val="0027678F"/>
    <w:rsid w:val="0028422D"/>
    <w:rsid w:val="002864D5"/>
    <w:rsid w:val="00293EA6"/>
    <w:rsid w:val="0029508B"/>
    <w:rsid w:val="00295EDA"/>
    <w:rsid w:val="00297B5F"/>
    <w:rsid w:val="002B026F"/>
    <w:rsid w:val="002B1403"/>
    <w:rsid w:val="002B1AA2"/>
    <w:rsid w:val="002B6825"/>
    <w:rsid w:val="002B705B"/>
    <w:rsid w:val="002B7F6C"/>
    <w:rsid w:val="002C1467"/>
    <w:rsid w:val="002C1EB2"/>
    <w:rsid w:val="002E2477"/>
    <w:rsid w:val="002E7D69"/>
    <w:rsid w:val="002F355E"/>
    <w:rsid w:val="002F770D"/>
    <w:rsid w:val="0030047C"/>
    <w:rsid w:val="0030092A"/>
    <w:rsid w:val="00300B3D"/>
    <w:rsid w:val="00300C7D"/>
    <w:rsid w:val="00305A93"/>
    <w:rsid w:val="003063F0"/>
    <w:rsid w:val="00310DD4"/>
    <w:rsid w:val="00313A90"/>
    <w:rsid w:val="00314381"/>
    <w:rsid w:val="003164A1"/>
    <w:rsid w:val="0032047A"/>
    <w:rsid w:val="0033203C"/>
    <w:rsid w:val="003330F1"/>
    <w:rsid w:val="003353C7"/>
    <w:rsid w:val="0033761A"/>
    <w:rsid w:val="00343930"/>
    <w:rsid w:val="00343A52"/>
    <w:rsid w:val="00347E75"/>
    <w:rsid w:val="003517D0"/>
    <w:rsid w:val="00353A9A"/>
    <w:rsid w:val="00353B7B"/>
    <w:rsid w:val="003548D6"/>
    <w:rsid w:val="00354CCB"/>
    <w:rsid w:val="003566AC"/>
    <w:rsid w:val="00360BA2"/>
    <w:rsid w:val="003642C5"/>
    <w:rsid w:val="003643CE"/>
    <w:rsid w:val="003755C4"/>
    <w:rsid w:val="00377E31"/>
    <w:rsid w:val="003815DA"/>
    <w:rsid w:val="00384E2E"/>
    <w:rsid w:val="00390C60"/>
    <w:rsid w:val="00397394"/>
    <w:rsid w:val="003974A7"/>
    <w:rsid w:val="00397747"/>
    <w:rsid w:val="003A0894"/>
    <w:rsid w:val="003A0DF5"/>
    <w:rsid w:val="003B5B8F"/>
    <w:rsid w:val="003B5CF9"/>
    <w:rsid w:val="003C0315"/>
    <w:rsid w:val="003C20DD"/>
    <w:rsid w:val="003C62EB"/>
    <w:rsid w:val="003C7E85"/>
    <w:rsid w:val="003D21A4"/>
    <w:rsid w:val="003D6ECC"/>
    <w:rsid w:val="003E1F20"/>
    <w:rsid w:val="003E5BBE"/>
    <w:rsid w:val="003E7940"/>
    <w:rsid w:val="003F13ED"/>
    <w:rsid w:val="003F26F6"/>
    <w:rsid w:val="003F5ADC"/>
    <w:rsid w:val="00401396"/>
    <w:rsid w:val="00402AFD"/>
    <w:rsid w:val="0041315A"/>
    <w:rsid w:val="004144C5"/>
    <w:rsid w:val="004148C3"/>
    <w:rsid w:val="00424C55"/>
    <w:rsid w:val="00425CE7"/>
    <w:rsid w:val="00430595"/>
    <w:rsid w:val="004305B6"/>
    <w:rsid w:val="0043094E"/>
    <w:rsid w:val="004332AA"/>
    <w:rsid w:val="004341C0"/>
    <w:rsid w:val="00434BEC"/>
    <w:rsid w:val="0043759E"/>
    <w:rsid w:val="0044415B"/>
    <w:rsid w:val="004469EC"/>
    <w:rsid w:val="00453AFA"/>
    <w:rsid w:val="00460787"/>
    <w:rsid w:val="00463BA3"/>
    <w:rsid w:val="004733DC"/>
    <w:rsid w:val="00475B8C"/>
    <w:rsid w:val="00476FA4"/>
    <w:rsid w:val="00481607"/>
    <w:rsid w:val="00481F53"/>
    <w:rsid w:val="00482B8F"/>
    <w:rsid w:val="00482DBE"/>
    <w:rsid w:val="00483CBC"/>
    <w:rsid w:val="00484B84"/>
    <w:rsid w:val="00485D9B"/>
    <w:rsid w:val="00486F61"/>
    <w:rsid w:val="00487887"/>
    <w:rsid w:val="004955BD"/>
    <w:rsid w:val="004B0FC3"/>
    <w:rsid w:val="004B2C3A"/>
    <w:rsid w:val="004B47F4"/>
    <w:rsid w:val="004B6477"/>
    <w:rsid w:val="004B6DEA"/>
    <w:rsid w:val="004C4DDD"/>
    <w:rsid w:val="004C5C97"/>
    <w:rsid w:val="004D2C9C"/>
    <w:rsid w:val="004D4CCD"/>
    <w:rsid w:val="004D5986"/>
    <w:rsid w:val="004D69D7"/>
    <w:rsid w:val="004E4898"/>
    <w:rsid w:val="004E5E21"/>
    <w:rsid w:val="004E7367"/>
    <w:rsid w:val="004F6031"/>
    <w:rsid w:val="004F61F6"/>
    <w:rsid w:val="004F67A6"/>
    <w:rsid w:val="004F67E5"/>
    <w:rsid w:val="00504367"/>
    <w:rsid w:val="005174E0"/>
    <w:rsid w:val="00521817"/>
    <w:rsid w:val="00524F37"/>
    <w:rsid w:val="0052704A"/>
    <w:rsid w:val="00535137"/>
    <w:rsid w:val="005356E5"/>
    <w:rsid w:val="00537039"/>
    <w:rsid w:val="00543521"/>
    <w:rsid w:val="00545E59"/>
    <w:rsid w:val="00551B9D"/>
    <w:rsid w:val="005522D1"/>
    <w:rsid w:val="00553178"/>
    <w:rsid w:val="005536C1"/>
    <w:rsid w:val="00554CFC"/>
    <w:rsid w:val="00554F02"/>
    <w:rsid w:val="00560CD3"/>
    <w:rsid w:val="005630E6"/>
    <w:rsid w:val="00563186"/>
    <w:rsid w:val="0056385C"/>
    <w:rsid w:val="005641C3"/>
    <w:rsid w:val="0056427E"/>
    <w:rsid w:val="0056667B"/>
    <w:rsid w:val="00566D1E"/>
    <w:rsid w:val="00570143"/>
    <w:rsid w:val="005771D2"/>
    <w:rsid w:val="005811D0"/>
    <w:rsid w:val="005847EB"/>
    <w:rsid w:val="00594849"/>
    <w:rsid w:val="005A0424"/>
    <w:rsid w:val="005A53B6"/>
    <w:rsid w:val="005A5D75"/>
    <w:rsid w:val="005B2A2F"/>
    <w:rsid w:val="005B6F07"/>
    <w:rsid w:val="005C1C80"/>
    <w:rsid w:val="005C1DE6"/>
    <w:rsid w:val="005C1F7B"/>
    <w:rsid w:val="005C5748"/>
    <w:rsid w:val="005C5CDD"/>
    <w:rsid w:val="005D4985"/>
    <w:rsid w:val="005D7FAB"/>
    <w:rsid w:val="005E06E1"/>
    <w:rsid w:val="005E151E"/>
    <w:rsid w:val="005E372D"/>
    <w:rsid w:val="005E5856"/>
    <w:rsid w:val="006113A6"/>
    <w:rsid w:val="00611CFE"/>
    <w:rsid w:val="006223FC"/>
    <w:rsid w:val="006370CE"/>
    <w:rsid w:val="00643210"/>
    <w:rsid w:val="006445D7"/>
    <w:rsid w:val="00646C4F"/>
    <w:rsid w:val="00657B6E"/>
    <w:rsid w:val="00663629"/>
    <w:rsid w:val="006644C4"/>
    <w:rsid w:val="00666FF4"/>
    <w:rsid w:val="00667A23"/>
    <w:rsid w:val="00672C8F"/>
    <w:rsid w:val="00685435"/>
    <w:rsid w:val="0068595B"/>
    <w:rsid w:val="00690D79"/>
    <w:rsid w:val="00692438"/>
    <w:rsid w:val="006A4A8F"/>
    <w:rsid w:val="006A67E4"/>
    <w:rsid w:val="006B4876"/>
    <w:rsid w:val="006C408D"/>
    <w:rsid w:val="006C4AA6"/>
    <w:rsid w:val="006C5760"/>
    <w:rsid w:val="006C7DB4"/>
    <w:rsid w:val="006D0DDA"/>
    <w:rsid w:val="006D24D2"/>
    <w:rsid w:val="006D4A59"/>
    <w:rsid w:val="006E027D"/>
    <w:rsid w:val="006E24C1"/>
    <w:rsid w:val="006E5B3B"/>
    <w:rsid w:val="006F07D2"/>
    <w:rsid w:val="006F4445"/>
    <w:rsid w:val="00707D91"/>
    <w:rsid w:val="00707DC1"/>
    <w:rsid w:val="00710694"/>
    <w:rsid w:val="0071415B"/>
    <w:rsid w:val="0071526B"/>
    <w:rsid w:val="0072004F"/>
    <w:rsid w:val="0072477A"/>
    <w:rsid w:val="00725181"/>
    <w:rsid w:val="00726660"/>
    <w:rsid w:val="0072797E"/>
    <w:rsid w:val="007314A5"/>
    <w:rsid w:val="00731A2A"/>
    <w:rsid w:val="007343EC"/>
    <w:rsid w:val="00736B37"/>
    <w:rsid w:val="00745C63"/>
    <w:rsid w:val="00746A6D"/>
    <w:rsid w:val="00746C78"/>
    <w:rsid w:val="00750020"/>
    <w:rsid w:val="00751063"/>
    <w:rsid w:val="00752068"/>
    <w:rsid w:val="00754EF5"/>
    <w:rsid w:val="00756486"/>
    <w:rsid w:val="00761159"/>
    <w:rsid w:val="00764B94"/>
    <w:rsid w:val="00765BB4"/>
    <w:rsid w:val="00770574"/>
    <w:rsid w:val="00772ECF"/>
    <w:rsid w:val="00776207"/>
    <w:rsid w:val="007771C8"/>
    <w:rsid w:val="0077727F"/>
    <w:rsid w:val="00780AD3"/>
    <w:rsid w:val="007823A5"/>
    <w:rsid w:val="00784AB2"/>
    <w:rsid w:val="007873C8"/>
    <w:rsid w:val="00792F24"/>
    <w:rsid w:val="00796754"/>
    <w:rsid w:val="007A48B3"/>
    <w:rsid w:val="007A504C"/>
    <w:rsid w:val="007A6005"/>
    <w:rsid w:val="007A627C"/>
    <w:rsid w:val="007A634F"/>
    <w:rsid w:val="007A673F"/>
    <w:rsid w:val="007A69B8"/>
    <w:rsid w:val="007A71BC"/>
    <w:rsid w:val="007A7F8D"/>
    <w:rsid w:val="007B10B3"/>
    <w:rsid w:val="007B345C"/>
    <w:rsid w:val="007B3D3F"/>
    <w:rsid w:val="007B495E"/>
    <w:rsid w:val="007B5E73"/>
    <w:rsid w:val="007C09D2"/>
    <w:rsid w:val="007C0E9D"/>
    <w:rsid w:val="007C4429"/>
    <w:rsid w:val="007D2186"/>
    <w:rsid w:val="007D4D4C"/>
    <w:rsid w:val="007D5167"/>
    <w:rsid w:val="007E4107"/>
    <w:rsid w:val="007F2159"/>
    <w:rsid w:val="007F2B2A"/>
    <w:rsid w:val="007F34B3"/>
    <w:rsid w:val="007F4646"/>
    <w:rsid w:val="007F6D81"/>
    <w:rsid w:val="007F7542"/>
    <w:rsid w:val="00800A2B"/>
    <w:rsid w:val="008037BF"/>
    <w:rsid w:val="00805E25"/>
    <w:rsid w:val="008074FE"/>
    <w:rsid w:val="0081535A"/>
    <w:rsid w:val="00817DDB"/>
    <w:rsid w:val="008224F3"/>
    <w:rsid w:val="00823348"/>
    <w:rsid w:val="008244EF"/>
    <w:rsid w:val="00825251"/>
    <w:rsid w:val="00825F8F"/>
    <w:rsid w:val="00833FB5"/>
    <w:rsid w:val="00834A3B"/>
    <w:rsid w:val="00841BF1"/>
    <w:rsid w:val="008461B8"/>
    <w:rsid w:val="00851E99"/>
    <w:rsid w:val="00854FBE"/>
    <w:rsid w:val="008562BB"/>
    <w:rsid w:val="008577DE"/>
    <w:rsid w:val="00860F90"/>
    <w:rsid w:val="00864ED9"/>
    <w:rsid w:val="008664F9"/>
    <w:rsid w:val="00866E61"/>
    <w:rsid w:val="008726BE"/>
    <w:rsid w:val="00876549"/>
    <w:rsid w:val="0087733D"/>
    <w:rsid w:val="00877642"/>
    <w:rsid w:val="0088031D"/>
    <w:rsid w:val="00881E51"/>
    <w:rsid w:val="008839A8"/>
    <w:rsid w:val="00891464"/>
    <w:rsid w:val="0089150E"/>
    <w:rsid w:val="008916E0"/>
    <w:rsid w:val="00892867"/>
    <w:rsid w:val="008A6D6D"/>
    <w:rsid w:val="008A77F1"/>
    <w:rsid w:val="008B3DF2"/>
    <w:rsid w:val="008B5846"/>
    <w:rsid w:val="008B6EA9"/>
    <w:rsid w:val="008C4B7A"/>
    <w:rsid w:val="008C692A"/>
    <w:rsid w:val="008E41DF"/>
    <w:rsid w:val="008E4EA1"/>
    <w:rsid w:val="008F0D3A"/>
    <w:rsid w:val="008F3721"/>
    <w:rsid w:val="008F4C27"/>
    <w:rsid w:val="00902D34"/>
    <w:rsid w:val="00904A4B"/>
    <w:rsid w:val="00911176"/>
    <w:rsid w:val="00912654"/>
    <w:rsid w:val="009142D4"/>
    <w:rsid w:val="009147B1"/>
    <w:rsid w:val="00915BC8"/>
    <w:rsid w:val="00926CC1"/>
    <w:rsid w:val="009361DC"/>
    <w:rsid w:val="00944AEF"/>
    <w:rsid w:val="00953F24"/>
    <w:rsid w:val="009647FB"/>
    <w:rsid w:val="0097087C"/>
    <w:rsid w:val="00972372"/>
    <w:rsid w:val="00981D06"/>
    <w:rsid w:val="009834E5"/>
    <w:rsid w:val="0099010E"/>
    <w:rsid w:val="009951C2"/>
    <w:rsid w:val="00995A0F"/>
    <w:rsid w:val="0099719C"/>
    <w:rsid w:val="009B308D"/>
    <w:rsid w:val="009B59E4"/>
    <w:rsid w:val="009C090A"/>
    <w:rsid w:val="009C28AA"/>
    <w:rsid w:val="009C4235"/>
    <w:rsid w:val="009C482D"/>
    <w:rsid w:val="009D07C2"/>
    <w:rsid w:val="009D16E9"/>
    <w:rsid w:val="009D6E65"/>
    <w:rsid w:val="009E424A"/>
    <w:rsid w:val="009E4D0A"/>
    <w:rsid w:val="009E6388"/>
    <w:rsid w:val="009F446B"/>
    <w:rsid w:val="00A033B0"/>
    <w:rsid w:val="00A10DBE"/>
    <w:rsid w:val="00A1386B"/>
    <w:rsid w:val="00A15488"/>
    <w:rsid w:val="00A25195"/>
    <w:rsid w:val="00A31454"/>
    <w:rsid w:val="00A345D0"/>
    <w:rsid w:val="00A352BB"/>
    <w:rsid w:val="00A35FFD"/>
    <w:rsid w:val="00A4010E"/>
    <w:rsid w:val="00A43AAF"/>
    <w:rsid w:val="00A46F31"/>
    <w:rsid w:val="00A51B35"/>
    <w:rsid w:val="00A52908"/>
    <w:rsid w:val="00A53D21"/>
    <w:rsid w:val="00A53D4D"/>
    <w:rsid w:val="00A54A93"/>
    <w:rsid w:val="00A563CE"/>
    <w:rsid w:val="00A7056F"/>
    <w:rsid w:val="00A71234"/>
    <w:rsid w:val="00A8010D"/>
    <w:rsid w:val="00A810C9"/>
    <w:rsid w:val="00A818F5"/>
    <w:rsid w:val="00A81F8A"/>
    <w:rsid w:val="00A863AE"/>
    <w:rsid w:val="00A911DE"/>
    <w:rsid w:val="00A933B9"/>
    <w:rsid w:val="00AA0C23"/>
    <w:rsid w:val="00AA2FCC"/>
    <w:rsid w:val="00AA440A"/>
    <w:rsid w:val="00AA5BF0"/>
    <w:rsid w:val="00AB3A37"/>
    <w:rsid w:val="00AB7C29"/>
    <w:rsid w:val="00AC27B9"/>
    <w:rsid w:val="00AC305E"/>
    <w:rsid w:val="00AC4ED7"/>
    <w:rsid w:val="00AC5DD5"/>
    <w:rsid w:val="00AC6175"/>
    <w:rsid w:val="00AC62F8"/>
    <w:rsid w:val="00AD13BB"/>
    <w:rsid w:val="00AD1651"/>
    <w:rsid w:val="00AD2A9B"/>
    <w:rsid w:val="00AD681B"/>
    <w:rsid w:val="00AE0448"/>
    <w:rsid w:val="00AE7905"/>
    <w:rsid w:val="00AF5B67"/>
    <w:rsid w:val="00AF6F36"/>
    <w:rsid w:val="00AF7257"/>
    <w:rsid w:val="00AF7C50"/>
    <w:rsid w:val="00B0036D"/>
    <w:rsid w:val="00B03BB7"/>
    <w:rsid w:val="00B03D3C"/>
    <w:rsid w:val="00B03E74"/>
    <w:rsid w:val="00B04A27"/>
    <w:rsid w:val="00B06802"/>
    <w:rsid w:val="00B1120F"/>
    <w:rsid w:val="00B12ED1"/>
    <w:rsid w:val="00B14FC0"/>
    <w:rsid w:val="00B159A6"/>
    <w:rsid w:val="00B15FC0"/>
    <w:rsid w:val="00B2201E"/>
    <w:rsid w:val="00B25FE8"/>
    <w:rsid w:val="00B339F3"/>
    <w:rsid w:val="00B34CE1"/>
    <w:rsid w:val="00B42A34"/>
    <w:rsid w:val="00B53A0A"/>
    <w:rsid w:val="00B54745"/>
    <w:rsid w:val="00B547EF"/>
    <w:rsid w:val="00B611A6"/>
    <w:rsid w:val="00B63EF3"/>
    <w:rsid w:val="00B65456"/>
    <w:rsid w:val="00B67834"/>
    <w:rsid w:val="00B73471"/>
    <w:rsid w:val="00B73B77"/>
    <w:rsid w:val="00B80019"/>
    <w:rsid w:val="00B82588"/>
    <w:rsid w:val="00B842A4"/>
    <w:rsid w:val="00B87CE5"/>
    <w:rsid w:val="00B917F4"/>
    <w:rsid w:val="00BB45F0"/>
    <w:rsid w:val="00BB6297"/>
    <w:rsid w:val="00BC1080"/>
    <w:rsid w:val="00BC2A3C"/>
    <w:rsid w:val="00BC59F2"/>
    <w:rsid w:val="00BC6649"/>
    <w:rsid w:val="00BD2632"/>
    <w:rsid w:val="00BD27E8"/>
    <w:rsid w:val="00BD379F"/>
    <w:rsid w:val="00BD3AC7"/>
    <w:rsid w:val="00BE2C25"/>
    <w:rsid w:val="00BE4F8C"/>
    <w:rsid w:val="00BE75F5"/>
    <w:rsid w:val="00BF15B8"/>
    <w:rsid w:val="00BF31F7"/>
    <w:rsid w:val="00BF4069"/>
    <w:rsid w:val="00BF76CD"/>
    <w:rsid w:val="00C059AB"/>
    <w:rsid w:val="00C070C1"/>
    <w:rsid w:val="00C1000D"/>
    <w:rsid w:val="00C1070F"/>
    <w:rsid w:val="00C131EB"/>
    <w:rsid w:val="00C307BC"/>
    <w:rsid w:val="00C4298B"/>
    <w:rsid w:val="00C42F6C"/>
    <w:rsid w:val="00C438DD"/>
    <w:rsid w:val="00C5479F"/>
    <w:rsid w:val="00C60E64"/>
    <w:rsid w:val="00C6161E"/>
    <w:rsid w:val="00C61F5E"/>
    <w:rsid w:val="00C65048"/>
    <w:rsid w:val="00C70826"/>
    <w:rsid w:val="00C73CCD"/>
    <w:rsid w:val="00C75208"/>
    <w:rsid w:val="00C7713C"/>
    <w:rsid w:val="00C820E9"/>
    <w:rsid w:val="00C83DFE"/>
    <w:rsid w:val="00C85975"/>
    <w:rsid w:val="00C901B2"/>
    <w:rsid w:val="00C912F6"/>
    <w:rsid w:val="00C9147B"/>
    <w:rsid w:val="00CA14BA"/>
    <w:rsid w:val="00CA1581"/>
    <w:rsid w:val="00CA3588"/>
    <w:rsid w:val="00CA5458"/>
    <w:rsid w:val="00CB2610"/>
    <w:rsid w:val="00CB4103"/>
    <w:rsid w:val="00CB5D28"/>
    <w:rsid w:val="00CC261E"/>
    <w:rsid w:val="00CD2C8C"/>
    <w:rsid w:val="00CD6374"/>
    <w:rsid w:val="00CE4EE6"/>
    <w:rsid w:val="00CE66AB"/>
    <w:rsid w:val="00CF370F"/>
    <w:rsid w:val="00CF39C2"/>
    <w:rsid w:val="00D02D6F"/>
    <w:rsid w:val="00D03B87"/>
    <w:rsid w:val="00D121E9"/>
    <w:rsid w:val="00D15238"/>
    <w:rsid w:val="00D1523B"/>
    <w:rsid w:val="00D227A7"/>
    <w:rsid w:val="00D32060"/>
    <w:rsid w:val="00D348BE"/>
    <w:rsid w:val="00D359A5"/>
    <w:rsid w:val="00D40AE4"/>
    <w:rsid w:val="00D4498A"/>
    <w:rsid w:val="00D45E71"/>
    <w:rsid w:val="00D46799"/>
    <w:rsid w:val="00D4739F"/>
    <w:rsid w:val="00D51544"/>
    <w:rsid w:val="00D54E8A"/>
    <w:rsid w:val="00D55D86"/>
    <w:rsid w:val="00D66B80"/>
    <w:rsid w:val="00D66BAC"/>
    <w:rsid w:val="00D67699"/>
    <w:rsid w:val="00D72FF6"/>
    <w:rsid w:val="00D74674"/>
    <w:rsid w:val="00D7677F"/>
    <w:rsid w:val="00D777F4"/>
    <w:rsid w:val="00D82146"/>
    <w:rsid w:val="00D8230E"/>
    <w:rsid w:val="00D82969"/>
    <w:rsid w:val="00D83EDD"/>
    <w:rsid w:val="00D912A1"/>
    <w:rsid w:val="00D9695C"/>
    <w:rsid w:val="00DA39CB"/>
    <w:rsid w:val="00DA755E"/>
    <w:rsid w:val="00DB58E4"/>
    <w:rsid w:val="00DB60F7"/>
    <w:rsid w:val="00DC3090"/>
    <w:rsid w:val="00DC5F71"/>
    <w:rsid w:val="00DD17B1"/>
    <w:rsid w:val="00DD5468"/>
    <w:rsid w:val="00DD621E"/>
    <w:rsid w:val="00DD6822"/>
    <w:rsid w:val="00DE18F7"/>
    <w:rsid w:val="00DE7C8B"/>
    <w:rsid w:val="00DF67E0"/>
    <w:rsid w:val="00E01CE7"/>
    <w:rsid w:val="00E04157"/>
    <w:rsid w:val="00E05D83"/>
    <w:rsid w:val="00E05FAD"/>
    <w:rsid w:val="00E0775A"/>
    <w:rsid w:val="00E14579"/>
    <w:rsid w:val="00E15886"/>
    <w:rsid w:val="00E178DF"/>
    <w:rsid w:val="00E244A4"/>
    <w:rsid w:val="00E24530"/>
    <w:rsid w:val="00E261B2"/>
    <w:rsid w:val="00E31D5A"/>
    <w:rsid w:val="00E31FC3"/>
    <w:rsid w:val="00E367D8"/>
    <w:rsid w:val="00E37F00"/>
    <w:rsid w:val="00E44F2D"/>
    <w:rsid w:val="00E46428"/>
    <w:rsid w:val="00E509E9"/>
    <w:rsid w:val="00E51AFB"/>
    <w:rsid w:val="00E541D2"/>
    <w:rsid w:val="00E5726F"/>
    <w:rsid w:val="00E62782"/>
    <w:rsid w:val="00E628CC"/>
    <w:rsid w:val="00E64537"/>
    <w:rsid w:val="00E704F1"/>
    <w:rsid w:val="00E705B3"/>
    <w:rsid w:val="00E756ED"/>
    <w:rsid w:val="00E83158"/>
    <w:rsid w:val="00E873E2"/>
    <w:rsid w:val="00E87469"/>
    <w:rsid w:val="00E93B0A"/>
    <w:rsid w:val="00EB1305"/>
    <w:rsid w:val="00EB1EAD"/>
    <w:rsid w:val="00EB2AD2"/>
    <w:rsid w:val="00EC7FE4"/>
    <w:rsid w:val="00ED455E"/>
    <w:rsid w:val="00ED567E"/>
    <w:rsid w:val="00ED5F5D"/>
    <w:rsid w:val="00ED6ED2"/>
    <w:rsid w:val="00ED7C86"/>
    <w:rsid w:val="00EE1916"/>
    <w:rsid w:val="00EE3A83"/>
    <w:rsid w:val="00EE561D"/>
    <w:rsid w:val="00EE5663"/>
    <w:rsid w:val="00EE5AC1"/>
    <w:rsid w:val="00EE6764"/>
    <w:rsid w:val="00EF0A0B"/>
    <w:rsid w:val="00EF2BD0"/>
    <w:rsid w:val="00F11F1A"/>
    <w:rsid w:val="00F11FFD"/>
    <w:rsid w:val="00F20136"/>
    <w:rsid w:val="00F2227A"/>
    <w:rsid w:val="00F3615E"/>
    <w:rsid w:val="00F36A49"/>
    <w:rsid w:val="00F36FCB"/>
    <w:rsid w:val="00F404C1"/>
    <w:rsid w:val="00F40E3D"/>
    <w:rsid w:val="00F41C02"/>
    <w:rsid w:val="00F43CA6"/>
    <w:rsid w:val="00F4629C"/>
    <w:rsid w:val="00F571F9"/>
    <w:rsid w:val="00F63838"/>
    <w:rsid w:val="00F71219"/>
    <w:rsid w:val="00F71E98"/>
    <w:rsid w:val="00F75282"/>
    <w:rsid w:val="00F77814"/>
    <w:rsid w:val="00F85427"/>
    <w:rsid w:val="00F90F59"/>
    <w:rsid w:val="00F9500B"/>
    <w:rsid w:val="00F96CC2"/>
    <w:rsid w:val="00FA25DD"/>
    <w:rsid w:val="00FA26F8"/>
    <w:rsid w:val="00FA35E7"/>
    <w:rsid w:val="00FA4354"/>
    <w:rsid w:val="00FA4373"/>
    <w:rsid w:val="00FB092F"/>
    <w:rsid w:val="00FB0CAE"/>
    <w:rsid w:val="00FB106B"/>
    <w:rsid w:val="00FB186E"/>
    <w:rsid w:val="00FB4119"/>
    <w:rsid w:val="00FC4EBA"/>
    <w:rsid w:val="00FC5D3E"/>
    <w:rsid w:val="00FC714C"/>
    <w:rsid w:val="00FD272C"/>
    <w:rsid w:val="00FD4507"/>
    <w:rsid w:val="00FD52CC"/>
    <w:rsid w:val="00FE319A"/>
    <w:rsid w:val="00FE342E"/>
    <w:rsid w:val="00FE5021"/>
    <w:rsid w:val="00FE5122"/>
    <w:rsid w:val="00FE611E"/>
    <w:rsid w:val="00FF1C33"/>
    <w:rsid w:val="00FF6C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9A43758"/>
  <w15:docId w15:val="{56ED13FE-F989-4087-8CDC-27FC10BB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0F7"/>
    <w:pPr>
      <w:spacing w:before="240" w:after="400" w:line="360" w:lineRule="auto"/>
      <w:jc w:val="both"/>
    </w:pPr>
    <w:rPr>
      <w:rFonts w:ascii="Arial" w:hAnsi="Arial"/>
      <w:sz w:val="22"/>
      <w:szCs w:val="22"/>
      <w:lang w:eastAsia="en-US"/>
    </w:rPr>
  </w:style>
  <w:style w:type="paragraph" w:styleId="Heading1">
    <w:name w:val="heading 1"/>
    <w:basedOn w:val="Normal"/>
    <w:next w:val="Normal"/>
    <w:link w:val="Heading1Char"/>
    <w:uiPriority w:val="9"/>
    <w:qFormat/>
    <w:rsid w:val="00C070C1"/>
    <w:pPr>
      <w:keepNext/>
      <w:keepLines/>
      <w:spacing w:before="480" w:after="0"/>
      <w:jc w:val="left"/>
      <w:outlineLvl w:val="0"/>
    </w:pPr>
    <w:rPr>
      <w:rFonts w:eastAsia="MS Gothic"/>
      <w:b/>
      <w:bCs/>
      <w:sz w:val="24"/>
      <w:szCs w:val="28"/>
    </w:rPr>
  </w:style>
  <w:style w:type="paragraph" w:styleId="Heading2">
    <w:name w:val="heading 2"/>
    <w:basedOn w:val="Normal"/>
    <w:next w:val="Normal"/>
    <w:link w:val="Heading2Char"/>
    <w:uiPriority w:val="9"/>
    <w:unhideWhenUsed/>
    <w:qFormat/>
    <w:rsid w:val="00C070C1"/>
    <w:pPr>
      <w:keepNext/>
      <w:keepLines/>
      <w:spacing w:before="440" w:after="240"/>
      <w:jc w:val="left"/>
      <w:outlineLvl w:val="1"/>
    </w:pPr>
    <w:rPr>
      <w:rFonts w:eastAsia="MS Gothic"/>
      <w:b/>
      <w:bCs/>
      <w:szCs w:val="26"/>
    </w:rPr>
  </w:style>
  <w:style w:type="paragraph" w:styleId="Heading3">
    <w:name w:val="heading 3"/>
    <w:basedOn w:val="Normal"/>
    <w:next w:val="Normal"/>
    <w:link w:val="Heading3Char"/>
    <w:uiPriority w:val="9"/>
    <w:unhideWhenUsed/>
    <w:qFormat/>
    <w:rsid w:val="00D4739F"/>
    <w:pPr>
      <w:keepNext/>
      <w:keepLines/>
      <w:numPr>
        <w:ilvl w:val="2"/>
        <w:numId w:val="25"/>
      </w:numPr>
      <w:spacing w:before="440" w:after="240"/>
      <w:jc w:val="left"/>
      <w:outlineLvl w:val="2"/>
    </w:pPr>
    <w:rPr>
      <w:rFonts w:eastAsia="MS Gothic"/>
      <w:b/>
      <w:bCs/>
    </w:rPr>
  </w:style>
  <w:style w:type="paragraph" w:styleId="Heading4">
    <w:name w:val="heading 4"/>
    <w:basedOn w:val="Normal"/>
    <w:next w:val="Normal"/>
    <w:link w:val="Heading4Char"/>
    <w:uiPriority w:val="9"/>
    <w:unhideWhenUsed/>
    <w:qFormat/>
    <w:rsid w:val="00D4739F"/>
    <w:pPr>
      <w:keepNext/>
      <w:keepLines/>
      <w:numPr>
        <w:ilvl w:val="3"/>
        <w:numId w:val="25"/>
      </w:numPr>
      <w:spacing w:before="200" w:after="0"/>
      <w:jc w:val="left"/>
      <w:outlineLvl w:val="3"/>
    </w:pPr>
    <w:rPr>
      <w:rFonts w:eastAsia="MS Gothic"/>
      <w:bCs/>
      <w:iCs/>
    </w:rPr>
  </w:style>
  <w:style w:type="paragraph" w:styleId="Heading5">
    <w:name w:val="heading 5"/>
    <w:basedOn w:val="Normal"/>
    <w:next w:val="Normal"/>
    <w:link w:val="Heading5Char"/>
    <w:uiPriority w:val="9"/>
    <w:unhideWhenUsed/>
    <w:qFormat/>
    <w:rsid w:val="000439EC"/>
    <w:pPr>
      <w:keepNext/>
      <w:keepLines/>
      <w:numPr>
        <w:ilvl w:val="4"/>
        <w:numId w:val="25"/>
      </w:numPr>
      <w:spacing w:before="200" w:after="0"/>
      <w:outlineLvl w:val="4"/>
    </w:pPr>
    <w:rPr>
      <w:rFonts w:ascii="Calibri Light" w:eastAsia="MS Gothic" w:hAnsi="Calibri Light"/>
      <w:color w:val="1F4D78"/>
    </w:rPr>
  </w:style>
  <w:style w:type="paragraph" w:styleId="Heading6">
    <w:name w:val="heading 6"/>
    <w:basedOn w:val="Normal"/>
    <w:next w:val="Normal"/>
    <w:link w:val="Heading6Char"/>
    <w:uiPriority w:val="9"/>
    <w:unhideWhenUsed/>
    <w:qFormat/>
    <w:rsid w:val="00460787"/>
    <w:pPr>
      <w:spacing w:before="0" w:after="0" w:line="240" w:lineRule="auto"/>
      <w:outlineLvl w:val="5"/>
    </w:pPr>
    <w:rPr>
      <w:b/>
      <w:sz w:val="20"/>
      <w:u w:val="single"/>
    </w:rPr>
  </w:style>
  <w:style w:type="paragraph" w:styleId="Heading7">
    <w:name w:val="heading 7"/>
    <w:basedOn w:val="Normal"/>
    <w:next w:val="Normal"/>
    <w:link w:val="Heading7Char"/>
    <w:uiPriority w:val="9"/>
    <w:semiHidden/>
    <w:unhideWhenUsed/>
    <w:qFormat/>
    <w:rsid w:val="000439EC"/>
    <w:pPr>
      <w:keepNext/>
      <w:keepLines/>
      <w:numPr>
        <w:ilvl w:val="6"/>
        <w:numId w:val="25"/>
      </w:numPr>
      <w:spacing w:before="200" w:after="0"/>
      <w:outlineLvl w:val="6"/>
    </w:pPr>
    <w:rPr>
      <w:rFonts w:ascii="Calibri Light" w:eastAsia="MS Gothic" w:hAnsi="Calibri Light"/>
      <w:i/>
      <w:iCs/>
      <w:color w:val="404040"/>
    </w:rPr>
  </w:style>
  <w:style w:type="paragraph" w:styleId="Heading8">
    <w:name w:val="heading 8"/>
    <w:basedOn w:val="Normal"/>
    <w:next w:val="Normal"/>
    <w:link w:val="Heading8Char"/>
    <w:uiPriority w:val="9"/>
    <w:semiHidden/>
    <w:unhideWhenUsed/>
    <w:qFormat/>
    <w:rsid w:val="000439EC"/>
    <w:pPr>
      <w:keepNext/>
      <w:keepLines/>
      <w:numPr>
        <w:ilvl w:val="7"/>
        <w:numId w:val="25"/>
      </w:numPr>
      <w:spacing w:before="200" w:after="0"/>
      <w:outlineLvl w:val="7"/>
    </w:pPr>
    <w:rPr>
      <w:rFonts w:ascii="Calibri Light" w:eastAsia="MS Gothic" w:hAnsi="Calibri Light"/>
      <w:color w:val="404040"/>
      <w:sz w:val="20"/>
      <w:szCs w:val="20"/>
    </w:rPr>
  </w:style>
  <w:style w:type="paragraph" w:styleId="Heading9">
    <w:name w:val="heading 9"/>
    <w:basedOn w:val="Normal"/>
    <w:next w:val="Normal"/>
    <w:link w:val="Heading9Char"/>
    <w:uiPriority w:val="9"/>
    <w:semiHidden/>
    <w:unhideWhenUsed/>
    <w:qFormat/>
    <w:rsid w:val="000439EC"/>
    <w:pPr>
      <w:keepNext/>
      <w:keepLines/>
      <w:numPr>
        <w:ilvl w:val="8"/>
        <w:numId w:val="25"/>
      </w:numPr>
      <w:tabs>
        <w:tab w:val="num" w:pos="360"/>
      </w:tabs>
      <w:spacing w:before="200" w:after="0"/>
      <w:ind w:left="0" w:firstLine="0"/>
      <w:outlineLvl w:val="8"/>
    </w:pPr>
    <w:rPr>
      <w:rFonts w:ascii="Calibri Light" w:eastAsia="MS Gothic"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070C1"/>
    <w:rPr>
      <w:rFonts w:ascii="Arial" w:eastAsia="MS Gothic" w:hAnsi="Arial"/>
      <w:b/>
      <w:bCs/>
      <w:sz w:val="24"/>
      <w:szCs w:val="28"/>
      <w:lang w:eastAsia="en-US"/>
    </w:rPr>
  </w:style>
  <w:style w:type="character" w:customStyle="1" w:styleId="Heading2Char">
    <w:name w:val="Heading 2 Char"/>
    <w:link w:val="Heading2"/>
    <w:uiPriority w:val="9"/>
    <w:rsid w:val="00D348BE"/>
    <w:rPr>
      <w:rFonts w:ascii="Arial" w:eastAsia="MS Gothic" w:hAnsi="Arial"/>
      <w:b/>
      <w:bCs/>
      <w:sz w:val="22"/>
      <w:szCs w:val="26"/>
      <w:lang w:eastAsia="en-US"/>
    </w:rPr>
  </w:style>
  <w:style w:type="character" w:customStyle="1" w:styleId="Heading3Char">
    <w:name w:val="Heading 3 Char"/>
    <w:link w:val="Heading3"/>
    <w:uiPriority w:val="9"/>
    <w:rsid w:val="00D4739F"/>
    <w:rPr>
      <w:rFonts w:ascii="Arial" w:eastAsia="MS Gothic" w:hAnsi="Arial" w:cs="Times New Roman"/>
      <w:b/>
      <w:bCs/>
    </w:rPr>
  </w:style>
  <w:style w:type="character" w:customStyle="1" w:styleId="Heading4Char">
    <w:name w:val="Heading 4 Char"/>
    <w:link w:val="Heading4"/>
    <w:uiPriority w:val="9"/>
    <w:rsid w:val="00D4739F"/>
    <w:rPr>
      <w:rFonts w:ascii="Arial" w:eastAsia="MS Gothic" w:hAnsi="Arial" w:cs="Times New Roman"/>
      <w:bCs/>
      <w:iCs/>
    </w:rPr>
  </w:style>
  <w:style w:type="character" w:customStyle="1" w:styleId="Heading5Char">
    <w:name w:val="Heading 5 Char"/>
    <w:link w:val="Heading5"/>
    <w:uiPriority w:val="9"/>
    <w:rsid w:val="000439EC"/>
    <w:rPr>
      <w:rFonts w:ascii="Calibri Light" w:eastAsia="MS Gothic" w:hAnsi="Calibri Light" w:cs="Times New Roman"/>
      <w:color w:val="1F4D78"/>
    </w:rPr>
  </w:style>
  <w:style w:type="character" w:customStyle="1" w:styleId="Heading6Char">
    <w:name w:val="Heading 6 Char"/>
    <w:link w:val="Heading6"/>
    <w:uiPriority w:val="9"/>
    <w:rsid w:val="00460787"/>
    <w:rPr>
      <w:rFonts w:ascii="Arial" w:hAnsi="Arial"/>
      <w:b/>
      <w:sz w:val="20"/>
      <w:u w:val="single"/>
    </w:rPr>
  </w:style>
  <w:style w:type="character" w:customStyle="1" w:styleId="Heading7Char">
    <w:name w:val="Heading 7 Char"/>
    <w:link w:val="Heading7"/>
    <w:uiPriority w:val="9"/>
    <w:semiHidden/>
    <w:rsid w:val="000439EC"/>
    <w:rPr>
      <w:rFonts w:ascii="Calibri Light" w:eastAsia="MS Gothic" w:hAnsi="Calibri Light" w:cs="Times New Roman"/>
      <w:i/>
      <w:iCs/>
      <w:color w:val="404040"/>
    </w:rPr>
  </w:style>
  <w:style w:type="character" w:customStyle="1" w:styleId="Heading8Char">
    <w:name w:val="Heading 8 Char"/>
    <w:link w:val="Heading8"/>
    <w:uiPriority w:val="9"/>
    <w:semiHidden/>
    <w:rsid w:val="000439EC"/>
    <w:rPr>
      <w:rFonts w:ascii="Calibri Light" w:eastAsia="MS Gothic" w:hAnsi="Calibri Light" w:cs="Times New Roman"/>
      <w:color w:val="404040"/>
      <w:sz w:val="20"/>
      <w:szCs w:val="20"/>
    </w:rPr>
  </w:style>
  <w:style w:type="character" w:customStyle="1" w:styleId="Heading9Char">
    <w:name w:val="Heading 9 Char"/>
    <w:link w:val="Heading9"/>
    <w:uiPriority w:val="9"/>
    <w:semiHidden/>
    <w:rsid w:val="000439EC"/>
    <w:rPr>
      <w:rFonts w:ascii="Calibri Light" w:eastAsia="MS Gothic" w:hAnsi="Calibri Light" w:cs="Times New Roman"/>
      <w:i/>
      <w:iCs/>
      <w:color w:val="404040"/>
      <w:sz w:val="20"/>
      <w:szCs w:val="20"/>
    </w:rPr>
  </w:style>
  <w:style w:type="paragraph" w:styleId="Header">
    <w:name w:val="header"/>
    <w:basedOn w:val="Normal"/>
    <w:link w:val="HeaderChar"/>
    <w:uiPriority w:val="99"/>
    <w:unhideWhenUsed/>
    <w:rsid w:val="00F36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FCB"/>
  </w:style>
  <w:style w:type="paragraph" w:styleId="Footer">
    <w:name w:val="footer"/>
    <w:basedOn w:val="Normal"/>
    <w:link w:val="FooterChar"/>
    <w:uiPriority w:val="99"/>
    <w:unhideWhenUsed/>
    <w:rsid w:val="00F36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FCB"/>
  </w:style>
  <w:style w:type="paragraph" w:customStyle="1" w:styleId="Heading40">
    <w:name w:val="Heading4"/>
    <w:basedOn w:val="Normal"/>
    <w:qFormat/>
    <w:rsid w:val="00DB60F7"/>
    <w:pPr>
      <w:spacing w:before="200" w:after="0"/>
      <w:ind w:left="862" w:hanging="862"/>
      <w:jc w:val="left"/>
    </w:pPr>
  </w:style>
  <w:style w:type="paragraph" w:styleId="BalloonText">
    <w:name w:val="Balloon Text"/>
    <w:basedOn w:val="Normal"/>
    <w:link w:val="BalloonTextChar"/>
    <w:uiPriority w:val="99"/>
    <w:semiHidden/>
    <w:unhideWhenUsed/>
    <w:rsid w:val="002E247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E2477"/>
    <w:rPr>
      <w:rFonts w:ascii="Lucida Grande" w:hAnsi="Lucida Grande" w:cs="Lucida Grande"/>
      <w:sz w:val="18"/>
      <w:szCs w:val="18"/>
    </w:rPr>
  </w:style>
  <w:style w:type="paragraph" w:styleId="Caption">
    <w:name w:val="caption"/>
    <w:basedOn w:val="Normal"/>
    <w:next w:val="Normal"/>
    <w:uiPriority w:val="35"/>
    <w:unhideWhenUsed/>
    <w:qFormat/>
    <w:rsid w:val="002E2477"/>
    <w:pPr>
      <w:spacing w:after="200"/>
    </w:pPr>
    <w:rPr>
      <w:bCs/>
      <w:sz w:val="20"/>
      <w:szCs w:val="18"/>
    </w:rPr>
  </w:style>
  <w:style w:type="paragraph" w:styleId="TOC1">
    <w:name w:val="toc 1"/>
    <w:basedOn w:val="Normal"/>
    <w:next w:val="Normal"/>
    <w:autoRedefine/>
    <w:uiPriority w:val="39"/>
    <w:unhideWhenUsed/>
    <w:qFormat/>
    <w:rsid w:val="004955BD"/>
  </w:style>
  <w:style w:type="paragraph" w:styleId="TOC2">
    <w:name w:val="toc 2"/>
    <w:basedOn w:val="Normal"/>
    <w:next w:val="Normal"/>
    <w:autoRedefine/>
    <w:uiPriority w:val="39"/>
    <w:unhideWhenUsed/>
    <w:qFormat/>
    <w:rsid w:val="004955BD"/>
    <w:pPr>
      <w:ind w:left="220"/>
    </w:pPr>
  </w:style>
  <w:style w:type="paragraph" w:styleId="TOC3">
    <w:name w:val="toc 3"/>
    <w:basedOn w:val="Normal"/>
    <w:next w:val="Normal"/>
    <w:autoRedefine/>
    <w:uiPriority w:val="39"/>
    <w:unhideWhenUsed/>
    <w:qFormat/>
    <w:rsid w:val="004955BD"/>
    <w:pPr>
      <w:ind w:left="440"/>
    </w:pPr>
  </w:style>
  <w:style w:type="paragraph" w:styleId="TOC4">
    <w:name w:val="toc 4"/>
    <w:basedOn w:val="Normal"/>
    <w:next w:val="Normal"/>
    <w:autoRedefine/>
    <w:uiPriority w:val="39"/>
    <w:unhideWhenUsed/>
    <w:rsid w:val="004955BD"/>
    <w:pPr>
      <w:ind w:left="660"/>
    </w:pPr>
  </w:style>
  <w:style w:type="paragraph" w:styleId="TOC5">
    <w:name w:val="toc 5"/>
    <w:basedOn w:val="Normal"/>
    <w:next w:val="Normal"/>
    <w:autoRedefine/>
    <w:uiPriority w:val="39"/>
    <w:unhideWhenUsed/>
    <w:rsid w:val="004955BD"/>
    <w:pPr>
      <w:ind w:left="880"/>
    </w:pPr>
  </w:style>
  <w:style w:type="paragraph" w:styleId="TOC6">
    <w:name w:val="toc 6"/>
    <w:basedOn w:val="Normal"/>
    <w:next w:val="Normal"/>
    <w:autoRedefine/>
    <w:uiPriority w:val="39"/>
    <w:unhideWhenUsed/>
    <w:rsid w:val="004955BD"/>
    <w:pPr>
      <w:ind w:left="1100"/>
    </w:pPr>
  </w:style>
  <w:style w:type="paragraph" w:styleId="TOC7">
    <w:name w:val="toc 7"/>
    <w:basedOn w:val="Normal"/>
    <w:next w:val="Normal"/>
    <w:autoRedefine/>
    <w:uiPriority w:val="39"/>
    <w:unhideWhenUsed/>
    <w:rsid w:val="004955BD"/>
    <w:pPr>
      <w:ind w:left="1320"/>
    </w:pPr>
  </w:style>
  <w:style w:type="paragraph" w:styleId="TOC8">
    <w:name w:val="toc 8"/>
    <w:basedOn w:val="Normal"/>
    <w:next w:val="Normal"/>
    <w:autoRedefine/>
    <w:uiPriority w:val="39"/>
    <w:unhideWhenUsed/>
    <w:rsid w:val="004955BD"/>
    <w:pPr>
      <w:ind w:left="1540"/>
    </w:pPr>
  </w:style>
  <w:style w:type="paragraph" w:styleId="TOC9">
    <w:name w:val="toc 9"/>
    <w:basedOn w:val="Normal"/>
    <w:next w:val="Normal"/>
    <w:autoRedefine/>
    <w:uiPriority w:val="39"/>
    <w:unhideWhenUsed/>
    <w:rsid w:val="004955BD"/>
    <w:pPr>
      <w:ind w:left="1760"/>
    </w:pPr>
  </w:style>
  <w:style w:type="paragraph" w:styleId="TableofFigures">
    <w:name w:val="table of figures"/>
    <w:basedOn w:val="Normal"/>
    <w:next w:val="Normal"/>
    <w:uiPriority w:val="99"/>
    <w:unhideWhenUsed/>
    <w:rsid w:val="004955BD"/>
    <w:pPr>
      <w:ind w:left="440" w:hanging="440"/>
    </w:pPr>
  </w:style>
  <w:style w:type="character" w:styleId="Emphasis">
    <w:name w:val="Emphasis"/>
    <w:uiPriority w:val="20"/>
    <w:qFormat/>
    <w:rsid w:val="005A0424"/>
    <w:rPr>
      <w:i/>
      <w:iCs/>
    </w:rPr>
  </w:style>
  <w:style w:type="character" w:styleId="PageNumber">
    <w:name w:val="page number"/>
    <w:basedOn w:val="DefaultParagraphFont"/>
    <w:uiPriority w:val="99"/>
    <w:semiHidden/>
    <w:unhideWhenUsed/>
    <w:rsid w:val="00FA4373"/>
  </w:style>
  <w:style w:type="paragraph" w:styleId="ListParagraph">
    <w:name w:val="List Paragraph"/>
    <w:basedOn w:val="Normal"/>
    <w:uiPriority w:val="34"/>
    <w:qFormat/>
    <w:rsid w:val="000439EC"/>
    <w:pPr>
      <w:spacing w:before="0" w:after="160"/>
      <w:ind w:left="720"/>
      <w:contextualSpacing/>
    </w:pPr>
  </w:style>
  <w:style w:type="character" w:styleId="Hyperlink">
    <w:name w:val="Hyperlink"/>
    <w:uiPriority w:val="99"/>
    <w:unhideWhenUsed/>
    <w:rsid w:val="000439EC"/>
    <w:rPr>
      <w:color w:val="0563C1"/>
      <w:u w:val="single"/>
    </w:rPr>
  </w:style>
  <w:style w:type="table" w:styleId="TableGrid">
    <w:name w:val="Table Grid"/>
    <w:basedOn w:val="TableNormal"/>
    <w:uiPriority w:val="39"/>
    <w:rsid w:val="00043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39EC"/>
    <w:pPr>
      <w:spacing w:before="100" w:beforeAutospacing="1" w:after="100" w:afterAutospacing="1" w:line="240" w:lineRule="auto"/>
      <w:jc w:val="left"/>
    </w:pPr>
    <w:rPr>
      <w:rFonts w:ascii="Times New Roman" w:hAnsi="Times New Roman"/>
      <w:sz w:val="20"/>
      <w:szCs w:val="20"/>
    </w:rPr>
  </w:style>
  <w:style w:type="character" w:customStyle="1" w:styleId="CommentTextChar">
    <w:name w:val="Comment Text Char"/>
    <w:link w:val="CommentText"/>
    <w:uiPriority w:val="99"/>
    <w:semiHidden/>
    <w:rsid w:val="000439EC"/>
    <w:rPr>
      <w:rFonts w:ascii="Arial" w:hAnsi="Arial"/>
      <w:sz w:val="20"/>
      <w:szCs w:val="20"/>
    </w:rPr>
  </w:style>
  <w:style w:type="paragraph" w:styleId="CommentText">
    <w:name w:val="annotation text"/>
    <w:basedOn w:val="Normal"/>
    <w:link w:val="CommentTextChar"/>
    <w:uiPriority w:val="99"/>
    <w:semiHidden/>
    <w:unhideWhenUsed/>
    <w:rsid w:val="000439EC"/>
    <w:pPr>
      <w:spacing w:before="0" w:after="160" w:line="240" w:lineRule="auto"/>
    </w:pPr>
    <w:rPr>
      <w:sz w:val="20"/>
      <w:szCs w:val="20"/>
    </w:rPr>
  </w:style>
  <w:style w:type="character" w:customStyle="1" w:styleId="CommentSubjectChar">
    <w:name w:val="Comment Subject Char"/>
    <w:link w:val="CommentSubject"/>
    <w:uiPriority w:val="99"/>
    <w:semiHidden/>
    <w:rsid w:val="000439EC"/>
    <w:rPr>
      <w:rFonts w:ascii="Arial" w:hAnsi="Arial"/>
      <w:b/>
      <w:bCs/>
      <w:sz w:val="20"/>
      <w:szCs w:val="20"/>
    </w:rPr>
  </w:style>
  <w:style w:type="paragraph" w:styleId="CommentSubject">
    <w:name w:val="annotation subject"/>
    <w:basedOn w:val="CommentText"/>
    <w:next w:val="CommentText"/>
    <w:link w:val="CommentSubjectChar"/>
    <w:uiPriority w:val="99"/>
    <w:semiHidden/>
    <w:unhideWhenUsed/>
    <w:rsid w:val="000439EC"/>
    <w:rPr>
      <w:b/>
      <w:bCs/>
    </w:rPr>
  </w:style>
  <w:style w:type="table" w:styleId="LightGrid-Accent1">
    <w:name w:val="Light Grid Accent 1"/>
    <w:basedOn w:val="TableNormal"/>
    <w:uiPriority w:val="62"/>
    <w:rsid w:val="003A0DF5"/>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MS Gothic"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MS Gothic"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CommentReference">
    <w:name w:val="annotation reference"/>
    <w:uiPriority w:val="99"/>
    <w:semiHidden/>
    <w:unhideWhenUsed/>
    <w:rsid w:val="003A0DF5"/>
    <w:rPr>
      <w:sz w:val="16"/>
      <w:szCs w:val="16"/>
    </w:rPr>
  </w:style>
  <w:style w:type="paragraph" w:customStyle="1" w:styleId="Heading30">
    <w:name w:val="Heading3"/>
    <w:basedOn w:val="Normal"/>
    <w:qFormat/>
    <w:rsid w:val="00B73B77"/>
    <w:rPr>
      <w:b/>
    </w:rPr>
  </w:style>
  <w:style w:type="paragraph" w:styleId="FootnoteText">
    <w:name w:val="footnote text"/>
    <w:basedOn w:val="Normal"/>
    <w:link w:val="FootnoteTextChar"/>
    <w:uiPriority w:val="99"/>
    <w:unhideWhenUsed/>
    <w:rsid w:val="00B73B77"/>
    <w:pPr>
      <w:spacing w:before="0" w:after="0" w:line="240" w:lineRule="auto"/>
    </w:pPr>
    <w:rPr>
      <w:sz w:val="24"/>
      <w:szCs w:val="24"/>
    </w:rPr>
  </w:style>
  <w:style w:type="character" w:customStyle="1" w:styleId="FootnoteTextChar">
    <w:name w:val="Footnote Text Char"/>
    <w:link w:val="FootnoteText"/>
    <w:uiPriority w:val="99"/>
    <w:rsid w:val="00B73B77"/>
    <w:rPr>
      <w:rFonts w:ascii="Arial" w:hAnsi="Arial"/>
      <w:sz w:val="24"/>
      <w:szCs w:val="24"/>
    </w:rPr>
  </w:style>
  <w:style w:type="character" w:styleId="FootnoteReference">
    <w:name w:val="footnote reference"/>
    <w:uiPriority w:val="99"/>
    <w:unhideWhenUsed/>
    <w:rsid w:val="00B73B77"/>
    <w:rPr>
      <w:vertAlign w:val="superscript"/>
    </w:rPr>
  </w:style>
  <w:style w:type="table" w:styleId="LightGrid">
    <w:name w:val="Light Grid"/>
    <w:basedOn w:val="TableNormal"/>
    <w:uiPriority w:val="62"/>
    <w:rsid w:val="00B73B7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MS Gothic"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MS Gothic"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
    <w:name w:val="Medium List 2"/>
    <w:basedOn w:val="TableNormal"/>
    <w:uiPriority w:val="66"/>
    <w:rsid w:val="00B73B77"/>
    <w:rPr>
      <w:rFonts w:ascii="Calibri Light" w:eastAsia="MS Gothic"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B73B7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B73B7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DE18F7"/>
    <w:rPr>
      <w:color w:val="954F72"/>
      <w:u w:val="single"/>
    </w:rPr>
  </w:style>
  <w:style w:type="character" w:customStyle="1" w:styleId="apple-converted-space">
    <w:name w:val="apple-converted-space"/>
    <w:basedOn w:val="DefaultParagraphFont"/>
    <w:rsid w:val="00EE5AC1"/>
  </w:style>
  <w:style w:type="paragraph" w:customStyle="1" w:styleId="Default">
    <w:name w:val="Default"/>
    <w:rsid w:val="00D02D6F"/>
    <w:pPr>
      <w:autoSpaceDE w:val="0"/>
      <w:autoSpaceDN w:val="0"/>
      <w:adjustRightInd w:val="0"/>
    </w:pPr>
    <w:rPr>
      <w:rFonts w:ascii="Book Antiqua" w:hAnsi="Book Antiqua" w:cs="Book Antiqua"/>
      <w:color w:val="000000"/>
      <w:sz w:val="24"/>
      <w:szCs w:val="24"/>
      <w:lang w:eastAsia="en-US"/>
    </w:rPr>
  </w:style>
  <w:style w:type="paragraph" w:customStyle="1" w:styleId="ydp8d2ee212msonormal">
    <w:name w:val="ydp8d2ee212msonormal"/>
    <w:basedOn w:val="Normal"/>
    <w:rsid w:val="000A1BB1"/>
    <w:pPr>
      <w:spacing w:before="100" w:beforeAutospacing="1" w:after="100" w:afterAutospacing="1" w:line="240" w:lineRule="auto"/>
      <w:jc w:val="left"/>
    </w:pPr>
    <w:rPr>
      <w:rFonts w:ascii="Times New Roman" w:hAnsi="Times New Roman"/>
      <w:sz w:val="24"/>
      <w:szCs w:val="24"/>
      <w:lang w:eastAsia="en-GB"/>
    </w:rPr>
  </w:style>
  <w:style w:type="character" w:styleId="LineNumber">
    <w:name w:val="line number"/>
    <w:basedOn w:val="DefaultParagraphFont"/>
    <w:uiPriority w:val="99"/>
    <w:semiHidden/>
    <w:unhideWhenUsed/>
    <w:rsid w:val="00A8010D"/>
  </w:style>
  <w:style w:type="character" w:styleId="Strong">
    <w:name w:val="Strong"/>
    <w:basedOn w:val="DefaultParagraphFont"/>
    <w:uiPriority w:val="22"/>
    <w:qFormat/>
    <w:rsid w:val="003F13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04083">
      <w:bodyDiv w:val="1"/>
      <w:marLeft w:val="0"/>
      <w:marRight w:val="0"/>
      <w:marTop w:val="0"/>
      <w:marBottom w:val="0"/>
      <w:divBdr>
        <w:top w:val="none" w:sz="0" w:space="0" w:color="auto"/>
        <w:left w:val="none" w:sz="0" w:space="0" w:color="auto"/>
        <w:bottom w:val="none" w:sz="0" w:space="0" w:color="auto"/>
        <w:right w:val="none" w:sz="0" w:space="0" w:color="auto"/>
      </w:divBdr>
    </w:div>
    <w:div w:id="802429803">
      <w:bodyDiv w:val="1"/>
      <w:marLeft w:val="0"/>
      <w:marRight w:val="0"/>
      <w:marTop w:val="0"/>
      <w:marBottom w:val="0"/>
      <w:divBdr>
        <w:top w:val="none" w:sz="0" w:space="0" w:color="auto"/>
        <w:left w:val="none" w:sz="0" w:space="0" w:color="auto"/>
        <w:bottom w:val="none" w:sz="0" w:space="0" w:color="auto"/>
        <w:right w:val="none" w:sz="0" w:space="0" w:color="auto"/>
      </w:divBdr>
    </w:div>
    <w:div w:id="1420564756">
      <w:bodyDiv w:val="1"/>
      <w:marLeft w:val="0"/>
      <w:marRight w:val="0"/>
      <w:marTop w:val="0"/>
      <w:marBottom w:val="0"/>
      <w:divBdr>
        <w:top w:val="none" w:sz="0" w:space="0" w:color="auto"/>
        <w:left w:val="none" w:sz="0" w:space="0" w:color="auto"/>
        <w:bottom w:val="none" w:sz="0" w:space="0" w:color="auto"/>
        <w:right w:val="none" w:sz="0" w:space="0" w:color="auto"/>
      </w:divBdr>
    </w:div>
    <w:div w:id="16152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6B640479A41418D28B15B4BB6D6D7" ma:contentTypeVersion="12" ma:contentTypeDescription="Create a new document." ma:contentTypeScope="" ma:versionID="858ddf78b9765eca729e1a4f232ae05d">
  <xsd:schema xmlns:xsd="http://www.w3.org/2001/XMLSchema" xmlns:xs="http://www.w3.org/2001/XMLSchema" xmlns:p="http://schemas.microsoft.com/office/2006/metadata/properties" xmlns:ns3="18689e39-116d-442e-aa6a-49c1952c9982" xmlns:ns4="5c25062d-221a-40bb-9313-04a7f343e78f" targetNamespace="http://schemas.microsoft.com/office/2006/metadata/properties" ma:root="true" ma:fieldsID="07e0b0c67a73964f5f79b44d4cc3e0d4" ns3:_="" ns4:_="">
    <xsd:import namespace="18689e39-116d-442e-aa6a-49c1952c9982"/>
    <xsd:import namespace="5c25062d-221a-40bb-9313-04a7f343e7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89e39-116d-442e-aa6a-49c1952c998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25062d-221a-40bb-9313-04a7f343e7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DCEFB-86AB-4EB6-A3BB-9DDD4C9D4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89e39-116d-442e-aa6a-49c1952c9982"/>
    <ds:schemaRef ds:uri="5c25062d-221a-40bb-9313-04a7f343e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24EDC-50B7-445C-A9D3-E901B8428FED}">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5c25062d-221a-40bb-9313-04a7f343e78f"/>
    <ds:schemaRef ds:uri="http://purl.org/dc/terms/"/>
    <ds:schemaRef ds:uri="http://schemas.openxmlformats.org/package/2006/metadata/core-properties"/>
    <ds:schemaRef ds:uri="18689e39-116d-442e-aa6a-49c1952c9982"/>
    <ds:schemaRef ds:uri="http://www.w3.org/XML/1998/namespace"/>
    <ds:schemaRef ds:uri="http://purl.org/dc/elements/1.1/"/>
  </ds:schemaRefs>
</ds:datastoreItem>
</file>

<file path=customXml/itemProps3.xml><?xml version="1.0" encoding="utf-8"?>
<ds:datastoreItem xmlns:ds="http://schemas.openxmlformats.org/officeDocument/2006/customXml" ds:itemID="{A327B78A-E032-4785-8D5A-B373B4EF7630}">
  <ds:schemaRefs>
    <ds:schemaRef ds:uri="http://schemas.microsoft.com/sharepoint/v3/contenttype/forms"/>
  </ds:schemaRefs>
</ds:datastoreItem>
</file>

<file path=customXml/itemProps4.xml><?xml version="1.0" encoding="utf-8"?>
<ds:datastoreItem xmlns:ds="http://schemas.openxmlformats.org/officeDocument/2006/customXml" ds:itemID="{71BDBDCA-F761-41C5-A7E8-4E3539A1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33113</Words>
  <Characters>188748</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Souter</dc:creator>
  <cp:keywords/>
  <dc:description/>
  <cp:lastModifiedBy>Paul Genever</cp:lastModifiedBy>
  <cp:revision>2</cp:revision>
  <dcterms:created xsi:type="dcterms:W3CDTF">2020-09-02T08:39:00Z</dcterms:created>
  <dcterms:modified xsi:type="dcterms:W3CDTF">2020-09-02T08:39:00Z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3a8c4458-969d-394d-97ba-62cfe424798e</vt:lpwstr>
  </property>
  <property fmtid="{D5CDD505-2E9C-101B-9397-08002B2CF9AE}" pid="4" name="Mendeley Citation Style_1">
    <vt:lpwstr>http://www.zotero.org/styles/scientific-reports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http://www.zotero.org/styles/bone</vt:lpwstr>
  </property>
  <property fmtid="{D5CDD505-2E9C-101B-9397-08002B2CF9AE}" pid="14" name="Mendeley Recent Style Name 4_1">
    <vt:lpwstr>Bone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0x0101005246B640479A41418D28B15B4BB6D6D7</vt:lpwstr>
  </property>
</Properties>
</file>