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6026B" w14:textId="77777777" w:rsidR="00171F26" w:rsidRPr="00D01115" w:rsidRDefault="00171F26" w:rsidP="00171F26">
      <w:pPr>
        <w:jc w:val="center"/>
        <w:rPr>
          <w:b/>
        </w:rPr>
      </w:pPr>
      <w:r w:rsidRPr="00D01115">
        <w:rPr>
          <w:b/>
        </w:rPr>
        <w:t>Soothsay</w:t>
      </w:r>
      <w:r w:rsidR="00B32008" w:rsidRPr="00D01115">
        <w:rPr>
          <w:b/>
        </w:rPr>
        <w:t>ers</w:t>
      </w:r>
      <w:r w:rsidR="00506650" w:rsidRPr="00D01115">
        <w:rPr>
          <w:b/>
        </w:rPr>
        <w:t xml:space="preserve">, Legal Culture, and the Politics of Truth </w:t>
      </w:r>
      <w:r w:rsidRPr="00D01115">
        <w:rPr>
          <w:b/>
        </w:rPr>
        <w:t>in Late-Medieval England</w:t>
      </w:r>
    </w:p>
    <w:p w14:paraId="23C784A9" w14:textId="77777777" w:rsidR="00647C2B" w:rsidRPr="00D01115" w:rsidRDefault="00647C2B" w:rsidP="001B3F3F">
      <w:pPr>
        <w:rPr>
          <w:b/>
          <w:bCs/>
        </w:rPr>
      </w:pPr>
      <w:bookmarkStart w:id="0" w:name="_gjdgxs" w:colFirst="0" w:colLast="0"/>
      <w:bookmarkEnd w:id="0"/>
    </w:p>
    <w:p w14:paraId="38390D4E" w14:textId="77777777" w:rsidR="00647C2B" w:rsidRPr="00D01115" w:rsidRDefault="00647C2B" w:rsidP="00552465">
      <w:pPr>
        <w:rPr>
          <w:b/>
          <w:bCs/>
        </w:rPr>
      </w:pPr>
    </w:p>
    <w:p w14:paraId="7FC02EDE" w14:textId="6525DD00" w:rsidR="00171F26" w:rsidRPr="00D01115" w:rsidRDefault="00171F26" w:rsidP="00171F26">
      <w:r w:rsidRPr="00D01115">
        <w:t>One day in early May of 1509, Alice White was working in her shop near Fleet Street in London.</w:t>
      </w:r>
      <w:r w:rsidRPr="00D01115">
        <w:rPr>
          <w:vertAlign w:val="superscript"/>
        </w:rPr>
        <w:footnoteReference w:id="1"/>
      </w:r>
      <w:r w:rsidRPr="00D01115">
        <w:t xml:space="preserve"> She looked up, and saw an acquaintance, Anna Notary, walking past, who she wanted to speak to about a matter concerning her husband, the Breton book-printer Julian Notary.</w:t>
      </w:r>
      <w:r w:rsidRPr="00D01115">
        <w:rPr>
          <w:vertAlign w:val="superscript"/>
        </w:rPr>
        <w:footnoteReference w:id="2"/>
      </w:r>
      <w:r w:rsidRPr="00D01115">
        <w:t xml:space="preserve"> Alice called out to her, asking if she would come in to have a talk. Perhaps she was a little edgy – she addressed Anna as ‘mistress’, a formal honorific which recognized her respectable social standing – and in fact, the matter she wanted to discuss was rather delicate.</w:t>
      </w:r>
      <w:r w:rsidRPr="00D01115">
        <w:rPr>
          <w:vertAlign w:val="superscript"/>
        </w:rPr>
        <w:footnoteReference w:id="3"/>
      </w:r>
      <w:r w:rsidRPr="00D01115">
        <w:t xml:space="preserve"> As she explained, she had been on a journey recently with a party that included one Richard </w:t>
      </w:r>
      <w:proofErr w:type="spellStart"/>
      <w:r w:rsidRPr="00D01115">
        <w:t>Faques</w:t>
      </w:r>
      <w:proofErr w:type="spellEnd"/>
      <w:r w:rsidRPr="00D01115">
        <w:t xml:space="preserve">, a bookbinder and business partner of Anna’s husband. On this journey, Alice had lost some money, </w:t>
      </w:r>
      <w:r w:rsidR="0095673D">
        <w:t>and</w:t>
      </w:r>
      <w:r w:rsidRPr="00D01115">
        <w:t xml:space="preserve"> she had come to suspect</w:t>
      </w:r>
      <w:r w:rsidR="0095673D">
        <w:t xml:space="preserve"> that</w:t>
      </w:r>
      <w:r w:rsidRPr="00D01115">
        <w:t xml:space="preserve"> it had been stolen from her purse. </w:t>
      </w:r>
      <w:r w:rsidR="0095673D">
        <w:t>I</w:t>
      </w:r>
      <w:r w:rsidRPr="00D01115">
        <w:t xml:space="preserve">n order to find out the identity of the thief, and to recover the money, she had gone to a soothsayer, </w:t>
      </w:r>
      <w:r w:rsidR="001636CC" w:rsidRPr="00D01115">
        <w:t>a</w:t>
      </w:r>
      <w:r w:rsidR="00CF2A6C" w:rsidRPr="00D01115">
        <w:t xml:space="preserve"> person </w:t>
      </w:r>
      <w:r w:rsidRPr="00D01115">
        <w:t xml:space="preserve">who </w:t>
      </w:r>
      <w:r w:rsidR="001636CC" w:rsidRPr="00D01115">
        <w:t>performed</w:t>
      </w:r>
      <w:r w:rsidRPr="00D01115">
        <w:t xml:space="preserve"> magic</w:t>
      </w:r>
      <w:r w:rsidR="001636CC" w:rsidRPr="00D01115">
        <w:t xml:space="preserve"> on behalf of others in order to solve problems or find out information.</w:t>
      </w:r>
    </w:p>
    <w:p w14:paraId="0AD2EA12" w14:textId="77777777" w:rsidR="00171F26" w:rsidRPr="00D01115" w:rsidRDefault="00171F26" w:rsidP="00171F26"/>
    <w:p w14:paraId="586A6BE9" w14:textId="7AE768AE" w:rsidR="00171F26" w:rsidRPr="00D01115" w:rsidRDefault="00171F26" w:rsidP="00171F26">
      <w:r w:rsidRPr="00D01115">
        <w:t xml:space="preserve">The soothsayer had revealed to Alice ‘by certain tokens’ that the person who had taken her money had a blemish on his face. And as she then realized, this meant that the thief </w:t>
      </w:r>
      <w:r w:rsidR="0095673D">
        <w:t>could be</w:t>
      </w:r>
      <w:r w:rsidR="0095673D" w:rsidRPr="00D01115">
        <w:t xml:space="preserve"> </w:t>
      </w:r>
      <w:r w:rsidRPr="00D01115">
        <w:t xml:space="preserve">none other than Richard </w:t>
      </w:r>
      <w:proofErr w:type="spellStart"/>
      <w:r w:rsidRPr="00D01115">
        <w:t>Faques</w:t>
      </w:r>
      <w:proofErr w:type="spellEnd"/>
      <w:r w:rsidR="0095673D">
        <w:t>, a mutual acquaintance of her and Anna</w:t>
      </w:r>
      <w:r w:rsidRPr="00D01115">
        <w:t xml:space="preserve">. He was the only one among </w:t>
      </w:r>
      <w:r w:rsidR="0095673D">
        <w:t>the</w:t>
      </w:r>
      <w:r w:rsidR="0095673D" w:rsidRPr="00D01115">
        <w:t xml:space="preserve"> </w:t>
      </w:r>
      <w:r w:rsidRPr="00D01115">
        <w:t>fellow travellers who had such a facial mark, and so, she explained to Anna, it had to be him. Adopting something of a supplicatory tone, Alice asked Anna to tell Richard about all of this, and that she wanted her money back;</w:t>
      </w:r>
      <w:r w:rsidR="0095673D">
        <w:t xml:space="preserve"> but</w:t>
      </w:r>
      <w:r w:rsidRPr="00D01115">
        <w:t xml:space="preserve"> she was quite willing to let the whole affair blow over without anyone else finding out about it – he could simply cast the coins into her house through a window, or secretly leave them in her garden. But she also related a threat: if he did not return the money, she would ‘trouble him’ for it. And although Anna later reflected that she had been reluctant to tell Richard such things, in the moment she promised Alice that she would pass on the message to him as directed.</w:t>
      </w:r>
    </w:p>
    <w:p w14:paraId="05BAAC67" w14:textId="77777777" w:rsidR="00171F26" w:rsidRPr="00D01115" w:rsidRDefault="00171F26" w:rsidP="00171F26"/>
    <w:p w14:paraId="6574AE54" w14:textId="1AA7DE57" w:rsidR="00171F26" w:rsidRPr="00D01115" w:rsidRDefault="00171F26" w:rsidP="00171F26">
      <w:r w:rsidRPr="00D01115">
        <w:t xml:space="preserve">Perhaps Anna did tell </w:t>
      </w:r>
      <w:proofErr w:type="spellStart"/>
      <w:r w:rsidRPr="00D01115">
        <w:t>Faques</w:t>
      </w:r>
      <w:proofErr w:type="spellEnd"/>
      <w:r w:rsidRPr="00D01115">
        <w:t xml:space="preserve"> about the soothsayer, or perhaps not; perhaps he dismissed the story as nonsense, or perhaps he did have something to hide. </w:t>
      </w:r>
      <w:r w:rsidR="0095673D">
        <w:t>W</w:t>
      </w:r>
      <w:r w:rsidRPr="00D01115">
        <w:t xml:space="preserve">hatever his reaction, for several months Alice waited for him to do the right thing, as she saw it, and furtively return the money – but in vain. By mid-August, she could wait no more. She went to the household of the </w:t>
      </w:r>
      <w:proofErr w:type="spellStart"/>
      <w:r w:rsidRPr="00D01115">
        <w:t>Notarys</w:t>
      </w:r>
      <w:proofErr w:type="spellEnd"/>
      <w:r w:rsidRPr="00D01115">
        <w:t xml:space="preserve"> in the parish of St Clement </w:t>
      </w:r>
      <w:proofErr w:type="gramStart"/>
      <w:r w:rsidRPr="00D01115">
        <w:t>Danes, and</w:t>
      </w:r>
      <w:proofErr w:type="gramEnd"/>
      <w:r w:rsidRPr="00D01115">
        <w:t xml:space="preserve"> found them sitting with Richard </w:t>
      </w:r>
      <w:proofErr w:type="spellStart"/>
      <w:r w:rsidRPr="00D01115">
        <w:t>Faques</w:t>
      </w:r>
      <w:proofErr w:type="spellEnd"/>
      <w:r w:rsidRPr="00D01115">
        <w:t xml:space="preserve"> and a skinner named John Wendover. She burst out: ‘I pray you God, may </w:t>
      </w:r>
      <w:proofErr w:type="spellStart"/>
      <w:r w:rsidRPr="00D01115">
        <w:t>Faques</w:t>
      </w:r>
      <w:proofErr w:type="spellEnd"/>
      <w:r w:rsidRPr="00D01115">
        <w:t xml:space="preserve"> let me have my money…the which I lost and that was taken from me.’ She explained again that she had gone to the soothsayer, and about the facial blemish that gave away his identity as the person who had the money, and once more besought him to give it back to her. </w:t>
      </w:r>
      <w:proofErr w:type="spellStart"/>
      <w:r w:rsidRPr="00D01115">
        <w:t>Faques</w:t>
      </w:r>
      <w:proofErr w:type="spellEnd"/>
      <w:r w:rsidRPr="00D01115">
        <w:t xml:space="preserve">, indignant, replied ‘Mistress, I have none of your money. Go and seek of your soothsayer as you will, for I have none of your money, and that you will know shortly.’ </w:t>
      </w:r>
    </w:p>
    <w:p w14:paraId="4850AE39" w14:textId="77777777" w:rsidR="00171F26" w:rsidRPr="00D01115" w:rsidRDefault="00171F26" w:rsidP="00171F26"/>
    <w:p w14:paraId="5A389526" w14:textId="200ADCA4" w:rsidR="00171F26" w:rsidRPr="00D01115" w:rsidRDefault="00171F26" w:rsidP="00171F26">
      <w:r w:rsidRPr="00D01115">
        <w:t xml:space="preserve">We do not know what happened immediately after this exchange, but it was certainly not the end of the dispute. </w:t>
      </w:r>
      <w:proofErr w:type="spellStart"/>
      <w:r w:rsidRPr="00D01115">
        <w:t>Faques</w:t>
      </w:r>
      <w:proofErr w:type="spellEnd"/>
      <w:r w:rsidRPr="00D01115">
        <w:t>, rebuked in front of his</w:t>
      </w:r>
      <w:r w:rsidR="0095673D">
        <w:t xml:space="preserve"> neighbours and</w:t>
      </w:r>
      <w:r w:rsidRPr="00D01115">
        <w:t xml:space="preserve"> business associates, could </w:t>
      </w:r>
      <w:r w:rsidRPr="00D01115">
        <w:lastRenderedPageBreak/>
        <w:t>not let this slight to his reputation stand. He launched a lawsuit for defamation against Alice White in the consistory court of the bishop of London, the more prestigious and expensive of the two main ecclesiastical courts in the city.</w:t>
      </w:r>
      <w:r w:rsidRPr="00D01115">
        <w:rPr>
          <w:vertAlign w:val="superscript"/>
        </w:rPr>
        <w:footnoteReference w:id="4"/>
      </w:r>
      <w:r w:rsidRPr="00D01115">
        <w:t xml:space="preserve"> The witness depositions of Julian and Anna Notary, and John Wendover, whence we can reconstruct this sequence of events, were recorded the following May in 1510. As </w:t>
      </w:r>
      <w:r w:rsidR="0095673D">
        <w:t>is</w:t>
      </w:r>
      <w:r w:rsidR="0095673D" w:rsidRPr="00D01115">
        <w:t xml:space="preserve"> </w:t>
      </w:r>
      <w:r w:rsidRPr="00D01115">
        <w:t xml:space="preserve">so </w:t>
      </w:r>
      <w:r w:rsidR="0095673D">
        <w:t xml:space="preserve">often the case working with </w:t>
      </w:r>
      <w:r w:rsidRPr="00D01115">
        <w:t xml:space="preserve">late-medieval ecclesiastical records, there is no evidence to indicate the result of the case (indeed, it is quite possible that it never proceeded to judgment), though </w:t>
      </w:r>
      <w:r w:rsidR="00630E9F">
        <w:t>given that</w:t>
      </w:r>
      <w:r w:rsidRPr="00D01115">
        <w:t xml:space="preserve"> the taking of depositions took place at a late stage in the legal process, it is likely that </w:t>
      </w:r>
      <w:r w:rsidR="00630E9F">
        <w:t xml:space="preserve">it </w:t>
      </w:r>
      <w:r w:rsidRPr="00D01115">
        <w:t>had rumbled on for some time.</w:t>
      </w:r>
      <w:r w:rsidRPr="00D01115">
        <w:rPr>
          <w:vertAlign w:val="superscript"/>
        </w:rPr>
        <w:footnoteReference w:id="5"/>
      </w:r>
      <w:r w:rsidRPr="00D01115">
        <w:t xml:space="preserve"> This strange case of divination and defamation was, it seems, a protracted dispute with multiple threads of disagreement.</w:t>
      </w:r>
    </w:p>
    <w:p w14:paraId="47BEC7D8" w14:textId="77777777" w:rsidR="00171F26" w:rsidRPr="00D01115" w:rsidRDefault="00171F26" w:rsidP="00171F26"/>
    <w:p w14:paraId="7D0578AA" w14:textId="26D2F59D" w:rsidR="001636CC" w:rsidRPr="00D01115" w:rsidRDefault="00171F26">
      <w:r w:rsidRPr="00D01115">
        <w:t xml:space="preserve">While the case has been </w:t>
      </w:r>
      <w:r w:rsidR="00630E9F">
        <w:t>noticed</w:t>
      </w:r>
      <w:r w:rsidR="00630E9F" w:rsidRPr="00D01115">
        <w:t xml:space="preserve"> </w:t>
      </w:r>
      <w:r w:rsidRPr="00D01115">
        <w:t>before for what it reveals of the social lives of the first generation of book-printers in England, and as an example of the importance of an honest reputation to medieval masculinity, it also provides an unusually detailed insight into the role of soothsaying in the negotiation of neighbourly relationships.</w:t>
      </w:r>
      <w:r w:rsidRPr="00D01115">
        <w:rPr>
          <w:vertAlign w:val="superscript"/>
        </w:rPr>
        <w:footnoteReference w:id="6"/>
      </w:r>
      <w:r w:rsidRPr="00D01115">
        <w:t xml:space="preserve"> As an illicit magical practice that was proscribed by ecclesiastical authorities, soothsaying has usually been considered within histories of religion, popular culture, and witchcraft – that is, as a form of folk belief which survived within the fabric of late-medieval Christianity.</w:t>
      </w:r>
      <w:r w:rsidRPr="00D01115">
        <w:rPr>
          <w:rStyle w:val="FootnoteReference"/>
        </w:rPr>
        <w:footnoteReference w:id="7"/>
      </w:r>
      <w:r w:rsidRPr="00D01115">
        <w:t xml:space="preserve"> I</w:t>
      </w:r>
      <w:r w:rsidR="000A5738" w:rsidRPr="00D01115">
        <w:t>n this article, I</w:t>
      </w:r>
      <w:r w:rsidRPr="00D01115">
        <w:t xml:space="preserve"> would like to suggest that </w:t>
      </w:r>
      <w:r w:rsidR="00EC1AD2">
        <w:t xml:space="preserve">as a means of dealing with disputes, </w:t>
      </w:r>
      <w:r w:rsidRPr="00D01115">
        <w:t xml:space="preserve">soothsaying </w:t>
      </w:r>
      <w:r w:rsidR="00BF182A" w:rsidRPr="00D01115">
        <w:t>should</w:t>
      </w:r>
      <w:r w:rsidR="000A5738" w:rsidRPr="00D01115">
        <w:t xml:space="preserve"> also be understood</w:t>
      </w:r>
      <w:r w:rsidRPr="00D01115">
        <w:t xml:space="preserve"> </w:t>
      </w:r>
      <w:r w:rsidR="008C26BB" w:rsidRPr="00D01115">
        <w:t xml:space="preserve">within the context of the deep-rooted and broad-based legal culture that </w:t>
      </w:r>
      <w:r w:rsidR="00593283">
        <w:t>emerged</w:t>
      </w:r>
      <w:r w:rsidR="00593283" w:rsidRPr="00D01115">
        <w:t xml:space="preserve"> </w:t>
      </w:r>
      <w:r w:rsidR="00367787" w:rsidRPr="00D01115">
        <w:t>in the later Middle Ages</w:t>
      </w:r>
      <w:r w:rsidR="008C26BB" w:rsidRPr="00D01115">
        <w:t>.</w:t>
      </w:r>
      <w:r w:rsidR="008C26BB" w:rsidRPr="00D01115">
        <w:rPr>
          <w:rStyle w:val="FootnoteReference"/>
        </w:rPr>
        <w:footnoteReference w:id="8"/>
      </w:r>
      <w:r w:rsidR="001407E3" w:rsidRPr="00D01115">
        <w:t xml:space="preserve"> </w:t>
      </w:r>
      <w:r w:rsidR="00EC1AD2">
        <w:t>E</w:t>
      </w:r>
      <w:r w:rsidR="00A05AB7" w:rsidRPr="00D01115">
        <w:t xml:space="preserve">xamining soothsaying and law side-by-side, </w:t>
      </w:r>
      <w:r w:rsidR="00367787" w:rsidRPr="00D01115">
        <w:t xml:space="preserve">indeed, </w:t>
      </w:r>
      <w:r w:rsidR="00A05AB7" w:rsidRPr="00D01115">
        <w:t xml:space="preserve">we can </w:t>
      </w:r>
      <w:r w:rsidR="007B1234" w:rsidRPr="00D01115">
        <w:t xml:space="preserve">not only </w:t>
      </w:r>
      <w:r w:rsidR="00A05AB7" w:rsidRPr="00D01115">
        <w:t xml:space="preserve">better understand the </w:t>
      </w:r>
      <w:r w:rsidR="00367787" w:rsidRPr="00D01115">
        <w:t>legalit</w:t>
      </w:r>
      <w:r w:rsidR="00685DA1" w:rsidRPr="00D01115">
        <w:t>ies</w:t>
      </w:r>
      <w:r w:rsidR="00A05AB7" w:rsidRPr="00D01115">
        <w:t xml:space="preserve"> that haunted magic, </w:t>
      </w:r>
      <w:r w:rsidR="007B1234" w:rsidRPr="00D01115">
        <w:t>but also</w:t>
      </w:r>
      <w:r w:rsidR="00A05AB7" w:rsidRPr="00D01115">
        <w:t xml:space="preserve"> come closer to grasping some of the mysterious qualities of law</w:t>
      </w:r>
      <w:r w:rsidR="00EC1AD2">
        <w:t xml:space="preserve"> in this period</w:t>
      </w:r>
      <w:r w:rsidR="00A05AB7" w:rsidRPr="00D01115">
        <w:t>.</w:t>
      </w:r>
    </w:p>
    <w:p w14:paraId="55F311BC" w14:textId="77777777" w:rsidR="008800CD" w:rsidRPr="00D01115" w:rsidRDefault="008800CD"/>
    <w:p w14:paraId="68FC3C6D" w14:textId="7956E9D3" w:rsidR="0072168A" w:rsidRPr="00D01115" w:rsidRDefault="001636CC" w:rsidP="00991CE5">
      <w:r w:rsidRPr="00D01115">
        <w:t xml:space="preserve">I make three main arguments. </w:t>
      </w:r>
      <w:r w:rsidR="00991CE5" w:rsidRPr="00D01115">
        <w:t xml:space="preserve">The first is that </w:t>
      </w:r>
      <w:r w:rsidR="004C0AFE" w:rsidRPr="00D01115">
        <w:t xml:space="preserve">for the church courts which prosecuted this offence in late-medieval England, soothsaying was a problem not </w:t>
      </w:r>
      <w:r w:rsidR="00284495" w:rsidRPr="00D01115">
        <w:t>only</w:t>
      </w:r>
      <w:r w:rsidR="004C0AFE" w:rsidRPr="00D01115">
        <w:t xml:space="preserve"> because it was a crime against belief, but </w:t>
      </w:r>
      <w:r w:rsidR="005E3686" w:rsidRPr="00D01115">
        <w:t xml:space="preserve">also </w:t>
      </w:r>
      <w:r w:rsidR="004C0AFE" w:rsidRPr="00D01115">
        <w:t xml:space="preserve">because it </w:t>
      </w:r>
      <w:r w:rsidR="005E3686" w:rsidRPr="00D01115">
        <w:t xml:space="preserve">was a crime of speech. As </w:t>
      </w:r>
      <w:r w:rsidR="00593283">
        <w:t xml:space="preserve">the legal historian </w:t>
      </w:r>
      <w:r w:rsidR="005E3686" w:rsidRPr="00D01115">
        <w:t xml:space="preserve">Richard </w:t>
      </w:r>
      <w:proofErr w:type="spellStart"/>
      <w:r w:rsidR="005E3686" w:rsidRPr="00D01115">
        <w:t>Helmholz</w:t>
      </w:r>
      <w:proofErr w:type="spellEnd"/>
      <w:r w:rsidR="005E3686" w:rsidRPr="00D01115">
        <w:t xml:space="preserve"> has remarked, ‘spoken words gave rise to the great majority of causes that came before the English ecclesiastical courts during the later Middle Ages.’</w:t>
      </w:r>
      <w:r w:rsidR="005E3686" w:rsidRPr="00D01115">
        <w:rPr>
          <w:rStyle w:val="FootnoteReference"/>
        </w:rPr>
        <w:footnoteReference w:id="9"/>
      </w:r>
      <w:r w:rsidR="005E3686" w:rsidRPr="00D01115">
        <w:t xml:space="preserve"> And w</w:t>
      </w:r>
      <w:r w:rsidR="004C0AFE" w:rsidRPr="00D01115">
        <w:t xml:space="preserve">hile we do find prosecutions against individuals for practising magic, </w:t>
      </w:r>
      <w:r w:rsidR="0030715F" w:rsidRPr="00D01115">
        <w:t>there is a good deal</w:t>
      </w:r>
      <w:r w:rsidR="004C0AFE" w:rsidRPr="00D01115">
        <w:t xml:space="preserve"> </w:t>
      </w:r>
      <w:r w:rsidR="00593283">
        <w:t xml:space="preserve">of </w:t>
      </w:r>
      <w:r w:rsidR="004C0AFE" w:rsidRPr="00D01115">
        <w:t xml:space="preserve">evidence for soothsaying </w:t>
      </w:r>
      <w:r w:rsidR="00593283">
        <w:t xml:space="preserve">that comes </w:t>
      </w:r>
      <w:r w:rsidR="0030715F" w:rsidRPr="00D01115">
        <w:t>from</w:t>
      </w:r>
      <w:r w:rsidR="004C0AFE" w:rsidRPr="00D01115">
        <w:t xml:space="preserve"> </w:t>
      </w:r>
      <w:r w:rsidR="006D136A" w:rsidRPr="00D01115">
        <w:t xml:space="preserve">cases of </w:t>
      </w:r>
      <w:r w:rsidR="004C0AFE" w:rsidRPr="00D01115">
        <w:t>defamation</w:t>
      </w:r>
      <w:r w:rsidR="00722DF5" w:rsidRPr="00D01115">
        <w:t xml:space="preserve">, </w:t>
      </w:r>
      <w:r w:rsidR="004C0AFE" w:rsidRPr="00D01115">
        <w:t xml:space="preserve">such as that </w:t>
      </w:r>
      <w:r w:rsidR="006D136A" w:rsidRPr="00D01115">
        <w:t>between</w:t>
      </w:r>
      <w:r w:rsidR="005E3686" w:rsidRPr="00D01115">
        <w:t xml:space="preserve"> Richard </w:t>
      </w:r>
      <w:proofErr w:type="spellStart"/>
      <w:r w:rsidR="005E3686" w:rsidRPr="00D01115">
        <w:t>Faques</w:t>
      </w:r>
      <w:proofErr w:type="spellEnd"/>
      <w:r w:rsidR="005E3686" w:rsidRPr="00D01115">
        <w:t xml:space="preserve"> </w:t>
      </w:r>
      <w:r w:rsidR="006D136A" w:rsidRPr="00D01115">
        <w:t>and</w:t>
      </w:r>
      <w:r w:rsidR="004C0AFE" w:rsidRPr="00D01115">
        <w:t xml:space="preserve"> Alice White. </w:t>
      </w:r>
      <w:r w:rsidR="00F514AF" w:rsidRPr="00D01115">
        <w:t>T</w:t>
      </w:r>
      <w:r w:rsidR="004C0AFE" w:rsidRPr="00D01115">
        <w:t xml:space="preserve">he </w:t>
      </w:r>
      <w:r w:rsidR="00722DF5" w:rsidRPr="00D01115">
        <w:t>pervasive use in the church courts of the legal concept</w:t>
      </w:r>
      <w:r w:rsidR="004C0AFE" w:rsidRPr="00D01115">
        <w:t xml:space="preserve"> of </w:t>
      </w:r>
      <w:proofErr w:type="spellStart"/>
      <w:r w:rsidR="004C0AFE" w:rsidRPr="00D01115">
        <w:rPr>
          <w:i/>
          <w:iCs/>
        </w:rPr>
        <w:t>fama</w:t>
      </w:r>
      <w:proofErr w:type="spellEnd"/>
      <w:r w:rsidR="004C0AFE" w:rsidRPr="00D01115">
        <w:t xml:space="preserve"> </w:t>
      </w:r>
      <w:r w:rsidR="00722DF5" w:rsidRPr="00D01115">
        <w:t xml:space="preserve">– ‘local opinion’ or ‘reputation’ – </w:t>
      </w:r>
      <w:r w:rsidR="002C0824" w:rsidRPr="00D01115">
        <w:t xml:space="preserve">meant that when </w:t>
      </w:r>
      <w:r w:rsidR="00F514AF" w:rsidRPr="00D01115">
        <w:t xml:space="preserve">soothsayers’ pronouncements spread as rumours, </w:t>
      </w:r>
      <w:r w:rsidR="00F514AF" w:rsidRPr="00D01115">
        <w:lastRenderedPageBreak/>
        <w:t xml:space="preserve">or came to bear on reputations, they </w:t>
      </w:r>
      <w:r w:rsidR="009C1298" w:rsidRPr="00D01115">
        <w:t>could</w:t>
      </w:r>
      <w:r w:rsidR="008800CD" w:rsidRPr="00D01115">
        <w:t xml:space="preserve"> </w:t>
      </w:r>
      <w:r w:rsidR="009C1298" w:rsidRPr="00D01115">
        <w:t xml:space="preserve">attain a </w:t>
      </w:r>
      <w:r w:rsidR="00593283">
        <w:t>public</w:t>
      </w:r>
      <w:r w:rsidR="009C1298" w:rsidRPr="00D01115">
        <w:t xml:space="preserve"> status</w:t>
      </w:r>
      <w:r w:rsidR="005E3686" w:rsidRPr="00D01115">
        <w:t>.</w:t>
      </w:r>
      <w:r w:rsidR="009C1298" w:rsidRPr="00D01115">
        <w:rPr>
          <w:rStyle w:val="FootnoteReference"/>
        </w:rPr>
        <w:footnoteReference w:id="10"/>
      </w:r>
      <w:r w:rsidR="009C1298" w:rsidRPr="00D01115">
        <w:t xml:space="preserve"> </w:t>
      </w:r>
      <w:r w:rsidR="002C0824" w:rsidRPr="00D01115">
        <w:t xml:space="preserve">In some cases, indeed, ecclesiastical authorities </w:t>
      </w:r>
      <w:r w:rsidR="00621F6C" w:rsidRPr="00D01115">
        <w:t xml:space="preserve">seem to have </w:t>
      </w:r>
      <w:r w:rsidR="0009045B" w:rsidRPr="00D01115">
        <w:t>pursued action against</w:t>
      </w:r>
      <w:r w:rsidR="002C0824" w:rsidRPr="00D01115">
        <w:t xml:space="preserve"> soothsaying </w:t>
      </w:r>
      <w:r w:rsidR="0009045B" w:rsidRPr="00D01115">
        <w:t>not because it w</w:t>
      </w:r>
      <w:r w:rsidR="002C0824" w:rsidRPr="00D01115">
        <w:t xml:space="preserve">as a form of superstition, </w:t>
      </w:r>
      <w:r w:rsidR="0009045B" w:rsidRPr="00D01115">
        <w:t>but because of</w:t>
      </w:r>
      <w:r w:rsidR="002C0824" w:rsidRPr="00D01115">
        <w:t xml:space="preserve"> its capacity to generate socially meaningful facts.</w:t>
      </w:r>
      <w:r w:rsidR="007945A9" w:rsidRPr="00D01115">
        <w:rPr>
          <w:vertAlign w:val="superscript"/>
        </w:rPr>
        <w:footnoteReference w:id="11"/>
      </w:r>
    </w:p>
    <w:p w14:paraId="2FA7075A" w14:textId="77777777" w:rsidR="00B8545C" w:rsidRPr="00D01115" w:rsidRDefault="00B8545C" w:rsidP="00991CE5"/>
    <w:p w14:paraId="35D1D4CC" w14:textId="31C551BF" w:rsidR="005E3686" w:rsidRPr="00D01115" w:rsidRDefault="0009045B" w:rsidP="00991CE5">
      <w:r w:rsidRPr="00D01115">
        <w:t xml:space="preserve">Following on from this, </w:t>
      </w:r>
      <w:r w:rsidR="00621F6C" w:rsidRPr="00D01115">
        <w:t>I would like to suggest</w:t>
      </w:r>
      <w:r w:rsidRPr="00D01115">
        <w:t xml:space="preserve"> that soothsaying </w:t>
      </w:r>
      <w:r w:rsidR="00593283">
        <w:t>might</w:t>
      </w:r>
      <w:r w:rsidR="00593283" w:rsidRPr="00D01115">
        <w:t xml:space="preserve"> </w:t>
      </w:r>
      <w:r w:rsidRPr="00D01115">
        <w:t xml:space="preserve">be understood as a </w:t>
      </w:r>
      <w:r w:rsidR="00593283">
        <w:t>kind</w:t>
      </w:r>
      <w:r w:rsidR="00593283" w:rsidRPr="00D01115">
        <w:t xml:space="preserve"> </w:t>
      </w:r>
      <w:r w:rsidR="00C55B60" w:rsidRPr="00D01115">
        <w:t xml:space="preserve">of </w:t>
      </w:r>
      <w:r w:rsidRPr="00D01115">
        <w:t>‘jurisdiction’</w:t>
      </w:r>
      <w:r w:rsidR="00593283">
        <w:t>,</w:t>
      </w:r>
      <w:r w:rsidR="00621F6C" w:rsidRPr="00D01115">
        <w:t xml:space="preserve"> in its etymological sense of ‘speaking the law’</w:t>
      </w:r>
      <w:r w:rsidR="00593283">
        <w:t>, in itself</w:t>
      </w:r>
      <w:r w:rsidR="00D94213" w:rsidRPr="00D01115">
        <w:t>.</w:t>
      </w:r>
      <w:r w:rsidR="00621F6C" w:rsidRPr="00D01115">
        <w:rPr>
          <w:rStyle w:val="FootnoteReference"/>
        </w:rPr>
        <w:footnoteReference w:id="12"/>
      </w:r>
      <w:r w:rsidR="00D94213" w:rsidRPr="00D01115">
        <w:t xml:space="preserve"> </w:t>
      </w:r>
      <w:r w:rsidRPr="00D01115">
        <w:t>There is</w:t>
      </w:r>
      <w:r w:rsidR="007B1234" w:rsidRPr="00D01115">
        <w:t xml:space="preserve"> certainly</w:t>
      </w:r>
      <w:r w:rsidRPr="00D01115">
        <w:t xml:space="preserve"> some evidence that contemporaries </w:t>
      </w:r>
      <w:r w:rsidR="005E3686" w:rsidRPr="00D01115">
        <w:t xml:space="preserve">conceived </w:t>
      </w:r>
      <w:r w:rsidRPr="00D01115">
        <w:t xml:space="preserve">of </w:t>
      </w:r>
      <w:r w:rsidR="005E3686" w:rsidRPr="00D01115">
        <w:t xml:space="preserve">what soothsayers were doing in </w:t>
      </w:r>
      <w:r w:rsidR="00593283">
        <w:t>quasi-</w:t>
      </w:r>
      <w:r w:rsidR="005E3686" w:rsidRPr="00D01115">
        <w:t xml:space="preserve">legal terms, </w:t>
      </w:r>
      <w:r w:rsidR="00621F6C" w:rsidRPr="00D01115">
        <w:t>and</w:t>
      </w:r>
      <w:r w:rsidR="007B1234" w:rsidRPr="00D01115">
        <w:t xml:space="preserve"> </w:t>
      </w:r>
      <w:r w:rsidR="00621F6C" w:rsidRPr="00D01115">
        <w:t xml:space="preserve">even </w:t>
      </w:r>
      <w:r w:rsidR="005E3686" w:rsidRPr="00D01115">
        <w:t>referr</w:t>
      </w:r>
      <w:r w:rsidR="00621F6C" w:rsidRPr="00D01115">
        <w:t>ed</w:t>
      </w:r>
      <w:r w:rsidR="005E3686" w:rsidRPr="00D01115">
        <w:t xml:space="preserve"> to their ‘judgments’ </w:t>
      </w:r>
      <w:r w:rsidR="007B1234" w:rsidRPr="00D01115">
        <w:t xml:space="preserve">or </w:t>
      </w:r>
      <w:r w:rsidR="005E3686" w:rsidRPr="00D01115">
        <w:t>‘verdicts’.</w:t>
      </w:r>
      <w:r w:rsidRPr="00D01115">
        <w:t xml:space="preserve"> But more generally, insofar as soothsayers purported to uncover the truth of a matter, they were fulfilling a function that </w:t>
      </w:r>
      <w:r w:rsidR="00D94213" w:rsidRPr="00D01115">
        <w:t xml:space="preserve">in late-medieval England </w:t>
      </w:r>
      <w:r w:rsidRPr="00D01115">
        <w:t xml:space="preserve">was </w:t>
      </w:r>
      <w:r w:rsidR="00D94213" w:rsidRPr="00D01115">
        <w:t>normally occupied by law-courts</w:t>
      </w:r>
      <w:r w:rsidR="007B1234" w:rsidRPr="00D01115">
        <w:t>, both secular and ecclesiastical</w:t>
      </w:r>
      <w:r w:rsidR="00D94213" w:rsidRPr="00D01115">
        <w:t xml:space="preserve">. For people such as Alice White, going to a soothsayer </w:t>
      </w:r>
      <w:r w:rsidR="00593283">
        <w:t>seems to have been</w:t>
      </w:r>
      <w:r w:rsidR="00D94213" w:rsidRPr="00D01115">
        <w:t xml:space="preserve"> a</w:t>
      </w:r>
      <w:r w:rsidR="00C55B60" w:rsidRPr="00D01115">
        <w:t xml:space="preserve">n </w:t>
      </w:r>
      <w:r w:rsidR="00D94213" w:rsidRPr="00D01115">
        <w:t xml:space="preserve">early step in an attempt to solve </w:t>
      </w:r>
      <w:r w:rsidR="00593283">
        <w:t>a</w:t>
      </w:r>
      <w:r w:rsidR="00593283" w:rsidRPr="00D01115">
        <w:t xml:space="preserve"> </w:t>
      </w:r>
      <w:r w:rsidR="00D94213" w:rsidRPr="00D01115">
        <w:t>problem</w:t>
      </w:r>
      <w:r w:rsidR="00593283">
        <w:t xml:space="preserve"> or conflict</w:t>
      </w:r>
      <w:r w:rsidR="00D2661F">
        <w:t>, and to do so in a way</w:t>
      </w:r>
      <w:r w:rsidR="00D94213" w:rsidRPr="00D01115">
        <w:t xml:space="preserve"> that avoided the many avenues of legal action to which she might have resorted</w:t>
      </w:r>
      <w:r w:rsidR="00D2661F">
        <w:t>:</w:t>
      </w:r>
      <w:r w:rsidR="00D94213" w:rsidRPr="00D01115">
        <w:t xml:space="preserve"> speaking to a </w:t>
      </w:r>
      <w:r w:rsidR="00452A43" w:rsidRPr="00D01115">
        <w:t xml:space="preserve">local </w:t>
      </w:r>
      <w:r w:rsidR="00D94213" w:rsidRPr="00D01115">
        <w:t>official</w:t>
      </w:r>
      <w:r w:rsidR="00452A43" w:rsidRPr="00D01115">
        <w:t>, suing a formal plea framed as debt, detinue, or trespass, or indeed, making a public accusation that he would be forced to refute.</w:t>
      </w:r>
      <w:r w:rsidR="007E116C" w:rsidRPr="00D01115">
        <w:rPr>
          <w:rStyle w:val="FootnoteReference"/>
        </w:rPr>
        <w:footnoteReference w:id="13"/>
      </w:r>
      <w:r w:rsidR="00641B13" w:rsidRPr="00D01115">
        <w:t xml:space="preserve"> Soothsay</w:t>
      </w:r>
      <w:r w:rsidR="00294BF7" w:rsidRPr="00D01115">
        <w:t>ers</w:t>
      </w:r>
      <w:r w:rsidR="00641B13" w:rsidRPr="00D01115">
        <w:t xml:space="preserve"> offered</w:t>
      </w:r>
      <w:r w:rsidR="00D2661F">
        <w:t xml:space="preserve"> </w:t>
      </w:r>
      <w:r w:rsidR="00641B13" w:rsidRPr="00D01115">
        <w:t>an alternative to</w:t>
      </w:r>
      <w:r w:rsidR="00D2661F">
        <w:t xml:space="preserve"> immediately </w:t>
      </w:r>
      <w:proofErr w:type="spellStart"/>
      <w:r w:rsidR="00D2661F">
        <w:t>purusing</w:t>
      </w:r>
      <w:proofErr w:type="spellEnd"/>
      <w:r w:rsidR="00D2661F">
        <w:t xml:space="preserve"> </w:t>
      </w:r>
      <w:r w:rsidR="00641B13" w:rsidRPr="00D01115">
        <w:t xml:space="preserve">these </w:t>
      </w:r>
      <w:r w:rsidR="00D2661F">
        <w:t xml:space="preserve">confrontational </w:t>
      </w:r>
      <w:r w:rsidR="00641B13" w:rsidRPr="00D01115">
        <w:t>options</w:t>
      </w:r>
      <w:r w:rsidR="00D2661F">
        <w:t>, while allowing them to be held in reserve for later.</w:t>
      </w:r>
    </w:p>
    <w:p w14:paraId="4DDD6C6D" w14:textId="77777777" w:rsidR="007C1711" w:rsidRPr="00D01115" w:rsidRDefault="007C1711" w:rsidP="00991CE5"/>
    <w:p w14:paraId="42957507" w14:textId="0F9EAF26" w:rsidR="00685DA1" w:rsidRPr="00D01115" w:rsidRDefault="007C1711" w:rsidP="001636CC">
      <w:r w:rsidRPr="00D01115">
        <w:t xml:space="preserve">For several </w:t>
      </w:r>
      <w:r w:rsidR="00991CE5" w:rsidRPr="00D01115">
        <w:t xml:space="preserve">decades now, medieval historians have </w:t>
      </w:r>
      <w:r w:rsidR="003D0A87" w:rsidRPr="00D01115">
        <w:t xml:space="preserve">understood that </w:t>
      </w:r>
      <w:r w:rsidR="00913E43" w:rsidRPr="00D01115">
        <w:t xml:space="preserve">social disputes were not one-off </w:t>
      </w:r>
      <w:r w:rsidR="00153A94">
        <w:t>events</w:t>
      </w:r>
      <w:r w:rsidR="00913E43" w:rsidRPr="00D01115">
        <w:t xml:space="preserve">, but processes </w:t>
      </w:r>
      <w:r w:rsidR="00991CE5" w:rsidRPr="00D01115">
        <w:t xml:space="preserve">in which parties might pursue multiple strategies – from outright violence to </w:t>
      </w:r>
      <w:r w:rsidR="00913E43" w:rsidRPr="00D01115">
        <w:t xml:space="preserve">legal action to informal settlement </w:t>
      </w:r>
      <w:r w:rsidR="00991CE5" w:rsidRPr="00D01115">
        <w:t xml:space="preserve">– aimed at obtaining an advantageous </w:t>
      </w:r>
      <w:r w:rsidR="00913E43" w:rsidRPr="00D01115">
        <w:t>resolution</w:t>
      </w:r>
      <w:r w:rsidR="00991CE5" w:rsidRPr="00D01115">
        <w:t>.</w:t>
      </w:r>
      <w:r w:rsidR="00991CE5" w:rsidRPr="00D01115">
        <w:rPr>
          <w:vertAlign w:val="superscript"/>
        </w:rPr>
        <w:footnoteReference w:id="14"/>
      </w:r>
      <w:r w:rsidR="00991CE5" w:rsidRPr="00D01115">
        <w:t xml:space="preserve"> In late-medieval England specifically, much historiographical attention has focused on arbitration, a mechanism used across a range of social contexts to flexibly resolve disputes, sometimes in concert with, but often outside of law-courts.</w:t>
      </w:r>
      <w:r w:rsidR="00991CE5" w:rsidRPr="00D01115">
        <w:rPr>
          <w:vertAlign w:val="superscript"/>
        </w:rPr>
        <w:footnoteReference w:id="15"/>
      </w:r>
      <w:r w:rsidR="00991CE5" w:rsidRPr="00D01115">
        <w:t xml:space="preserve"> </w:t>
      </w:r>
      <w:r w:rsidR="00641B13" w:rsidRPr="00D01115">
        <w:t xml:space="preserve">In one sense, soothsaying can be understood within this paradigm, as another </w:t>
      </w:r>
      <w:r w:rsidR="00D2661F" w:rsidRPr="00D01115">
        <w:t>alternative</w:t>
      </w:r>
      <w:r w:rsidR="00641B13" w:rsidRPr="00D01115">
        <w:t xml:space="preserve"> within the panoply of disputing strategies. But </w:t>
      </w:r>
      <w:r w:rsidR="007B1234" w:rsidRPr="00D01115">
        <w:t xml:space="preserve">at the same time, </w:t>
      </w:r>
      <w:r w:rsidR="00D2661F">
        <w:t>it</w:t>
      </w:r>
      <w:r w:rsidR="00D2661F" w:rsidRPr="00D01115">
        <w:t xml:space="preserve"> </w:t>
      </w:r>
      <w:r w:rsidR="007B1234" w:rsidRPr="00D01115">
        <w:t>offered</w:t>
      </w:r>
      <w:r w:rsidR="00641B13" w:rsidRPr="00D01115">
        <w:t xml:space="preserve"> </w:t>
      </w:r>
      <w:r w:rsidR="007B1234" w:rsidRPr="00D01115">
        <w:t xml:space="preserve">something </w:t>
      </w:r>
      <w:r w:rsidR="00641B13" w:rsidRPr="00D01115">
        <w:t xml:space="preserve">quite different: </w:t>
      </w:r>
      <w:r w:rsidR="00D2661F">
        <w:t>soothsaying</w:t>
      </w:r>
      <w:r w:rsidR="00D2661F" w:rsidRPr="00D01115">
        <w:t xml:space="preserve"> </w:t>
      </w:r>
      <w:r w:rsidR="00641B13" w:rsidRPr="00D01115">
        <w:t xml:space="preserve">did not </w:t>
      </w:r>
      <w:r w:rsidR="007B1234" w:rsidRPr="00D01115">
        <w:t xml:space="preserve">necessarily </w:t>
      </w:r>
      <w:r w:rsidR="00641B13" w:rsidRPr="00D01115">
        <w:t xml:space="preserve">aim at </w:t>
      </w:r>
      <w:r w:rsidR="00D2661F">
        <w:t>establishing</w:t>
      </w:r>
      <w:r w:rsidR="00641B13" w:rsidRPr="00D01115">
        <w:t xml:space="preserve"> peace between parties, but </w:t>
      </w:r>
      <w:r w:rsidR="00F51FF3" w:rsidRPr="00D01115">
        <w:t>rather claimed to</w:t>
      </w:r>
      <w:r w:rsidR="00641B13" w:rsidRPr="00D01115">
        <w:t xml:space="preserve"> </w:t>
      </w:r>
      <w:r w:rsidR="00F51FF3" w:rsidRPr="00D01115">
        <w:t xml:space="preserve">unveil </w:t>
      </w:r>
      <w:r w:rsidR="0023032B" w:rsidRPr="00D01115">
        <w:t>the truth</w:t>
      </w:r>
      <w:r w:rsidR="00F51FF3" w:rsidRPr="00D01115">
        <w:t>. A</w:t>
      </w:r>
      <w:r w:rsidR="00991CE5" w:rsidRPr="00D01115">
        <w:t xml:space="preserve">s Alice White found, </w:t>
      </w:r>
      <w:r w:rsidR="00F51FF3" w:rsidRPr="00D01115">
        <w:t xml:space="preserve">this </w:t>
      </w:r>
      <w:r w:rsidR="00991CE5" w:rsidRPr="00D01115">
        <w:t xml:space="preserve">did not </w:t>
      </w:r>
      <w:r w:rsidR="00F51FF3" w:rsidRPr="00D01115">
        <w:t>necessarily</w:t>
      </w:r>
      <w:r w:rsidR="00991CE5" w:rsidRPr="00D01115">
        <w:t xml:space="preserve"> lead to a happy outcome</w:t>
      </w:r>
      <w:r w:rsidR="00F51FF3" w:rsidRPr="00D01115">
        <w:t xml:space="preserve">. But </w:t>
      </w:r>
      <w:r w:rsidR="00991CE5" w:rsidRPr="00D01115">
        <w:t xml:space="preserve">it </w:t>
      </w:r>
      <w:r w:rsidR="00F51FF3" w:rsidRPr="00D01115">
        <w:t xml:space="preserve">does suggest that </w:t>
      </w:r>
      <w:r w:rsidR="00A05AB7" w:rsidRPr="00D01115">
        <w:t xml:space="preserve">resolution was not the only </w:t>
      </w:r>
      <w:r w:rsidR="00C55B60" w:rsidRPr="00D01115">
        <w:t xml:space="preserve">purpose </w:t>
      </w:r>
      <w:r w:rsidR="00A05AB7" w:rsidRPr="00D01115">
        <w:t xml:space="preserve">of </w:t>
      </w:r>
      <w:r w:rsidR="003F5BAA">
        <w:t xml:space="preserve">medieval </w:t>
      </w:r>
      <w:r w:rsidR="00A05AB7" w:rsidRPr="00D01115">
        <w:t>disput</w:t>
      </w:r>
      <w:r w:rsidR="003F5BAA">
        <w:t>ing strategies</w:t>
      </w:r>
      <w:r w:rsidR="00A05AB7" w:rsidRPr="00D01115">
        <w:t>;</w:t>
      </w:r>
      <w:r w:rsidR="00F65FA8" w:rsidRPr="00D01115">
        <w:t xml:space="preserve"> </w:t>
      </w:r>
      <w:r w:rsidR="00A05AB7" w:rsidRPr="00D01115">
        <w:t xml:space="preserve">the prospect of finding out the truth </w:t>
      </w:r>
      <w:r w:rsidR="00F827E0" w:rsidRPr="00D01115">
        <w:t xml:space="preserve">offered </w:t>
      </w:r>
      <w:r w:rsidR="00991CE5" w:rsidRPr="00D01115">
        <w:t xml:space="preserve">aggrieved parties </w:t>
      </w:r>
      <w:r w:rsidR="00714657" w:rsidRPr="00D01115">
        <w:t xml:space="preserve">a different </w:t>
      </w:r>
      <w:r w:rsidR="003F5BAA">
        <w:t>ideal</w:t>
      </w:r>
      <w:r w:rsidR="003F5BAA" w:rsidRPr="00D01115">
        <w:t xml:space="preserve"> </w:t>
      </w:r>
      <w:r w:rsidR="00991CE5" w:rsidRPr="00D01115">
        <w:t xml:space="preserve">of </w:t>
      </w:r>
      <w:r w:rsidR="00C55B60" w:rsidRPr="00D01115">
        <w:t xml:space="preserve">popular </w:t>
      </w:r>
      <w:r w:rsidR="00991CE5" w:rsidRPr="00D01115">
        <w:t>justice</w:t>
      </w:r>
      <w:r w:rsidR="00C55B60" w:rsidRPr="00D01115">
        <w:t xml:space="preserve"> in the later Middle Ages</w:t>
      </w:r>
      <w:r w:rsidR="00714657" w:rsidRPr="00D01115">
        <w:t>, one rooted in knowledge rather than reconciliation</w:t>
      </w:r>
      <w:r w:rsidR="00991CE5" w:rsidRPr="00D01115">
        <w:t>.</w:t>
      </w:r>
      <w:r w:rsidR="00685DA1" w:rsidRPr="00D01115">
        <w:t xml:space="preserve"> </w:t>
      </w:r>
    </w:p>
    <w:p w14:paraId="7AB768CD" w14:textId="77777777" w:rsidR="00685DA1" w:rsidRPr="00D01115" w:rsidRDefault="00685DA1" w:rsidP="001636CC"/>
    <w:p w14:paraId="693C89D0" w14:textId="14F91446" w:rsidR="00F24436" w:rsidRPr="00D01115" w:rsidRDefault="00FA0BF6" w:rsidP="001636CC">
      <w:r w:rsidRPr="00D01115">
        <w:lastRenderedPageBreak/>
        <w:t xml:space="preserve">Thirdly and finally, </w:t>
      </w:r>
      <w:r w:rsidR="007B1234" w:rsidRPr="00D01115">
        <w:t xml:space="preserve">I argue that by </w:t>
      </w:r>
      <w:r w:rsidR="00D874F3" w:rsidRPr="00D01115">
        <w:t xml:space="preserve">taking seriously the </w:t>
      </w:r>
      <w:r w:rsidR="00A05AB7" w:rsidRPr="00D01115">
        <w:t xml:space="preserve">comparison between soothsaying and </w:t>
      </w:r>
      <w:r w:rsidR="006523DC" w:rsidRPr="00D01115">
        <w:t>law-courts</w:t>
      </w:r>
      <w:r w:rsidR="00A05AB7" w:rsidRPr="00D01115">
        <w:t xml:space="preserve"> </w:t>
      </w:r>
      <w:r w:rsidR="007B1234" w:rsidRPr="00D01115">
        <w:t xml:space="preserve">we </w:t>
      </w:r>
      <w:r w:rsidR="00C55B60" w:rsidRPr="00D01115">
        <w:t xml:space="preserve">can </w:t>
      </w:r>
      <w:r w:rsidR="00DD2B1F" w:rsidRPr="00D01115">
        <w:t xml:space="preserve">cast </w:t>
      </w:r>
      <w:r w:rsidR="00685DA1" w:rsidRPr="00D01115">
        <w:t>a different light</w:t>
      </w:r>
      <w:r w:rsidR="00A05AB7" w:rsidRPr="00D01115">
        <w:t xml:space="preserve"> </w:t>
      </w:r>
      <w:r w:rsidR="00F62BF6" w:rsidRPr="00D01115">
        <w:t xml:space="preserve">upon </w:t>
      </w:r>
      <w:r w:rsidR="002B2023" w:rsidRPr="00D01115">
        <w:t>legal culture</w:t>
      </w:r>
      <w:r w:rsidR="00C55B60" w:rsidRPr="00D01115">
        <w:t xml:space="preserve"> in this period</w:t>
      </w:r>
      <w:r w:rsidR="002B2023" w:rsidRPr="00D01115">
        <w:t>.</w:t>
      </w:r>
      <w:r w:rsidR="00DD2B1F" w:rsidRPr="00D01115">
        <w:rPr>
          <w:rStyle w:val="FootnoteReference"/>
        </w:rPr>
        <w:footnoteReference w:id="16"/>
      </w:r>
      <w:r w:rsidR="002B2023" w:rsidRPr="00D01115">
        <w:t xml:space="preserve"> </w:t>
      </w:r>
      <w:r w:rsidR="00DD2B1F" w:rsidRPr="00D01115">
        <w:t xml:space="preserve">Medieval law-courts, insofar as they offered people </w:t>
      </w:r>
      <w:r w:rsidR="00685DA1" w:rsidRPr="00D01115">
        <w:t xml:space="preserve">an attractive </w:t>
      </w:r>
      <w:r w:rsidR="00DD2B1F" w:rsidRPr="00D01115">
        <w:t xml:space="preserve">public </w:t>
      </w:r>
      <w:r w:rsidR="00685DA1" w:rsidRPr="00D01115">
        <w:t>arena for the airing of disputes</w:t>
      </w:r>
      <w:r w:rsidR="00DD2B1F" w:rsidRPr="00D01115">
        <w:t>, have been understood by historians as responding sensitively to the preferences of litigants.</w:t>
      </w:r>
      <w:r w:rsidR="00DD2B1F" w:rsidRPr="00D01115">
        <w:rPr>
          <w:rStyle w:val="FootnoteReference"/>
        </w:rPr>
        <w:footnoteReference w:id="17"/>
      </w:r>
      <w:r w:rsidR="00210A37" w:rsidRPr="00D01115">
        <w:t xml:space="preserve"> </w:t>
      </w:r>
      <w:r w:rsidR="00685DA1" w:rsidRPr="00D01115">
        <w:t>But t</w:t>
      </w:r>
      <w:r w:rsidR="00210A37" w:rsidRPr="00D01115">
        <w:t xml:space="preserve">he </w:t>
      </w:r>
      <w:r w:rsidR="00685DA1" w:rsidRPr="00D01115">
        <w:t xml:space="preserve">resort </w:t>
      </w:r>
      <w:r w:rsidR="00210A37" w:rsidRPr="00D01115">
        <w:t>to s</w:t>
      </w:r>
      <w:r w:rsidR="00DD2B1F" w:rsidRPr="00D01115">
        <w:t xml:space="preserve">oothsayers, </w:t>
      </w:r>
      <w:r w:rsidR="00210A37" w:rsidRPr="00D01115">
        <w:t xml:space="preserve">who </w:t>
      </w:r>
      <w:r w:rsidR="00DD2B1F" w:rsidRPr="00D01115">
        <w:t xml:space="preserve">offered </w:t>
      </w:r>
      <w:r w:rsidR="00B070E4" w:rsidRPr="00D01115">
        <w:t xml:space="preserve">an </w:t>
      </w:r>
      <w:r w:rsidR="00685DA1" w:rsidRPr="00D01115">
        <w:t>near-</w:t>
      </w:r>
      <w:r w:rsidR="00210A37" w:rsidRPr="00D01115">
        <w:t>exac</w:t>
      </w:r>
      <w:r w:rsidR="00B070E4" w:rsidRPr="00D01115">
        <w:t>t</w:t>
      </w:r>
      <w:r w:rsidR="00685DA1" w:rsidRPr="00D01115">
        <w:t>ly</w:t>
      </w:r>
      <w:r w:rsidR="00210A37" w:rsidRPr="00D01115">
        <w:t xml:space="preserve"> opposite </w:t>
      </w:r>
      <w:r w:rsidR="00B070E4" w:rsidRPr="00D01115">
        <w:t xml:space="preserve">mode of determination </w:t>
      </w:r>
      <w:r w:rsidR="00210A37" w:rsidRPr="00D01115">
        <w:t>–</w:t>
      </w:r>
      <w:r w:rsidR="00B070E4" w:rsidRPr="00D01115">
        <w:t xml:space="preserve"> </w:t>
      </w:r>
      <w:r w:rsidR="00210A37" w:rsidRPr="00D01115">
        <w:t xml:space="preserve">making </w:t>
      </w:r>
      <w:r w:rsidR="00B070E4" w:rsidRPr="00D01115">
        <w:t xml:space="preserve">illicit, </w:t>
      </w:r>
      <w:r w:rsidR="00DD2B1F" w:rsidRPr="00D01115">
        <w:t>allusive, an</w:t>
      </w:r>
      <w:r w:rsidR="00E26401" w:rsidRPr="00D01115">
        <w:t>d</w:t>
      </w:r>
      <w:r w:rsidR="00685DA1" w:rsidRPr="00D01115">
        <w:t xml:space="preserve"> </w:t>
      </w:r>
      <w:r w:rsidR="00DD2B1F" w:rsidRPr="00D01115">
        <w:t>private</w:t>
      </w:r>
      <w:r w:rsidR="00210A37" w:rsidRPr="00D01115">
        <w:t xml:space="preserve"> pronouncements – suggests that </w:t>
      </w:r>
      <w:r w:rsidR="004C6422" w:rsidRPr="00D01115">
        <w:t xml:space="preserve">we </w:t>
      </w:r>
      <w:r w:rsidR="003F5BAA">
        <w:t xml:space="preserve">may </w:t>
      </w:r>
      <w:r w:rsidR="004C6422" w:rsidRPr="00D01115">
        <w:t xml:space="preserve">have been too quick to </w:t>
      </w:r>
      <w:r w:rsidR="007B1234" w:rsidRPr="00D01115">
        <w:t>assume that the public functions of law-courts worked towards the desires of their users</w:t>
      </w:r>
      <w:r w:rsidR="00B21EFC" w:rsidRPr="00D01115">
        <w:t xml:space="preserve">. </w:t>
      </w:r>
      <w:r w:rsidR="007B1234" w:rsidRPr="00D01115">
        <w:t>T</w:t>
      </w:r>
      <w:r w:rsidR="00B070E4" w:rsidRPr="00D01115">
        <w:t xml:space="preserve">he </w:t>
      </w:r>
      <w:r w:rsidR="004D5CBB" w:rsidRPr="00D01115">
        <w:t>relentless</w:t>
      </w:r>
      <w:r w:rsidR="00B070E4" w:rsidRPr="00D01115">
        <w:t xml:space="preserve"> publicity of legal culture </w:t>
      </w:r>
      <w:r w:rsidR="007B1234" w:rsidRPr="00D01115">
        <w:t xml:space="preserve">was also </w:t>
      </w:r>
      <w:r w:rsidR="00A00D30" w:rsidRPr="00D01115">
        <w:t>oppressive</w:t>
      </w:r>
      <w:r w:rsidR="007B1234" w:rsidRPr="00D01115">
        <w:t>: i</w:t>
      </w:r>
      <w:r w:rsidR="00A00D30" w:rsidRPr="00D01115">
        <w:t xml:space="preserve">f </w:t>
      </w:r>
      <w:r w:rsidR="00C55B60" w:rsidRPr="00D01115">
        <w:t>someone</w:t>
      </w:r>
      <w:r w:rsidR="00A00D30" w:rsidRPr="00D01115">
        <w:t xml:space="preserve"> wished to solve a problem or resolve a dispute</w:t>
      </w:r>
      <w:r w:rsidR="00506650" w:rsidRPr="00D01115">
        <w:t xml:space="preserve"> with law</w:t>
      </w:r>
      <w:r w:rsidR="00A00D30" w:rsidRPr="00D01115">
        <w:t xml:space="preserve">, </w:t>
      </w:r>
      <w:r w:rsidR="00C55B60" w:rsidRPr="00D01115">
        <w:t>they</w:t>
      </w:r>
      <w:r w:rsidR="00A00D30" w:rsidRPr="00D01115">
        <w:t xml:space="preserve"> had to make it public, and </w:t>
      </w:r>
      <w:r w:rsidR="00685DA1" w:rsidRPr="00D01115">
        <w:t xml:space="preserve">do so by </w:t>
      </w:r>
      <w:r w:rsidR="00A00D30" w:rsidRPr="00D01115">
        <w:t>rely</w:t>
      </w:r>
      <w:r w:rsidR="00685DA1" w:rsidRPr="00D01115">
        <w:t>ing</w:t>
      </w:r>
      <w:r w:rsidR="00A00D30" w:rsidRPr="00D01115">
        <w:t xml:space="preserve"> on </w:t>
      </w:r>
      <w:r w:rsidR="008A75BA" w:rsidRPr="00D01115">
        <w:t xml:space="preserve">the </w:t>
      </w:r>
      <w:r w:rsidR="00A00D30" w:rsidRPr="00D01115">
        <w:t xml:space="preserve">favourable interpretation of the </w:t>
      </w:r>
      <w:r w:rsidR="008A75BA" w:rsidRPr="00D01115">
        <w:t xml:space="preserve">local community and </w:t>
      </w:r>
      <w:r w:rsidR="00CB2202" w:rsidRPr="00D01115">
        <w:t>the ‘trustworthy men’ who represented it</w:t>
      </w:r>
      <w:r w:rsidR="008A75BA" w:rsidRPr="00D01115">
        <w:t>.</w:t>
      </w:r>
      <w:r w:rsidR="00CB2202" w:rsidRPr="00D01115">
        <w:rPr>
          <w:rStyle w:val="FootnoteReference"/>
        </w:rPr>
        <w:footnoteReference w:id="18"/>
      </w:r>
      <w:r w:rsidR="00940973" w:rsidRPr="00D01115">
        <w:t xml:space="preserve"> </w:t>
      </w:r>
      <w:r w:rsidR="00434235" w:rsidRPr="00D01115">
        <w:t>To go to a</w:t>
      </w:r>
      <w:r w:rsidR="00940973" w:rsidRPr="00D01115">
        <w:t xml:space="preserve"> soothsayer in this world</w:t>
      </w:r>
      <w:r w:rsidR="003D4687" w:rsidRPr="00D01115">
        <w:t xml:space="preserve"> was </w:t>
      </w:r>
      <w:r w:rsidR="00CB2202" w:rsidRPr="00D01115">
        <w:t xml:space="preserve">to </w:t>
      </w:r>
      <w:r w:rsidR="00434235" w:rsidRPr="00D01115">
        <w:t xml:space="preserve">resist </w:t>
      </w:r>
      <w:r w:rsidR="00714657" w:rsidRPr="00D01115">
        <w:t xml:space="preserve">the </w:t>
      </w:r>
      <w:r w:rsidR="00A00D30" w:rsidRPr="00D01115">
        <w:t>hard</w:t>
      </w:r>
      <w:r w:rsidR="00714657" w:rsidRPr="00D01115">
        <w:t xml:space="preserve"> </w:t>
      </w:r>
      <w:r w:rsidR="00E3170B" w:rsidRPr="00D01115">
        <w:t>certainties</w:t>
      </w:r>
      <w:r w:rsidR="00714657" w:rsidRPr="00D01115">
        <w:t xml:space="preserve"> of law</w:t>
      </w:r>
      <w:r w:rsidR="00434235" w:rsidRPr="00D01115">
        <w:t>,</w:t>
      </w:r>
      <w:r w:rsidR="00E3170B" w:rsidRPr="00D01115">
        <w:t xml:space="preserve"> to </w:t>
      </w:r>
      <w:r w:rsidR="008F7C58" w:rsidRPr="00D01115">
        <w:t>prize</w:t>
      </w:r>
      <w:r w:rsidR="00E3170B" w:rsidRPr="00D01115">
        <w:t xml:space="preserve"> </w:t>
      </w:r>
      <w:r w:rsidR="00A00D30" w:rsidRPr="00D01115">
        <w:t>private</w:t>
      </w:r>
      <w:r w:rsidR="00714657" w:rsidRPr="00D01115">
        <w:t xml:space="preserve"> </w:t>
      </w:r>
      <w:r w:rsidR="008F7C58" w:rsidRPr="00D01115">
        <w:t xml:space="preserve">conviction </w:t>
      </w:r>
      <w:r w:rsidR="00714657" w:rsidRPr="00D01115">
        <w:t>over common knowledge</w:t>
      </w:r>
      <w:r w:rsidR="007B1234" w:rsidRPr="00D01115">
        <w:t xml:space="preserve">, </w:t>
      </w:r>
      <w:r w:rsidR="00A00D30" w:rsidRPr="00D01115">
        <w:t xml:space="preserve">to favour </w:t>
      </w:r>
      <w:r w:rsidR="00685DA1" w:rsidRPr="00D01115">
        <w:t>sooth</w:t>
      </w:r>
      <w:r w:rsidR="00A00D30" w:rsidRPr="00D01115">
        <w:t xml:space="preserve"> </w:t>
      </w:r>
      <w:r w:rsidR="00685DA1" w:rsidRPr="00D01115">
        <w:t>over truth</w:t>
      </w:r>
      <w:r w:rsidR="00A00D30" w:rsidRPr="00D01115">
        <w:t>.</w:t>
      </w:r>
    </w:p>
    <w:p w14:paraId="527FEED1" w14:textId="77777777" w:rsidR="004B68EE" w:rsidRPr="00D01115" w:rsidRDefault="004B68EE" w:rsidP="001636CC"/>
    <w:p w14:paraId="10F9A43E" w14:textId="42A187EB" w:rsidR="008D7EEA" w:rsidRPr="00D01115" w:rsidRDefault="00E2398D" w:rsidP="00E2398D">
      <w:r w:rsidRPr="00D01115">
        <w:t>The</w:t>
      </w:r>
      <w:r w:rsidR="002077E3" w:rsidRPr="00D01115">
        <w:t xml:space="preserve"> first section of the article</w:t>
      </w:r>
      <w:r w:rsidRPr="00D01115">
        <w:t xml:space="preserve"> </w:t>
      </w:r>
      <w:r w:rsidR="001B0DC5" w:rsidRPr="00D01115">
        <w:t>looks</w:t>
      </w:r>
      <w:r w:rsidR="001B3F3F" w:rsidRPr="00D01115">
        <w:t xml:space="preserve"> </w:t>
      </w:r>
      <w:r w:rsidR="001B0DC5" w:rsidRPr="00D01115">
        <w:t xml:space="preserve">at </w:t>
      </w:r>
      <w:r w:rsidR="001B3F3F" w:rsidRPr="00D01115">
        <w:t xml:space="preserve">the emergence of </w:t>
      </w:r>
      <w:r w:rsidR="003F5BAA">
        <w:t xml:space="preserve">the </w:t>
      </w:r>
      <w:r w:rsidR="001B3F3F" w:rsidRPr="00D01115">
        <w:t>‘soothsayer’ as a magical practitioner in</w:t>
      </w:r>
      <w:r w:rsidR="00646DE2" w:rsidRPr="00D01115">
        <w:t xml:space="preserve"> fourteenth- and </w:t>
      </w:r>
      <w:proofErr w:type="gramStart"/>
      <w:r w:rsidR="00646DE2" w:rsidRPr="00D01115">
        <w:t>fifteenth-century</w:t>
      </w:r>
      <w:proofErr w:type="gramEnd"/>
      <w:r w:rsidR="00646DE2" w:rsidRPr="00D01115">
        <w:t xml:space="preserve"> England, </w:t>
      </w:r>
      <w:r w:rsidR="003F5BAA">
        <w:t xml:space="preserve">and </w:t>
      </w:r>
      <w:r w:rsidR="001B3F3F" w:rsidRPr="00D01115">
        <w:t>set</w:t>
      </w:r>
      <w:r w:rsidR="003F5BAA">
        <w:t>s</w:t>
      </w:r>
      <w:r w:rsidR="001B3F3F" w:rsidRPr="00D01115">
        <w:t xml:space="preserve"> out</w:t>
      </w:r>
      <w:r w:rsidR="00646DE2" w:rsidRPr="00D01115">
        <w:t xml:space="preserve"> </w:t>
      </w:r>
      <w:r w:rsidR="003F5BAA">
        <w:t xml:space="preserve">some of </w:t>
      </w:r>
      <w:r w:rsidR="005F57FD" w:rsidRPr="00D01115">
        <w:t xml:space="preserve">the problems of </w:t>
      </w:r>
      <w:r w:rsidR="001B3F3F" w:rsidRPr="00D01115">
        <w:t xml:space="preserve">using legal evidence to </w:t>
      </w:r>
      <w:r w:rsidR="003F5BAA">
        <w:t xml:space="preserve">try to </w:t>
      </w:r>
      <w:r w:rsidR="001B3F3F" w:rsidRPr="00D01115">
        <w:t xml:space="preserve">grasp </w:t>
      </w:r>
      <w:r w:rsidR="003F5BAA">
        <w:t>these shadowy figures</w:t>
      </w:r>
      <w:r w:rsidR="001B3F3F" w:rsidRPr="00D01115">
        <w:t>.</w:t>
      </w:r>
      <w:r w:rsidR="005F57FD" w:rsidRPr="00D01115">
        <w:t xml:space="preserve"> </w:t>
      </w:r>
      <w:r w:rsidR="000F297D" w:rsidRPr="00D01115">
        <w:t xml:space="preserve">The </w:t>
      </w:r>
      <w:r w:rsidR="001B0DC5" w:rsidRPr="00D01115">
        <w:t xml:space="preserve">second </w:t>
      </w:r>
      <w:r w:rsidR="000F297D" w:rsidRPr="00D01115">
        <w:t xml:space="preserve">section </w:t>
      </w:r>
      <w:r w:rsidR="005F57FD" w:rsidRPr="00D01115">
        <w:t xml:space="preserve">examines </w:t>
      </w:r>
      <w:r w:rsidR="0084445C">
        <w:t>the ways in which</w:t>
      </w:r>
      <w:r w:rsidR="0084445C" w:rsidRPr="00D01115">
        <w:t xml:space="preserve"> </w:t>
      </w:r>
      <w:r w:rsidR="005F57FD" w:rsidRPr="00D01115">
        <w:t xml:space="preserve">soothsaying </w:t>
      </w:r>
      <w:r w:rsidR="008A25FF" w:rsidRPr="00D01115">
        <w:t xml:space="preserve">became </w:t>
      </w:r>
      <w:r w:rsidR="0084445C">
        <w:t>associated</w:t>
      </w:r>
      <w:r w:rsidR="0084445C" w:rsidRPr="00D01115">
        <w:t xml:space="preserve"> </w:t>
      </w:r>
      <w:r w:rsidR="008A25FF" w:rsidRPr="00D01115">
        <w:t>with</w:t>
      </w:r>
      <w:r w:rsidR="005F57FD" w:rsidRPr="00D01115">
        <w:t xml:space="preserve"> </w:t>
      </w:r>
      <w:r w:rsidR="0084445C">
        <w:t>law and its institutions;</w:t>
      </w:r>
      <w:r w:rsidR="005F57FD" w:rsidRPr="00D01115">
        <w:t xml:space="preserve"> both</w:t>
      </w:r>
      <w:r w:rsidR="001114D8" w:rsidRPr="00D01115">
        <w:t xml:space="preserve"> </w:t>
      </w:r>
      <w:r w:rsidR="005F57FD" w:rsidRPr="00D01115">
        <w:t xml:space="preserve">as </w:t>
      </w:r>
      <w:r w:rsidR="000F297D" w:rsidRPr="00D01115">
        <w:t>divination</w:t>
      </w:r>
      <w:r w:rsidR="001114D8" w:rsidRPr="00D01115">
        <w:t>s</w:t>
      </w:r>
      <w:r w:rsidR="000F297D" w:rsidRPr="00D01115">
        <w:t xml:space="preserve"> </w:t>
      </w:r>
      <w:r w:rsidR="0084445C">
        <w:t>came to be used as</w:t>
      </w:r>
      <w:r w:rsidR="0084445C" w:rsidRPr="00D01115">
        <w:t xml:space="preserve"> </w:t>
      </w:r>
      <w:r w:rsidR="005F57FD" w:rsidRPr="00D01115">
        <w:t xml:space="preserve">the basis of </w:t>
      </w:r>
      <w:r w:rsidR="001114D8" w:rsidRPr="00D01115">
        <w:t>defamat</w:t>
      </w:r>
      <w:r w:rsidR="0084445C">
        <w:t>ory allegation</w:t>
      </w:r>
      <w:r w:rsidR="001114D8" w:rsidRPr="00D01115">
        <w:t>s</w:t>
      </w:r>
      <w:r w:rsidR="005F57FD" w:rsidRPr="00D01115">
        <w:t xml:space="preserve">, </w:t>
      </w:r>
      <w:r w:rsidR="00251FB3" w:rsidRPr="00D01115">
        <w:t>and</w:t>
      </w:r>
      <w:r w:rsidR="005F57FD" w:rsidRPr="00D01115">
        <w:t xml:space="preserve"> also as contemporary scribes wrote about soothsaying </w:t>
      </w:r>
      <w:r w:rsidR="0084445C">
        <w:t>itself drawing on a legalistic vocabulary</w:t>
      </w:r>
      <w:r w:rsidR="005F57FD" w:rsidRPr="00D01115">
        <w:t xml:space="preserve">. </w:t>
      </w:r>
      <w:r w:rsidR="00294BF7" w:rsidRPr="00D01115">
        <w:t>T</w:t>
      </w:r>
      <w:r w:rsidR="005F57FD" w:rsidRPr="00D01115">
        <w:t xml:space="preserve">he </w:t>
      </w:r>
      <w:r w:rsidR="001B0DC5" w:rsidRPr="00D01115">
        <w:t>third</w:t>
      </w:r>
      <w:r w:rsidR="000F297D" w:rsidRPr="00D01115">
        <w:t xml:space="preserve"> </w:t>
      </w:r>
      <w:r w:rsidR="005F57FD" w:rsidRPr="00D01115">
        <w:t xml:space="preserve">section </w:t>
      </w:r>
      <w:r w:rsidR="00433024" w:rsidRPr="00D01115">
        <w:t xml:space="preserve">elaborates </w:t>
      </w:r>
      <w:r w:rsidR="00E142A9">
        <w:t>this</w:t>
      </w:r>
      <w:r w:rsidR="00506650" w:rsidRPr="00D01115">
        <w:t xml:space="preserve"> comparison</w:t>
      </w:r>
      <w:r w:rsidR="00433024" w:rsidRPr="00D01115">
        <w:t xml:space="preserve"> between law and soothsaying</w:t>
      </w:r>
      <w:r w:rsidR="005E7A16" w:rsidRPr="00D01115">
        <w:t xml:space="preserve"> </w:t>
      </w:r>
      <w:r w:rsidR="00E142A9">
        <w:t xml:space="preserve">further </w:t>
      </w:r>
      <w:r w:rsidR="00433024" w:rsidRPr="00D01115">
        <w:t xml:space="preserve">by considering the reasons that laypeople </w:t>
      </w:r>
      <w:r w:rsidR="008D1F58" w:rsidRPr="00D01115">
        <w:t>went</w:t>
      </w:r>
      <w:r w:rsidR="00433024" w:rsidRPr="00D01115">
        <w:t xml:space="preserve"> to soothsayers</w:t>
      </w:r>
      <w:r w:rsidR="00506650" w:rsidRPr="00D01115">
        <w:t xml:space="preserve"> </w:t>
      </w:r>
      <w:r w:rsidR="00685DA1" w:rsidRPr="00D01115">
        <w:t xml:space="preserve">– I </w:t>
      </w:r>
      <w:r w:rsidR="00E142A9">
        <w:t xml:space="preserve">emphasize </w:t>
      </w:r>
      <w:r w:rsidR="00685DA1" w:rsidRPr="00D01115">
        <w:t xml:space="preserve">their craft knowledge, participatory rituals, and </w:t>
      </w:r>
      <w:r w:rsidR="00E81BA9" w:rsidRPr="00D01115">
        <w:t xml:space="preserve">privacy </w:t>
      </w:r>
      <w:r w:rsidR="00506650" w:rsidRPr="00D01115">
        <w:t xml:space="preserve">were </w:t>
      </w:r>
      <w:r w:rsidR="00E142A9">
        <w:t>what made their methods so attractive</w:t>
      </w:r>
      <w:r w:rsidR="00506650" w:rsidRPr="00D01115">
        <w:t xml:space="preserve"> </w:t>
      </w:r>
      <w:r w:rsidR="00E81BA9" w:rsidRPr="00D01115">
        <w:t xml:space="preserve">– </w:t>
      </w:r>
      <w:r w:rsidR="005E7A16" w:rsidRPr="00D01115">
        <w:t>and</w:t>
      </w:r>
      <w:r w:rsidR="00E142A9">
        <w:t xml:space="preserve"> asking</w:t>
      </w:r>
      <w:r w:rsidR="005E7A16" w:rsidRPr="00D01115">
        <w:t xml:space="preserve"> </w:t>
      </w:r>
      <w:r w:rsidR="00E142A9">
        <w:t>how</w:t>
      </w:r>
      <w:r w:rsidR="00E142A9" w:rsidRPr="00D01115">
        <w:t xml:space="preserve"> </w:t>
      </w:r>
      <w:r w:rsidR="00E142A9">
        <w:t>they might reveal</w:t>
      </w:r>
      <w:r w:rsidR="00506650" w:rsidRPr="00D01115">
        <w:t xml:space="preserve">, contrariwise, </w:t>
      </w:r>
      <w:r w:rsidR="00E142A9">
        <w:t>a dissatisfaction with legal processes</w:t>
      </w:r>
      <w:r w:rsidR="005E7A16" w:rsidRPr="00D01115">
        <w:t xml:space="preserve">. </w:t>
      </w:r>
      <w:r w:rsidR="00CE1B76" w:rsidRPr="00D01115">
        <w:t>The conclusion</w:t>
      </w:r>
      <w:r w:rsidR="00251FB3" w:rsidRPr="00D01115">
        <w:t xml:space="preserve"> </w:t>
      </w:r>
      <w:r w:rsidR="00433024" w:rsidRPr="00D01115">
        <w:t xml:space="preserve">attempts to draw out </w:t>
      </w:r>
      <w:r w:rsidR="00CE1B76" w:rsidRPr="00D01115">
        <w:t xml:space="preserve">the </w:t>
      </w:r>
      <w:r w:rsidR="003E1958" w:rsidRPr="00D01115">
        <w:t>wider implications of this analysis</w:t>
      </w:r>
      <w:r w:rsidR="007018A9" w:rsidRPr="00D01115">
        <w:t>, suggesting</w:t>
      </w:r>
      <w:r w:rsidR="003E1958" w:rsidRPr="00D01115">
        <w:t xml:space="preserve"> that </w:t>
      </w:r>
      <w:r w:rsidR="00E81BA9" w:rsidRPr="00D01115">
        <w:t xml:space="preserve">the publicity of </w:t>
      </w:r>
      <w:r w:rsidR="00C55B60" w:rsidRPr="00D01115">
        <w:t xml:space="preserve">late-medieval </w:t>
      </w:r>
      <w:r w:rsidR="003E1958" w:rsidRPr="00D01115">
        <w:t xml:space="preserve">legal culture </w:t>
      </w:r>
      <w:r w:rsidR="00117BD5">
        <w:t>might</w:t>
      </w:r>
      <w:r w:rsidR="00E142A9">
        <w:t xml:space="preserve"> be seen </w:t>
      </w:r>
      <w:r w:rsidR="00117BD5">
        <w:t xml:space="preserve">less </w:t>
      </w:r>
      <w:r w:rsidR="00E142A9">
        <w:t xml:space="preserve">as a positive </w:t>
      </w:r>
      <w:r w:rsidR="00117BD5">
        <w:t>manifestation of popular participation</w:t>
      </w:r>
      <w:r w:rsidR="00B7467F">
        <w:t xml:space="preserve"> in institutions</w:t>
      </w:r>
      <w:r w:rsidR="00117BD5">
        <w:t>, and more</w:t>
      </w:r>
      <w:r w:rsidR="00B7467F">
        <w:t xml:space="preserve"> </w:t>
      </w:r>
      <w:r w:rsidR="00E81BA9" w:rsidRPr="00D01115">
        <w:t xml:space="preserve">in terms which emphasize the power relations </w:t>
      </w:r>
      <w:r w:rsidR="008B7E8C" w:rsidRPr="00D01115">
        <w:t>that underlay it</w:t>
      </w:r>
      <w:r w:rsidR="00417395" w:rsidRPr="00D01115">
        <w:t>.</w:t>
      </w:r>
    </w:p>
    <w:p w14:paraId="541E899B" w14:textId="77777777" w:rsidR="00552465" w:rsidRPr="00D01115" w:rsidRDefault="00552465" w:rsidP="00E2398D"/>
    <w:p w14:paraId="3291EA28" w14:textId="77777777" w:rsidR="00D3701B" w:rsidRPr="00D01115" w:rsidRDefault="00D3701B" w:rsidP="003768E8">
      <w:pPr>
        <w:rPr>
          <w:b/>
          <w:bCs/>
        </w:rPr>
      </w:pPr>
    </w:p>
    <w:p w14:paraId="22D0DB1F" w14:textId="77777777" w:rsidR="00552465" w:rsidRPr="00D01115" w:rsidRDefault="00552465" w:rsidP="00552465">
      <w:pPr>
        <w:jc w:val="center"/>
        <w:rPr>
          <w:b/>
          <w:bCs/>
        </w:rPr>
      </w:pPr>
      <w:r w:rsidRPr="00D01115">
        <w:rPr>
          <w:b/>
          <w:bCs/>
        </w:rPr>
        <w:t>I</w:t>
      </w:r>
    </w:p>
    <w:p w14:paraId="4172FEE4" w14:textId="77777777" w:rsidR="00552465" w:rsidRPr="00D01115" w:rsidRDefault="00552465" w:rsidP="00552465"/>
    <w:p w14:paraId="73A9475E" w14:textId="53621217" w:rsidR="00552465" w:rsidRPr="00D01115" w:rsidRDefault="00552465" w:rsidP="00552465">
      <w:r w:rsidRPr="00D01115">
        <w:t>What did it mean for someone to be a soothsayer, in late-medieval England? The chief difficulty in answering such a question is the paucity of cases in the church court records, which provide us with the most direct evidence of magical practice.</w:t>
      </w:r>
      <w:r w:rsidRPr="00D01115">
        <w:rPr>
          <w:rStyle w:val="FootnoteReference"/>
        </w:rPr>
        <w:footnoteReference w:id="19"/>
      </w:r>
      <w:r w:rsidRPr="00D01115">
        <w:t xml:space="preserve"> But even picking over the evidence for soothsaying that we do have, we are confronted by a loose terminology to describe highly various people and practices that do not always fit together well; in many cases, moreover, it is hard to pin down an individual who practised magic – even one who confessed </w:t>
      </w:r>
      <w:r w:rsidR="00626678">
        <w:t xml:space="preserve">to doing so </w:t>
      </w:r>
      <w:r w:rsidRPr="00D01115">
        <w:t>– as a full-time or out-and-out ‘soothsayer’. As I will suggest here, soothsaying is better understood not as a solid social identity, but rather as a practice, one of the many forms of ‘superstition’ that preoccupied the late-medieval English church.</w:t>
      </w:r>
      <w:r w:rsidRPr="00D01115">
        <w:rPr>
          <w:rStyle w:val="FootnoteReference"/>
        </w:rPr>
        <w:footnoteReference w:id="20"/>
      </w:r>
      <w:r w:rsidRPr="00D01115">
        <w:t xml:space="preserve"> In what follows, therefore, I discuss soothsaying in relation to other forms of magic, the ways in </w:t>
      </w:r>
      <w:r w:rsidRPr="00D01115">
        <w:lastRenderedPageBreak/>
        <w:t>which it was framed by ecclesiastical legal institutions, and finally, the kinds of people who were accused of engaging in it.</w:t>
      </w:r>
    </w:p>
    <w:p w14:paraId="4023D97C" w14:textId="77777777" w:rsidR="00552465" w:rsidRPr="00D01115" w:rsidRDefault="00552465" w:rsidP="00552465"/>
    <w:p w14:paraId="3A5B3919" w14:textId="0D63921D" w:rsidR="00552465" w:rsidRPr="00D01115" w:rsidRDefault="00552465" w:rsidP="00552465">
      <w:r w:rsidRPr="00D01115">
        <w:t>One of the reasons that it is difficult to draw tight boundaries around soothsaying is that it sits athwart the conceptual dichotomies with which we often understand medieval magic.</w:t>
      </w:r>
      <w:r w:rsidR="00007F47">
        <w:rPr>
          <w:rStyle w:val="FootnoteReference"/>
        </w:rPr>
        <w:footnoteReference w:id="21"/>
      </w:r>
      <w:r w:rsidRPr="00D01115">
        <w:t xml:space="preserve"> In the first place, we find divining or fortune-telling both in ‘learned’ </w:t>
      </w:r>
      <w:proofErr w:type="spellStart"/>
      <w:r w:rsidRPr="00D01115">
        <w:t>milieux</w:t>
      </w:r>
      <w:proofErr w:type="spellEnd"/>
      <w:r w:rsidRPr="00D01115">
        <w:t>, by clerics with books, just as it was used in ‘unlearned’ or ‘common’ contexts, by men and women who learned magic through oral transmission.</w:t>
      </w:r>
      <w:r w:rsidRPr="00D01115">
        <w:rPr>
          <w:rStyle w:val="FootnoteReference"/>
        </w:rPr>
        <w:footnoteReference w:id="22"/>
      </w:r>
      <w:r w:rsidRPr="00D01115">
        <w:t xml:space="preserve"> Indeed, it is not always that clear that these spheres remained that distinct anyway: people like Nicholas Barton, a Buckinghamshire parson who was accused in 1485 of ‘conjuring with a psalter and keys to find lost things’, were clearly firmly integrated in local society.</w:t>
      </w:r>
      <w:r w:rsidRPr="00D01115">
        <w:rPr>
          <w:rStyle w:val="FootnoteReference"/>
        </w:rPr>
        <w:footnoteReference w:id="23"/>
      </w:r>
      <w:r w:rsidRPr="00D01115">
        <w:t xml:space="preserve"> In the second place, some soothsaying practices clearly involved ‘demonic’ magic in which spirits were summoned to divine the future – a major concern for European clerics – while others seem to have been rather more prosaic forms that relied instead on the occult knowledge of the practitioner, and worked either through nature or something akin to prayer.</w:t>
      </w:r>
      <w:r w:rsidRPr="00D01115">
        <w:rPr>
          <w:rStyle w:val="FootnoteReference"/>
        </w:rPr>
        <w:footnoteReference w:id="24"/>
      </w:r>
    </w:p>
    <w:p w14:paraId="58AA3FC2" w14:textId="77777777" w:rsidR="00552465" w:rsidRPr="00D01115" w:rsidRDefault="00552465"/>
    <w:p w14:paraId="165CE0DA" w14:textId="77777777" w:rsidR="00367DD6" w:rsidRPr="00D01115" w:rsidRDefault="00552465" w:rsidP="00895850">
      <w:r w:rsidRPr="00D01115">
        <w:t xml:space="preserve">It was demonic magic that became a particular source of concern for European clerics during the later Middle Ages, interacting in complex ways with emerging discourses about </w:t>
      </w:r>
      <w:proofErr w:type="spellStart"/>
      <w:r w:rsidRPr="00D01115">
        <w:rPr>
          <w:i/>
          <w:iCs/>
        </w:rPr>
        <w:t>maleficium</w:t>
      </w:r>
      <w:proofErr w:type="spellEnd"/>
      <w:r w:rsidRPr="00D01115">
        <w:t>, that is, witchcraft.</w:t>
      </w:r>
      <w:r w:rsidRPr="00D01115">
        <w:rPr>
          <w:rStyle w:val="FootnoteReference"/>
        </w:rPr>
        <w:footnoteReference w:id="25"/>
      </w:r>
      <w:r w:rsidRPr="00D01115">
        <w:t xml:space="preserve"> But in England, anxieties about magic manifested in rather different ways, in the context of the political turmoil in the late fourteenth and early fifteenth centuries, and the panic caused by the heretical movement known as </w:t>
      </w:r>
      <w:proofErr w:type="spellStart"/>
      <w:r w:rsidRPr="00D01115">
        <w:t>lollardy</w:t>
      </w:r>
      <w:proofErr w:type="spellEnd"/>
      <w:r w:rsidRPr="00D01115">
        <w:t>.</w:t>
      </w:r>
      <w:r w:rsidRPr="00D01115">
        <w:rPr>
          <w:rStyle w:val="FootnoteReference"/>
        </w:rPr>
        <w:footnoteReference w:id="26"/>
      </w:r>
      <w:r w:rsidRPr="00D01115">
        <w:t xml:space="preserve"> </w:t>
      </w:r>
      <w:r w:rsidR="00F24897" w:rsidRPr="00D01115">
        <w:t xml:space="preserve">Several </w:t>
      </w:r>
      <w:r w:rsidRPr="00D01115">
        <w:t xml:space="preserve">high-profile cases in which </w:t>
      </w:r>
      <w:r w:rsidR="00F24897" w:rsidRPr="00D01115">
        <w:t xml:space="preserve">sorcery was supposedly used to </w:t>
      </w:r>
      <w:r w:rsidRPr="00D01115">
        <w:t xml:space="preserve">foretell </w:t>
      </w:r>
      <w:r w:rsidR="003C7AD4" w:rsidRPr="00D01115">
        <w:t>the</w:t>
      </w:r>
      <w:r w:rsidRPr="00D01115">
        <w:t xml:space="preserve"> death</w:t>
      </w:r>
      <w:r w:rsidR="003C7AD4" w:rsidRPr="00D01115">
        <w:t xml:space="preserve"> of the king</w:t>
      </w:r>
      <w:r w:rsidRPr="00D01115">
        <w:t xml:space="preserve"> </w:t>
      </w:r>
      <w:r w:rsidR="003C7AD4" w:rsidRPr="00D01115">
        <w:t>(</w:t>
      </w:r>
      <w:r w:rsidRPr="00D01115">
        <w:t>which amounted to treason)</w:t>
      </w:r>
      <w:r w:rsidR="00F24897" w:rsidRPr="00D01115">
        <w:t xml:space="preserve"> did provoke </w:t>
      </w:r>
      <w:r w:rsidR="00FA010F" w:rsidRPr="00D01115">
        <w:t>harsh reprisals, but only against the individuals involved</w:t>
      </w:r>
      <w:r w:rsidR="00071515" w:rsidRPr="00D01115">
        <w:t>.</w:t>
      </w:r>
      <w:r w:rsidRPr="00D01115">
        <w:rPr>
          <w:rStyle w:val="FootnoteReference"/>
        </w:rPr>
        <w:footnoteReference w:id="27"/>
      </w:r>
      <w:r w:rsidR="00FA010F" w:rsidRPr="00D01115">
        <w:t xml:space="preserve"> </w:t>
      </w:r>
      <w:r w:rsidR="007E2CC7" w:rsidRPr="00D01115">
        <w:t>These</w:t>
      </w:r>
      <w:r w:rsidR="00FA010F" w:rsidRPr="00D01115">
        <w:t xml:space="preserve"> concerns appear to have had more to do with </w:t>
      </w:r>
      <w:r w:rsidR="007E2CC7" w:rsidRPr="00D01115">
        <w:t xml:space="preserve">isolated incidents of </w:t>
      </w:r>
      <w:r w:rsidR="00FA010F" w:rsidRPr="00D01115">
        <w:t>political intrigue</w:t>
      </w:r>
      <w:r w:rsidR="007E2CC7" w:rsidRPr="00D01115">
        <w:t xml:space="preserve">, and never escalated into more general campaigns against </w:t>
      </w:r>
      <w:r w:rsidR="003C7AD4" w:rsidRPr="00D01115">
        <w:t>soothsaying</w:t>
      </w:r>
      <w:r w:rsidR="00FA010F" w:rsidRPr="00D01115">
        <w:t xml:space="preserve">. </w:t>
      </w:r>
      <w:r w:rsidR="003C7AD4" w:rsidRPr="00D01115">
        <w:t>B</w:t>
      </w:r>
      <w:r w:rsidR="007E2CC7" w:rsidRPr="00D01115">
        <w:t xml:space="preserve">oth secular and ecclesiastical authorities were far more invested in facing down the </w:t>
      </w:r>
      <w:r w:rsidRPr="00D01115">
        <w:t xml:space="preserve">threat of organized </w:t>
      </w:r>
      <w:r w:rsidR="00FA010F" w:rsidRPr="00D01115">
        <w:lastRenderedPageBreak/>
        <w:t>heresy</w:t>
      </w:r>
      <w:r w:rsidR="007E2CC7" w:rsidRPr="00D01115">
        <w:t>, and as such, magical practice never received the same level of legal scrutiny in late-medieval England</w:t>
      </w:r>
      <w:r w:rsidRPr="00D01115">
        <w:t>.</w:t>
      </w:r>
      <w:r w:rsidRPr="00D01115">
        <w:rPr>
          <w:rStyle w:val="FootnoteReference"/>
        </w:rPr>
        <w:footnoteReference w:id="28"/>
      </w:r>
      <w:r w:rsidR="00FA010F" w:rsidRPr="00D01115">
        <w:t xml:space="preserve"> </w:t>
      </w:r>
      <w:r w:rsidRPr="00D01115">
        <w:t xml:space="preserve"> </w:t>
      </w:r>
    </w:p>
    <w:p w14:paraId="042AC9D7" w14:textId="77777777" w:rsidR="00367DD6" w:rsidRPr="00D01115" w:rsidRDefault="00367DD6" w:rsidP="00895850"/>
    <w:p w14:paraId="788DEAE2" w14:textId="29600F03" w:rsidR="005204E9" w:rsidRPr="00D01115" w:rsidRDefault="003C7AD4" w:rsidP="00632500">
      <w:r w:rsidRPr="00D01115">
        <w:t>Indeed, t</w:t>
      </w:r>
      <w:r w:rsidR="00552465" w:rsidRPr="00D01115">
        <w:t xml:space="preserve">he conceptualization of soothsaying </w:t>
      </w:r>
      <w:r w:rsidRPr="00D01115">
        <w:t xml:space="preserve">within canon law </w:t>
      </w:r>
      <w:r w:rsidR="00552465" w:rsidRPr="00D01115">
        <w:t>was rather loose.</w:t>
      </w:r>
      <w:r w:rsidR="00552465" w:rsidRPr="00D01115">
        <w:rPr>
          <w:rStyle w:val="FootnoteReference"/>
        </w:rPr>
        <w:footnoteReference w:id="29"/>
      </w:r>
      <w:r w:rsidR="00552465" w:rsidRPr="00D01115">
        <w:t xml:space="preserve"> </w:t>
      </w:r>
      <w:r w:rsidR="00177144" w:rsidRPr="00D01115">
        <w:t>T</w:t>
      </w:r>
      <w:r w:rsidR="00552465" w:rsidRPr="00D01115">
        <w:t xml:space="preserve">he most influential collection of late-medieval English decretals, William </w:t>
      </w:r>
      <w:proofErr w:type="spellStart"/>
      <w:r w:rsidR="00552465" w:rsidRPr="00D01115">
        <w:t>Lyndwood’s</w:t>
      </w:r>
      <w:proofErr w:type="spellEnd"/>
      <w:r w:rsidR="00552465" w:rsidRPr="00D01115">
        <w:t xml:space="preserve"> </w:t>
      </w:r>
      <w:proofErr w:type="spellStart"/>
      <w:r w:rsidR="00552465" w:rsidRPr="00D01115">
        <w:rPr>
          <w:i/>
        </w:rPr>
        <w:t>Provinciale</w:t>
      </w:r>
      <w:proofErr w:type="spellEnd"/>
      <w:r w:rsidR="00552465" w:rsidRPr="00D01115">
        <w:t xml:space="preserve">, </w:t>
      </w:r>
      <w:r w:rsidR="00177144" w:rsidRPr="00D01115">
        <w:t>stated</w:t>
      </w:r>
      <w:r w:rsidR="00552465" w:rsidRPr="00D01115">
        <w:t xml:space="preserve"> simply that ‘all kinds of divination </w:t>
      </w:r>
      <w:r w:rsidR="0036351B" w:rsidRPr="00D01115">
        <w:t>[</w:t>
      </w:r>
      <w:r w:rsidR="00552465" w:rsidRPr="00D01115">
        <w:t>were</w:t>
      </w:r>
      <w:r w:rsidR="0036351B" w:rsidRPr="00D01115">
        <w:t>]</w:t>
      </w:r>
      <w:r w:rsidR="00552465" w:rsidRPr="00D01115">
        <w:t xml:space="preserve"> wholly forbidden’.</w:t>
      </w:r>
      <w:r w:rsidR="00552465" w:rsidRPr="00D01115">
        <w:rPr>
          <w:vertAlign w:val="superscript"/>
        </w:rPr>
        <w:footnoteReference w:id="30"/>
      </w:r>
      <w:r w:rsidR="00177144" w:rsidRPr="00D01115">
        <w:t xml:space="preserve"> </w:t>
      </w:r>
      <w:r w:rsidR="00E8117A" w:rsidRPr="00D01115">
        <w:t xml:space="preserve">In the following sections </w:t>
      </w:r>
      <w:r w:rsidR="0036351B" w:rsidRPr="00D01115">
        <w:t xml:space="preserve">he lumped together </w:t>
      </w:r>
      <w:r w:rsidR="00E8117A" w:rsidRPr="00D01115">
        <w:t xml:space="preserve">other kinds of magical practice </w:t>
      </w:r>
      <w:r w:rsidR="0036351B" w:rsidRPr="00D01115">
        <w:t xml:space="preserve">– </w:t>
      </w:r>
      <w:r w:rsidR="00E8117A" w:rsidRPr="00D01115">
        <w:t>medical ‘incantations’ with herbs, ‘superstitions’ which involved the conjuring of creatures or demons</w:t>
      </w:r>
      <w:r w:rsidR="0036351B" w:rsidRPr="00D01115">
        <w:t xml:space="preserve"> – in a way</w:t>
      </w:r>
      <w:r w:rsidR="00895850" w:rsidRPr="00D01115">
        <w:t xml:space="preserve"> </w:t>
      </w:r>
      <w:r w:rsidR="0036351B" w:rsidRPr="00D01115">
        <w:t xml:space="preserve">that </w:t>
      </w:r>
      <w:r w:rsidR="00895850" w:rsidRPr="00D01115">
        <w:t>mirrors the vaguer categorization of magic we find in the records of the church courts.</w:t>
      </w:r>
      <w:r w:rsidR="00E8117A" w:rsidRPr="00D01115">
        <w:rPr>
          <w:rStyle w:val="FootnoteReference"/>
        </w:rPr>
        <w:footnoteReference w:id="31"/>
      </w:r>
      <w:r w:rsidR="00895850" w:rsidRPr="00D01115">
        <w:t xml:space="preserve"> Here </w:t>
      </w:r>
      <w:proofErr w:type="spellStart"/>
      <w:r w:rsidR="00895850" w:rsidRPr="00D01115">
        <w:rPr>
          <w:i/>
          <w:iCs/>
        </w:rPr>
        <w:t>sortilegium</w:t>
      </w:r>
      <w:proofErr w:type="spellEnd"/>
      <w:r w:rsidR="00895850" w:rsidRPr="00D01115">
        <w:t xml:space="preserve"> was by far the most common word used </w:t>
      </w:r>
      <w:r w:rsidR="00E8117A" w:rsidRPr="00D01115">
        <w:t>to describe magical practice in general</w:t>
      </w:r>
      <w:r w:rsidR="00895850" w:rsidRPr="00D01115">
        <w:t>, even when no soothsaying was involved</w:t>
      </w:r>
      <w:r w:rsidR="00E8117A" w:rsidRPr="00D01115">
        <w:t>.</w:t>
      </w:r>
      <w:r w:rsidR="00E8117A" w:rsidRPr="00D01115">
        <w:rPr>
          <w:vertAlign w:val="superscript"/>
        </w:rPr>
        <w:footnoteReference w:id="32"/>
      </w:r>
      <w:r w:rsidR="00543CC8" w:rsidRPr="00D01115">
        <w:t xml:space="preserve"> </w:t>
      </w:r>
      <w:r w:rsidR="003E0F5D" w:rsidRPr="00D01115">
        <w:t>Thus</w:t>
      </w:r>
      <w:r w:rsidR="00543CC8" w:rsidRPr="00D01115">
        <w:t xml:space="preserve"> </w:t>
      </w:r>
      <w:r w:rsidR="00E8117A" w:rsidRPr="00D01115">
        <w:t xml:space="preserve">Alice Davison was noted in </w:t>
      </w:r>
      <w:r w:rsidR="00543CC8" w:rsidRPr="00D01115">
        <w:t>the</w:t>
      </w:r>
      <w:r w:rsidR="00E8117A" w:rsidRPr="00D01115">
        <w:t xml:space="preserve"> diocese </w:t>
      </w:r>
      <w:r w:rsidR="00543CC8" w:rsidRPr="00D01115">
        <w:t xml:space="preserve">of Durham </w:t>
      </w:r>
      <w:r w:rsidR="00E8117A" w:rsidRPr="00D01115">
        <w:t xml:space="preserve">in 1452 ‘because she practises the craft of </w:t>
      </w:r>
      <w:proofErr w:type="spellStart"/>
      <w:r w:rsidR="00E8117A" w:rsidRPr="00D01115">
        <w:rPr>
          <w:i/>
          <w:iCs/>
        </w:rPr>
        <w:t>sortilegium</w:t>
      </w:r>
      <w:proofErr w:type="spellEnd"/>
      <w:r w:rsidR="00E8117A" w:rsidRPr="00D01115">
        <w:t>…a medical craft with a lead vessel, a comb, and an iron’.</w:t>
      </w:r>
      <w:r w:rsidR="00E8117A" w:rsidRPr="00D01115">
        <w:rPr>
          <w:vertAlign w:val="superscript"/>
        </w:rPr>
        <w:footnoteReference w:id="33"/>
      </w:r>
      <w:r w:rsidR="00023B18" w:rsidRPr="00D01115">
        <w:t xml:space="preserve"> </w:t>
      </w:r>
      <w:r w:rsidR="00632500" w:rsidRPr="00D01115">
        <w:t xml:space="preserve">Such looseness </w:t>
      </w:r>
      <w:r w:rsidR="004E17E8">
        <w:t xml:space="preserve">seems to </w:t>
      </w:r>
      <w:r w:rsidR="00632500" w:rsidRPr="00D01115">
        <w:t xml:space="preserve">bespeak, once more, the </w:t>
      </w:r>
      <w:r w:rsidR="004E17E8">
        <w:t>somewhat perfunctory</w:t>
      </w:r>
      <w:r w:rsidR="004E17E8" w:rsidRPr="00D01115">
        <w:t xml:space="preserve"> </w:t>
      </w:r>
      <w:r w:rsidR="004E17E8">
        <w:t xml:space="preserve">attitude towards the prosecution of </w:t>
      </w:r>
      <w:r w:rsidR="00632500" w:rsidRPr="00D01115">
        <w:t xml:space="preserve">magic among church authorities in late-medieval England. Soothsaying was merely typical of the regrettable but unthreatening forms of lay superstition </w:t>
      </w:r>
      <w:r w:rsidR="0036351B" w:rsidRPr="00D01115">
        <w:t>about which</w:t>
      </w:r>
      <w:r w:rsidR="00632500" w:rsidRPr="00D01115">
        <w:t xml:space="preserve"> </w:t>
      </w:r>
      <w:r w:rsidR="0036351B" w:rsidRPr="00D01115">
        <w:t>many clerical writers in this period were fond of writing</w:t>
      </w:r>
      <w:r w:rsidR="00632500" w:rsidRPr="00D01115">
        <w:t>.</w:t>
      </w:r>
      <w:r w:rsidR="005204E9" w:rsidRPr="00D01115">
        <w:rPr>
          <w:rStyle w:val="FootnoteReference"/>
          <w:lang w:val="en-US"/>
        </w:rPr>
        <w:footnoteReference w:id="34"/>
      </w:r>
    </w:p>
    <w:p w14:paraId="7778DFA0" w14:textId="77777777" w:rsidR="003E0F5D" w:rsidRPr="00D01115" w:rsidRDefault="003E0F5D" w:rsidP="00632500"/>
    <w:p w14:paraId="73280352" w14:textId="3402A472" w:rsidR="00552465" w:rsidRPr="00D01115" w:rsidRDefault="003E0F5D" w:rsidP="00552465">
      <w:r w:rsidRPr="00D01115">
        <w:t xml:space="preserve">People who practised soothsaying, or were accused of it, seem to have been regarded as misguided rather than pernicious, socially marginal rather than </w:t>
      </w:r>
      <w:r w:rsidR="00C92AE1" w:rsidRPr="00D01115">
        <w:t xml:space="preserve">powerful. </w:t>
      </w:r>
      <w:r w:rsidR="004E17E8">
        <w:t>While there is not a large number of cases from which to generalize, it is possible to identify the outlines of some trends. T</w:t>
      </w:r>
      <w:r w:rsidR="00552465" w:rsidRPr="00D01115">
        <w:t xml:space="preserve">he most striking and quantifiable facet of the accused in these cases their gender: </w:t>
      </w:r>
      <w:r w:rsidR="00FC4433">
        <w:t>more than</w:t>
      </w:r>
      <w:r w:rsidR="00552465" w:rsidRPr="00D01115">
        <w:t xml:space="preserve"> half of people suspected of having performed magic in late-medieval England </w:t>
      </w:r>
      <w:r w:rsidR="00552465" w:rsidRPr="00D01115">
        <w:lastRenderedPageBreak/>
        <w:t>were women.</w:t>
      </w:r>
      <w:r w:rsidR="00552465" w:rsidRPr="00D01115">
        <w:rPr>
          <w:vertAlign w:val="superscript"/>
        </w:rPr>
        <w:footnoteReference w:id="35"/>
      </w:r>
      <w:r w:rsidR="00552465" w:rsidRPr="00D01115">
        <w:t xml:space="preserve"> Although striking, this finding is particularly difficult to interpret. If more women practised magic, should we understand soothsaying and divination to have represented a strange fissure in late-medieval patriarchy, in which words uttered by women were given special credence in a world from which they were otherwise institutionally excluded?</w:t>
      </w:r>
      <w:r w:rsidR="00552465" w:rsidRPr="00D01115">
        <w:rPr>
          <w:vertAlign w:val="superscript"/>
        </w:rPr>
        <w:footnoteReference w:id="36"/>
      </w:r>
      <w:r w:rsidR="00552465" w:rsidRPr="00D01115">
        <w:t xml:space="preserve"> Or is it that female soothsayers were more likely to be reported to the church courts, precisely because their spoken predictions were understood within the pervasive discourse of gossiping and scolding that associated female speech with disorder, harm, and scandal?</w:t>
      </w:r>
      <w:r w:rsidR="00552465" w:rsidRPr="00D01115">
        <w:rPr>
          <w:vertAlign w:val="superscript"/>
        </w:rPr>
        <w:footnoteReference w:id="37"/>
      </w:r>
      <w:r w:rsidR="00552465" w:rsidRPr="00D01115">
        <w:t xml:space="preserve"> </w:t>
      </w:r>
    </w:p>
    <w:p w14:paraId="611446EA" w14:textId="77777777" w:rsidR="00552465" w:rsidRPr="00D01115" w:rsidRDefault="00552465" w:rsidP="00552465"/>
    <w:p w14:paraId="61F16F06" w14:textId="77777777" w:rsidR="00552465" w:rsidRPr="00D01115" w:rsidRDefault="00552465" w:rsidP="00552465">
      <w:r w:rsidRPr="00D01115">
        <w:t>These interpretations may not be mutually exclusive, as some evidence also suggests that different kinds of magic were themselves gendered. The use of charms, incantations, and curses seems to have been an exclusively female practice, while the use of magic in the search for buried treasure seems to have been particularly associated with men.</w:t>
      </w:r>
      <w:r w:rsidRPr="00D01115">
        <w:rPr>
          <w:vertAlign w:val="superscript"/>
        </w:rPr>
        <w:footnoteReference w:id="38"/>
      </w:r>
      <w:r w:rsidRPr="00D01115">
        <w:t xml:space="preserve"> This suggests that magic which focused specifically on speech was bound up with the policing of female voices, in the form of legal enforcement and prosecution of gossip and defamation – which as we will see, were the kinds of cases through which soothsayers became tangled up in law-courts.</w:t>
      </w:r>
      <w:r w:rsidRPr="00D01115">
        <w:rPr>
          <w:vertAlign w:val="superscript"/>
        </w:rPr>
        <w:footnoteReference w:id="39"/>
      </w:r>
      <w:r w:rsidRPr="00D01115">
        <w:t xml:space="preserve"> Thus for a woman to be a soothsayer may have allowed her some influence over community opinion, from which she was otherwise structurally excluded; but for her the act of practising spoken magic was also more precarious, placing her at greater risk of prosecution. </w:t>
      </w:r>
    </w:p>
    <w:p w14:paraId="063D283A" w14:textId="77777777" w:rsidR="00552465" w:rsidRPr="00D01115" w:rsidRDefault="00552465" w:rsidP="00552465"/>
    <w:p w14:paraId="62E92CA6" w14:textId="391D2E49" w:rsidR="00BE6C28" w:rsidRPr="00D01115" w:rsidRDefault="0017235B" w:rsidP="00552465">
      <w:r w:rsidRPr="00D01115">
        <w:t>S</w:t>
      </w:r>
      <w:r w:rsidR="00552465" w:rsidRPr="00D01115">
        <w:t xml:space="preserve">oothsaying </w:t>
      </w:r>
      <w:r w:rsidRPr="00D01115">
        <w:t xml:space="preserve">also seems to have been </w:t>
      </w:r>
      <w:r w:rsidR="00552465" w:rsidRPr="00D01115">
        <w:t>associated with poverty. The handful of cases which mention money suggest that magical labour, while it was considered a service, nonetheless bore a peculiar relationship to pecuniary profit. In the Suffolk village of Great Ashfield, Agnes Clerk admitted to having received two shillings ‘from various people, but no more’ on behalf of her soothsaying daughter Marion, who healed the sick, predicted the future, commune with God and ‘</w:t>
      </w:r>
      <w:r w:rsidR="00FC4433">
        <w:t xml:space="preserve">the </w:t>
      </w:r>
      <w:r w:rsidR="00552465" w:rsidRPr="00D01115">
        <w:t>gracious fairies’, and – of course – recovered lost and stolen goods.</w:t>
      </w:r>
      <w:r w:rsidR="00552465" w:rsidRPr="00D01115">
        <w:rPr>
          <w:vertAlign w:val="superscript"/>
        </w:rPr>
        <w:footnoteReference w:id="40"/>
      </w:r>
      <w:r w:rsidR="00552465" w:rsidRPr="00D01115">
        <w:t xml:space="preserve"> This case reveals a highly idiosyncratic cosmology behind Marion’s magical practice, and it seems that her mother was attempting to promote her as a holy maiden; it is thus possible that the money given in this case was understood as a kind of alms, or as a gift. Indeed, some other soothsayers are known to have refused payments entirely, on the grounds that it would prevent the magic from working.</w:t>
      </w:r>
      <w:r w:rsidR="00552465" w:rsidRPr="00D01115">
        <w:rPr>
          <w:vertAlign w:val="superscript"/>
        </w:rPr>
        <w:footnoteReference w:id="41"/>
      </w:r>
      <w:r w:rsidR="00552465" w:rsidRPr="00D01115">
        <w:t xml:space="preserve"> </w:t>
      </w:r>
    </w:p>
    <w:p w14:paraId="04653BDC" w14:textId="77777777" w:rsidR="00552465" w:rsidRPr="00D01115" w:rsidRDefault="00552465" w:rsidP="00552465"/>
    <w:p w14:paraId="3AB62C15" w14:textId="646B7F82" w:rsidR="00552465" w:rsidRDefault="00552465" w:rsidP="00552465">
      <w:r w:rsidRPr="00D01115">
        <w:t xml:space="preserve">The mid-fifteenth-century moral treatise </w:t>
      </w:r>
      <w:r w:rsidRPr="00D01115">
        <w:rPr>
          <w:i/>
        </w:rPr>
        <w:t>Dives et Pauper</w:t>
      </w:r>
      <w:r w:rsidRPr="00D01115">
        <w:t xml:space="preserve"> also focuses on this conjunction between poverty and magic, but in a different light. The author writes that the only reason that soothsayers could discover stolen or lost items is because ‘they commonly are thieves, or in league with them’; and that they ‘have masters to have part of their winnings – taverners, </w:t>
      </w:r>
      <w:r w:rsidRPr="00D01115">
        <w:lastRenderedPageBreak/>
        <w:t>brewers, innkeepers, and needy workless men that go so gay and spend great’.</w:t>
      </w:r>
      <w:r w:rsidRPr="00D01115">
        <w:rPr>
          <w:vertAlign w:val="superscript"/>
        </w:rPr>
        <w:footnoteReference w:id="42"/>
      </w:r>
      <w:r w:rsidRPr="00D01115">
        <w:t xml:space="preserve"> Elite resentment of an indolent poor spending money above their means was a prevalent discourse in late-medieval England, and it is plausible that soothsayers were seen as a part of this poor, potentially criminal underclass.</w:t>
      </w:r>
      <w:r w:rsidRPr="00D01115">
        <w:rPr>
          <w:vertAlign w:val="superscript"/>
        </w:rPr>
        <w:footnoteReference w:id="43"/>
      </w:r>
      <w:r w:rsidRPr="00D01115">
        <w:t xml:space="preserve"> Two cases from the town of Boston suggest similar associations: prosecutions against Isabel Leche and Richard </w:t>
      </w:r>
      <w:proofErr w:type="spellStart"/>
      <w:r w:rsidRPr="00D01115">
        <w:t>Fleyn</w:t>
      </w:r>
      <w:proofErr w:type="spellEnd"/>
      <w:r w:rsidRPr="00D01115">
        <w:t>, both accused of practising ‘necromancy’, were abandoned ‘because she is a pauper and an invalid’, and ‘because he is paralyzed’.</w:t>
      </w:r>
      <w:r w:rsidRPr="00D01115">
        <w:rPr>
          <w:vertAlign w:val="superscript"/>
        </w:rPr>
        <w:footnoteReference w:id="44"/>
      </w:r>
      <w:r w:rsidRPr="00D01115">
        <w:t xml:space="preserve"> The practice of magic by non-elites seems often to have been read as a marker of deprivation, that might prompt contempt </w:t>
      </w:r>
      <w:r w:rsidR="00D01115">
        <w:t>just as much as</w:t>
      </w:r>
      <w:r w:rsidRPr="00D01115">
        <w:t xml:space="preserve"> charity.</w:t>
      </w:r>
    </w:p>
    <w:p w14:paraId="1FAB35AF" w14:textId="77777777" w:rsidR="005E2429" w:rsidRPr="00D01115" w:rsidRDefault="005E2429" w:rsidP="00552465"/>
    <w:p w14:paraId="79C5EE34" w14:textId="77777777" w:rsidR="00552465" w:rsidRPr="00D01115" w:rsidRDefault="00D843CC" w:rsidP="00552465">
      <w:r>
        <w:t>S</w:t>
      </w:r>
      <w:r w:rsidR="00484086">
        <w:t xml:space="preserve">oothsaying, then, </w:t>
      </w:r>
      <w:r>
        <w:t>can be</w:t>
      </w:r>
      <w:r w:rsidR="00484086">
        <w:t xml:space="preserve"> hard to perceive </w:t>
      </w:r>
      <w:r>
        <w:t xml:space="preserve">through </w:t>
      </w:r>
      <w:r w:rsidR="00484086">
        <w:t xml:space="preserve">overlapping and intertwining clerical discourses about </w:t>
      </w:r>
      <w:r w:rsidR="00461BBF">
        <w:t xml:space="preserve">magic, superstition, gender, and poverty. </w:t>
      </w:r>
      <w:r>
        <w:t xml:space="preserve">But for all this, it is important to remember that it </w:t>
      </w:r>
      <w:r w:rsidR="00552465" w:rsidRPr="00D01115">
        <w:t xml:space="preserve">did not depend </w:t>
      </w:r>
      <w:r>
        <w:t xml:space="preserve">only </w:t>
      </w:r>
      <w:r w:rsidR="00552465" w:rsidRPr="00D01115">
        <w:t xml:space="preserve">on </w:t>
      </w:r>
      <w:r>
        <w:t xml:space="preserve">the </w:t>
      </w:r>
      <w:r w:rsidR="00552465" w:rsidRPr="00D01115">
        <w:t xml:space="preserve">discursive co-ordinates </w:t>
      </w:r>
      <w:r>
        <w:t xml:space="preserve">that were </w:t>
      </w:r>
      <w:r w:rsidR="00552465" w:rsidRPr="00D01115">
        <w:t xml:space="preserve">set </w:t>
      </w:r>
      <w:r>
        <w:t xml:space="preserve">for it </w:t>
      </w:r>
      <w:r w:rsidR="00552465" w:rsidRPr="00D01115">
        <w:t xml:space="preserve">by </w:t>
      </w:r>
      <w:r w:rsidR="006C5A65">
        <w:t xml:space="preserve">Latinate </w:t>
      </w:r>
      <w:r w:rsidR="00552465" w:rsidRPr="00D01115">
        <w:t>authorities.</w:t>
      </w:r>
      <w:r w:rsidR="00552465" w:rsidRPr="00D01115">
        <w:rPr>
          <w:rStyle w:val="FootnoteReference"/>
        </w:rPr>
        <w:footnoteReference w:id="45"/>
      </w:r>
      <w:r w:rsidR="00552465" w:rsidRPr="00D01115">
        <w:t xml:space="preserve"> </w:t>
      </w:r>
      <w:r w:rsidR="00550D9B">
        <w:t xml:space="preserve">In the vernacular, </w:t>
      </w:r>
      <w:r w:rsidR="006C5A65">
        <w:t xml:space="preserve">ideas about </w:t>
      </w:r>
      <w:r w:rsidR="00550D9B">
        <w:t xml:space="preserve">soothsaying </w:t>
      </w:r>
      <w:r w:rsidR="006C5A65">
        <w:t xml:space="preserve">were more </w:t>
      </w:r>
      <w:r>
        <w:t xml:space="preserve">ambiguous </w:t>
      </w:r>
      <w:r w:rsidR="00E0166A">
        <w:t>in</w:t>
      </w:r>
      <w:r>
        <w:t xml:space="preserve"> the later Middle Ages</w:t>
      </w:r>
      <w:r w:rsidR="0033336C">
        <w:t xml:space="preserve">, within the context of </w:t>
      </w:r>
      <w:r w:rsidR="006C5A65">
        <w:t xml:space="preserve">the </w:t>
      </w:r>
      <w:r w:rsidR="0033336C">
        <w:t>complex semantic realignments of ‘sooth’ and ‘truth’</w:t>
      </w:r>
      <w:r w:rsidR="00944AA0">
        <w:t xml:space="preserve"> in this period.</w:t>
      </w:r>
      <w:r w:rsidRPr="006C6EA0">
        <w:rPr>
          <w:vertAlign w:val="superscript"/>
        </w:rPr>
        <w:footnoteReference w:id="46"/>
      </w:r>
      <w:r w:rsidRPr="006C6EA0">
        <w:t xml:space="preserve"> </w:t>
      </w:r>
      <w:r w:rsidR="00944AA0">
        <w:t xml:space="preserve">Indeed, </w:t>
      </w:r>
      <w:r w:rsidR="00550D9B">
        <w:t xml:space="preserve">the word ‘soothsayer’ itself </w:t>
      </w:r>
      <w:r w:rsidR="00944AA0">
        <w:t>continued to be used</w:t>
      </w:r>
      <w:r w:rsidR="00550D9B">
        <w:t xml:space="preserve"> in fifteenth-century</w:t>
      </w:r>
      <w:r w:rsidR="00944AA0">
        <w:t xml:space="preserve"> </w:t>
      </w:r>
      <w:r w:rsidR="00550D9B">
        <w:t xml:space="preserve">texts </w:t>
      </w:r>
      <w:r w:rsidR="00944AA0">
        <w:t>to mean ‘truth-teller’</w:t>
      </w:r>
      <w:r w:rsidR="00550D9B">
        <w:t>, even as it became a common way of describing diviners and fortune-tellers</w:t>
      </w:r>
      <w:r w:rsidR="00944AA0">
        <w:t>.</w:t>
      </w:r>
      <w:r w:rsidR="004776DB">
        <w:rPr>
          <w:rStyle w:val="FootnoteReference"/>
        </w:rPr>
        <w:footnoteReference w:id="47"/>
      </w:r>
      <w:r w:rsidR="00944AA0">
        <w:t xml:space="preserve"> </w:t>
      </w:r>
      <w:r w:rsidR="004B7C21">
        <w:t>In</w:t>
      </w:r>
      <w:r w:rsidR="0033336C">
        <w:t xml:space="preserve"> English</w:t>
      </w:r>
      <w:r w:rsidR="004B7C21">
        <w:t xml:space="preserve">, then, soothsaying </w:t>
      </w:r>
      <w:r w:rsidRPr="006C6EA0">
        <w:t>occupied a semantic space close</w:t>
      </w:r>
      <w:r w:rsidR="0033336C">
        <w:t>r</w:t>
      </w:r>
      <w:r w:rsidRPr="006C6EA0">
        <w:t xml:space="preserve"> to the borders of veracity</w:t>
      </w:r>
      <w:r w:rsidR="00C71802">
        <w:t>. I</w:t>
      </w:r>
      <w:r w:rsidR="0033336C">
        <w:t xml:space="preserve">t </w:t>
      </w:r>
      <w:r w:rsidR="00316B85">
        <w:t xml:space="preserve">was precisely this kind of tension, over </w:t>
      </w:r>
      <w:r w:rsidR="00552465" w:rsidRPr="00D01115">
        <w:t xml:space="preserve">the </w:t>
      </w:r>
      <w:r w:rsidR="00660109">
        <w:t>status</w:t>
      </w:r>
      <w:r w:rsidR="00552465" w:rsidRPr="00D01115">
        <w:t xml:space="preserve"> of truth that </w:t>
      </w:r>
      <w:r w:rsidR="00316B85">
        <w:t>soothsayers</w:t>
      </w:r>
      <w:r w:rsidR="00552465" w:rsidRPr="00D01115">
        <w:t xml:space="preserve"> claimed to reveal, that provoke</w:t>
      </w:r>
      <w:r w:rsidR="00316B85">
        <w:t>d</w:t>
      </w:r>
      <w:r w:rsidR="00552465" w:rsidRPr="00D01115">
        <w:t xml:space="preserve"> </w:t>
      </w:r>
      <w:r w:rsidR="00F3199A">
        <w:t xml:space="preserve">further </w:t>
      </w:r>
      <w:r w:rsidR="00552465" w:rsidRPr="00D01115">
        <w:t>difficulties for the church courts as they attempted to regulate public speech – the problem to which we now turn.</w:t>
      </w:r>
    </w:p>
    <w:p w14:paraId="39503328" w14:textId="77777777" w:rsidR="00552465" w:rsidRPr="00D01115" w:rsidRDefault="00552465" w:rsidP="003768E8"/>
    <w:p w14:paraId="54C75F85" w14:textId="77777777" w:rsidR="009A44B6" w:rsidRPr="00D01115" w:rsidRDefault="009A44B6" w:rsidP="009A44B6">
      <w:pPr>
        <w:jc w:val="center"/>
        <w:rPr>
          <w:b/>
          <w:bCs/>
        </w:rPr>
      </w:pPr>
      <w:r w:rsidRPr="00D01115">
        <w:rPr>
          <w:b/>
          <w:bCs/>
        </w:rPr>
        <w:t>II</w:t>
      </w:r>
    </w:p>
    <w:p w14:paraId="7FA850EC" w14:textId="77777777" w:rsidR="000961B0" w:rsidRPr="00D01115" w:rsidRDefault="000961B0" w:rsidP="001830E5"/>
    <w:p w14:paraId="7735653E" w14:textId="2DAFD453" w:rsidR="00DD2A23" w:rsidRPr="00D01115" w:rsidRDefault="00484086" w:rsidP="00DD2A23">
      <w:r>
        <w:t>Soothsaying</w:t>
      </w:r>
      <w:r w:rsidR="008D7EEA" w:rsidRPr="00D01115">
        <w:t xml:space="preserve"> </w:t>
      </w:r>
      <w:r w:rsidR="00DD2A23" w:rsidRPr="00D01115">
        <w:t xml:space="preserve">was prosecuted in the church courts because it </w:t>
      </w:r>
      <w:r>
        <w:t>involved the illicit and superstitious practice of magic</w:t>
      </w:r>
      <w:r w:rsidR="00DD2A23" w:rsidRPr="00D01115">
        <w:t xml:space="preserve">. But </w:t>
      </w:r>
      <w:r>
        <w:t>it</w:t>
      </w:r>
      <w:r w:rsidR="00AA79E7" w:rsidRPr="00D01115">
        <w:t xml:space="preserve"> was socially disruptive in ways that went beyond </w:t>
      </w:r>
      <w:r w:rsidR="00F43AB8" w:rsidRPr="00D01115">
        <w:t>this</w:t>
      </w:r>
      <w:r w:rsidR="00FC3D90" w:rsidRPr="00D01115">
        <w:t xml:space="preserve">, and </w:t>
      </w:r>
      <w:r w:rsidR="00F43AB8" w:rsidRPr="00D01115">
        <w:t>so</w:t>
      </w:r>
      <w:r w:rsidR="00FC3D90" w:rsidRPr="00D01115">
        <w:t xml:space="preserve"> came to the attention of </w:t>
      </w:r>
      <w:r w:rsidR="000C5B1B">
        <w:t>the system of</w:t>
      </w:r>
      <w:r w:rsidR="000C5B1B" w:rsidRPr="00D01115">
        <w:t xml:space="preserve"> </w:t>
      </w:r>
      <w:r w:rsidR="000C5B1B">
        <w:t xml:space="preserve">lower ecclesiastical </w:t>
      </w:r>
      <w:r w:rsidR="00FC3D90" w:rsidRPr="00D01115">
        <w:t xml:space="preserve">courts </w:t>
      </w:r>
      <w:r w:rsidR="000C5B1B">
        <w:t xml:space="preserve">broadly </w:t>
      </w:r>
      <w:r w:rsidR="00AA7561" w:rsidRPr="00D01115">
        <w:t>concerned</w:t>
      </w:r>
      <w:r w:rsidR="000C5B1B">
        <w:t xml:space="preserve"> </w:t>
      </w:r>
      <w:r w:rsidR="00AA7561" w:rsidRPr="00D01115">
        <w:t xml:space="preserve">with maintaining peaceful relations between parishioners. </w:t>
      </w:r>
      <w:r w:rsidR="00044011" w:rsidRPr="00D01115">
        <w:t>A</w:t>
      </w:r>
      <w:r w:rsidR="002D4017" w:rsidRPr="00D01115">
        <w:t xml:space="preserve">s we </w:t>
      </w:r>
      <w:r>
        <w:t xml:space="preserve">saw in relation to the case between Alice White and Richard </w:t>
      </w:r>
      <w:proofErr w:type="spellStart"/>
      <w:r>
        <w:t>Faques</w:t>
      </w:r>
      <w:proofErr w:type="spellEnd"/>
      <w:r w:rsidR="002D4017" w:rsidRPr="00D01115">
        <w:t xml:space="preserve">, </w:t>
      </w:r>
      <w:r w:rsidR="00F43AB8" w:rsidRPr="00D01115">
        <w:t xml:space="preserve">soothsaying </w:t>
      </w:r>
      <w:r w:rsidR="00A565EF">
        <w:t>might</w:t>
      </w:r>
      <w:r w:rsidR="00A565EF" w:rsidRPr="00D01115">
        <w:t xml:space="preserve"> </w:t>
      </w:r>
      <w:r w:rsidR="00414BCB" w:rsidRPr="00D01115">
        <w:t>c</w:t>
      </w:r>
      <w:r w:rsidR="00A565EF">
        <w:t>o</w:t>
      </w:r>
      <w:r w:rsidR="00414BCB" w:rsidRPr="00D01115">
        <w:t>me to the attention of the</w:t>
      </w:r>
      <w:r w:rsidR="00FD51FF" w:rsidRPr="00D01115">
        <w:t>se</w:t>
      </w:r>
      <w:r w:rsidR="00414BCB" w:rsidRPr="00D01115">
        <w:t xml:space="preserve"> courts indirectly as </w:t>
      </w:r>
      <w:r w:rsidR="00F43AB8" w:rsidRPr="00D01115">
        <w:t xml:space="preserve">divinations became the basis of </w:t>
      </w:r>
      <w:r w:rsidR="00474A0F" w:rsidRPr="00D01115">
        <w:t>accusations</w:t>
      </w:r>
      <w:r w:rsidR="00F43AB8" w:rsidRPr="00D01115">
        <w:t xml:space="preserve"> </w:t>
      </w:r>
      <w:r w:rsidR="002D4017" w:rsidRPr="00D01115">
        <w:t>that caused</w:t>
      </w:r>
      <w:r w:rsidR="00414BCB" w:rsidRPr="00D01115">
        <w:t xml:space="preserve"> rumour and scandal</w:t>
      </w:r>
      <w:r w:rsidR="00474A0F" w:rsidRPr="00D01115">
        <w:t>.</w:t>
      </w:r>
      <w:r w:rsidR="00474A0F" w:rsidRPr="00D01115">
        <w:rPr>
          <w:vertAlign w:val="superscript"/>
        </w:rPr>
        <w:footnoteReference w:id="48"/>
      </w:r>
      <w:r w:rsidR="00474A0F" w:rsidRPr="00D01115">
        <w:t xml:space="preserve"> </w:t>
      </w:r>
      <w:r w:rsidR="00044011" w:rsidRPr="00D01115">
        <w:t>But more than this,</w:t>
      </w:r>
      <w:r w:rsidR="00474A0F" w:rsidRPr="00D01115">
        <w:t xml:space="preserve"> soothsaying </w:t>
      </w:r>
      <w:r w:rsidR="00044011" w:rsidRPr="00D01115">
        <w:t>seems to have constituted a problem</w:t>
      </w:r>
      <w:r w:rsidR="00474A0F" w:rsidRPr="00D01115">
        <w:t xml:space="preserve"> for the church courts because it </w:t>
      </w:r>
      <w:r w:rsidR="00414BCB" w:rsidRPr="00D01115">
        <w:t xml:space="preserve">offered </w:t>
      </w:r>
      <w:r w:rsidR="001337C8" w:rsidRPr="00D01115">
        <w:t xml:space="preserve">laypeople an alternative forum for the </w:t>
      </w:r>
      <w:r w:rsidR="0099476D" w:rsidRPr="00D01115">
        <w:t>procurement of authoritative judgments</w:t>
      </w:r>
      <w:r w:rsidR="00044DFB" w:rsidRPr="00D01115">
        <w:t>. In what follows, I first set out how these</w:t>
      </w:r>
      <w:r w:rsidR="00DD2A23" w:rsidRPr="00D01115">
        <w:t xml:space="preserve"> courts dealt with </w:t>
      </w:r>
      <w:r w:rsidR="00427CEF" w:rsidRPr="00D01115">
        <w:t xml:space="preserve">defamation, </w:t>
      </w:r>
      <w:proofErr w:type="gramStart"/>
      <w:r w:rsidR="00DD2A23" w:rsidRPr="00D01115">
        <w:t>gossip</w:t>
      </w:r>
      <w:proofErr w:type="gramEnd"/>
      <w:r w:rsidR="00DD2A23" w:rsidRPr="00D01115">
        <w:t xml:space="preserve"> and reputation</w:t>
      </w:r>
      <w:r w:rsidR="00965A01" w:rsidRPr="00D01115">
        <w:t xml:space="preserve">, </w:t>
      </w:r>
      <w:r w:rsidR="00044DFB" w:rsidRPr="00D01115">
        <w:t xml:space="preserve">before turning to the ways that </w:t>
      </w:r>
      <w:r w:rsidR="00965A01" w:rsidRPr="00D01115">
        <w:t xml:space="preserve">soothsayers became entangled </w:t>
      </w:r>
      <w:r w:rsidR="000A2DEA" w:rsidRPr="00D01115">
        <w:t>with the</w:t>
      </w:r>
      <w:r w:rsidR="00044DFB" w:rsidRPr="00D01115">
        <w:t>se</w:t>
      </w:r>
      <w:r w:rsidR="000A2DEA" w:rsidRPr="00D01115">
        <w:t xml:space="preserve"> processes</w:t>
      </w:r>
      <w:r w:rsidR="00044011" w:rsidRPr="00D01115">
        <w:t xml:space="preserve">, and the </w:t>
      </w:r>
      <w:r w:rsidR="00135E9E" w:rsidRPr="00D01115">
        <w:t>language that was used to frame their activities.</w:t>
      </w:r>
    </w:p>
    <w:p w14:paraId="5679F0EF" w14:textId="77777777" w:rsidR="00DD2A23" w:rsidRPr="00D01115" w:rsidRDefault="00DD2A23" w:rsidP="00DD2A23"/>
    <w:p w14:paraId="1F1CF2F1" w14:textId="0C001945" w:rsidR="0030715F" w:rsidRPr="00D01115" w:rsidRDefault="00A565EF" w:rsidP="004467A5">
      <w:r>
        <w:t>D</w:t>
      </w:r>
      <w:r w:rsidR="00DD2A23" w:rsidRPr="00D01115">
        <w:t xml:space="preserve">efamation in the late-medieval English church courts could either take the form of instance litigation, between two parties, or </w:t>
      </w:r>
      <w:r w:rsidR="00DD2A23" w:rsidRPr="00D01115">
        <w:rPr>
          <w:i/>
        </w:rPr>
        <w:t>ex officio</w:t>
      </w:r>
      <w:r w:rsidR="00DD2A23" w:rsidRPr="00D01115">
        <w:t xml:space="preserve"> proceedings by the court against a defendant. In English provincial canon law legislation, defamatory words had to meet six technical criteria, outlined by Richard </w:t>
      </w:r>
      <w:proofErr w:type="spellStart"/>
      <w:r w:rsidR="00DD2A23" w:rsidRPr="00D01115">
        <w:t>Helmholz</w:t>
      </w:r>
      <w:proofErr w:type="spellEnd"/>
      <w:r w:rsidR="00DD2A23" w:rsidRPr="00D01115">
        <w:t xml:space="preserve">: they had to be spoken with deliberate malice, </w:t>
      </w:r>
      <w:r>
        <w:t xml:space="preserve">and </w:t>
      </w:r>
      <w:r w:rsidR="00DD2A23" w:rsidRPr="00D01115">
        <w:t>impute a specific crime punishable before a law-court; the allegation had to prompt a sworn denial, known as compurgation; the allegations had to be false, and the words had to have lessened the plaintiff’s reputation in the eyes of the ‘good and serious’ people of the parish.</w:t>
      </w:r>
      <w:r w:rsidR="00DD2A23" w:rsidRPr="00D01115">
        <w:rPr>
          <w:vertAlign w:val="superscript"/>
        </w:rPr>
        <w:footnoteReference w:id="49"/>
      </w:r>
      <w:r w:rsidR="00DD2A23" w:rsidRPr="00D01115">
        <w:t xml:space="preserve"> While in practice, most of these criteria were ignored – for example, many defamatory insults related to physical appearance rather than imputing a specific crime – it is clear that all late-medieval defamation cases fundamentally rested on the defence and contestation of reputation, or </w:t>
      </w:r>
      <w:proofErr w:type="spellStart"/>
      <w:r w:rsidR="00DD2A23" w:rsidRPr="00D01115">
        <w:rPr>
          <w:i/>
        </w:rPr>
        <w:t>fama</w:t>
      </w:r>
      <w:proofErr w:type="spellEnd"/>
      <w:r w:rsidR="00DD2A23" w:rsidRPr="00D01115">
        <w:t>.</w:t>
      </w:r>
    </w:p>
    <w:p w14:paraId="34A0D387" w14:textId="77777777" w:rsidR="0030715F" w:rsidRPr="00D01115" w:rsidRDefault="0030715F" w:rsidP="004467A5"/>
    <w:p w14:paraId="18DFC2EE" w14:textId="77777777" w:rsidR="004467A5" w:rsidRPr="00D01115" w:rsidRDefault="004467A5" w:rsidP="004467A5">
      <w:pPr>
        <w:rPr>
          <w:shd w:val="clear" w:color="auto" w:fill="FEFFFF"/>
        </w:rPr>
      </w:pPr>
      <w:r w:rsidRPr="00D01115">
        <w:t xml:space="preserve">This Roman law concept not only formed the basis of interpersonal litigation over defamation, but also a </w:t>
      </w:r>
      <w:r w:rsidR="0030715F" w:rsidRPr="00D01115">
        <w:t xml:space="preserve">central </w:t>
      </w:r>
      <w:r w:rsidRPr="00D01115">
        <w:t xml:space="preserve">aspect of </w:t>
      </w:r>
      <w:r w:rsidR="00614BB0" w:rsidRPr="00D01115">
        <w:t xml:space="preserve">ecclesiastical </w:t>
      </w:r>
      <w:r w:rsidRPr="00D01115">
        <w:t xml:space="preserve">procedure in the investigation of crime. </w:t>
      </w:r>
      <w:proofErr w:type="spellStart"/>
      <w:r w:rsidRPr="00D01115">
        <w:rPr>
          <w:i/>
        </w:rPr>
        <w:t>Fama</w:t>
      </w:r>
      <w:proofErr w:type="spellEnd"/>
      <w:r w:rsidRPr="00D01115">
        <w:t xml:space="preserve">, </w:t>
      </w:r>
      <w:r w:rsidR="0030715F" w:rsidRPr="00D01115">
        <w:t xml:space="preserve">which had to be </w:t>
      </w:r>
      <w:r w:rsidRPr="00D01115">
        <w:t>believed by ‘persons of credit’, represented common opinion about an individual.</w:t>
      </w:r>
      <w:r w:rsidRPr="00D01115">
        <w:rPr>
          <w:vertAlign w:val="superscript"/>
        </w:rPr>
        <w:footnoteReference w:id="50"/>
      </w:r>
      <w:r w:rsidRPr="00D01115">
        <w:t xml:space="preserve"> </w:t>
      </w:r>
      <w:r w:rsidR="0030715F" w:rsidRPr="00D01115">
        <w:t>This</w:t>
      </w:r>
      <w:r w:rsidRPr="00D01115">
        <w:t xml:space="preserve"> was</w:t>
      </w:r>
      <w:r w:rsidR="00901834" w:rsidRPr="00D01115">
        <w:t xml:space="preserve"> </w:t>
      </w:r>
      <w:r w:rsidRPr="00D01115">
        <w:t xml:space="preserve">the pretext for </w:t>
      </w:r>
      <w:r w:rsidRPr="00D01115">
        <w:rPr>
          <w:i/>
        </w:rPr>
        <w:t xml:space="preserve">ex officio </w:t>
      </w:r>
      <w:r w:rsidRPr="00D01115">
        <w:t>investigations which brought a defendant to answer to a particular offence.</w:t>
      </w:r>
      <w:r w:rsidRPr="00D01115">
        <w:rPr>
          <w:shd w:val="clear" w:color="auto" w:fill="FEFFFF"/>
          <w:vertAlign w:val="superscript"/>
        </w:rPr>
        <w:footnoteReference w:id="51"/>
      </w:r>
      <w:r w:rsidRPr="00D01115">
        <w:rPr>
          <w:shd w:val="clear" w:color="auto" w:fill="FEFFFF"/>
        </w:rPr>
        <w:t xml:space="preserve"> </w:t>
      </w:r>
      <w:r w:rsidR="00427CEF" w:rsidRPr="00D01115">
        <w:rPr>
          <w:shd w:val="clear" w:color="auto" w:fill="FEFFFF"/>
        </w:rPr>
        <w:t>Such</w:t>
      </w:r>
      <w:r w:rsidRPr="00D01115">
        <w:rPr>
          <w:shd w:val="clear" w:color="auto" w:fill="FEFFFF"/>
        </w:rPr>
        <w:t xml:space="preserve"> inquiries </w:t>
      </w:r>
      <w:r w:rsidR="00975D40" w:rsidRPr="00D01115">
        <w:rPr>
          <w:shd w:val="clear" w:color="auto" w:fill="FEFFFF"/>
        </w:rPr>
        <w:t>stated that an</w:t>
      </w:r>
      <w:r w:rsidRPr="00D01115">
        <w:rPr>
          <w:shd w:val="clear" w:color="auto" w:fill="FEFFFF"/>
        </w:rPr>
        <w:t xml:space="preserve"> individual had been ‘defamed’ of committing an offence, and gave them the chance to make a sworn denial of innocence</w:t>
      </w:r>
      <w:r w:rsidR="00DB5F46" w:rsidRPr="00D01115">
        <w:rPr>
          <w:shd w:val="clear" w:color="auto" w:fill="FEFFFF"/>
        </w:rPr>
        <w:t xml:space="preserve"> in the presence of some neighbours</w:t>
      </w:r>
      <w:r w:rsidR="00684E23" w:rsidRPr="00D01115">
        <w:rPr>
          <w:shd w:val="clear" w:color="auto" w:fill="FEFFFF"/>
        </w:rPr>
        <w:t xml:space="preserve">, </w:t>
      </w:r>
      <w:r w:rsidR="00DB5F46" w:rsidRPr="00D01115">
        <w:rPr>
          <w:shd w:val="clear" w:color="auto" w:fill="FEFFFF"/>
        </w:rPr>
        <w:t xml:space="preserve">a process </w:t>
      </w:r>
      <w:r w:rsidR="00684E23" w:rsidRPr="00D01115">
        <w:rPr>
          <w:shd w:val="clear" w:color="auto" w:fill="FEFFFF"/>
        </w:rPr>
        <w:t>known as compurgation</w:t>
      </w:r>
      <w:r w:rsidRPr="00D01115">
        <w:rPr>
          <w:shd w:val="clear" w:color="auto" w:fill="FEFFFF"/>
        </w:rPr>
        <w:t xml:space="preserve">; if they </w:t>
      </w:r>
      <w:r w:rsidR="005B1B33" w:rsidRPr="00D01115">
        <w:rPr>
          <w:shd w:val="clear" w:color="auto" w:fill="FEFFFF"/>
        </w:rPr>
        <w:t>completed this</w:t>
      </w:r>
      <w:r w:rsidRPr="00D01115">
        <w:rPr>
          <w:shd w:val="clear" w:color="auto" w:fill="FEFFFF"/>
        </w:rPr>
        <w:t xml:space="preserve"> successfully, it was sometimes noted that their good reputation, their </w:t>
      </w:r>
      <w:proofErr w:type="spellStart"/>
      <w:r w:rsidRPr="00D01115">
        <w:rPr>
          <w:i/>
          <w:shd w:val="clear" w:color="auto" w:fill="FEFFFF"/>
        </w:rPr>
        <w:t>fama</w:t>
      </w:r>
      <w:proofErr w:type="spellEnd"/>
      <w:r w:rsidRPr="00D01115">
        <w:rPr>
          <w:shd w:val="clear" w:color="auto" w:fill="FEFFFF"/>
        </w:rPr>
        <w:t>, had been restored</w:t>
      </w:r>
      <w:r w:rsidR="00427CEF" w:rsidRPr="00D01115">
        <w:rPr>
          <w:shd w:val="clear" w:color="auto" w:fill="FEFFFF"/>
        </w:rPr>
        <w:t xml:space="preserve"> to its</w:t>
      </w:r>
      <w:r w:rsidRPr="00D01115">
        <w:rPr>
          <w:shd w:val="clear" w:color="auto" w:fill="FEFFFF"/>
        </w:rPr>
        <w:t xml:space="preserve"> ‘pristine</w:t>
      </w:r>
      <w:r w:rsidR="00427CEF" w:rsidRPr="00D01115">
        <w:rPr>
          <w:shd w:val="clear" w:color="auto" w:fill="FEFFFF"/>
        </w:rPr>
        <w:t xml:space="preserve"> state</w:t>
      </w:r>
      <w:r w:rsidRPr="00D01115">
        <w:rPr>
          <w:shd w:val="clear" w:color="auto" w:fill="FEFFFF"/>
        </w:rPr>
        <w:t>’.</w:t>
      </w:r>
      <w:r w:rsidRPr="00D01115">
        <w:rPr>
          <w:shd w:val="clear" w:color="auto" w:fill="FEFFFF"/>
          <w:vertAlign w:val="superscript"/>
        </w:rPr>
        <w:footnoteReference w:id="52"/>
      </w:r>
      <w:r w:rsidRPr="00D01115">
        <w:rPr>
          <w:shd w:val="clear" w:color="auto" w:fill="FEFFFF"/>
        </w:rPr>
        <w:t xml:space="preserve"> </w:t>
      </w:r>
      <w:r w:rsidR="0030715F" w:rsidRPr="00D01115">
        <w:rPr>
          <w:shd w:val="clear" w:color="auto" w:fill="FEFFFF"/>
        </w:rPr>
        <w:t>And j</w:t>
      </w:r>
      <w:r w:rsidRPr="00D01115">
        <w:rPr>
          <w:shd w:val="clear" w:color="auto" w:fill="FEFFFF"/>
        </w:rPr>
        <w:t xml:space="preserve">ust as the language of defamation was used to frame criminal offences, so </w:t>
      </w:r>
      <w:proofErr w:type="spellStart"/>
      <w:r w:rsidRPr="00D01115">
        <w:rPr>
          <w:i/>
          <w:shd w:val="clear" w:color="auto" w:fill="FEFFFF"/>
        </w:rPr>
        <w:t>fama</w:t>
      </w:r>
      <w:proofErr w:type="spellEnd"/>
      <w:r w:rsidRPr="00D01115">
        <w:rPr>
          <w:shd w:val="clear" w:color="auto" w:fill="FEFFFF"/>
        </w:rPr>
        <w:t xml:space="preserve"> could turn interpersonal cases into </w:t>
      </w:r>
      <w:r w:rsidRPr="00D01115">
        <w:rPr>
          <w:i/>
          <w:shd w:val="clear" w:color="auto" w:fill="FEFFFF"/>
        </w:rPr>
        <w:t xml:space="preserve">ex officio </w:t>
      </w:r>
      <w:r w:rsidRPr="00D01115">
        <w:rPr>
          <w:shd w:val="clear" w:color="auto" w:fill="FEFFFF"/>
        </w:rPr>
        <w:t xml:space="preserve">litigation. </w:t>
      </w:r>
      <w:r w:rsidR="0030715F" w:rsidRPr="00D01115">
        <w:rPr>
          <w:shd w:val="clear" w:color="auto" w:fill="FEFFFF"/>
        </w:rPr>
        <w:t>P</w:t>
      </w:r>
      <w:r w:rsidRPr="00D01115">
        <w:rPr>
          <w:shd w:val="clear" w:color="auto" w:fill="FEFFFF"/>
        </w:rPr>
        <w:t xml:space="preserve">laintiffs in defamation </w:t>
      </w:r>
      <w:r w:rsidR="00901834" w:rsidRPr="00D01115">
        <w:rPr>
          <w:shd w:val="clear" w:color="auto" w:fill="FEFFFF"/>
        </w:rPr>
        <w:t>suits</w:t>
      </w:r>
      <w:r w:rsidRPr="00D01115">
        <w:rPr>
          <w:shd w:val="clear" w:color="auto" w:fill="FEFFFF"/>
        </w:rPr>
        <w:t xml:space="preserve"> </w:t>
      </w:r>
      <w:r w:rsidR="0030715F" w:rsidRPr="00D01115">
        <w:rPr>
          <w:shd w:val="clear" w:color="auto" w:fill="FEFFFF"/>
        </w:rPr>
        <w:t>might be</w:t>
      </w:r>
      <w:r w:rsidRPr="00D01115">
        <w:rPr>
          <w:shd w:val="clear" w:color="auto" w:fill="FEFFFF"/>
        </w:rPr>
        <w:t xml:space="preserve"> asked to prove to the court that the accusation against them was false</w:t>
      </w:r>
      <w:r w:rsidR="0030715F" w:rsidRPr="00D01115">
        <w:rPr>
          <w:shd w:val="clear" w:color="auto" w:fill="FEFFFF"/>
        </w:rPr>
        <w:t>; i</w:t>
      </w:r>
      <w:r w:rsidRPr="00D01115">
        <w:rPr>
          <w:shd w:val="clear" w:color="auto" w:fill="FEFFFF"/>
        </w:rPr>
        <w:t xml:space="preserve">f they could not, </w:t>
      </w:r>
      <w:r w:rsidR="00A60BAF" w:rsidRPr="00D01115">
        <w:rPr>
          <w:shd w:val="clear" w:color="auto" w:fill="FEFFFF"/>
        </w:rPr>
        <w:t xml:space="preserve">officials </w:t>
      </w:r>
      <w:r w:rsidR="0030715F" w:rsidRPr="00D01115">
        <w:rPr>
          <w:shd w:val="clear" w:color="auto" w:fill="FEFFFF"/>
        </w:rPr>
        <w:t xml:space="preserve">could </w:t>
      </w:r>
      <w:r w:rsidR="00A60BAF" w:rsidRPr="00D01115">
        <w:rPr>
          <w:shd w:val="clear" w:color="auto" w:fill="FEFFFF"/>
        </w:rPr>
        <w:t>proceed against them on the basis of that accusation</w:t>
      </w:r>
      <w:r w:rsidRPr="00D01115">
        <w:rPr>
          <w:shd w:val="clear" w:color="auto" w:fill="FEFFFF"/>
        </w:rPr>
        <w:t>.</w:t>
      </w:r>
    </w:p>
    <w:p w14:paraId="5B45D29E" w14:textId="77777777" w:rsidR="004467A5" w:rsidRPr="00D01115" w:rsidRDefault="004467A5" w:rsidP="004467A5">
      <w:pPr>
        <w:rPr>
          <w:shd w:val="clear" w:color="auto" w:fill="FEFFFF"/>
        </w:rPr>
      </w:pPr>
    </w:p>
    <w:p w14:paraId="20ADCD0B" w14:textId="04599F9A" w:rsidR="004467A5" w:rsidRPr="00D01115" w:rsidRDefault="004467A5" w:rsidP="004467A5">
      <w:proofErr w:type="spellStart"/>
      <w:r w:rsidRPr="00D01115">
        <w:rPr>
          <w:i/>
        </w:rPr>
        <w:t>Fama</w:t>
      </w:r>
      <w:proofErr w:type="spellEnd"/>
      <w:r w:rsidRPr="00D01115">
        <w:t xml:space="preserve"> thus cloak</w:t>
      </w:r>
      <w:r w:rsidR="00130B82" w:rsidRPr="00D01115">
        <w:t>ed</w:t>
      </w:r>
      <w:r w:rsidRPr="00D01115">
        <w:t xml:space="preserve"> </w:t>
      </w:r>
      <w:r w:rsidR="00130B82" w:rsidRPr="00D01115">
        <w:t xml:space="preserve">a complex of </w:t>
      </w:r>
      <w:r w:rsidRPr="00D01115">
        <w:t xml:space="preserve">accusations and </w:t>
      </w:r>
      <w:r w:rsidR="00130B82" w:rsidRPr="00D01115">
        <w:t>rumours</w:t>
      </w:r>
      <w:r w:rsidRPr="00D01115">
        <w:t>, both inside and outside the court</w:t>
      </w:r>
      <w:r w:rsidR="00130B82" w:rsidRPr="00D01115">
        <w:t>s</w:t>
      </w:r>
      <w:r w:rsidRPr="00D01115">
        <w:t xml:space="preserve">. Historians have argued over whether </w:t>
      </w:r>
      <w:proofErr w:type="spellStart"/>
      <w:r w:rsidRPr="00D01115">
        <w:rPr>
          <w:i/>
        </w:rPr>
        <w:t>fama</w:t>
      </w:r>
      <w:proofErr w:type="spellEnd"/>
      <w:r w:rsidRPr="00D01115">
        <w:t xml:space="preserve"> was mainly in the hands of the courts to define, or whether it in fact represented </w:t>
      </w:r>
      <w:r w:rsidR="00130B82" w:rsidRPr="00D01115">
        <w:t xml:space="preserve">past </w:t>
      </w:r>
      <w:r w:rsidRPr="00D01115">
        <w:t xml:space="preserve">trails of gossip echoing through </w:t>
      </w:r>
      <w:r w:rsidR="00A565EF">
        <w:t>the legal system</w:t>
      </w:r>
      <w:r w:rsidRPr="00D01115">
        <w:t xml:space="preserve">, but </w:t>
      </w:r>
      <w:r w:rsidR="00130B82" w:rsidRPr="00D01115">
        <w:t>perhaps the</w:t>
      </w:r>
      <w:r w:rsidRPr="00D01115">
        <w:t xml:space="preserve"> </w:t>
      </w:r>
      <w:r w:rsidR="00D822AB" w:rsidRPr="00D01115">
        <w:t>crucial</w:t>
      </w:r>
      <w:r w:rsidRPr="00D01115">
        <w:t xml:space="preserve"> point is </w:t>
      </w:r>
      <w:r w:rsidR="00130B82" w:rsidRPr="00D01115">
        <w:t>that</w:t>
      </w:r>
      <w:r w:rsidRPr="00D01115">
        <w:t xml:space="preserve"> t</w:t>
      </w:r>
      <w:r w:rsidR="00130B82" w:rsidRPr="00D01115">
        <w:t>he two were inextricably related</w:t>
      </w:r>
      <w:r w:rsidRPr="00D01115">
        <w:t>.</w:t>
      </w:r>
      <w:r w:rsidRPr="00D01115">
        <w:rPr>
          <w:vertAlign w:val="superscript"/>
        </w:rPr>
        <w:footnoteReference w:id="53"/>
      </w:r>
      <w:r w:rsidRPr="00D01115">
        <w:t xml:space="preserve"> </w:t>
      </w:r>
      <w:proofErr w:type="spellStart"/>
      <w:r w:rsidRPr="00D01115">
        <w:rPr>
          <w:i/>
        </w:rPr>
        <w:t>Fama</w:t>
      </w:r>
      <w:proofErr w:type="spellEnd"/>
      <w:r w:rsidRPr="00D01115">
        <w:t xml:space="preserve"> did relate to real gossip, but it also </w:t>
      </w:r>
      <w:r w:rsidR="00760E70" w:rsidRPr="00D01115">
        <w:t>took</w:t>
      </w:r>
      <w:r w:rsidRPr="00D01115">
        <w:t xml:space="preserve"> </w:t>
      </w:r>
      <w:r w:rsidR="00760E70" w:rsidRPr="00D01115">
        <w:t>on new meanings</w:t>
      </w:r>
      <w:r w:rsidRPr="00D01115">
        <w:t xml:space="preserve"> it was handled by the courts, precisely because people paid </w:t>
      </w:r>
      <w:r w:rsidR="00B8182C" w:rsidRPr="00D01115">
        <w:t xml:space="preserve">close </w:t>
      </w:r>
      <w:r w:rsidRPr="00D01115">
        <w:t xml:space="preserve">attention to what the courts did with rumours. </w:t>
      </w:r>
      <w:r w:rsidR="00B8182C" w:rsidRPr="00D01115">
        <w:t>Thus m</w:t>
      </w:r>
      <w:r w:rsidRPr="00D01115">
        <w:t>any reported insults in defamation cases made reference to the judgment of a court</w:t>
      </w:r>
      <w:r w:rsidR="009D6824" w:rsidRPr="00D01115">
        <w:t xml:space="preserve">, as for example, one London defendant who was alleged to have said of her enemy, </w:t>
      </w:r>
      <w:r w:rsidRPr="00D01115">
        <w:t>‘she is a false woman and cursed in the sentence of the church</w:t>
      </w:r>
      <w:r w:rsidR="000E6B59" w:rsidRPr="00D01115">
        <w:t>’</w:t>
      </w:r>
      <w:r w:rsidRPr="00D01115">
        <w:t xml:space="preserve"> (</w:t>
      </w:r>
      <w:r w:rsidR="001D600F">
        <w:t>that is</w:t>
      </w:r>
      <w:r w:rsidRPr="00D01115">
        <w:t>, excommunicated).</w:t>
      </w:r>
      <w:r w:rsidRPr="00D01115">
        <w:rPr>
          <w:vertAlign w:val="superscript"/>
        </w:rPr>
        <w:footnoteReference w:id="54"/>
      </w:r>
      <w:r w:rsidRPr="00D01115">
        <w:t xml:space="preserve"> </w:t>
      </w:r>
      <w:proofErr w:type="spellStart"/>
      <w:r w:rsidRPr="00D01115">
        <w:rPr>
          <w:i/>
        </w:rPr>
        <w:t>Fama</w:t>
      </w:r>
      <w:proofErr w:type="spellEnd"/>
      <w:r w:rsidRPr="00D01115">
        <w:t xml:space="preserve"> was a co-creation of both </w:t>
      </w:r>
      <w:r w:rsidR="009B01BE">
        <w:t xml:space="preserve">the </w:t>
      </w:r>
      <w:r w:rsidRPr="00D01115">
        <w:t xml:space="preserve">courts and the </w:t>
      </w:r>
      <w:r w:rsidR="009D6824" w:rsidRPr="00D01115">
        <w:t>laypeople</w:t>
      </w:r>
      <w:r w:rsidRPr="00D01115">
        <w:t xml:space="preserve"> who used them</w:t>
      </w:r>
      <w:r w:rsidR="000E6B59" w:rsidRPr="00D01115">
        <w:t>; t</w:t>
      </w:r>
      <w:r w:rsidRPr="00D01115">
        <w:t xml:space="preserve">his </w:t>
      </w:r>
      <w:r w:rsidR="000E6B59" w:rsidRPr="00D01115">
        <w:t xml:space="preserve">is </w:t>
      </w:r>
      <w:r w:rsidR="009B01BE">
        <w:t xml:space="preserve">precisely </w:t>
      </w:r>
      <w:r w:rsidR="000E6B59" w:rsidRPr="00D01115">
        <w:t xml:space="preserve">what </w:t>
      </w:r>
      <w:r w:rsidR="00212C9C" w:rsidRPr="00D01115">
        <w:t>made</w:t>
      </w:r>
      <w:r w:rsidRPr="00D01115">
        <w:t xml:space="preserve"> it </w:t>
      </w:r>
      <w:r w:rsidR="009B01BE">
        <w:t xml:space="preserve">such </w:t>
      </w:r>
      <w:r w:rsidRPr="00D01115">
        <w:t xml:space="preserve">a potent concept. But </w:t>
      </w:r>
      <w:r w:rsidR="009B01BE">
        <w:t xml:space="preserve">perversely, </w:t>
      </w:r>
      <w:r w:rsidRPr="00D01115">
        <w:t xml:space="preserve">it also opened up a space </w:t>
      </w:r>
      <w:r w:rsidR="00A612EA" w:rsidRPr="00D01115">
        <w:t>with</w:t>
      </w:r>
      <w:r w:rsidRPr="00D01115">
        <w:t xml:space="preserve">in which </w:t>
      </w:r>
      <w:r w:rsidR="005B7C28" w:rsidRPr="00D01115">
        <w:t>other kinds of authoritative speech – such as the divinations</w:t>
      </w:r>
      <w:r w:rsidRPr="00D01115">
        <w:t xml:space="preserve"> of soothsayers </w:t>
      </w:r>
      <w:r w:rsidR="005B7C28" w:rsidRPr="00D01115">
        <w:t xml:space="preserve">– </w:t>
      </w:r>
      <w:r w:rsidRPr="00D01115">
        <w:t>could take on a great deal of significance.</w:t>
      </w:r>
      <w:r w:rsidR="00F82384" w:rsidRPr="00D01115">
        <w:rPr>
          <w:rStyle w:val="FootnoteReference"/>
        </w:rPr>
        <w:footnoteReference w:id="55"/>
      </w:r>
    </w:p>
    <w:p w14:paraId="469FEA13" w14:textId="77777777" w:rsidR="004467A5" w:rsidRPr="00D01115" w:rsidRDefault="004467A5" w:rsidP="004467A5"/>
    <w:p w14:paraId="7FE3B4E3" w14:textId="41130E90" w:rsidR="004467A5" w:rsidRPr="00D01115" w:rsidRDefault="004467A5" w:rsidP="004467A5">
      <w:r w:rsidRPr="00D01115">
        <w:lastRenderedPageBreak/>
        <w:t xml:space="preserve">Soothsayers appear in defamation cases </w:t>
      </w:r>
      <w:r w:rsidR="00D12A1F" w:rsidRPr="00D01115">
        <w:t>when</w:t>
      </w:r>
      <w:r w:rsidRPr="00D01115">
        <w:t xml:space="preserve"> a defendant </w:t>
      </w:r>
      <w:r w:rsidR="008D7EEA" w:rsidRPr="00D01115">
        <w:t>was</w:t>
      </w:r>
      <w:r w:rsidRPr="00D01115">
        <w:t xml:space="preserve"> </w:t>
      </w:r>
      <w:proofErr w:type="gramStart"/>
      <w:r w:rsidRPr="00D01115">
        <w:t>alleged, or</w:t>
      </w:r>
      <w:proofErr w:type="gramEnd"/>
      <w:r w:rsidRPr="00D01115">
        <w:t xml:space="preserve"> confesse</w:t>
      </w:r>
      <w:r w:rsidR="008D7EEA" w:rsidRPr="00D01115">
        <w:t>d</w:t>
      </w:r>
      <w:r w:rsidRPr="00D01115">
        <w:t xml:space="preserve"> to having consulted them </w:t>
      </w:r>
      <w:r w:rsidR="005A38FA">
        <w:t>as the basis for</w:t>
      </w:r>
      <w:r w:rsidRPr="00D01115">
        <w:t xml:space="preserve"> a defamatory </w:t>
      </w:r>
      <w:r w:rsidR="005A38FA" w:rsidRPr="00D01115">
        <w:t>accusation</w:t>
      </w:r>
      <w:r w:rsidR="005A38FA">
        <w:t xml:space="preserve"> they made against a third party</w:t>
      </w:r>
      <w:r w:rsidRPr="00D01115">
        <w:t xml:space="preserve">. For example, in 1481 William </w:t>
      </w:r>
      <w:proofErr w:type="spellStart"/>
      <w:r w:rsidRPr="00D01115">
        <w:t>Radclefe</w:t>
      </w:r>
      <w:proofErr w:type="spellEnd"/>
      <w:r w:rsidRPr="00D01115">
        <w:t xml:space="preserve"> was brought before a lower church court in London to answer a charge of defamation because he had accused Geoffrey Whit of having stolen a tunic, taken it back to his own house, and put it in a chest in his room; ‘and he said this upon information from a soothsayer’.</w:t>
      </w:r>
      <w:r w:rsidRPr="00D01115">
        <w:rPr>
          <w:vertAlign w:val="superscript"/>
        </w:rPr>
        <w:footnoteReference w:id="56"/>
      </w:r>
      <w:r w:rsidRPr="00D01115">
        <w:t xml:space="preserve"> </w:t>
      </w:r>
      <w:r w:rsidR="00063981" w:rsidRPr="00D01115">
        <w:t>But rather than</w:t>
      </w:r>
      <w:r w:rsidRPr="00D01115">
        <w:t xml:space="preserve"> </w:t>
      </w:r>
      <w:proofErr w:type="spellStart"/>
      <w:r w:rsidRPr="00D01115">
        <w:t>Radclefe</w:t>
      </w:r>
      <w:proofErr w:type="spellEnd"/>
      <w:r w:rsidRPr="00D01115">
        <w:t xml:space="preserve"> himself </w:t>
      </w:r>
      <w:r w:rsidR="00063981" w:rsidRPr="00D01115">
        <w:t>being</w:t>
      </w:r>
      <w:r w:rsidRPr="00D01115">
        <w:t xml:space="preserve"> prosecuted for defamation or perhaps for going to a soothsayer in the first place</w:t>
      </w:r>
      <w:r w:rsidR="00BF2025" w:rsidRPr="00D01115">
        <w:t xml:space="preserve"> it was</w:t>
      </w:r>
      <w:r w:rsidRPr="00D01115">
        <w:t xml:space="preserve"> Whit, the man he defamed, </w:t>
      </w:r>
      <w:r w:rsidR="00BF2025" w:rsidRPr="00D01115">
        <w:t xml:space="preserve">who </w:t>
      </w:r>
      <w:r w:rsidRPr="00D01115">
        <w:t xml:space="preserve">was asked to appear instead, and </w:t>
      </w:r>
      <w:r w:rsidR="00BF2025" w:rsidRPr="00D01115">
        <w:t xml:space="preserve">to </w:t>
      </w:r>
      <w:r w:rsidRPr="00D01115">
        <w:t>prove his innocence of th</w:t>
      </w:r>
      <w:r w:rsidR="00D25D4A" w:rsidRPr="00D01115">
        <w:t>is</w:t>
      </w:r>
      <w:r w:rsidRPr="00D01115">
        <w:t xml:space="preserve"> alleged crime. He did so successfully, and was dismissed</w:t>
      </w:r>
      <w:r w:rsidR="003A754A" w:rsidRPr="00D01115">
        <w:t>,</w:t>
      </w:r>
      <w:r w:rsidR="00D25D4A" w:rsidRPr="00D01115">
        <w:t xml:space="preserve"> </w:t>
      </w:r>
      <w:r w:rsidRPr="00D01115">
        <w:t xml:space="preserve">without any further action being taken against </w:t>
      </w:r>
      <w:proofErr w:type="spellStart"/>
      <w:r w:rsidRPr="00D01115">
        <w:t>Radclefe</w:t>
      </w:r>
      <w:proofErr w:type="spellEnd"/>
      <w:r w:rsidRPr="00D01115">
        <w:t xml:space="preserve">. Even if accusations </w:t>
      </w:r>
      <w:r w:rsidR="00887400">
        <w:t>arose from</w:t>
      </w:r>
      <w:r w:rsidRPr="00D01115">
        <w:t xml:space="preserve"> soothsay</w:t>
      </w:r>
      <w:r w:rsidR="0003420F" w:rsidRPr="00D01115">
        <w:t>ing</w:t>
      </w:r>
      <w:r w:rsidRPr="00D01115">
        <w:t>, then, the ecclesiastical courts</w:t>
      </w:r>
      <w:r w:rsidR="003A754A" w:rsidRPr="00D01115">
        <w:t xml:space="preserve"> were willing to </w:t>
      </w:r>
      <w:r w:rsidR="008E1FBC" w:rsidRPr="00D01115">
        <w:t xml:space="preserve">entertain </w:t>
      </w:r>
      <w:r w:rsidR="00BF2025" w:rsidRPr="00D01115">
        <w:t>that they</w:t>
      </w:r>
      <w:r w:rsidR="008E1FBC" w:rsidRPr="00D01115">
        <w:t xml:space="preserve"> </w:t>
      </w:r>
      <w:r w:rsidR="00BF2025" w:rsidRPr="00D01115">
        <w:t xml:space="preserve">had </w:t>
      </w:r>
      <w:r w:rsidR="008E1FBC" w:rsidRPr="00D01115">
        <w:t>some basis in fact</w:t>
      </w:r>
      <w:r w:rsidR="00887400">
        <w:t>;</w:t>
      </w:r>
      <w:r w:rsidR="00BF2025" w:rsidRPr="00D01115">
        <w:t xml:space="preserve"> </w:t>
      </w:r>
      <w:r w:rsidR="00887400">
        <w:t xml:space="preserve">they may have done so </w:t>
      </w:r>
      <w:r w:rsidR="00BF2025" w:rsidRPr="00D01115">
        <w:t>with the collusion of people like Whit, who wished to put such rumours to bed by making a public, sworn denial</w:t>
      </w:r>
      <w:r w:rsidRPr="00D01115">
        <w:t>.</w:t>
      </w:r>
      <w:r w:rsidR="00D25D4A" w:rsidRPr="00D01115">
        <w:rPr>
          <w:rStyle w:val="FootnoteReference"/>
        </w:rPr>
        <w:footnoteReference w:id="57"/>
      </w:r>
    </w:p>
    <w:p w14:paraId="5D9F6E6F" w14:textId="77777777" w:rsidR="004467A5" w:rsidRPr="00D01115" w:rsidRDefault="004467A5" w:rsidP="004467A5"/>
    <w:p w14:paraId="485C8FD6" w14:textId="2FEF49ED" w:rsidR="004467A5" w:rsidRPr="00D01115" w:rsidRDefault="00887400" w:rsidP="004467A5">
      <w:r>
        <w:t>T</w:t>
      </w:r>
      <w:r w:rsidR="004467A5" w:rsidRPr="00D01115">
        <w:t xml:space="preserve">hrough the lens of defamation cases we can also see that secular courts also </w:t>
      </w:r>
      <w:proofErr w:type="gramStart"/>
      <w:r w:rsidR="004467A5" w:rsidRPr="00D01115">
        <w:t>took action</w:t>
      </w:r>
      <w:proofErr w:type="gramEnd"/>
      <w:r w:rsidR="004467A5" w:rsidRPr="00D01115">
        <w:t xml:space="preserve"> on the basis of rumours prompted by soothsayers. In another case from London, Margaret </w:t>
      </w:r>
      <w:proofErr w:type="spellStart"/>
      <w:r w:rsidR="004467A5" w:rsidRPr="00D01115">
        <w:t>Curtman</w:t>
      </w:r>
      <w:proofErr w:type="spellEnd"/>
      <w:r w:rsidR="004467A5" w:rsidRPr="00D01115">
        <w:t xml:space="preserve"> was cited for defamation because she had said publicly that Henry and Agnes Nash were false: ‘and she went to a soothsayer to know if they had taken away clothes [from her], and he said that they had them, and thereupon she caused the constables to search their house’.</w:t>
      </w:r>
      <w:r w:rsidR="004467A5" w:rsidRPr="00D01115">
        <w:rPr>
          <w:vertAlign w:val="superscript"/>
        </w:rPr>
        <w:footnoteReference w:id="58"/>
      </w:r>
      <w:r w:rsidR="004467A5" w:rsidRPr="00D01115">
        <w:t xml:space="preserve"> While it is impossible to know whether Margaret told the ward constables – responsible for neighbourhood policing, arrests, and inquiries – the basis of her suspicion, the fact that their house was searched provides further testament to the power of rumour in the later Middle Ages.</w:t>
      </w:r>
      <w:r w:rsidR="004467A5" w:rsidRPr="00D01115">
        <w:rPr>
          <w:vertAlign w:val="superscript"/>
        </w:rPr>
        <w:footnoteReference w:id="59"/>
      </w:r>
      <w:r w:rsidR="004467A5" w:rsidRPr="00D01115">
        <w:t xml:space="preserve"> The response of Henry and Agnes Nash is telling in this regard: after their house had been intrusively searched and their reputation visibly called into question, Margaret’s false</w:t>
      </w:r>
      <w:r w:rsidR="006113A1" w:rsidRPr="00D01115">
        <w:t xml:space="preserve"> accusation</w:t>
      </w:r>
      <w:r>
        <w:t>, and its woolly basis,</w:t>
      </w:r>
      <w:r w:rsidR="006113A1" w:rsidRPr="00D01115">
        <w:t xml:space="preserve"> was </w:t>
      </w:r>
      <w:r w:rsidR="004467A5" w:rsidRPr="00D01115">
        <w:t xml:space="preserve">made known </w:t>
      </w:r>
      <w:r>
        <w:t xml:space="preserve">publicly </w:t>
      </w:r>
      <w:r w:rsidR="004467A5" w:rsidRPr="00D01115">
        <w:t>through a defamation prosecution. Soothsayers started cycles of rumour which the courts had to stymie and resolve.</w:t>
      </w:r>
    </w:p>
    <w:p w14:paraId="2206D3B8" w14:textId="77777777" w:rsidR="004467A5" w:rsidRPr="00D01115" w:rsidRDefault="004467A5" w:rsidP="004467A5"/>
    <w:p w14:paraId="7AF4FE8D" w14:textId="0C7B13C4" w:rsidR="004467A5" w:rsidRPr="00D01115" w:rsidRDefault="00887400" w:rsidP="004467A5">
      <w:r>
        <w:t>M</w:t>
      </w:r>
      <w:r w:rsidR="00B46E20" w:rsidRPr="00D01115">
        <w:t xml:space="preserve">ore than </w:t>
      </w:r>
      <w:r w:rsidR="004467A5" w:rsidRPr="00D01115">
        <w:t>provid</w:t>
      </w:r>
      <w:r w:rsidR="00B46E20" w:rsidRPr="00D01115">
        <w:t>ing</w:t>
      </w:r>
      <w:r w:rsidR="004467A5" w:rsidRPr="00D01115">
        <w:t xml:space="preserve"> the basis of an allegation, there is </w:t>
      </w:r>
      <w:r w:rsidR="00B46E20" w:rsidRPr="00D01115">
        <w:t xml:space="preserve">also </w:t>
      </w:r>
      <w:r w:rsidR="004467A5" w:rsidRPr="00D01115">
        <w:t xml:space="preserve">some evidence that </w:t>
      </w:r>
      <w:r w:rsidR="00B46E20" w:rsidRPr="00D01115">
        <w:t xml:space="preserve">ecclesiastical officials understood </w:t>
      </w:r>
      <w:r>
        <w:t>soothsayers</w:t>
      </w:r>
      <w:r w:rsidRPr="00D01115">
        <w:t xml:space="preserve"> </w:t>
      </w:r>
      <w:r w:rsidR="00B46E20" w:rsidRPr="00D01115">
        <w:t>in terms of their capacity to provide authoritative judgements</w:t>
      </w:r>
      <w:r w:rsidR="004467A5" w:rsidRPr="00D01115">
        <w:t>.</w:t>
      </w:r>
      <w:r w:rsidR="00B46E20" w:rsidRPr="00D01115">
        <w:t xml:space="preserve"> In a couple of cases, strikingly legalistic language was used to describe divination.</w:t>
      </w:r>
      <w:r w:rsidR="004467A5" w:rsidRPr="00D01115">
        <w:t xml:space="preserve"> </w:t>
      </w:r>
      <w:r w:rsidR="00B46E20" w:rsidRPr="00D01115">
        <w:t>A</w:t>
      </w:r>
      <w:r w:rsidR="004467A5" w:rsidRPr="00D01115">
        <w:t xml:space="preserve"> defamation case from the Norfolk village of </w:t>
      </w:r>
      <w:proofErr w:type="spellStart"/>
      <w:r w:rsidR="004467A5" w:rsidRPr="00D01115">
        <w:t>Hindringham</w:t>
      </w:r>
      <w:proofErr w:type="spellEnd"/>
      <w:r w:rsidR="004467A5" w:rsidRPr="00D01115">
        <w:t xml:space="preserve"> in 1417 recorded that Geoffrey Skinner had accused Emmett </w:t>
      </w:r>
      <w:proofErr w:type="spellStart"/>
      <w:r w:rsidR="004467A5" w:rsidRPr="00D01115">
        <w:t>Bryte</w:t>
      </w:r>
      <w:proofErr w:type="spellEnd"/>
      <w:r w:rsidR="004467A5" w:rsidRPr="00D01115">
        <w:t xml:space="preserve"> of theft, saying that she had stolen two kinds of woollen cloth from him. Appearing before the court, ‘he asserted that a verdict was announced to his wife, that a certain woman dressed in a green doublet with a lay-cloth had the goods’.</w:t>
      </w:r>
      <w:r w:rsidR="004467A5" w:rsidRPr="00D01115">
        <w:rPr>
          <w:vertAlign w:val="superscript"/>
        </w:rPr>
        <w:footnoteReference w:id="60"/>
      </w:r>
      <w:r w:rsidR="004467A5" w:rsidRPr="00D01115">
        <w:t xml:space="preserve"> This was </w:t>
      </w:r>
      <w:r w:rsidR="00B46E20" w:rsidRPr="00D01115">
        <w:t>interpreted by the judge</w:t>
      </w:r>
      <w:r w:rsidR="004467A5" w:rsidRPr="00D01115">
        <w:t xml:space="preserve"> as a confession, both of the defamation, but also</w:t>
      </w:r>
      <w:r w:rsidR="00B46E20" w:rsidRPr="00D01115">
        <w:t>, interestingly,</w:t>
      </w:r>
      <w:r w:rsidR="004467A5" w:rsidRPr="00D01115">
        <w:t xml:space="preserve"> of soothsaying –</w:t>
      </w:r>
      <w:r w:rsidR="00013AAF" w:rsidRPr="00D01115">
        <w:t xml:space="preserve"> </w:t>
      </w:r>
      <w:r w:rsidR="004467A5" w:rsidRPr="00D01115">
        <w:t xml:space="preserve">it seems that this ‘verdict’ was in fact the divination of a </w:t>
      </w:r>
      <w:r w:rsidR="004467A5" w:rsidRPr="00D01115">
        <w:lastRenderedPageBreak/>
        <w:t xml:space="preserve">soothsayer, and indeed, </w:t>
      </w:r>
      <w:r w:rsidR="00A64BBE" w:rsidRPr="00D01115">
        <w:t>its</w:t>
      </w:r>
      <w:r w:rsidR="004467A5" w:rsidRPr="00D01115">
        <w:t xml:space="preserve"> ambiguous identification of a woman dressed in a certain way fits with the kind of vague pronouncements in which they specialized.</w:t>
      </w:r>
    </w:p>
    <w:p w14:paraId="23D656B8" w14:textId="77777777" w:rsidR="004467A5" w:rsidRPr="00D01115" w:rsidRDefault="004467A5" w:rsidP="004467A5"/>
    <w:p w14:paraId="70C98F1B" w14:textId="77777777" w:rsidR="004467A5" w:rsidRPr="00D01115" w:rsidRDefault="00B23DE6" w:rsidP="004467A5">
      <w:r w:rsidRPr="00D01115">
        <w:t>T</w:t>
      </w:r>
      <w:r w:rsidR="004467A5" w:rsidRPr="00D01115">
        <w:t>he word ‘verdict’</w:t>
      </w:r>
      <w:r w:rsidR="00790F59" w:rsidRPr="00D01115">
        <w:t xml:space="preserve">, in the early fifteenth century as now, </w:t>
      </w:r>
      <w:r w:rsidR="004467A5" w:rsidRPr="00D01115">
        <w:t xml:space="preserve">was </w:t>
      </w:r>
      <w:r w:rsidR="00722A6A" w:rsidRPr="00D01115">
        <w:t>more commonly</w:t>
      </w:r>
      <w:r w:rsidR="004467A5" w:rsidRPr="00D01115">
        <w:t xml:space="preserve"> associated with the judgment of a jury in a secular </w:t>
      </w:r>
      <w:r w:rsidR="00722A6A" w:rsidRPr="00D01115">
        <w:t>court</w:t>
      </w:r>
      <w:r w:rsidR="004467A5" w:rsidRPr="00D01115">
        <w:t xml:space="preserve">, in </w:t>
      </w:r>
      <w:r w:rsidR="005E0AD6" w:rsidRPr="00D01115">
        <w:t xml:space="preserve">both </w:t>
      </w:r>
      <w:r w:rsidR="004467A5" w:rsidRPr="00D01115">
        <w:t xml:space="preserve">local customary </w:t>
      </w:r>
      <w:r w:rsidR="005E0AD6" w:rsidRPr="00D01115">
        <w:t>tribunals</w:t>
      </w:r>
      <w:r w:rsidR="004467A5" w:rsidRPr="00D01115">
        <w:t xml:space="preserve"> </w:t>
      </w:r>
      <w:r w:rsidR="005E0AD6" w:rsidRPr="00D01115">
        <w:t>and</w:t>
      </w:r>
      <w:r w:rsidR="004467A5" w:rsidRPr="00D01115">
        <w:t xml:space="preserve"> the common law courts.</w:t>
      </w:r>
      <w:r w:rsidR="004467A5" w:rsidRPr="00D01115">
        <w:rPr>
          <w:vertAlign w:val="superscript"/>
        </w:rPr>
        <w:footnoteReference w:id="61"/>
      </w:r>
      <w:r w:rsidR="004467A5" w:rsidRPr="00D01115">
        <w:t xml:space="preserve"> This sense is further hinted at by the use of the word which I have translated as ‘announced’ (from the Latin </w:t>
      </w:r>
      <w:proofErr w:type="spellStart"/>
      <w:r w:rsidR="004467A5" w:rsidRPr="00D01115">
        <w:rPr>
          <w:i/>
        </w:rPr>
        <w:t>referre</w:t>
      </w:r>
      <w:proofErr w:type="spellEnd"/>
      <w:r w:rsidR="004467A5" w:rsidRPr="00D01115">
        <w:t>), which could also be translated as ‘returned’; it may be that the scribe was alluding to the notion of ‘returning a verdict’, the procedure by which a jury’s judgment was subsequently filed by sheriffs in the system of royal justice. But while these legalistic meanings are present</w:t>
      </w:r>
      <w:r w:rsidR="002E453C" w:rsidRPr="00D01115">
        <w:t xml:space="preserve"> in the trial text</w:t>
      </w:r>
      <w:r w:rsidR="004467A5" w:rsidRPr="00D01115">
        <w:t xml:space="preserve">, they are also somewhat ambiguous. The word ‘verdict’ is written here as the Latin </w:t>
      </w:r>
      <w:proofErr w:type="spellStart"/>
      <w:r w:rsidR="004467A5" w:rsidRPr="00D01115">
        <w:rPr>
          <w:i/>
        </w:rPr>
        <w:t>veredictum</w:t>
      </w:r>
      <w:proofErr w:type="spellEnd"/>
      <w:r w:rsidR="004467A5" w:rsidRPr="00D01115">
        <w:t xml:space="preserve">, which </w:t>
      </w:r>
      <w:r w:rsidR="00462050" w:rsidRPr="00D01115">
        <w:t xml:space="preserve">also </w:t>
      </w:r>
      <w:r w:rsidR="004467A5" w:rsidRPr="00D01115">
        <w:t>transliterates as</w:t>
      </w:r>
      <w:r w:rsidR="004467A5" w:rsidRPr="00D01115">
        <w:rPr>
          <w:i/>
        </w:rPr>
        <w:t xml:space="preserve"> </w:t>
      </w:r>
      <w:r w:rsidR="004467A5" w:rsidRPr="00D01115">
        <w:t>‘true speech’, or perhaps, more germane for a fifteenth-century scribe</w:t>
      </w:r>
      <w:r w:rsidR="009C17FA" w:rsidRPr="00D01115">
        <w:t xml:space="preserve"> trying to twist vernacular superstition into the language of law</w:t>
      </w:r>
      <w:r w:rsidR="004467A5" w:rsidRPr="00D01115">
        <w:t>, ‘sooth said’. There seems, then, to have been some slippage between different kinds of authoritative speech – whether legal or magical – in the minds of contemporaries.</w:t>
      </w:r>
    </w:p>
    <w:p w14:paraId="7F83FCD6" w14:textId="77777777" w:rsidR="004467A5" w:rsidRPr="00D01115" w:rsidRDefault="004467A5" w:rsidP="004467A5"/>
    <w:p w14:paraId="05878BAA" w14:textId="66480EC7" w:rsidR="007725E3" w:rsidRPr="00D01115" w:rsidRDefault="004467A5">
      <w:r w:rsidRPr="00D01115">
        <w:t xml:space="preserve">That this was more than </w:t>
      </w:r>
      <w:r w:rsidR="00887400">
        <w:t xml:space="preserve">just </w:t>
      </w:r>
      <w:r w:rsidRPr="00D01115">
        <w:t xml:space="preserve">semantic coincidence </w:t>
      </w:r>
      <w:r w:rsidR="00887400">
        <w:t>is suggested by</w:t>
      </w:r>
      <w:r w:rsidRPr="00D01115">
        <w:t xml:space="preserve"> the example of Thomas </w:t>
      </w:r>
      <w:proofErr w:type="spellStart"/>
      <w:r w:rsidRPr="00D01115">
        <w:t>Pelson</w:t>
      </w:r>
      <w:proofErr w:type="spellEnd"/>
      <w:r w:rsidRPr="00D01115">
        <w:t xml:space="preserve">, </w:t>
      </w:r>
      <w:r w:rsidR="00331A5B" w:rsidRPr="00D01115">
        <w:t>a</w:t>
      </w:r>
      <w:r w:rsidRPr="00D01115">
        <w:t xml:space="preserve"> Lincolnshire soothsayer. The citation against him</w:t>
      </w:r>
      <w:r w:rsidR="00887400">
        <w:t xml:space="preserve"> in a visitation of 1500</w:t>
      </w:r>
      <w:r w:rsidRPr="00D01115">
        <w:t xml:space="preserve"> noted that ‘he </w:t>
      </w:r>
      <w:r w:rsidR="009C17FA" w:rsidRPr="00D01115">
        <w:t>advertises</w:t>
      </w:r>
      <w:r w:rsidRPr="00D01115">
        <w:t xml:space="preserve"> himself as a </w:t>
      </w:r>
      <w:proofErr w:type="gramStart"/>
      <w:r w:rsidR="00F8302A" w:rsidRPr="00D01115">
        <w:t>fortune-teller</w:t>
      </w:r>
      <w:r w:rsidRPr="00D01115">
        <w:t>, and</w:t>
      </w:r>
      <w:proofErr w:type="gramEnd"/>
      <w:r w:rsidRPr="00D01115">
        <w:t xml:space="preserve"> gives judgements regarding both thefts and various diseases of men and animals.’</w:t>
      </w:r>
      <w:r w:rsidRPr="00D01115">
        <w:rPr>
          <w:vertAlign w:val="superscript"/>
        </w:rPr>
        <w:footnoteReference w:id="62"/>
      </w:r>
      <w:r w:rsidRPr="00D01115">
        <w:t xml:space="preserve"> There are a couple of points to unpack here. The Latin word </w:t>
      </w:r>
      <w:proofErr w:type="spellStart"/>
      <w:r w:rsidRPr="00D01115">
        <w:rPr>
          <w:i/>
        </w:rPr>
        <w:t>iudicia</w:t>
      </w:r>
      <w:proofErr w:type="spellEnd"/>
      <w:r w:rsidRPr="00D01115">
        <w:t xml:space="preserve">, which I have translated as </w:t>
      </w:r>
      <w:r w:rsidR="0030715F" w:rsidRPr="00D01115">
        <w:t>‘</w:t>
      </w:r>
      <w:r w:rsidRPr="00D01115">
        <w:t>judg</w:t>
      </w:r>
      <w:r w:rsidR="0030715F" w:rsidRPr="00D01115">
        <w:t>e</w:t>
      </w:r>
      <w:r w:rsidRPr="00D01115">
        <w:t>ments</w:t>
      </w:r>
      <w:r w:rsidR="0030715F" w:rsidRPr="00D01115">
        <w:t>’</w:t>
      </w:r>
      <w:r w:rsidRPr="00D01115">
        <w:t xml:space="preserve">, could also be translated as ‘opinions’, and certainly this ambiguity hangs over its use in this context. On the other hand, I think </w:t>
      </w:r>
      <w:r w:rsidR="0030715F" w:rsidRPr="00D01115">
        <w:t xml:space="preserve">the sense of ‘judgement’ </w:t>
      </w:r>
      <w:r w:rsidR="002C5014" w:rsidRPr="00D01115">
        <w:t>fits</w:t>
      </w:r>
      <w:r w:rsidRPr="00D01115">
        <w:t xml:space="preserve"> </w:t>
      </w:r>
      <w:r w:rsidR="002C5014" w:rsidRPr="00D01115">
        <w:t xml:space="preserve">with </w:t>
      </w:r>
      <w:r w:rsidRPr="00D01115">
        <w:t>the way in which the citation is framed</w:t>
      </w:r>
      <w:r w:rsidR="002C5014" w:rsidRPr="00D01115">
        <w:t xml:space="preserve"> more generally</w:t>
      </w:r>
      <w:r w:rsidRPr="00D01115">
        <w:t xml:space="preserve">, </w:t>
      </w:r>
      <w:r w:rsidR="0030715F" w:rsidRPr="00D01115">
        <w:t xml:space="preserve">with </w:t>
      </w:r>
      <w:proofErr w:type="spellStart"/>
      <w:r w:rsidRPr="00D01115">
        <w:t>Pelson</w:t>
      </w:r>
      <w:proofErr w:type="spellEnd"/>
      <w:r w:rsidRPr="00D01115">
        <w:t xml:space="preserve"> </w:t>
      </w:r>
      <w:r w:rsidR="0030715F" w:rsidRPr="00D01115">
        <w:t xml:space="preserve">condemned for </w:t>
      </w:r>
      <w:r w:rsidRPr="00D01115">
        <w:t>‘</w:t>
      </w:r>
      <w:r w:rsidR="002C5014" w:rsidRPr="00D01115">
        <w:t>advertising</w:t>
      </w:r>
      <w:r w:rsidRPr="00D01115">
        <w:t xml:space="preserve"> himself’ as a soothsayer. The outrage of these offences seems to lie not </w:t>
      </w:r>
      <w:r w:rsidR="00694C2C" w:rsidRPr="00D01115">
        <w:t>with the superstition</w:t>
      </w:r>
      <w:r w:rsidRPr="00D01115">
        <w:t xml:space="preserve"> of soothsaying, then</w:t>
      </w:r>
      <w:r w:rsidR="00462050" w:rsidRPr="00D01115">
        <w:t xml:space="preserve">, </w:t>
      </w:r>
      <w:r w:rsidR="00694C2C" w:rsidRPr="00D01115">
        <w:t>but with their claims to hand out</w:t>
      </w:r>
      <w:r w:rsidR="00462050" w:rsidRPr="00D01115">
        <w:t xml:space="preserve"> </w:t>
      </w:r>
      <w:r w:rsidR="00694C2C" w:rsidRPr="00D01115">
        <w:t xml:space="preserve">authoritative </w:t>
      </w:r>
      <w:r w:rsidRPr="00D01115">
        <w:t>judg</w:t>
      </w:r>
      <w:r w:rsidR="0030715F" w:rsidRPr="00D01115">
        <w:t>e</w:t>
      </w:r>
      <w:r w:rsidRPr="00D01115">
        <w:t>ments</w:t>
      </w:r>
      <w:r w:rsidR="0030715F" w:rsidRPr="00D01115">
        <w:t xml:space="preserve"> that would become part of public networks of rumour</w:t>
      </w:r>
      <w:r w:rsidR="001B0DC5" w:rsidRPr="00D01115">
        <w:t xml:space="preserve"> – a function that the church courts wished to </w:t>
      </w:r>
      <w:r w:rsidR="00850754">
        <w:t>retain</w:t>
      </w:r>
      <w:r w:rsidR="00850754" w:rsidRPr="00D01115">
        <w:t xml:space="preserve"> </w:t>
      </w:r>
      <w:r w:rsidR="001B0DC5" w:rsidRPr="00D01115">
        <w:t>for themselves.</w:t>
      </w:r>
      <w:r w:rsidR="00DE5C95" w:rsidRPr="00D01115">
        <w:t xml:space="preserve"> </w:t>
      </w:r>
    </w:p>
    <w:p w14:paraId="3C05BE38" w14:textId="77777777" w:rsidR="00146385" w:rsidRPr="00D01115" w:rsidRDefault="00146385" w:rsidP="00146385"/>
    <w:p w14:paraId="435F2C6E" w14:textId="77777777" w:rsidR="00146385" w:rsidRPr="00D01115" w:rsidRDefault="00146385" w:rsidP="00146385">
      <w:r w:rsidRPr="00D01115">
        <w:t xml:space="preserve">A final case is the exception that proves the rule. In another Lincolnshire case, Thomas </w:t>
      </w:r>
      <w:proofErr w:type="spellStart"/>
      <w:r w:rsidRPr="00D01115">
        <w:t>Staynfeld</w:t>
      </w:r>
      <w:proofErr w:type="spellEnd"/>
      <w:r w:rsidRPr="00D01115">
        <w:t xml:space="preserve"> was cited for – and would later confess to – performing divinations and charms to find some stolen cloth for Richard Draper of </w:t>
      </w:r>
      <w:proofErr w:type="spellStart"/>
      <w:r w:rsidRPr="00D01115">
        <w:t>Hagworthingham</w:t>
      </w:r>
      <w:proofErr w:type="spellEnd"/>
      <w:r w:rsidRPr="00D01115">
        <w:t xml:space="preserve">. Unusually, </w:t>
      </w:r>
      <w:proofErr w:type="spellStart"/>
      <w:r w:rsidRPr="00D01115">
        <w:t>Staynfeld</w:t>
      </w:r>
      <w:proofErr w:type="spellEnd"/>
      <w:r w:rsidRPr="00D01115">
        <w:t xml:space="preserve"> had named a particular person, John </w:t>
      </w:r>
      <w:proofErr w:type="spellStart"/>
      <w:r w:rsidRPr="00D01115">
        <w:t>Ringoth</w:t>
      </w:r>
      <w:proofErr w:type="spellEnd"/>
      <w:r w:rsidRPr="00D01115">
        <w:t xml:space="preserve">, as the thief. However, he was soon proved dramatically wrong, as the real perpetrator, another man named Couper who lived in the Yorkshire town of Beverley, later admitted to Richard Draper that </w:t>
      </w:r>
      <w:r w:rsidRPr="00D01115">
        <w:rPr>
          <w:i/>
        </w:rPr>
        <w:t>he</w:t>
      </w:r>
      <w:r w:rsidRPr="00D01115">
        <w:t xml:space="preserve"> was the one who had actually taken away the goods.</w:t>
      </w:r>
      <w:r w:rsidRPr="00D01115">
        <w:rPr>
          <w:vertAlign w:val="superscript"/>
        </w:rPr>
        <w:footnoteReference w:id="63"/>
      </w:r>
      <w:r w:rsidRPr="00D01115">
        <w:t xml:space="preserve"> The case is strikingly detailed by the laconic standards of visitation records, and it seems that the court had taken a particular interest in </w:t>
      </w:r>
      <w:proofErr w:type="spellStart"/>
      <w:r w:rsidRPr="00D01115">
        <w:t>Staynfeld</w:t>
      </w:r>
      <w:proofErr w:type="spellEnd"/>
      <w:r w:rsidRPr="00D01115">
        <w:t xml:space="preserve">; not only was a very rare order made for his arrest and imprisonment ahead of his appearance before the judge, but he was also questioned about his specific practices, confessing that he had ‘exercised this craft according to rules in a certain book which he had from William </w:t>
      </w:r>
      <w:proofErr w:type="spellStart"/>
      <w:r w:rsidRPr="00D01115">
        <w:t>Tetteford</w:t>
      </w:r>
      <w:proofErr w:type="spellEnd"/>
      <w:r w:rsidRPr="00D01115">
        <w:t>, now deceased’.</w:t>
      </w:r>
      <w:r w:rsidRPr="00D01115">
        <w:rPr>
          <w:rStyle w:val="FootnoteReference"/>
        </w:rPr>
        <w:footnoteReference w:id="64"/>
      </w:r>
    </w:p>
    <w:p w14:paraId="353859BE" w14:textId="77777777" w:rsidR="00146385" w:rsidRPr="00D01115" w:rsidRDefault="00146385" w:rsidP="00146385"/>
    <w:p w14:paraId="4DD7A96F" w14:textId="7FC8321C" w:rsidR="00146385" w:rsidRPr="00D01115" w:rsidRDefault="00146385">
      <w:r w:rsidRPr="00D01115">
        <w:lastRenderedPageBreak/>
        <w:t xml:space="preserve">But it is also noteworthy for the very strong emphasis it places on the revelation of truth. According to the citation, </w:t>
      </w:r>
      <w:proofErr w:type="spellStart"/>
      <w:r w:rsidRPr="00D01115">
        <w:t>Staynfeld’s</w:t>
      </w:r>
      <w:proofErr w:type="spellEnd"/>
      <w:r w:rsidRPr="00D01115">
        <w:t xml:space="preserve"> </w:t>
      </w:r>
      <w:r w:rsidR="00850754">
        <w:t>crime</w:t>
      </w:r>
      <w:r w:rsidR="00850754" w:rsidRPr="00D01115">
        <w:t xml:space="preserve"> </w:t>
      </w:r>
      <w:r w:rsidRPr="00D01115">
        <w:t xml:space="preserve">lay in the superstitious offence of ‘practising soothsaying and incantations’, so it was legally irrelevant that </w:t>
      </w:r>
      <w:r w:rsidR="00850754">
        <w:t>he</w:t>
      </w:r>
      <w:r w:rsidR="00850754" w:rsidRPr="00D01115">
        <w:t xml:space="preserve"> </w:t>
      </w:r>
      <w:r w:rsidRPr="00D01115">
        <w:t xml:space="preserve">had identified the wrong man or that the thief had confessed. Yet the scribe wrote that the soothsayer was cited for ‘asserting that John </w:t>
      </w:r>
      <w:proofErr w:type="spellStart"/>
      <w:r w:rsidRPr="00D01115">
        <w:t>Ringoth</w:t>
      </w:r>
      <w:proofErr w:type="spellEnd"/>
      <w:r w:rsidRPr="00D01115">
        <w:t xml:space="preserve"> had stolen the cloth, </w:t>
      </w:r>
      <w:r w:rsidRPr="00D01115">
        <w:rPr>
          <w:i/>
        </w:rPr>
        <w:t>of which the contrary is true</w:t>
      </w:r>
      <w:r w:rsidRPr="00D01115">
        <w:t xml:space="preserve">’. This </w:t>
      </w:r>
      <w:r w:rsidR="00850754">
        <w:t xml:space="preserve">pointed </w:t>
      </w:r>
      <w:r w:rsidRPr="00D01115">
        <w:t xml:space="preserve">remark suggests </w:t>
      </w:r>
      <w:r w:rsidR="00850754">
        <w:t xml:space="preserve">that </w:t>
      </w:r>
      <w:proofErr w:type="spellStart"/>
      <w:r w:rsidRPr="00D01115">
        <w:t>Staynfield’s</w:t>
      </w:r>
      <w:proofErr w:type="spellEnd"/>
      <w:r w:rsidRPr="00D01115">
        <w:t xml:space="preserve"> </w:t>
      </w:r>
      <w:r w:rsidR="00850754">
        <w:t xml:space="preserve">offence was also </w:t>
      </w:r>
      <w:proofErr w:type="spellStart"/>
      <w:r w:rsidR="00850754">
        <w:t>conceieved</w:t>
      </w:r>
      <w:proofErr w:type="spellEnd"/>
      <w:r w:rsidR="00850754">
        <w:t xml:space="preserve"> in terms of the falseness of the allegations which he had supported. We might say that his </w:t>
      </w:r>
      <w:r w:rsidRPr="00D01115">
        <w:t>prosecution came about after he tried too hard to be certain</w:t>
      </w:r>
      <w:r w:rsidR="00850754">
        <w:t>; t</w:t>
      </w:r>
      <w:r w:rsidRPr="00D01115">
        <w:t xml:space="preserve">his was what made him a bad soothsayer, both from the perspective of his client, and indeed, that of the church courts. But it was precisely this kind of binary thinking, forcing a choice between truth and its ‘contrary’, that soothsayers – those of them who managed to stay out of the courts (and their records) – helped their clients to avoid. It is to this </w:t>
      </w:r>
      <w:r w:rsidR="00125DB8" w:rsidRPr="00D01115">
        <w:t>contrast</w:t>
      </w:r>
      <w:r w:rsidRPr="00D01115">
        <w:t xml:space="preserve">, between legal truth and magical truth, that we now turn. </w:t>
      </w:r>
    </w:p>
    <w:p w14:paraId="658BF83D" w14:textId="77777777" w:rsidR="0012257F" w:rsidRPr="00D01115" w:rsidRDefault="0012257F" w:rsidP="00AD3C7B">
      <w:pPr>
        <w:rPr>
          <w:b/>
          <w:bCs/>
        </w:rPr>
      </w:pPr>
    </w:p>
    <w:p w14:paraId="45BF3219" w14:textId="77777777" w:rsidR="00D971BF" w:rsidRPr="00D01115" w:rsidRDefault="001B0DC5" w:rsidP="0015010E">
      <w:pPr>
        <w:jc w:val="center"/>
        <w:rPr>
          <w:b/>
          <w:bCs/>
        </w:rPr>
      </w:pPr>
      <w:r w:rsidRPr="00D01115">
        <w:rPr>
          <w:b/>
          <w:bCs/>
        </w:rPr>
        <w:t>I</w:t>
      </w:r>
      <w:r w:rsidR="00552465" w:rsidRPr="00D01115">
        <w:rPr>
          <w:b/>
          <w:bCs/>
        </w:rPr>
        <w:t>II</w:t>
      </w:r>
    </w:p>
    <w:p w14:paraId="52F1BF2C" w14:textId="77777777" w:rsidR="0015010E" w:rsidRPr="00D01115" w:rsidRDefault="0015010E" w:rsidP="00433024"/>
    <w:p w14:paraId="1F3FEFE0" w14:textId="3E37564E" w:rsidR="00A767AB" w:rsidRPr="00D01115" w:rsidRDefault="00D3701B" w:rsidP="00166981">
      <w:r w:rsidRPr="00D01115">
        <w:t xml:space="preserve">In this final section, I would like to make explicit the comparison to which I have been alluding </w:t>
      </w:r>
      <w:r w:rsidR="005244EC" w:rsidRPr="00D01115">
        <w:t>throughout</w:t>
      </w:r>
      <w:r w:rsidRPr="00D01115">
        <w:t>, between soothsayers and law-courts</w:t>
      </w:r>
      <w:r w:rsidR="00B60205" w:rsidRPr="00D01115">
        <w:t xml:space="preserve">, </w:t>
      </w:r>
      <w:r w:rsidRPr="00D01115">
        <w:t>between magic and the law</w:t>
      </w:r>
      <w:r w:rsidR="00B60205" w:rsidRPr="00D01115">
        <w:t xml:space="preserve">, </w:t>
      </w:r>
      <w:r w:rsidRPr="00D01115">
        <w:t xml:space="preserve">as modes of creating and verifying truth in late-medieval England. </w:t>
      </w:r>
      <w:r w:rsidR="00165410" w:rsidRPr="00D01115">
        <w:t xml:space="preserve">In what follows, I </w:t>
      </w:r>
      <w:r w:rsidR="00B60205" w:rsidRPr="00D01115">
        <w:t>look at</w:t>
      </w:r>
      <w:r w:rsidR="00165410" w:rsidRPr="00D01115">
        <w:t xml:space="preserve"> </w:t>
      </w:r>
      <w:r w:rsidR="00325117" w:rsidRPr="00D01115">
        <w:t>three</w:t>
      </w:r>
      <w:r w:rsidR="00165410" w:rsidRPr="00D01115">
        <w:t xml:space="preserve"> </w:t>
      </w:r>
      <w:r w:rsidR="00B60205" w:rsidRPr="00D01115">
        <w:t>putative reasons that people might have been attracted to soothsay</w:t>
      </w:r>
      <w:r w:rsidR="00A40BDD" w:rsidRPr="00D01115">
        <w:t>ing</w:t>
      </w:r>
      <w:r w:rsidR="00850754">
        <w:t xml:space="preserve"> as an alternative to legal processes for the resolution of disputes</w:t>
      </w:r>
      <w:r w:rsidR="004A0305" w:rsidRPr="00D01115">
        <w:t xml:space="preserve">: first, </w:t>
      </w:r>
      <w:r w:rsidR="00A40BDD" w:rsidRPr="00D01115">
        <w:t xml:space="preserve">its status as a kind of </w:t>
      </w:r>
      <w:r w:rsidR="00165410" w:rsidRPr="00D01115">
        <w:t>craft</w:t>
      </w:r>
      <w:r w:rsidR="00A40BDD" w:rsidRPr="00D01115">
        <w:t xml:space="preserve"> knowledge</w:t>
      </w:r>
      <w:r w:rsidR="00B60205" w:rsidRPr="00D01115">
        <w:t xml:space="preserve">, </w:t>
      </w:r>
      <w:r w:rsidR="004A0305" w:rsidRPr="00D01115">
        <w:t xml:space="preserve">second, </w:t>
      </w:r>
      <w:r w:rsidR="00A40BDD" w:rsidRPr="00D01115">
        <w:t>its inclusive modes of truth production</w:t>
      </w:r>
      <w:r w:rsidR="00B60205" w:rsidRPr="00D01115">
        <w:t>,</w:t>
      </w:r>
      <w:r w:rsidR="00165410" w:rsidRPr="00D01115">
        <w:t xml:space="preserve"> and</w:t>
      </w:r>
      <w:r w:rsidR="004A0305" w:rsidRPr="00D01115">
        <w:t xml:space="preserve"> third,</w:t>
      </w:r>
      <w:r w:rsidR="00165410" w:rsidRPr="00D01115">
        <w:t xml:space="preserve"> </w:t>
      </w:r>
      <w:r w:rsidR="003311AE" w:rsidRPr="00D01115">
        <w:t>its tendency towards secrecy</w:t>
      </w:r>
      <w:r w:rsidR="004A0305" w:rsidRPr="00D01115">
        <w:t xml:space="preserve">, in each case contrasting these features with those of law-courts. </w:t>
      </w:r>
      <w:r w:rsidR="00325117" w:rsidRPr="00D01115">
        <w:t xml:space="preserve">I do not </w:t>
      </w:r>
      <w:r w:rsidR="00BE109A" w:rsidRPr="00D01115">
        <w:t>want</w:t>
      </w:r>
      <w:r w:rsidR="00325117" w:rsidRPr="00D01115">
        <w:t xml:space="preserve"> to </w:t>
      </w:r>
      <w:r w:rsidR="00BE109A" w:rsidRPr="00D01115">
        <w:t xml:space="preserve">imply, in laying out these </w:t>
      </w:r>
      <w:r w:rsidR="00B60205" w:rsidRPr="00D01115">
        <w:t>comparisons</w:t>
      </w:r>
      <w:r w:rsidR="00BE109A" w:rsidRPr="00D01115">
        <w:t xml:space="preserve">, that people were </w:t>
      </w:r>
      <w:r w:rsidR="00D33436">
        <w:t>always</w:t>
      </w:r>
      <w:r w:rsidR="00D33436" w:rsidRPr="00D01115">
        <w:t xml:space="preserve"> </w:t>
      </w:r>
      <w:r w:rsidR="008B1608" w:rsidRPr="00D01115">
        <w:t xml:space="preserve">‘forum-shopping’, </w:t>
      </w:r>
      <w:r w:rsidR="00D11485" w:rsidRPr="00D01115">
        <w:t xml:space="preserve">choosing </w:t>
      </w:r>
      <w:r w:rsidR="00A40BDD" w:rsidRPr="00D01115">
        <w:t xml:space="preserve">in a given instance </w:t>
      </w:r>
      <w:r w:rsidR="008B1608" w:rsidRPr="00D01115">
        <w:t xml:space="preserve">whether to go to </w:t>
      </w:r>
      <w:r w:rsidR="004A0305" w:rsidRPr="00D01115">
        <w:t xml:space="preserve">a </w:t>
      </w:r>
      <w:r w:rsidR="008B1608" w:rsidRPr="00D01115">
        <w:t xml:space="preserve">soothsayer or </w:t>
      </w:r>
      <w:r w:rsidR="004A0305" w:rsidRPr="00D01115">
        <w:t xml:space="preserve">to a </w:t>
      </w:r>
      <w:r w:rsidR="008B1608" w:rsidRPr="00D01115">
        <w:t>court.</w:t>
      </w:r>
      <w:r w:rsidR="00C744E2" w:rsidRPr="00D01115">
        <w:rPr>
          <w:rStyle w:val="FootnoteReference"/>
        </w:rPr>
        <w:footnoteReference w:id="65"/>
      </w:r>
      <w:r w:rsidR="00D33436">
        <w:t xml:space="preserve"> Clearly, the options were not mutually exclusive.</w:t>
      </w:r>
      <w:r w:rsidR="008B1608" w:rsidRPr="00D01115">
        <w:t xml:space="preserve"> Rather, I want to draw out the comparison between these methods of producing truth in order to </w:t>
      </w:r>
      <w:r w:rsidR="00882404" w:rsidRPr="00D01115">
        <w:t>help us to reframe</w:t>
      </w:r>
      <w:r w:rsidR="00C96199" w:rsidRPr="00D01115">
        <w:t xml:space="preserve"> </w:t>
      </w:r>
      <w:r w:rsidR="00DF47BB" w:rsidRPr="00D01115">
        <w:t xml:space="preserve">some </w:t>
      </w:r>
      <w:r w:rsidR="00166981" w:rsidRPr="00D01115">
        <w:t>significant aspects of late-medieval legal culture</w:t>
      </w:r>
      <w:r w:rsidR="00CF7EA3" w:rsidRPr="00D01115">
        <w:t>, in relation to authority, participation, and publicity</w:t>
      </w:r>
      <w:r w:rsidR="00166981" w:rsidRPr="00D01115">
        <w:t>.</w:t>
      </w:r>
    </w:p>
    <w:p w14:paraId="72E225A2" w14:textId="77777777" w:rsidR="00C744E2" w:rsidRPr="00D01115" w:rsidRDefault="00C744E2" w:rsidP="00166981"/>
    <w:p w14:paraId="68CAC012" w14:textId="60BE29C2" w:rsidR="00E16082" w:rsidRPr="00D01115" w:rsidRDefault="00C744E2" w:rsidP="001B0DC5">
      <w:r w:rsidRPr="00D01115">
        <w:t>T</w:t>
      </w:r>
      <w:r w:rsidR="00882D56" w:rsidRPr="00D01115">
        <w:t xml:space="preserve">o begin with, </w:t>
      </w:r>
      <w:r w:rsidR="0074532A" w:rsidRPr="00D01115">
        <w:t>it is clear that magic was considered a distinctive kind of skill</w:t>
      </w:r>
      <w:r w:rsidR="007A30AD" w:rsidRPr="00D01115">
        <w:t xml:space="preserve"> that gave </w:t>
      </w:r>
      <w:r w:rsidR="0018259C" w:rsidRPr="00D01115">
        <w:t xml:space="preserve">its </w:t>
      </w:r>
      <w:r w:rsidR="007A30AD" w:rsidRPr="00D01115">
        <w:t xml:space="preserve">practitioners </w:t>
      </w:r>
      <w:r w:rsidR="0018259C" w:rsidRPr="00D01115">
        <w:t>a</w:t>
      </w:r>
      <w:r w:rsidR="007A30AD" w:rsidRPr="00D01115">
        <w:t xml:space="preserve"> claim to authority</w:t>
      </w:r>
      <w:r w:rsidR="0074532A" w:rsidRPr="00D01115">
        <w:t xml:space="preserve">. The language of the church court records routinely refers to </w:t>
      </w:r>
      <w:r w:rsidR="00D33436">
        <w:t>magic</w:t>
      </w:r>
      <w:r w:rsidR="00D33436" w:rsidRPr="00D01115">
        <w:t xml:space="preserve"> </w:t>
      </w:r>
      <w:r w:rsidR="0074532A" w:rsidRPr="00D01115">
        <w:t xml:space="preserve">as an </w:t>
      </w:r>
      <w:proofErr w:type="spellStart"/>
      <w:r w:rsidR="0074532A" w:rsidRPr="00D01115">
        <w:rPr>
          <w:i/>
          <w:iCs/>
        </w:rPr>
        <w:t>ars</w:t>
      </w:r>
      <w:proofErr w:type="spellEnd"/>
      <w:r w:rsidR="0074532A" w:rsidRPr="00D01115">
        <w:t>, and this seems to correspond with the contemporary English word ‘craft’</w:t>
      </w:r>
      <w:r w:rsidR="001A05AB" w:rsidRPr="00D01115">
        <w:t xml:space="preserve"> or perhaps ‘cunning’</w:t>
      </w:r>
      <w:r w:rsidR="0074532A" w:rsidRPr="00D01115">
        <w:t xml:space="preserve">; a vernacular petition from the late 1460s refers to a divination </w:t>
      </w:r>
      <w:r w:rsidR="00B76563" w:rsidRPr="00D01115">
        <w:t>done with</w:t>
      </w:r>
      <w:r w:rsidR="0074532A" w:rsidRPr="00D01115">
        <w:t xml:space="preserve"> a mirror as the ‘</w:t>
      </w:r>
      <w:proofErr w:type="spellStart"/>
      <w:r w:rsidR="0074532A" w:rsidRPr="00D01115">
        <w:t>crafte</w:t>
      </w:r>
      <w:proofErr w:type="spellEnd"/>
      <w:r w:rsidR="0074532A" w:rsidRPr="00D01115">
        <w:t xml:space="preserve"> of </w:t>
      </w:r>
      <w:proofErr w:type="spellStart"/>
      <w:r w:rsidR="0074532A" w:rsidRPr="00D01115">
        <w:t>nigromoncie</w:t>
      </w:r>
      <w:proofErr w:type="spellEnd"/>
      <w:r w:rsidR="0074532A" w:rsidRPr="00D01115">
        <w:t xml:space="preserve">’, </w:t>
      </w:r>
      <w:r w:rsidR="00B76563" w:rsidRPr="00D01115">
        <w:t>while</w:t>
      </w:r>
      <w:r w:rsidR="0074532A" w:rsidRPr="00D01115">
        <w:t xml:space="preserve"> a case before the London church courts a few years later described fortune-telling as ‘</w:t>
      </w:r>
      <w:proofErr w:type="spellStart"/>
      <w:r w:rsidR="0074532A" w:rsidRPr="00D01115">
        <w:rPr>
          <w:i/>
        </w:rPr>
        <w:t>arte</w:t>
      </w:r>
      <w:proofErr w:type="spellEnd"/>
      <w:r w:rsidR="0074532A" w:rsidRPr="00D01115">
        <w:rPr>
          <w:i/>
        </w:rPr>
        <w:t xml:space="preserve"> </w:t>
      </w:r>
      <w:proofErr w:type="spellStart"/>
      <w:r w:rsidR="0074532A" w:rsidRPr="00D01115">
        <w:rPr>
          <w:i/>
        </w:rPr>
        <w:t>magica</w:t>
      </w:r>
      <w:proofErr w:type="spellEnd"/>
      <w:r w:rsidR="0074532A" w:rsidRPr="00D01115">
        <w:t xml:space="preserve">, viz. </w:t>
      </w:r>
      <w:proofErr w:type="spellStart"/>
      <w:r w:rsidR="0074532A" w:rsidRPr="00F35B6A">
        <w:rPr>
          <w:i/>
          <w:iCs/>
        </w:rPr>
        <w:t>wichcraft</w:t>
      </w:r>
      <w:proofErr w:type="spellEnd"/>
      <w:r w:rsidR="0074532A" w:rsidRPr="00D33436">
        <w:t>’</w:t>
      </w:r>
      <w:r w:rsidR="0074532A" w:rsidRPr="00D01115">
        <w:t>.</w:t>
      </w:r>
      <w:r w:rsidR="0074532A" w:rsidRPr="00D01115">
        <w:rPr>
          <w:vertAlign w:val="superscript"/>
        </w:rPr>
        <w:footnoteReference w:id="66"/>
      </w:r>
      <w:r w:rsidR="0074532A" w:rsidRPr="00D01115">
        <w:t xml:space="preserve"> </w:t>
      </w:r>
      <w:r w:rsidR="001A05AB" w:rsidRPr="00D01115">
        <w:t>L</w:t>
      </w:r>
      <w:r w:rsidR="000E63E2" w:rsidRPr="00D01115">
        <w:t xml:space="preserve">ike other crafts, </w:t>
      </w:r>
      <w:r w:rsidR="001A05AB" w:rsidRPr="00D01115">
        <w:t xml:space="preserve">it was understood as a skill, learnt from personal instruction or </w:t>
      </w:r>
      <w:r w:rsidR="00CD43C6" w:rsidRPr="00D01115">
        <w:t>sometimes</w:t>
      </w:r>
      <w:r w:rsidR="001A05AB" w:rsidRPr="00D01115">
        <w:t xml:space="preserve"> from books.</w:t>
      </w:r>
      <w:r w:rsidR="001A05AB" w:rsidRPr="00D01115">
        <w:rPr>
          <w:rStyle w:val="FootnoteReference"/>
        </w:rPr>
        <w:footnoteReference w:id="67"/>
      </w:r>
      <w:r w:rsidR="001A05AB" w:rsidRPr="00D01115">
        <w:t xml:space="preserve"> </w:t>
      </w:r>
      <w:r w:rsidR="00E7641B" w:rsidRPr="00D01115">
        <w:t xml:space="preserve">It was even acknowledged in the case against </w:t>
      </w:r>
      <w:r w:rsidR="00CD43C6" w:rsidRPr="00D01115">
        <w:t xml:space="preserve">Thomas </w:t>
      </w:r>
      <w:proofErr w:type="spellStart"/>
      <w:r w:rsidR="00CD43C6" w:rsidRPr="00D01115">
        <w:t>Pelson</w:t>
      </w:r>
      <w:proofErr w:type="spellEnd"/>
      <w:r w:rsidR="00CD43C6" w:rsidRPr="00D01115">
        <w:t xml:space="preserve">, just above, </w:t>
      </w:r>
      <w:r w:rsidR="00E7641B" w:rsidRPr="00D01115">
        <w:t xml:space="preserve">that ‘he is said to be very learned in such </w:t>
      </w:r>
      <w:proofErr w:type="gramStart"/>
      <w:r w:rsidR="00E7641B" w:rsidRPr="00D01115">
        <w:t>craft</w:t>
      </w:r>
      <w:r w:rsidR="00F26438" w:rsidRPr="00D01115">
        <w:t>s</w:t>
      </w:r>
      <w:r w:rsidR="00E7641B" w:rsidRPr="00D01115">
        <w:t>’</w:t>
      </w:r>
      <w:proofErr w:type="gramEnd"/>
      <w:r w:rsidR="00E7641B" w:rsidRPr="00D01115">
        <w:t xml:space="preserve">. </w:t>
      </w:r>
      <w:r w:rsidR="001A05AB" w:rsidRPr="00D01115">
        <w:t>And indeed, w</w:t>
      </w:r>
      <w:r w:rsidR="00706A9C" w:rsidRPr="00D01115">
        <w:t xml:space="preserve">hat we know of </w:t>
      </w:r>
      <w:r w:rsidR="00E16082" w:rsidRPr="00D01115">
        <w:t xml:space="preserve">the </w:t>
      </w:r>
      <w:r w:rsidR="00A64845" w:rsidRPr="00D01115">
        <w:t>practices</w:t>
      </w:r>
      <w:r w:rsidR="001A05AB" w:rsidRPr="00D01115">
        <w:t xml:space="preserve"> </w:t>
      </w:r>
      <w:r w:rsidR="00A64845" w:rsidRPr="00D01115">
        <w:t xml:space="preserve">themselves </w:t>
      </w:r>
      <w:r w:rsidR="00E16082" w:rsidRPr="00D01115">
        <w:t xml:space="preserve">suggests </w:t>
      </w:r>
      <w:r w:rsidR="001A05AB" w:rsidRPr="00D01115">
        <w:t xml:space="preserve">that </w:t>
      </w:r>
      <w:r w:rsidR="00A64845" w:rsidRPr="00D01115">
        <w:t>they</w:t>
      </w:r>
      <w:r w:rsidR="001A05AB" w:rsidRPr="00D01115">
        <w:t xml:space="preserve"> </w:t>
      </w:r>
      <w:r w:rsidR="00F111F8" w:rsidRPr="00D01115">
        <w:t>often i</w:t>
      </w:r>
      <w:r w:rsidR="00E16082" w:rsidRPr="00D01115">
        <w:t xml:space="preserve">nvolved props and </w:t>
      </w:r>
      <w:r w:rsidR="00F111F8" w:rsidRPr="00D01115">
        <w:t>gestures</w:t>
      </w:r>
      <w:r w:rsidR="00254847" w:rsidRPr="00D01115">
        <w:t xml:space="preserve"> that </w:t>
      </w:r>
      <w:r w:rsidR="009730C6" w:rsidRPr="00D01115">
        <w:t>centred the</w:t>
      </w:r>
      <w:r w:rsidR="001B0DC5" w:rsidRPr="00D01115">
        <w:t xml:space="preserve"> soothsayer</w:t>
      </w:r>
      <w:r w:rsidR="006520E6" w:rsidRPr="00D01115">
        <w:t xml:space="preserve">, who </w:t>
      </w:r>
      <w:r w:rsidR="001B0DC5" w:rsidRPr="00D01115">
        <w:t xml:space="preserve">looked into crystals, put keys into books, summoned spirits which only they could see, or said </w:t>
      </w:r>
      <w:r w:rsidR="00F111F8" w:rsidRPr="00D01115">
        <w:t xml:space="preserve">special </w:t>
      </w:r>
      <w:r w:rsidR="001B0DC5" w:rsidRPr="00D01115">
        <w:t>charms and incantations.</w:t>
      </w:r>
      <w:r w:rsidR="001B0DC5" w:rsidRPr="00D01115">
        <w:rPr>
          <w:vertAlign w:val="superscript"/>
        </w:rPr>
        <w:footnoteReference w:id="68"/>
      </w:r>
      <w:r w:rsidR="00557CF7" w:rsidRPr="00D01115">
        <w:t xml:space="preserve"> </w:t>
      </w:r>
      <w:r w:rsidR="00E476A8" w:rsidRPr="00D01115">
        <w:t xml:space="preserve">Their authority to divine, to speak sooth, came from these </w:t>
      </w:r>
      <w:r w:rsidR="006C3CDC">
        <w:t xml:space="preserve">craft </w:t>
      </w:r>
      <w:r w:rsidR="00E476A8" w:rsidRPr="00D01115">
        <w:t>performances.</w:t>
      </w:r>
    </w:p>
    <w:p w14:paraId="45375512" w14:textId="77777777" w:rsidR="002D6150" w:rsidRPr="00D01115" w:rsidRDefault="002D6150"/>
    <w:p w14:paraId="76C767E8" w14:textId="12751277" w:rsidR="00936048" w:rsidRPr="00D01115" w:rsidRDefault="000E2583" w:rsidP="00E9448D">
      <w:r w:rsidRPr="00D01115">
        <w:t xml:space="preserve">If it is difficult </w:t>
      </w:r>
      <w:r w:rsidR="00CE3B15" w:rsidRPr="00D01115">
        <w:t>for us to understand</w:t>
      </w:r>
      <w:r w:rsidRPr="00D01115">
        <w:t xml:space="preserve"> how this hocus-pocus seems could </w:t>
      </w:r>
      <w:r w:rsidR="00557CF7" w:rsidRPr="00D01115">
        <w:t>produce</w:t>
      </w:r>
      <w:r w:rsidRPr="00D01115">
        <w:t xml:space="preserve"> credible</w:t>
      </w:r>
      <w:r w:rsidR="00557CF7" w:rsidRPr="00D01115">
        <w:t xml:space="preserve"> truth, it is worth considering the </w:t>
      </w:r>
      <w:r w:rsidR="00604A7A" w:rsidRPr="00D01115">
        <w:t>options</w:t>
      </w:r>
      <w:r w:rsidR="00AF6272" w:rsidRPr="00D01115">
        <w:t xml:space="preserve"> open to </w:t>
      </w:r>
      <w:r w:rsidR="00F532CD" w:rsidRPr="00D01115">
        <w:t xml:space="preserve">laypeople who wished to </w:t>
      </w:r>
      <w:r w:rsidR="00663C13" w:rsidRPr="00D01115">
        <w:t xml:space="preserve">find out the truth </w:t>
      </w:r>
      <w:r w:rsidR="00604A7A" w:rsidRPr="00D01115">
        <w:t xml:space="preserve">through </w:t>
      </w:r>
      <w:r w:rsidR="00604A7A" w:rsidRPr="00D01115">
        <w:lastRenderedPageBreak/>
        <w:t>legal process</w:t>
      </w:r>
      <w:r w:rsidR="00557CF7" w:rsidRPr="00D01115">
        <w:t xml:space="preserve">. </w:t>
      </w:r>
      <w:r w:rsidR="002F41D0" w:rsidRPr="00D01115">
        <w:t xml:space="preserve">Local law-courts in this period were </w:t>
      </w:r>
      <w:r w:rsidR="00CE339B" w:rsidRPr="00D01115">
        <w:t xml:space="preserve">overseen by </w:t>
      </w:r>
      <w:r w:rsidR="005F2B02" w:rsidRPr="00D01115">
        <w:t xml:space="preserve">juries of </w:t>
      </w:r>
      <w:r w:rsidR="00357AB1" w:rsidRPr="00D01115">
        <w:t xml:space="preserve">local </w:t>
      </w:r>
      <w:r w:rsidR="005F2B02" w:rsidRPr="00D01115">
        <w:t xml:space="preserve">‘trustworthy men’, who </w:t>
      </w:r>
      <w:r w:rsidR="00357AB1" w:rsidRPr="00D01115">
        <w:t>made presentments</w:t>
      </w:r>
      <w:r w:rsidR="00564041" w:rsidRPr="00D01115">
        <w:t xml:space="preserve"> of fact</w:t>
      </w:r>
      <w:r w:rsidR="00357AB1" w:rsidRPr="00D01115">
        <w:t xml:space="preserve"> to secular </w:t>
      </w:r>
      <w:r w:rsidR="00C52CFD" w:rsidRPr="00D01115">
        <w:t>tribunals</w:t>
      </w:r>
      <w:r w:rsidR="00C06BD7" w:rsidRPr="00D01115">
        <w:t xml:space="preserve">, </w:t>
      </w:r>
      <w:r w:rsidR="00564041" w:rsidRPr="00D01115">
        <w:t xml:space="preserve">reported </w:t>
      </w:r>
      <w:proofErr w:type="spellStart"/>
      <w:r w:rsidR="00564041" w:rsidRPr="00D01115">
        <w:rPr>
          <w:i/>
          <w:iCs/>
        </w:rPr>
        <w:t>fama</w:t>
      </w:r>
      <w:proofErr w:type="spellEnd"/>
      <w:r w:rsidR="00564041" w:rsidRPr="00D01115">
        <w:t xml:space="preserve"> to church courts</w:t>
      </w:r>
      <w:r w:rsidR="00C06BD7" w:rsidRPr="00D01115">
        <w:t xml:space="preserve">, and set monetary fines and </w:t>
      </w:r>
      <w:r w:rsidR="0009643C">
        <w:t xml:space="preserve">put together </w:t>
      </w:r>
      <w:r w:rsidR="00C06BD7" w:rsidRPr="00D01115">
        <w:t>local bylaws</w:t>
      </w:r>
      <w:r w:rsidR="000B0BB0" w:rsidRPr="00D01115">
        <w:t>.</w:t>
      </w:r>
      <w:r w:rsidR="000B0BB0" w:rsidRPr="00D01115">
        <w:rPr>
          <w:rStyle w:val="FootnoteReference"/>
        </w:rPr>
        <w:footnoteReference w:id="69"/>
      </w:r>
      <w:r w:rsidR="000B0BB0" w:rsidRPr="00D01115">
        <w:t xml:space="preserve"> They </w:t>
      </w:r>
      <w:r w:rsidR="00EB3860" w:rsidRPr="00D01115">
        <w:t>tended to be wealth</w:t>
      </w:r>
      <w:r w:rsidR="000B0BB0" w:rsidRPr="00D01115">
        <w:t>ier than their neighbours</w:t>
      </w:r>
      <w:r w:rsidR="00EB3860" w:rsidRPr="00D01115">
        <w:t xml:space="preserve">, and </w:t>
      </w:r>
      <w:r w:rsidR="0009643C">
        <w:t>in some places</w:t>
      </w:r>
      <w:r w:rsidR="0009643C" w:rsidRPr="00D01115">
        <w:t xml:space="preserve"> </w:t>
      </w:r>
      <w:r w:rsidR="00EB3860" w:rsidRPr="00D01115">
        <w:t xml:space="preserve">exercised a monopoly over such </w:t>
      </w:r>
      <w:r w:rsidR="00216107" w:rsidRPr="00D01115">
        <w:t>posts</w:t>
      </w:r>
      <w:r w:rsidR="000B0BB0" w:rsidRPr="00D01115">
        <w:t xml:space="preserve">, </w:t>
      </w:r>
      <w:r w:rsidR="00216107" w:rsidRPr="00D01115">
        <w:t>fulfilling multiple offices of local governance</w:t>
      </w:r>
      <w:r w:rsidR="0009643C">
        <w:t xml:space="preserve"> at once</w:t>
      </w:r>
      <w:r w:rsidR="00564041" w:rsidRPr="00D01115">
        <w:t>.</w:t>
      </w:r>
      <w:r w:rsidR="00564041" w:rsidRPr="00D01115">
        <w:rPr>
          <w:rStyle w:val="FootnoteReference"/>
        </w:rPr>
        <w:footnoteReference w:id="70"/>
      </w:r>
      <w:r w:rsidR="00564041" w:rsidRPr="00D01115">
        <w:t xml:space="preserve"> </w:t>
      </w:r>
      <w:r w:rsidR="00CC7607" w:rsidRPr="00D01115">
        <w:rPr>
          <w:lang w:val="en-US"/>
        </w:rPr>
        <w:t xml:space="preserve">When people wished to report crime, it was on these men whom they had to depend for their case to go forward to the courts, and for it to receive a </w:t>
      </w:r>
      <w:proofErr w:type="spellStart"/>
      <w:r w:rsidR="00CC7607" w:rsidRPr="00D01115">
        <w:rPr>
          <w:lang w:val="en-US"/>
        </w:rPr>
        <w:t>favourable</w:t>
      </w:r>
      <w:proofErr w:type="spellEnd"/>
      <w:r w:rsidR="00CC7607" w:rsidRPr="00D01115">
        <w:rPr>
          <w:lang w:val="en-US"/>
        </w:rPr>
        <w:t xml:space="preserve"> hearing there</w:t>
      </w:r>
      <w:r w:rsidR="00C06BD7" w:rsidRPr="00D01115">
        <w:rPr>
          <w:lang w:val="en-US"/>
        </w:rPr>
        <w:t xml:space="preserve">. </w:t>
      </w:r>
      <w:r w:rsidR="00936048" w:rsidRPr="00D01115">
        <w:rPr>
          <w:lang w:val="en-US"/>
        </w:rPr>
        <w:t>A</w:t>
      </w:r>
      <w:r w:rsidR="00E9448D" w:rsidRPr="00D01115">
        <w:t xml:space="preserve">s Ian Forrest has </w:t>
      </w:r>
      <w:r w:rsidR="00C25D6C" w:rsidRPr="00D01115">
        <w:t>suggested</w:t>
      </w:r>
      <w:r w:rsidR="00E9448D" w:rsidRPr="00D01115">
        <w:t xml:space="preserve">, </w:t>
      </w:r>
      <w:r w:rsidR="00427DCE" w:rsidRPr="00D01115">
        <w:t>the appointment of such officers</w:t>
      </w:r>
      <w:r w:rsidR="00936048" w:rsidRPr="00D01115">
        <w:t xml:space="preserve"> ‘</w:t>
      </w:r>
      <w:r w:rsidR="00427DCE" w:rsidRPr="00D01115">
        <w:t>contributed to local elite formation and the hardening of social inequalities’</w:t>
      </w:r>
      <w:r w:rsidR="00936048" w:rsidRPr="00D01115">
        <w:t xml:space="preserve">; on the ground, </w:t>
      </w:r>
      <w:r w:rsidR="00427DCE" w:rsidRPr="00D01115">
        <w:t>such men</w:t>
      </w:r>
      <w:r w:rsidR="00936048" w:rsidRPr="00D01115">
        <w:t xml:space="preserve"> would have been difficult to argue with or criticize.</w:t>
      </w:r>
      <w:r w:rsidR="00936048" w:rsidRPr="00D01115">
        <w:rPr>
          <w:rStyle w:val="FootnoteReference"/>
        </w:rPr>
        <w:footnoteReference w:id="71"/>
      </w:r>
    </w:p>
    <w:p w14:paraId="5AEA1D59" w14:textId="77777777" w:rsidR="008111E6" w:rsidRPr="00D01115" w:rsidRDefault="00BB0F33" w:rsidP="00BB0F33">
      <w:pPr>
        <w:tabs>
          <w:tab w:val="left" w:pos="8064"/>
        </w:tabs>
        <w:rPr>
          <w:lang w:val="en-US"/>
        </w:rPr>
      </w:pPr>
      <w:r w:rsidRPr="00D01115">
        <w:rPr>
          <w:lang w:val="en-US"/>
        </w:rPr>
        <w:tab/>
      </w:r>
    </w:p>
    <w:p w14:paraId="6274D917" w14:textId="77D85CD7" w:rsidR="009922B6" w:rsidRPr="00D01115" w:rsidRDefault="00CC7607" w:rsidP="00BB0F33">
      <w:r w:rsidRPr="00D01115">
        <w:rPr>
          <w:lang w:val="en-US"/>
        </w:rPr>
        <w:t xml:space="preserve">Whereas the authority of soothsayers </w:t>
      </w:r>
      <w:r w:rsidR="007A4784" w:rsidRPr="00D01115">
        <w:rPr>
          <w:lang w:val="en-US"/>
        </w:rPr>
        <w:t xml:space="preserve">to produce truth </w:t>
      </w:r>
      <w:r w:rsidRPr="00D01115">
        <w:rPr>
          <w:lang w:val="en-US"/>
        </w:rPr>
        <w:t>came from their craft, then, th</w:t>
      </w:r>
      <w:r w:rsidR="00BB0F33" w:rsidRPr="00D01115">
        <w:rPr>
          <w:lang w:val="en-US"/>
        </w:rPr>
        <w:t>at</w:t>
      </w:r>
      <w:r w:rsidRPr="00D01115">
        <w:rPr>
          <w:lang w:val="en-US"/>
        </w:rPr>
        <w:t xml:space="preserve"> of trustworthy men </w:t>
      </w:r>
      <w:r w:rsidR="007A4784" w:rsidRPr="00D01115">
        <w:rPr>
          <w:lang w:val="en-US"/>
        </w:rPr>
        <w:t>came from their status</w:t>
      </w:r>
      <w:r w:rsidR="00861028" w:rsidRPr="00D01115">
        <w:rPr>
          <w:lang w:val="en-US"/>
        </w:rPr>
        <w:t>; w</w:t>
      </w:r>
      <w:r w:rsidR="00216107" w:rsidRPr="00D01115">
        <w:rPr>
          <w:lang w:val="en-US"/>
        </w:rPr>
        <w:t xml:space="preserve">hile </w:t>
      </w:r>
      <w:r w:rsidR="00861028" w:rsidRPr="00D01115">
        <w:rPr>
          <w:lang w:val="en-US"/>
        </w:rPr>
        <w:t xml:space="preserve">the former was </w:t>
      </w:r>
      <w:r w:rsidR="00216107" w:rsidRPr="00D01115">
        <w:rPr>
          <w:lang w:val="en-US"/>
        </w:rPr>
        <w:t>performed in discrete rituals, the latter was naturalized in everyday life, obvious in their superior clothing, houses, things.</w:t>
      </w:r>
      <w:r w:rsidR="00216107" w:rsidRPr="00D01115">
        <w:rPr>
          <w:rStyle w:val="FootnoteReference"/>
          <w:lang w:val="en-US"/>
        </w:rPr>
        <w:footnoteReference w:id="72"/>
      </w:r>
      <w:r w:rsidR="00216107" w:rsidRPr="00D01115">
        <w:rPr>
          <w:lang w:val="en-US"/>
        </w:rPr>
        <w:t xml:space="preserve"> This </w:t>
      </w:r>
      <w:r w:rsidR="00333F9A" w:rsidRPr="00D01115">
        <w:rPr>
          <w:lang w:val="en-US"/>
        </w:rPr>
        <w:t xml:space="preserve">difference </w:t>
      </w:r>
      <w:r w:rsidR="00216107" w:rsidRPr="00D01115">
        <w:rPr>
          <w:lang w:val="en-US"/>
        </w:rPr>
        <w:t>is significant</w:t>
      </w:r>
      <w:r w:rsidR="00861028" w:rsidRPr="00D01115">
        <w:rPr>
          <w:lang w:val="en-US"/>
        </w:rPr>
        <w:t xml:space="preserve"> </w:t>
      </w:r>
      <w:r w:rsidR="00FF55CF" w:rsidRPr="00D01115">
        <w:rPr>
          <w:lang w:val="en-US"/>
        </w:rPr>
        <w:t xml:space="preserve">because </w:t>
      </w:r>
      <w:r w:rsidR="00861028" w:rsidRPr="00D01115">
        <w:rPr>
          <w:lang w:val="en-US"/>
        </w:rPr>
        <w:t xml:space="preserve">it helps </w:t>
      </w:r>
      <w:r w:rsidR="0057241D" w:rsidRPr="00D01115">
        <w:rPr>
          <w:lang w:val="en-US"/>
        </w:rPr>
        <w:t xml:space="preserve">to explain why so much energy was </w:t>
      </w:r>
      <w:r w:rsidR="00E74133" w:rsidRPr="00D01115">
        <w:rPr>
          <w:lang w:val="en-US"/>
        </w:rPr>
        <w:t>invested in justifying</w:t>
      </w:r>
      <w:r w:rsidR="0057241D" w:rsidRPr="00D01115">
        <w:rPr>
          <w:lang w:val="en-US"/>
        </w:rPr>
        <w:t xml:space="preserve"> </w:t>
      </w:r>
      <w:r w:rsidR="004F5CA0" w:rsidRPr="00D01115">
        <w:rPr>
          <w:lang w:val="en-US"/>
        </w:rPr>
        <w:t xml:space="preserve">the </w:t>
      </w:r>
      <w:r w:rsidR="008553B4" w:rsidRPr="00D01115">
        <w:rPr>
          <w:lang w:val="en-US"/>
        </w:rPr>
        <w:t>‘craft’ of</w:t>
      </w:r>
      <w:r w:rsidR="009922B6" w:rsidRPr="00D01115">
        <w:rPr>
          <w:lang w:val="en-US"/>
        </w:rPr>
        <w:t xml:space="preserve"> trustworthy men</w:t>
      </w:r>
      <w:r w:rsidR="008553B4" w:rsidRPr="00D01115">
        <w:rPr>
          <w:lang w:val="en-US"/>
        </w:rPr>
        <w:t xml:space="preserve">. Jurors </w:t>
      </w:r>
      <w:r w:rsidR="009922B6" w:rsidRPr="00D01115">
        <w:rPr>
          <w:lang w:val="en-US"/>
        </w:rPr>
        <w:t>were charged to ‘</w:t>
      </w:r>
      <w:proofErr w:type="spellStart"/>
      <w:r w:rsidR="009922B6" w:rsidRPr="00D01115">
        <w:rPr>
          <w:lang w:val="en-US"/>
        </w:rPr>
        <w:t>treuli</w:t>
      </w:r>
      <w:proofErr w:type="spellEnd"/>
      <w:r w:rsidR="009922B6" w:rsidRPr="00D01115">
        <w:rPr>
          <w:lang w:val="en-US"/>
        </w:rPr>
        <w:t xml:space="preserve"> </w:t>
      </w:r>
      <w:proofErr w:type="spellStart"/>
      <w:r w:rsidR="009922B6" w:rsidRPr="00D01115">
        <w:rPr>
          <w:lang w:val="en-US"/>
        </w:rPr>
        <w:t>enqueren</w:t>
      </w:r>
      <w:proofErr w:type="spellEnd"/>
      <w:r w:rsidR="009922B6" w:rsidRPr="00D01115">
        <w:rPr>
          <w:lang w:val="en-US"/>
        </w:rPr>
        <w:t xml:space="preserve"> &amp; </w:t>
      </w:r>
      <w:proofErr w:type="spellStart"/>
      <w:r w:rsidR="009922B6" w:rsidRPr="00D01115">
        <w:rPr>
          <w:lang w:val="en-US"/>
        </w:rPr>
        <w:t>treuli</w:t>
      </w:r>
      <w:proofErr w:type="spellEnd"/>
      <w:r w:rsidR="009922B6" w:rsidRPr="00D01115">
        <w:rPr>
          <w:lang w:val="en-US"/>
        </w:rPr>
        <w:t xml:space="preserve"> </w:t>
      </w:r>
      <w:proofErr w:type="spellStart"/>
      <w:r w:rsidR="009922B6" w:rsidRPr="00D01115">
        <w:rPr>
          <w:lang w:val="en-US"/>
        </w:rPr>
        <w:t>presenten</w:t>
      </w:r>
      <w:proofErr w:type="spellEnd"/>
      <w:r w:rsidR="009922B6" w:rsidRPr="00D01115">
        <w:rPr>
          <w:lang w:val="en-US"/>
        </w:rPr>
        <w:t>’</w:t>
      </w:r>
      <w:r w:rsidR="008553B4" w:rsidRPr="00D01115">
        <w:rPr>
          <w:lang w:val="en-US"/>
        </w:rPr>
        <w:t xml:space="preserve">; </w:t>
      </w:r>
      <w:r w:rsidR="00925EA7" w:rsidRPr="00D01115">
        <w:rPr>
          <w:lang w:val="en-US"/>
        </w:rPr>
        <w:t>they</w:t>
      </w:r>
      <w:r w:rsidR="0009643C">
        <w:rPr>
          <w:lang w:val="en-US"/>
        </w:rPr>
        <w:t xml:space="preserve"> were supposed to</w:t>
      </w:r>
      <w:r w:rsidR="00925EA7" w:rsidRPr="00D01115">
        <w:rPr>
          <w:lang w:val="en-US"/>
        </w:rPr>
        <w:t xml:space="preserve"> </w:t>
      </w:r>
      <w:r w:rsidR="00E74133" w:rsidRPr="00D01115">
        <w:rPr>
          <w:lang w:val="en-US"/>
        </w:rPr>
        <w:t>g</w:t>
      </w:r>
      <w:r w:rsidR="0009643C">
        <w:rPr>
          <w:lang w:val="en-US"/>
        </w:rPr>
        <w:t>i</w:t>
      </w:r>
      <w:r w:rsidR="00E74133" w:rsidRPr="00D01115">
        <w:rPr>
          <w:lang w:val="en-US"/>
        </w:rPr>
        <w:t xml:space="preserve">ve verdicts </w:t>
      </w:r>
      <w:r w:rsidR="00F04E28" w:rsidRPr="00D01115">
        <w:rPr>
          <w:lang w:val="en-US"/>
        </w:rPr>
        <w:t xml:space="preserve">not to advantage themselves but </w:t>
      </w:r>
      <w:r w:rsidR="00F04E28" w:rsidRPr="00D01115">
        <w:t>‘because it is pious and meritorious to present true testimony for all’</w:t>
      </w:r>
      <w:r w:rsidR="00FF55CF" w:rsidRPr="00D01115">
        <w:rPr>
          <w:lang w:val="en-US"/>
        </w:rPr>
        <w:t xml:space="preserve">; and above all, they were said to have special </w:t>
      </w:r>
      <w:r w:rsidR="00652077" w:rsidRPr="00D01115">
        <w:rPr>
          <w:lang w:val="en-US"/>
        </w:rPr>
        <w:t xml:space="preserve">local </w:t>
      </w:r>
      <w:r w:rsidR="00FF55CF" w:rsidRPr="00D01115">
        <w:rPr>
          <w:lang w:val="en-US"/>
        </w:rPr>
        <w:t>knowledge of the matters about which they presented</w:t>
      </w:r>
      <w:r w:rsidR="00F04E28" w:rsidRPr="00D01115">
        <w:t>.</w:t>
      </w:r>
      <w:r w:rsidR="00F04E28" w:rsidRPr="00D01115">
        <w:rPr>
          <w:rStyle w:val="FootnoteReference"/>
          <w:lang w:val="en-US"/>
        </w:rPr>
        <w:footnoteReference w:id="73"/>
      </w:r>
      <w:r w:rsidR="00F04E28" w:rsidRPr="00D01115">
        <w:t xml:space="preserve"> Such sentiments have largely been </w:t>
      </w:r>
      <w:r w:rsidR="00FF55CF" w:rsidRPr="00D01115">
        <w:t>accepted by</w:t>
      </w:r>
      <w:r w:rsidR="007A508D" w:rsidRPr="00D01115">
        <w:t xml:space="preserve"> legal</w:t>
      </w:r>
      <w:r w:rsidR="00FF55CF" w:rsidRPr="00D01115">
        <w:t xml:space="preserve"> historians</w:t>
      </w:r>
      <w:r w:rsidR="009048F7" w:rsidRPr="00D01115">
        <w:t xml:space="preserve"> at face value</w:t>
      </w:r>
      <w:r w:rsidR="00BC79AB" w:rsidRPr="00D01115">
        <w:t>.</w:t>
      </w:r>
      <w:r w:rsidR="009922B6" w:rsidRPr="00D01115">
        <w:rPr>
          <w:rStyle w:val="FootnoteReference"/>
          <w:color w:val="000000"/>
        </w:rPr>
        <w:footnoteReference w:id="74"/>
      </w:r>
      <w:r w:rsidR="00540623" w:rsidRPr="00D01115">
        <w:t xml:space="preserve"> </w:t>
      </w:r>
      <w:r w:rsidR="009048F7" w:rsidRPr="00D01115">
        <w:t>Yet</w:t>
      </w:r>
      <w:r w:rsidR="00643D08" w:rsidRPr="00D01115">
        <w:t xml:space="preserve"> </w:t>
      </w:r>
      <w:r w:rsidR="00950904" w:rsidRPr="00D01115">
        <w:t xml:space="preserve">compared </w:t>
      </w:r>
      <w:r w:rsidR="0009643C">
        <w:t>to</w:t>
      </w:r>
      <w:r w:rsidR="0009643C" w:rsidRPr="00D01115">
        <w:t xml:space="preserve"> </w:t>
      </w:r>
      <w:r w:rsidR="007E2D8A" w:rsidRPr="00D01115">
        <w:t xml:space="preserve">soothsaying, </w:t>
      </w:r>
      <w:r w:rsidR="00696323" w:rsidRPr="00D01115">
        <w:t>th</w:t>
      </w:r>
      <w:r w:rsidR="00646806" w:rsidRPr="00D01115">
        <w:t xml:space="preserve">ey appear </w:t>
      </w:r>
      <w:r w:rsidR="009048F7" w:rsidRPr="00D01115">
        <w:t xml:space="preserve">rather </w:t>
      </w:r>
      <w:r w:rsidR="00646806" w:rsidRPr="00D01115">
        <w:t xml:space="preserve">more clearly </w:t>
      </w:r>
      <w:r w:rsidR="0009643C">
        <w:t>as</w:t>
      </w:r>
      <w:r w:rsidR="0009643C" w:rsidRPr="00D01115">
        <w:t xml:space="preserve"> </w:t>
      </w:r>
      <w:r w:rsidR="00646806" w:rsidRPr="00D01115">
        <w:t xml:space="preserve">the ideological statements that they were, designed to reinforce the legitimacy of </w:t>
      </w:r>
      <w:r w:rsidR="00BE1CBE" w:rsidRPr="00D01115">
        <w:t xml:space="preserve">decision-making, and truth-pronouncing, that was </w:t>
      </w:r>
      <w:r w:rsidR="00787BED" w:rsidRPr="00D01115">
        <w:t>built upon hierarchy rather than craft, upon pure authority rather than expertise.</w:t>
      </w:r>
    </w:p>
    <w:p w14:paraId="37B92790" w14:textId="77777777" w:rsidR="00540623" w:rsidRPr="00D01115" w:rsidRDefault="00540623" w:rsidP="00BB0F33">
      <w:pPr>
        <w:rPr>
          <w:lang w:val="en-US"/>
        </w:rPr>
      </w:pPr>
    </w:p>
    <w:p w14:paraId="552FA1D8" w14:textId="22C1E706" w:rsidR="00CF4D1D" w:rsidRPr="00D01115" w:rsidRDefault="000A5089">
      <w:r w:rsidRPr="00D01115">
        <w:t xml:space="preserve">Indeed, turning to </w:t>
      </w:r>
      <w:r w:rsidR="0056284C" w:rsidRPr="00D01115">
        <w:t>the</w:t>
      </w:r>
      <w:r w:rsidRPr="00D01115">
        <w:t xml:space="preserve"> second point</w:t>
      </w:r>
      <w:r w:rsidR="0056284C" w:rsidRPr="00D01115">
        <w:t xml:space="preserve"> here</w:t>
      </w:r>
      <w:r w:rsidRPr="00D01115">
        <w:t xml:space="preserve">, it is striking that the production of truth by soothsayers </w:t>
      </w:r>
      <w:r w:rsidR="0056284C" w:rsidRPr="00D01115">
        <w:t xml:space="preserve">was </w:t>
      </w:r>
      <w:r w:rsidR="005576C9" w:rsidRPr="00D01115">
        <w:t>radically</w:t>
      </w:r>
      <w:r w:rsidR="0056284C" w:rsidRPr="00D01115">
        <w:t xml:space="preserve"> inclusive.</w:t>
      </w:r>
      <w:r w:rsidR="0001224C" w:rsidRPr="00D01115">
        <w:t xml:space="preserve"> While soothsayers were themselves specialists </w:t>
      </w:r>
      <w:r w:rsidR="00A33A14" w:rsidRPr="00D01115">
        <w:t xml:space="preserve">in </w:t>
      </w:r>
      <w:r w:rsidR="00C54262" w:rsidRPr="00D01115">
        <w:t xml:space="preserve">performing the necessary magic, </w:t>
      </w:r>
      <w:r w:rsidR="00D21C0D" w:rsidRPr="00D01115">
        <w:t>to achieve its full meaning the divination also required the input of their client.</w:t>
      </w:r>
      <w:r w:rsidR="00741131" w:rsidRPr="00D01115">
        <w:rPr>
          <w:rStyle w:val="FootnoteReference"/>
        </w:rPr>
        <w:footnoteReference w:id="75"/>
      </w:r>
      <w:r w:rsidR="00D21C0D" w:rsidRPr="00D01115">
        <w:t xml:space="preserve"> </w:t>
      </w:r>
      <w:r w:rsidR="0009643C">
        <w:t>Most of the time, t</w:t>
      </w:r>
      <w:r w:rsidR="00D21C0D" w:rsidRPr="00D01115">
        <w:t xml:space="preserve">he magic did not yield anything so clear as the name of </w:t>
      </w:r>
      <w:r w:rsidR="0009643C">
        <w:t xml:space="preserve">the </w:t>
      </w:r>
      <w:r w:rsidR="00D21C0D" w:rsidRPr="00D01115">
        <w:t xml:space="preserve">wrongdoer, but rather a </w:t>
      </w:r>
      <w:r w:rsidR="009C2987" w:rsidRPr="00D01115">
        <w:t>glimpse of the truth</w:t>
      </w:r>
      <w:r w:rsidR="00D21C0D" w:rsidRPr="00D01115">
        <w:t xml:space="preserve"> –</w:t>
      </w:r>
      <w:r w:rsidR="009C3F02" w:rsidRPr="00D01115">
        <w:t xml:space="preserve"> </w:t>
      </w:r>
      <w:r w:rsidR="00D21C0D" w:rsidRPr="00D01115">
        <w:t>a man with blemishes on his face</w:t>
      </w:r>
      <w:r w:rsidR="009C2987" w:rsidRPr="00D01115">
        <w:t>,</w:t>
      </w:r>
      <w:r w:rsidR="00D21C0D" w:rsidRPr="00D01115">
        <w:t xml:space="preserve"> a woman wearing a green dress – </w:t>
      </w:r>
      <w:r w:rsidR="009C2987" w:rsidRPr="00D01115">
        <w:t>which</w:t>
      </w:r>
      <w:r w:rsidR="00D21C0D" w:rsidRPr="00D01115">
        <w:t xml:space="preserve"> the </w:t>
      </w:r>
      <w:r w:rsidR="00DA2B57" w:rsidRPr="00D01115">
        <w:t xml:space="preserve">visitor </w:t>
      </w:r>
      <w:r w:rsidR="009C3F02" w:rsidRPr="00D01115">
        <w:t>had to</w:t>
      </w:r>
      <w:r w:rsidR="009C2987" w:rsidRPr="00D01115">
        <w:t xml:space="preserve"> interpret for themselves. </w:t>
      </w:r>
      <w:proofErr w:type="spellStart"/>
      <w:r w:rsidR="00546FD0" w:rsidRPr="00D01115">
        <w:t>Etheldreda</w:t>
      </w:r>
      <w:proofErr w:type="spellEnd"/>
      <w:r w:rsidR="00546FD0" w:rsidRPr="00D01115">
        <w:t xml:space="preserve"> </w:t>
      </w:r>
      <w:proofErr w:type="spellStart"/>
      <w:r w:rsidR="00546FD0" w:rsidRPr="00D01115">
        <w:t>Nyxon</w:t>
      </w:r>
      <w:proofErr w:type="spellEnd"/>
      <w:r w:rsidR="00546FD0" w:rsidRPr="00D01115">
        <w:t xml:space="preserve"> of Barrow, in Suffolk</w:t>
      </w:r>
      <w:r w:rsidR="00F9263B" w:rsidRPr="00D01115">
        <w:t xml:space="preserve">, </w:t>
      </w:r>
      <w:r w:rsidR="009721AA" w:rsidRPr="00D01115">
        <w:t>was said to have told a male servant to beware, for his horse would be stolen in three days; when his mistress came to ask her who was going to steal it, ‘</w:t>
      </w:r>
      <w:proofErr w:type="spellStart"/>
      <w:r w:rsidR="00BE3018" w:rsidRPr="00D01115">
        <w:t>Etheldreda</w:t>
      </w:r>
      <w:proofErr w:type="spellEnd"/>
      <w:r w:rsidR="00BE3018" w:rsidRPr="00D01115">
        <w:t xml:space="preserve"> would not tell her the names, but said that she would teach her an art whereby the </w:t>
      </w:r>
      <w:r w:rsidR="00BE3018" w:rsidRPr="00D01115">
        <w:lastRenderedPageBreak/>
        <w:t>horse would not be stolen</w:t>
      </w:r>
      <w:r w:rsidR="009721AA" w:rsidRPr="00D01115">
        <w:t>’, using holy bread and holy water.</w:t>
      </w:r>
      <w:r w:rsidR="009721AA" w:rsidRPr="00D01115">
        <w:rPr>
          <w:rStyle w:val="FootnoteReference"/>
        </w:rPr>
        <w:footnoteReference w:id="76"/>
      </w:r>
      <w:r w:rsidR="00CD3D89" w:rsidRPr="00D01115">
        <w:t xml:space="preserve"> </w:t>
      </w:r>
      <w:r w:rsidR="001914A5" w:rsidRPr="00D01115">
        <w:t xml:space="preserve">When </w:t>
      </w:r>
      <w:r w:rsidR="00506650" w:rsidRPr="00D01115">
        <w:t>people</w:t>
      </w:r>
      <w:r w:rsidR="001914A5" w:rsidRPr="00D01115">
        <w:t xml:space="preserve"> went to a soothsayer they </w:t>
      </w:r>
      <w:r w:rsidR="00506650" w:rsidRPr="00D01115">
        <w:t>were offered the opportunity to</w:t>
      </w:r>
      <w:r w:rsidR="006E09F6" w:rsidRPr="00D01115">
        <w:t xml:space="preserve"> </w:t>
      </w:r>
      <w:r w:rsidR="00506650" w:rsidRPr="00D01115">
        <w:t xml:space="preserve">help produce </w:t>
      </w:r>
      <w:r w:rsidR="009C730A" w:rsidRPr="00D01115">
        <w:t>truth</w:t>
      </w:r>
      <w:r w:rsidR="00A605E9" w:rsidRPr="00D01115">
        <w:t>, and</w:t>
      </w:r>
      <w:r w:rsidR="00506650" w:rsidRPr="00D01115">
        <w:t xml:space="preserve">, we might say, </w:t>
      </w:r>
      <w:r w:rsidR="00A605E9" w:rsidRPr="00D01115">
        <w:t>could claim some ownership of it.</w:t>
      </w:r>
    </w:p>
    <w:p w14:paraId="1F60AFD7" w14:textId="77777777" w:rsidR="009C730A" w:rsidRPr="00D01115" w:rsidRDefault="009C730A"/>
    <w:p w14:paraId="5B4692CF" w14:textId="285C5CBC" w:rsidR="004915D6" w:rsidRPr="00D01115" w:rsidRDefault="009C730A" w:rsidP="00AD729C">
      <w:r w:rsidRPr="00D01115">
        <w:t xml:space="preserve">Once more, this represents a striking contrast with the </w:t>
      </w:r>
      <w:r w:rsidR="00C31307" w:rsidRPr="00D01115">
        <w:t xml:space="preserve">kind of </w:t>
      </w:r>
      <w:r w:rsidR="00A605E9" w:rsidRPr="00D01115">
        <w:t>verdicts and reports</w:t>
      </w:r>
      <w:r w:rsidR="00C31307" w:rsidRPr="00D01115">
        <w:t xml:space="preserve"> </w:t>
      </w:r>
      <w:r w:rsidR="00BC4EE7" w:rsidRPr="00D01115">
        <w:t>made</w:t>
      </w:r>
      <w:r w:rsidR="00C31307" w:rsidRPr="00D01115">
        <w:t xml:space="preserve"> by </w:t>
      </w:r>
      <w:r w:rsidRPr="00D01115">
        <w:t>trustworthy men</w:t>
      </w:r>
      <w:r w:rsidR="00C31307" w:rsidRPr="00D01115">
        <w:t xml:space="preserve">. </w:t>
      </w:r>
      <w:r w:rsidR="0009643C">
        <w:t>It is infamous among</w:t>
      </w:r>
      <w:r w:rsidR="00C31307" w:rsidRPr="00D01115">
        <w:t xml:space="preserve"> legal historians</w:t>
      </w:r>
      <w:r w:rsidR="0009643C">
        <w:t xml:space="preserve"> that</w:t>
      </w:r>
      <w:r w:rsidR="00C31307" w:rsidRPr="00D01115">
        <w:t xml:space="preserve"> </w:t>
      </w:r>
      <w:r w:rsidR="0009643C">
        <w:t>so little is</w:t>
      </w:r>
      <w:r w:rsidR="0009643C" w:rsidRPr="00D01115">
        <w:t xml:space="preserve"> </w:t>
      </w:r>
      <w:r w:rsidR="00C31307" w:rsidRPr="00D01115">
        <w:t>know</w:t>
      </w:r>
      <w:r w:rsidR="0009643C">
        <w:t>n</w:t>
      </w:r>
      <w:r w:rsidR="00C31307" w:rsidRPr="00D01115">
        <w:t xml:space="preserve"> about how </w:t>
      </w:r>
      <w:r w:rsidR="0009643C">
        <w:t xml:space="preserve">medieval </w:t>
      </w:r>
      <w:r w:rsidR="00775917" w:rsidRPr="00D01115">
        <w:t>jur</w:t>
      </w:r>
      <w:r w:rsidR="00143E76" w:rsidRPr="00D01115">
        <w:t>ie</w:t>
      </w:r>
      <w:r w:rsidR="00775917" w:rsidRPr="00D01115">
        <w:t>s came to their verdicts.</w:t>
      </w:r>
      <w:r w:rsidR="00775917" w:rsidRPr="00D01115">
        <w:rPr>
          <w:rStyle w:val="FootnoteReference"/>
        </w:rPr>
        <w:footnoteReference w:id="77"/>
      </w:r>
      <w:r w:rsidR="00775917" w:rsidRPr="00D01115">
        <w:t xml:space="preserve"> We do know, </w:t>
      </w:r>
      <w:r w:rsidR="00AD729C" w:rsidRPr="00D01115">
        <w:t xml:space="preserve">however, </w:t>
      </w:r>
      <w:r w:rsidR="00A605E9" w:rsidRPr="00D01115">
        <w:t>that they</w:t>
      </w:r>
      <w:r w:rsidR="0009643C">
        <w:t xml:space="preserve"> often</w:t>
      </w:r>
      <w:r w:rsidR="00A605E9" w:rsidRPr="00D01115">
        <w:t xml:space="preserve"> did so in </w:t>
      </w:r>
      <w:r w:rsidR="004915D6" w:rsidRPr="00D01115">
        <w:t xml:space="preserve">clandestine exclusivity, in separate </w:t>
      </w:r>
      <w:r w:rsidR="00655F2A" w:rsidRPr="00D01115">
        <w:t xml:space="preserve">halls or chambers, which they were not supposed to leave; </w:t>
      </w:r>
      <w:r w:rsidR="004915D6" w:rsidRPr="00D01115">
        <w:t>people were fined if they attempted to overhear or interfere with jurors’ deliberations, and especially if they went on to disclose these discussions.</w:t>
      </w:r>
      <w:r w:rsidR="00AD729C" w:rsidRPr="00D01115">
        <w:rPr>
          <w:rStyle w:val="FootnoteReference"/>
        </w:rPr>
        <w:footnoteReference w:id="78"/>
      </w:r>
      <w:r w:rsidR="004915D6" w:rsidRPr="00D01115">
        <w:t xml:space="preserve"> </w:t>
      </w:r>
      <w:r w:rsidR="00104104" w:rsidRPr="00D01115">
        <w:t xml:space="preserve">Something of the </w:t>
      </w:r>
      <w:r w:rsidR="008A771C" w:rsidRPr="00D01115">
        <w:t xml:space="preserve">frustration this </w:t>
      </w:r>
      <w:r w:rsidR="00BA6E65" w:rsidRPr="00D01115">
        <w:t xml:space="preserve">could </w:t>
      </w:r>
      <w:r w:rsidR="008A771C" w:rsidRPr="00D01115">
        <w:t xml:space="preserve">provoke among those who found themselves on the wrong end of a verdict is </w:t>
      </w:r>
      <w:r w:rsidR="006524D1" w:rsidRPr="00D01115">
        <w:t xml:space="preserve">captured by the words of Geoffrey </w:t>
      </w:r>
      <w:proofErr w:type="spellStart"/>
      <w:r w:rsidR="006524D1" w:rsidRPr="00D01115">
        <w:t>Waryn</w:t>
      </w:r>
      <w:proofErr w:type="spellEnd"/>
      <w:r w:rsidR="006524D1" w:rsidRPr="00D01115">
        <w:t xml:space="preserve"> of </w:t>
      </w:r>
      <w:proofErr w:type="spellStart"/>
      <w:r w:rsidR="006524D1" w:rsidRPr="00D01115">
        <w:t>Yaxham</w:t>
      </w:r>
      <w:proofErr w:type="spellEnd"/>
      <w:r w:rsidR="006524D1" w:rsidRPr="00D01115">
        <w:t xml:space="preserve"> in Norfolk, against a capital pledge of the local court:</w:t>
      </w:r>
      <w:r w:rsidR="004915D6" w:rsidRPr="00D01115">
        <w:rPr>
          <w:rStyle w:val="apple-converted-space"/>
          <w:color w:val="000000"/>
        </w:rPr>
        <w:t> </w:t>
      </w:r>
      <w:r w:rsidR="006524D1" w:rsidRPr="00D01115">
        <w:rPr>
          <w:rStyle w:val="apple-converted-space"/>
          <w:color w:val="000000"/>
        </w:rPr>
        <w:t>‘You and your fellow head-boroughs</w:t>
      </w:r>
      <w:r w:rsidR="0081116C" w:rsidRPr="00D01115">
        <w:rPr>
          <w:rStyle w:val="apple-converted-space"/>
          <w:color w:val="000000"/>
        </w:rPr>
        <w:t xml:space="preserve"> from the last leet </w:t>
      </w:r>
      <w:r w:rsidR="006524D1" w:rsidRPr="00D01115">
        <w:rPr>
          <w:rStyle w:val="apple-converted-space"/>
          <w:color w:val="000000"/>
        </w:rPr>
        <w:t>are false forsworn harl</w:t>
      </w:r>
      <w:r w:rsidR="0009643C">
        <w:rPr>
          <w:rStyle w:val="apple-converted-space"/>
          <w:color w:val="000000"/>
        </w:rPr>
        <w:t>o</w:t>
      </w:r>
      <w:r w:rsidR="006524D1" w:rsidRPr="00D01115">
        <w:rPr>
          <w:rStyle w:val="apple-converted-space"/>
          <w:color w:val="000000"/>
        </w:rPr>
        <w:t xml:space="preserve">ts, and have falsely amerced me…you </w:t>
      </w:r>
      <w:r w:rsidR="0081116C" w:rsidRPr="00D01115">
        <w:rPr>
          <w:rStyle w:val="apple-converted-space"/>
          <w:color w:val="000000"/>
        </w:rPr>
        <w:t>sat about your verdict making that day as a company of devils, and not as men.’</w:t>
      </w:r>
      <w:r w:rsidR="0081116C" w:rsidRPr="00D01115">
        <w:rPr>
          <w:rStyle w:val="FootnoteReference"/>
          <w:color w:val="000000"/>
        </w:rPr>
        <w:footnoteReference w:id="79"/>
      </w:r>
      <w:r w:rsidR="0081116C" w:rsidRPr="00D01115">
        <w:t xml:space="preserve"> </w:t>
      </w:r>
      <w:r w:rsidR="0012257F" w:rsidRPr="00D01115">
        <w:t xml:space="preserve">The </w:t>
      </w:r>
      <w:r w:rsidR="00BC4EE7" w:rsidRPr="00D01115">
        <w:t xml:space="preserve">production </w:t>
      </w:r>
      <w:r w:rsidR="00CA015F" w:rsidRPr="00D01115">
        <w:t xml:space="preserve">of </w:t>
      </w:r>
      <w:r w:rsidR="00E24C20" w:rsidRPr="00D01115">
        <w:t>facts</w:t>
      </w:r>
      <w:r w:rsidR="00BC4EE7" w:rsidRPr="00D01115">
        <w:t xml:space="preserve"> by </w:t>
      </w:r>
      <w:r w:rsidR="00CA015F" w:rsidRPr="00D01115">
        <w:t>jurors</w:t>
      </w:r>
      <w:r w:rsidR="00BC4EE7" w:rsidRPr="00D01115">
        <w:t xml:space="preserve">, handed down after exclusive deliberations, offered none of the participatory </w:t>
      </w:r>
      <w:r w:rsidR="00E24C20" w:rsidRPr="00D01115">
        <w:t xml:space="preserve">fulfilment of soothsayers’ truths. </w:t>
      </w:r>
    </w:p>
    <w:p w14:paraId="3D7B08E2" w14:textId="77777777" w:rsidR="004915D6" w:rsidRPr="00D01115" w:rsidRDefault="004915D6" w:rsidP="00AD729C"/>
    <w:p w14:paraId="34109F58" w14:textId="7A5E58BB" w:rsidR="00E24C20" w:rsidRPr="00D01115" w:rsidRDefault="00AD16F9" w:rsidP="00546FD0">
      <w:r w:rsidRPr="00D01115">
        <w:t>Thirdly, and finally, s</w:t>
      </w:r>
      <w:r w:rsidR="001B0DC5" w:rsidRPr="00D01115">
        <w:t xml:space="preserve">oothsayers </w:t>
      </w:r>
      <w:r w:rsidR="00BF6F4D" w:rsidRPr="00D01115">
        <w:t>opened up the possibility of creating truth as an intimate, private endeavour</w:t>
      </w:r>
      <w:r w:rsidR="001B0DC5" w:rsidRPr="00D01115">
        <w:t xml:space="preserve">. As we saw at the very beginning of this article, Alice White wanted to use the soothsayer’s divination as a kind of leverage against Richard </w:t>
      </w:r>
      <w:proofErr w:type="spellStart"/>
      <w:r w:rsidR="001B0DC5" w:rsidRPr="00D01115">
        <w:t>Faques</w:t>
      </w:r>
      <w:proofErr w:type="spellEnd"/>
      <w:r w:rsidR="001B0DC5" w:rsidRPr="00D01115">
        <w:t>, in order to get her money back while allowing him to save face</w:t>
      </w:r>
      <w:r w:rsidR="00233346" w:rsidRPr="00D01115">
        <w:t xml:space="preserve">, even </w:t>
      </w:r>
      <w:r w:rsidR="00B1148A" w:rsidRPr="00D01115">
        <w:t>leaving</w:t>
      </w:r>
      <w:r w:rsidR="00233346" w:rsidRPr="00D01115">
        <w:t xml:space="preserve"> him the option of returning it through a window, or leaving it in her garden. S</w:t>
      </w:r>
      <w:r w:rsidR="001B0DC5" w:rsidRPr="00D01115">
        <w:t xml:space="preserve">uch a compromise meant that she did not have to put herself in the vulnerable position of making a public accusation against him – which could, if he was willing to make a sworn denial of innocence, be turned back on her as a charge of defamation – and contrariwise, his reputation did not have to be tainted by the whiff of suspicion </w:t>
      </w:r>
      <w:r w:rsidR="0009643C">
        <w:t xml:space="preserve">raised </w:t>
      </w:r>
      <w:r w:rsidR="001B0DC5" w:rsidRPr="00D01115">
        <w:t>against him</w:t>
      </w:r>
      <w:r w:rsidR="0009643C">
        <w:t xml:space="preserve"> by an allegation</w:t>
      </w:r>
      <w:r w:rsidR="001B0DC5" w:rsidRPr="00D01115">
        <w:t xml:space="preserve">. In this social world, words could actually carry too much weight for people to bear; it was too difficult to take accusations back, too hard to be anything but completely certain. Soothsayers offered </w:t>
      </w:r>
      <w:r w:rsidR="00B1148A" w:rsidRPr="00D01115">
        <w:t>people</w:t>
      </w:r>
      <w:r w:rsidR="001B0DC5" w:rsidRPr="00D01115">
        <w:t xml:space="preserve"> route to useful ambiguity, an alternative to the severity of </w:t>
      </w:r>
      <w:r w:rsidR="00B1148A" w:rsidRPr="00D01115">
        <w:t xml:space="preserve">public </w:t>
      </w:r>
      <w:r w:rsidR="001B0DC5" w:rsidRPr="00D01115">
        <w:t>denunciation.</w:t>
      </w:r>
    </w:p>
    <w:p w14:paraId="7CBDB341" w14:textId="77777777" w:rsidR="00E936C3" w:rsidRPr="00D01115" w:rsidRDefault="00E936C3"/>
    <w:p w14:paraId="1492BEF9" w14:textId="72AAD473" w:rsidR="00CE7E0D" w:rsidRPr="00D01115" w:rsidRDefault="0009643C" w:rsidP="00D90D50">
      <w:r>
        <w:t>A</w:t>
      </w:r>
      <w:r w:rsidR="00B1148A" w:rsidRPr="00D01115">
        <w:t xml:space="preserve">s </w:t>
      </w:r>
      <w:r>
        <w:t>many</w:t>
      </w:r>
      <w:r w:rsidR="00B1148A" w:rsidRPr="00D01115">
        <w:t xml:space="preserve"> historians have pointed out, legal culture </w:t>
      </w:r>
      <w:r w:rsidR="00FD668B" w:rsidRPr="00D01115">
        <w:t>across</w:t>
      </w:r>
      <w:r w:rsidR="00B1148A" w:rsidRPr="00D01115">
        <w:t xml:space="preserve"> </w:t>
      </w:r>
      <w:r w:rsidR="00BF6F4D" w:rsidRPr="00D01115">
        <w:t xml:space="preserve">medieval Europe </w:t>
      </w:r>
      <w:r w:rsidR="00B1148A" w:rsidRPr="00D01115">
        <w:t>was emphatically public</w:t>
      </w:r>
      <w:r w:rsidR="00FD668B" w:rsidRPr="00D01115">
        <w:t xml:space="preserve">, with proclamations, crowds, and spectacles </w:t>
      </w:r>
      <w:r w:rsidR="00983413" w:rsidRPr="00D01115">
        <w:t xml:space="preserve">figured as </w:t>
      </w:r>
      <w:r w:rsidR="00FD668B" w:rsidRPr="00D01115">
        <w:t xml:space="preserve">a central part of </w:t>
      </w:r>
      <w:r w:rsidR="00003F08" w:rsidRPr="00D01115">
        <w:t>law’s</w:t>
      </w:r>
      <w:r w:rsidR="00FD668B" w:rsidRPr="00D01115">
        <w:t xml:space="preserve"> apparatus</w:t>
      </w:r>
      <w:r w:rsidR="00BF6F4D" w:rsidRPr="00D01115">
        <w:t>.</w:t>
      </w:r>
      <w:r w:rsidR="00BF6F4D" w:rsidRPr="00D01115">
        <w:rPr>
          <w:vertAlign w:val="superscript"/>
        </w:rPr>
        <w:footnoteReference w:id="80"/>
      </w:r>
      <w:r w:rsidR="00003F08" w:rsidRPr="00D01115">
        <w:t xml:space="preserve"> </w:t>
      </w:r>
      <w:r w:rsidR="008912D9" w:rsidRPr="00D01115">
        <w:t xml:space="preserve">This </w:t>
      </w:r>
      <w:r w:rsidR="00583652" w:rsidRPr="00D01115">
        <w:t>publicity has</w:t>
      </w:r>
      <w:r w:rsidR="008912D9" w:rsidRPr="00D01115">
        <w:t xml:space="preserve"> </w:t>
      </w:r>
      <w:r>
        <w:t>often</w:t>
      </w:r>
      <w:r w:rsidRPr="00D01115">
        <w:t xml:space="preserve"> </w:t>
      </w:r>
      <w:r w:rsidR="008912D9" w:rsidRPr="00D01115">
        <w:t xml:space="preserve">been interpreted in functional terms, as a reflection of what people wanted from the courts; </w:t>
      </w:r>
      <w:r w:rsidR="00D90D50" w:rsidRPr="00D01115">
        <w:t xml:space="preserve">Dan </w:t>
      </w:r>
      <w:proofErr w:type="spellStart"/>
      <w:r w:rsidR="00D90D50" w:rsidRPr="00D01115">
        <w:t>Smail</w:t>
      </w:r>
      <w:proofErr w:type="spellEnd"/>
      <w:r w:rsidR="00D90D50" w:rsidRPr="00D01115">
        <w:t xml:space="preserve"> has </w:t>
      </w:r>
      <w:r w:rsidR="00583652" w:rsidRPr="00D01115">
        <w:t>argued that</w:t>
      </w:r>
      <w:r w:rsidR="00D90D50" w:rsidRPr="00D01115">
        <w:t xml:space="preserve"> the growth of centralized legal systems was a consequence of the fact that, on a large scale, ‘officials were invited into </w:t>
      </w:r>
      <w:r w:rsidR="00D90D50" w:rsidRPr="00D01115">
        <w:lastRenderedPageBreak/>
        <w:t>disputes by individual men and women seeking the best way to get back at their enemies</w:t>
      </w:r>
      <w:r w:rsidR="00583652" w:rsidRPr="00D01115">
        <w:t>.</w:t>
      </w:r>
      <w:r w:rsidR="00D90D50" w:rsidRPr="00D01115">
        <w:t>’</w:t>
      </w:r>
      <w:r w:rsidR="00D90D50" w:rsidRPr="00D01115">
        <w:rPr>
          <w:rStyle w:val="FootnoteReference"/>
        </w:rPr>
        <w:footnoteReference w:id="81"/>
      </w:r>
      <w:r w:rsidR="00D90D50" w:rsidRPr="00D01115">
        <w:t xml:space="preserve"> </w:t>
      </w:r>
      <w:r w:rsidR="00C00961" w:rsidRPr="00D01115">
        <w:t xml:space="preserve">Without doubting that </w:t>
      </w:r>
      <w:r w:rsidR="00583652" w:rsidRPr="00D01115">
        <w:t xml:space="preserve">some people obviously did want to engage in public legal disputes to humiliate their adversaries, </w:t>
      </w:r>
      <w:r w:rsidR="006C2B3B" w:rsidRPr="00D01115">
        <w:t>it is</w:t>
      </w:r>
      <w:r>
        <w:t xml:space="preserve"> also</w:t>
      </w:r>
      <w:r w:rsidR="006C2B3B" w:rsidRPr="00D01115">
        <w:t xml:space="preserve"> clear, from the resort to soothsaying, that others did not. </w:t>
      </w:r>
      <w:r w:rsidR="00CE7E0D" w:rsidRPr="00D01115">
        <w:t>T</w:t>
      </w:r>
      <w:r w:rsidR="006C2B3B" w:rsidRPr="00D01115">
        <w:t xml:space="preserve">he fact that the legal record shows us so much more of the former than the latter suggests, I think, that we ought </w:t>
      </w:r>
      <w:r w:rsidR="00CE7E0D" w:rsidRPr="00D01115">
        <w:t xml:space="preserve">to regard the </w:t>
      </w:r>
      <w:r w:rsidR="006C2B3B" w:rsidRPr="00D01115">
        <w:t>politics of publicity</w:t>
      </w:r>
      <w:r w:rsidR="00CE7E0D" w:rsidRPr="00D01115">
        <w:t xml:space="preserve"> with more suspicion</w:t>
      </w:r>
      <w:r w:rsidR="00E31D04" w:rsidRPr="00D01115">
        <w:t xml:space="preserve">: it seems less responsive to the </w:t>
      </w:r>
      <w:r w:rsidR="005E2A11" w:rsidRPr="00D01115">
        <w:t>wishes</w:t>
      </w:r>
      <w:r w:rsidR="00E31D04" w:rsidRPr="00D01115">
        <w:t xml:space="preserve"> of the laity than to </w:t>
      </w:r>
      <w:r w:rsidR="005E2A11" w:rsidRPr="00D01115">
        <w:t>those</w:t>
      </w:r>
      <w:r w:rsidR="00E31D04" w:rsidRPr="00D01115">
        <w:t xml:space="preserve"> of legal authorities</w:t>
      </w:r>
      <w:r w:rsidR="005E2A11" w:rsidRPr="00D01115">
        <w:t>, and their desire for more effective forms of control</w:t>
      </w:r>
      <w:r w:rsidR="00E31D04" w:rsidRPr="00D01115">
        <w:t>.</w:t>
      </w:r>
      <w:r w:rsidR="00A762FF" w:rsidRPr="00D01115">
        <w:rPr>
          <w:rStyle w:val="FootnoteReference"/>
        </w:rPr>
        <w:footnoteReference w:id="82"/>
      </w:r>
    </w:p>
    <w:p w14:paraId="5CB521C2" w14:textId="77777777" w:rsidR="00A762FF" w:rsidRPr="00D01115" w:rsidRDefault="00A762FF" w:rsidP="00D90D50"/>
    <w:p w14:paraId="581755C2" w14:textId="5961732D" w:rsidR="00983413" w:rsidRPr="00D01115" w:rsidRDefault="00756D9E">
      <w:r w:rsidRPr="00D01115">
        <w:t>P</w:t>
      </w:r>
      <w:r w:rsidR="003962C9" w:rsidRPr="00D01115">
        <w:t>ublicity was not a neutral quality</w:t>
      </w:r>
      <w:r w:rsidR="0009643C">
        <w:t xml:space="preserve"> of justice</w:t>
      </w:r>
      <w:r w:rsidRPr="00D01115">
        <w:t xml:space="preserve">: it </w:t>
      </w:r>
      <w:r w:rsidR="0009643C">
        <w:t xml:space="preserve">was </w:t>
      </w:r>
      <w:r w:rsidR="00983413" w:rsidRPr="00D01115">
        <w:t>intimately linked to the idea that there was, in fact, a ‘truth’ out there, one that it was the task of the courts to identify, investigate, and proclaim.</w:t>
      </w:r>
      <w:r w:rsidR="0009643C">
        <w:t xml:space="preserve"> </w:t>
      </w:r>
      <w:r w:rsidRPr="00D01115">
        <w:t xml:space="preserve">This did, of course, allow medieval subjects to ‘participate’ in legal culture, but it was a participation that relied upon a logic of exposure. This </w:t>
      </w:r>
      <w:r w:rsidR="00FA0623" w:rsidRPr="00D01115">
        <w:t xml:space="preserve">foreclosed the possibilities of </w:t>
      </w:r>
      <w:r w:rsidR="0009643C">
        <w:t xml:space="preserve">legal </w:t>
      </w:r>
      <w:r w:rsidR="00FA0623" w:rsidRPr="00D01115">
        <w:t>subjecthood in more fundamental ways</w:t>
      </w:r>
      <w:r w:rsidR="00490C04" w:rsidRPr="00D01115">
        <w:t xml:space="preserve">, by </w:t>
      </w:r>
      <w:r w:rsidR="0009643C">
        <w:t>circumscribing</w:t>
      </w:r>
      <w:r w:rsidR="0009643C" w:rsidRPr="00D01115">
        <w:t xml:space="preserve"> </w:t>
      </w:r>
      <w:r w:rsidRPr="00D01115">
        <w:t xml:space="preserve">the kind of </w:t>
      </w:r>
      <w:r w:rsidR="00E3631F" w:rsidRPr="00D01115">
        <w:t>justice</w:t>
      </w:r>
      <w:r w:rsidR="00170B62" w:rsidRPr="00D01115">
        <w:t xml:space="preserve"> </w:t>
      </w:r>
      <w:r w:rsidR="0009643C">
        <w:t xml:space="preserve">that </w:t>
      </w:r>
      <w:r w:rsidRPr="00D01115">
        <w:t xml:space="preserve">people </w:t>
      </w:r>
      <w:r w:rsidR="0009643C">
        <w:t>could hope to attain from a law-court</w:t>
      </w:r>
      <w:r w:rsidRPr="00D01115">
        <w:t>.</w:t>
      </w:r>
      <w:r w:rsidR="00A055B1" w:rsidRPr="00D01115">
        <w:rPr>
          <w:rStyle w:val="FootnoteReference"/>
        </w:rPr>
        <w:footnoteReference w:id="83"/>
      </w:r>
      <w:r w:rsidRPr="00D01115">
        <w:t xml:space="preserve"> </w:t>
      </w:r>
      <w:r w:rsidR="0009643C">
        <w:t>It</w:t>
      </w:r>
      <w:r w:rsidR="0009643C" w:rsidRPr="00D01115">
        <w:t xml:space="preserve"> </w:t>
      </w:r>
      <w:r w:rsidRPr="00D01115">
        <w:t xml:space="preserve">was a </w:t>
      </w:r>
      <w:r w:rsidR="00A055B1" w:rsidRPr="00D01115">
        <w:t xml:space="preserve">form of </w:t>
      </w:r>
      <w:r w:rsidRPr="00D01115">
        <w:t xml:space="preserve">justice that was predicated upon </w:t>
      </w:r>
      <w:r w:rsidR="00A055B1" w:rsidRPr="00D01115">
        <w:t>truth, and so upon inquisition, proof, and verification</w:t>
      </w:r>
      <w:r w:rsidR="007275A4" w:rsidRPr="00D01115">
        <w:t>.</w:t>
      </w:r>
      <w:r w:rsidR="007275A4" w:rsidRPr="00D01115">
        <w:rPr>
          <w:rStyle w:val="FootnoteReference"/>
          <w:rFonts w:eastAsiaTheme="minorHAnsi"/>
        </w:rPr>
        <w:footnoteReference w:id="84"/>
      </w:r>
      <w:r w:rsidR="007275A4" w:rsidRPr="00D01115">
        <w:rPr>
          <w:rFonts w:eastAsiaTheme="minorHAnsi"/>
        </w:rPr>
        <w:t xml:space="preserve"> </w:t>
      </w:r>
      <w:r w:rsidR="002C65CD" w:rsidRPr="00D01115">
        <w:t xml:space="preserve">In </w:t>
      </w:r>
      <w:r w:rsidRPr="00D01115">
        <w:t>the social</w:t>
      </w:r>
      <w:r w:rsidR="002C65CD" w:rsidRPr="00D01115">
        <w:t xml:space="preserve"> world</w:t>
      </w:r>
      <w:r w:rsidRPr="00D01115">
        <w:t xml:space="preserve"> built by </w:t>
      </w:r>
      <w:r w:rsidR="006D0F01">
        <w:t xml:space="preserve">medieval </w:t>
      </w:r>
      <w:r w:rsidRPr="00D01115">
        <w:t>law-courts</w:t>
      </w:r>
      <w:r w:rsidR="002C65CD" w:rsidRPr="00D01115">
        <w:t xml:space="preserve">, </w:t>
      </w:r>
      <w:r w:rsidR="007A6231" w:rsidRPr="00D01115">
        <w:t>“</w:t>
      </w:r>
      <w:r w:rsidR="002C65CD" w:rsidRPr="00D01115">
        <w:t>…a</w:t>
      </w:r>
      <w:r w:rsidR="007A6231" w:rsidRPr="00D01115">
        <w:t xml:space="preserve">nd I’ll prove it!” </w:t>
      </w:r>
      <w:r w:rsidR="002C65CD" w:rsidRPr="00D01115">
        <w:t>was a favourite threat</w:t>
      </w:r>
      <w:r w:rsidR="00D13F14" w:rsidRPr="00D01115">
        <w:t>,</w:t>
      </w:r>
      <w:r w:rsidR="002C65CD" w:rsidRPr="00D01115">
        <w:t xml:space="preserve"> </w:t>
      </w:r>
      <w:r w:rsidRPr="00D01115">
        <w:t xml:space="preserve">one </w:t>
      </w:r>
      <w:r w:rsidR="002C65CD" w:rsidRPr="00D01115">
        <w:t>frequently found appended to defamatory accusations</w:t>
      </w:r>
      <w:r w:rsidR="00977061" w:rsidRPr="00D01115">
        <w:t xml:space="preserve"> recorded </w:t>
      </w:r>
      <w:r w:rsidRPr="00D01115">
        <w:t>in ecclesiastical records</w:t>
      </w:r>
      <w:r w:rsidR="00BD62CD" w:rsidRPr="00D01115">
        <w:t>.</w:t>
      </w:r>
      <w:r w:rsidR="00BD62CD" w:rsidRPr="00D01115">
        <w:rPr>
          <w:rStyle w:val="FootnoteReference"/>
        </w:rPr>
        <w:footnoteReference w:id="85"/>
      </w:r>
      <w:r w:rsidR="00D13F14" w:rsidRPr="00D01115">
        <w:t xml:space="preserve"> </w:t>
      </w:r>
      <w:r w:rsidR="00B85A1C" w:rsidRPr="00D01115">
        <w:t xml:space="preserve">And </w:t>
      </w:r>
      <w:r w:rsidR="00A055B1" w:rsidRPr="00D01115">
        <w:t>how did you</w:t>
      </w:r>
      <w:r w:rsidR="00B85A1C" w:rsidRPr="00D01115">
        <w:t xml:space="preserve"> prove something</w:t>
      </w:r>
      <w:r w:rsidR="00B406D2" w:rsidRPr="00D01115">
        <w:t>, in late-medieval England</w:t>
      </w:r>
      <w:r w:rsidR="00B85A1C" w:rsidRPr="00D01115">
        <w:t xml:space="preserve">? </w:t>
      </w:r>
      <w:r w:rsidR="00A055B1" w:rsidRPr="00D01115">
        <w:t xml:space="preserve">With recourse to those </w:t>
      </w:r>
      <w:r w:rsidR="00B85A1C" w:rsidRPr="00D01115">
        <w:t xml:space="preserve">forms of </w:t>
      </w:r>
      <w:r w:rsidR="00B406D2" w:rsidRPr="00D01115">
        <w:t>truth</w:t>
      </w:r>
      <w:r w:rsidR="00B85A1C" w:rsidRPr="00D01115">
        <w:t xml:space="preserve"> </w:t>
      </w:r>
      <w:r w:rsidR="00A055B1" w:rsidRPr="00D01115">
        <w:t xml:space="preserve">– </w:t>
      </w:r>
      <w:r w:rsidR="006D0F01">
        <w:t xml:space="preserve">the </w:t>
      </w:r>
      <w:proofErr w:type="spellStart"/>
      <w:r w:rsidR="006D0F01">
        <w:rPr>
          <w:i/>
          <w:iCs/>
        </w:rPr>
        <w:t>fama</w:t>
      </w:r>
      <w:proofErr w:type="spellEnd"/>
      <w:r w:rsidR="006D0F01">
        <w:rPr>
          <w:i/>
          <w:iCs/>
        </w:rPr>
        <w:t xml:space="preserve"> </w:t>
      </w:r>
      <w:r w:rsidR="00A055B1" w:rsidRPr="00D01115">
        <w:t xml:space="preserve">spoken and believed by trustworthy men, circulated through public discourse – that were favoured by law-courts; the kind of truth that </w:t>
      </w:r>
      <w:r w:rsidR="00BA0F35" w:rsidRPr="00D01115">
        <w:t xml:space="preserve">afforded the possibility of legal investigation. </w:t>
      </w:r>
    </w:p>
    <w:p w14:paraId="1241C5C0" w14:textId="77777777" w:rsidR="00A22246" w:rsidRPr="00D01115" w:rsidRDefault="00A22246" w:rsidP="00603ACA"/>
    <w:p w14:paraId="004C1B2A" w14:textId="1673757C" w:rsidR="00A22246" w:rsidRPr="00D01115" w:rsidRDefault="00B406D2" w:rsidP="00603ACA">
      <w:r w:rsidRPr="00D01115">
        <w:t>T</w:t>
      </w:r>
      <w:r w:rsidR="00A22246" w:rsidRPr="00D01115">
        <w:t>he juxtaposition of law-courts and soothsayers</w:t>
      </w:r>
      <w:r w:rsidRPr="00D01115">
        <w:t xml:space="preserve"> </w:t>
      </w:r>
      <w:r w:rsidR="00A22246" w:rsidRPr="00D01115">
        <w:t xml:space="preserve">is </w:t>
      </w:r>
      <w:r w:rsidRPr="00D01115">
        <w:t xml:space="preserve">thus </w:t>
      </w:r>
      <w:r w:rsidR="00A22246" w:rsidRPr="00D01115">
        <w:t>instructive</w:t>
      </w:r>
      <w:r w:rsidRPr="00D01115">
        <w:t xml:space="preserve"> in highlighting the politics of truth in late-medieval England</w:t>
      </w:r>
      <w:r w:rsidR="00A22246" w:rsidRPr="00D01115">
        <w:t xml:space="preserve">. </w:t>
      </w:r>
      <w:r w:rsidR="00B64107" w:rsidRPr="00D01115">
        <w:t>T</w:t>
      </w:r>
      <w:r w:rsidR="00D00812" w:rsidRPr="00D01115">
        <w:t>hrough this comparison</w:t>
      </w:r>
      <w:r w:rsidR="00B64107" w:rsidRPr="00D01115">
        <w:t xml:space="preserve">, </w:t>
      </w:r>
      <w:r w:rsidR="00BF6BE3" w:rsidRPr="00D01115">
        <w:t>I think</w:t>
      </w:r>
      <w:r w:rsidR="006D0F01">
        <w:t>,</w:t>
      </w:r>
      <w:r w:rsidR="00BF6BE3" w:rsidRPr="00D01115">
        <w:t xml:space="preserve"> we</w:t>
      </w:r>
      <w:r w:rsidR="00D2537B" w:rsidRPr="00D01115">
        <w:t xml:space="preserve"> can see </w:t>
      </w:r>
      <w:r w:rsidR="006D0F01">
        <w:t xml:space="preserve">more clearly </w:t>
      </w:r>
      <w:r w:rsidR="00BF6BE3" w:rsidRPr="00D01115">
        <w:t xml:space="preserve">the significance of what </w:t>
      </w:r>
      <w:r w:rsidR="00D00812" w:rsidRPr="00D01115">
        <w:t>law-courts</w:t>
      </w:r>
      <w:r w:rsidR="00BF6BE3" w:rsidRPr="00D01115">
        <w:t xml:space="preserve"> were </w:t>
      </w:r>
      <w:proofErr w:type="gramStart"/>
      <w:r w:rsidR="00BF6BE3" w:rsidRPr="00D01115">
        <w:t xml:space="preserve">doing, </w:t>
      </w:r>
      <w:r w:rsidR="006D0F01">
        <w:t>and</w:t>
      </w:r>
      <w:proofErr w:type="gramEnd"/>
      <w:r w:rsidR="006D0F01">
        <w:t xml:space="preserve"> </w:t>
      </w:r>
      <w:r w:rsidR="00BF6BE3" w:rsidRPr="00D01115">
        <w:t xml:space="preserve">render </w:t>
      </w:r>
      <w:r w:rsidR="00D00812" w:rsidRPr="00D01115">
        <w:t xml:space="preserve">more </w:t>
      </w:r>
      <w:r w:rsidR="00BF6BE3" w:rsidRPr="00D01115">
        <w:t>visible what otherwise seemed like – indeed, were intended to seem like –</w:t>
      </w:r>
      <w:r w:rsidR="00EE2D0B" w:rsidRPr="00D01115">
        <w:t xml:space="preserve"> </w:t>
      </w:r>
      <w:r w:rsidR="006D0F01">
        <w:t xml:space="preserve">the </w:t>
      </w:r>
      <w:r w:rsidR="00BF6BE3" w:rsidRPr="00D01115">
        <w:t xml:space="preserve">natural </w:t>
      </w:r>
      <w:r w:rsidR="006D0F01">
        <w:t>means of pursuing justice.</w:t>
      </w:r>
      <w:r w:rsidR="00750BD8" w:rsidRPr="00D01115">
        <w:t xml:space="preserve"> </w:t>
      </w:r>
      <w:r w:rsidR="006D0F01">
        <w:t xml:space="preserve">Medieval law-courts depended crucially on </w:t>
      </w:r>
      <w:r w:rsidR="00750BD8" w:rsidRPr="00D01115">
        <w:t>justify</w:t>
      </w:r>
      <w:r w:rsidR="006D0F01">
        <w:t>ing</w:t>
      </w:r>
      <w:r w:rsidR="00750BD8" w:rsidRPr="00D01115">
        <w:t xml:space="preserve"> the authority of local representatives to produce truth</w:t>
      </w:r>
      <w:r w:rsidR="006D0F01">
        <w:t>, on</w:t>
      </w:r>
      <w:r w:rsidR="00750BD8" w:rsidRPr="00D01115">
        <w:t xml:space="preserve"> the </w:t>
      </w:r>
      <w:r w:rsidR="00D03D95" w:rsidRPr="00D01115">
        <w:t>active exclusion of the majority of people from processes</w:t>
      </w:r>
      <w:r w:rsidR="00D00812" w:rsidRPr="00D01115">
        <w:t xml:space="preserve"> of decision-making</w:t>
      </w:r>
      <w:r w:rsidR="006D0F01">
        <w:t>, and</w:t>
      </w:r>
      <w:r w:rsidR="00D03D95" w:rsidRPr="00D01115">
        <w:t xml:space="preserve"> </w:t>
      </w:r>
      <w:r w:rsidR="006D0F01">
        <w:t xml:space="preserve">on </w:t>
      </w:r>
      <w:r w:rsidR="00D03D95" w:rsidRPr="00D01115">
        <w:t xml:space="preserve">the </w:t>
      </w:r>
      <w:r w:rsidR="00DB22A0" w:rsidRPr="00D01115">
        <w:t>enforcement of publicity as a</w:t>
      </w:r>
      <w:r w:rsidR="003629D6" w:rsidRPr="00D01115">
        <w:t xml:space="preserve"> </w:t>
      </w:r>
      <w:r w:rsidR="00A459E7" w:rsidRPr="00D01115">
        <w:t xml:space="preserve">means of </w:t>
      </w:r>
      <w:r w:rsidR="00D7323C" w:rsidRPr="00D01115">
        <w:t>entrenching</w:t>
      </w:r>
      <w:r w:rsidR="00A459E7" w:rsidRPr="00D01115">
        <w:t xml:space="preserve"> their </w:t>
      </w:r>
      <w:r w:rsidR="00D7323C" w:rsidRPr="00D01115">
        <w:t xml:space="preserve">own </w:t>
      </w:r>
      <w:r w:rsidR="00A459E7" w:rsidRPr="00D01115">
        <w:t>modes of verification</w:t>
      </w:r>
      <w:r w:rsidR="003629D6" w:rsidRPr="00D01115">
        <w:t xml:space="preserve">. </w:t>
      </w:r>
      <w:r w:rsidR="006436D4" w:rsidRPr="00D01115">
        <w:t xml:space="preserve">Soothsaying was </w:t>
      </w:r>
      <w:r w:rsidR="00283B43" w:rsidRPr="00D01115">
        <w:t xml:space="preserve">certainly </w:t>
      </w:r>
      <w:r w:rsidR="006436D4" w:rsidRPr="00D01115">
        <w:t>superstitious</w:t>
      </w:r>
      <w:r w:rsidR="00A7562D" w:rsidRPr="00D01115">
        <w:t xml:space="preserve">, illicit, even dubious, </w:t>
      </w:r>
      <w:r w:rsidR="006436D4" w:rsidRPr="00D01115">
        <w:t>and it may have raised eyebrows</w:t>
      </w:r>
      <w:r w:rsidR="00A7562D" w:rsidRPr="00D01115">
        <w:t xml:space="preserve"> among respectable neighbours</w:t>
      </w:r>
      <w:r w:rsidR="006436D4" w:rsidRPr="00D01115">
        <w:t xml:space="preserve">. But it </w:t>
      </w:r>
      <w:r w:rsidR="00B64107" w:rsidRPr="00D01115">
        <w:t xml:space="preserve">also </w:t>
      </w:r>
      <w:r w:rsidR="006F245F" w:rsidRPr="00D01115">
        <w:t xml:space="preserve">offered non-elite laypeople </w:t>
      </w:r>
      <w:r w:rsidR="008E3943" w:rsidRPr="00D01115">
        <w:t>an escape from the vicious</w:t>
      </w:r>
      <w:r w:rsidR="00EA45D1" w:rsidRPr="00D01115">
        <w:t xml:space="preserve"> publicity</w:t>
      </w:r>
      <w:r w:rsidR="008E3943" w:rsidRPr="00D01115">
        <w:t xml:space="preserve"> of </w:t>
      </w:r>
      <w:r w:rsidR="007E72EF" w:rsidRPr="00D01115">
        <w:t xml:space="preserve">medieval </w:t>
      </w:r>
      <w:r w:rsidR="008E3943" w:rsidRPr="00D01115">
        <w:t>legal culture</w:t>
      </w:r>
      <w:r w:rsidR="00891DAB">
        <w:t xml:space="preserve">, its restricted conception of truth as exposure, and </w:t>
      </w:r>
      <w:r w:rsidR="00EA45D1" w:rsidRPr="00D01115">
        <w:t xml:space="preserve">a different route to </w:t>
      </w:r>
      <w:r w:rsidR="00A45B60">
        <w:t>justice</w:t>
      </w:r>
      <w:r w:rsidR="008E3943" w:rsidRPr="00D01115">
        <w:t>.</w:t>
      </w:r>
    </w:p>
    <w:p w14:paraId="02BAC785" w14:textId="77777777" w:rsidR="007945A9" w:rsidRPr="00D01115" w:rsidRDefault="007945A9">
      <w:pPr>
        <w:rPr>
          <w:b/>
          <w:bCs/>
        </w:rPr>
      </w:pPr>
    </w:p>
    <w:p w14:paraId="5284E1B4" w14:textId="77777777" w:rsidR="00F52234" w:rsidRPr="00D01115" w:rsidRDefault="00552465" w:rsidP="00DE5C95">
      <w:pPr>
        <w:jc w:val="center"/>
        <w:rPr>
          <w:b/>
          <w:bCs/>
        </w:rPr>
      </w:pPr>
      <w:r w:rsidRPr="00D01115">
        <w:rPr>
          <w:b/>
          <w:bCs/>
        </w:rPr>
        <w:t>I</w:t>
      </w:r>
      <w:r w:rsidR="00DE5C95" w:rsidRPr="00D01115">
        <w:rPr>
          <w:b/>
          <w:bCs/>
        </w:rPr>
        <w:t>V</w:t>
      </w:r>
    </w:p>
    <w:p w14:paraId="4ED39AEF" w14:textId="77777777" w:rsidR="007A17F0" w:rsidRPr="00D01115" w:rsidRDefault="007A17F0"/>
    <w:p w14:paraId="26EB9399" w14:textId="0C55A3AB" w:rsidR="00070E26" w:rsidRPr="00D01115" w:rsidRDefault="00E32724" w:rsidP="00D62E91">
      <w:r w:rsidRPr="00D01115">
        <w:t>I</w:t>
      </w:r>
      <w:r w:rsidR="00E314BF" w:rsidRPr="00D01115">
        <w:t xml:space="preserve">n this article </w:t>
      </w:r>
      <w:proofErr w:type="gramStart"/>
      <w:r w:rsidR="00E314BF" w:rsidRPr="00D01115">
        <w:t>I’ve</w:t>
      </w:r>
      <w:proofErr w:type="gramEnd"/>
      <w:r w:rsidR="00E314BF" w:rsidRPr="00D01115">
        <w:t xml:space="preserve"> </w:t>
      </w:r>
      <w:r w:rsidR="00B47A28" w:rsidRPr="00D01115">
        <w:t>argued</w:t>
      </w:r>
      <w:r w:rsidRPr="00D01115">
        <w:t xml:space="preserve"> that soothsaying</w:t>
      </w:r>
      <w:r w:rsidR="002069E2" w:rsidRPr="00D01115">
        <w:t xml:space="preserve"> in late-medieval England</w:t>
      </w:r>
      <w:r w:rsidRPr="00D01115">
        <w:t xml:space="preserve"> was </w:t>
      </w:r>
      <w:r w:rsidR="002C772D" w:rsidRPr="00D01115">
        <w:t xml:space="preserve">not merely a kind of superstitious practice, but </w:t>
      </w:r>
      <w:r w:rsidR="00C465A7" w:rsidRPr="00D01115">
        <w:t xml:space="preserve">also </w:t>
      </w:r>
      <w:r w:rsidR="001979A8" w:rsidRPr="00D01115">
        <w:t xml:space="preserve">represented </w:t>
      </w:r>
      <w:r w:rsidR="00895053" w:rsidRPr="00D01115">
        <w:t xml:space="preserve">a </w:t>
      </w:r>
      <w:r w:rsidR="00B64107" w:rsidRPr="00D01115">
        <w:t>means of</w:t>
      </w:r>
      <w:r w:rsidR="001979A8" w:rsidRPr="00D01115">
        <w:t xml:space="preserve"> </w:t>
      </w:r>
      <w:r w:rsidR="0030032A" w:rsidRPr="00D01115">
        <w:t xml:space="preserve">uncovering </w:t>
      </w:r>
      <w:r w:rsidR="00895053" w:rsidRPr="00D01115">
        <w:t>the truth</w:t>
      </w:r>
      <w:r w:rsidR="00B64107" w:rsidRPr="00D01115">
        <w:t xml:space="preserve"> that interfered with the </w:t>
      </w:r>
      <w:r w:rsidR="00EE2D0B" w:rsidRPr="00D01115">
        <w:t>workings</w:t>
      </w:r>
      <w:r w:rsidR="00B64107" w:rsidRPr="00D01115">
        <w:t xml:space="preserve"> </w:t>
      </w:r>
      <w:r w:rsidR="00EE2D0B" w:rsidRPr="00D01115">
        <w:t>of</w:t>
      </w:r>
      <w:r w:rsidR="00B64107" w:rsidRPr="00D01115">
        <w:t xml:space="preserve"> law-courts</w:t>
      </w:r>
      <w:r w:rsidR="00C465A7" w:rsidRPr="00D01115">
        <w:t>.</w:t>
      </w:r>
      <w:r w:rsidR="0022633D" w:rsidRPr="00D01115">
        <w:t xml:space="preserve"> </w:t>
      </w:r>
      <w:r w:rsidR="00EE2D0B" w:rsidRPr="00D01115">
        <w:t>T</w:t>
      </w:r>
      <w:r w:rsidR="0022633D" w:rsidRPr="00D01115">
        <w:t xml:space="preserve">he kind of truth that </w:t>
      </w:r>
      <w:r w:rsidR="00EE2D0B" w:rsidRPr="00D01115">
        <w:t>soothsaying</w:t>
      </w:r>
      <w:r w:rsidR="0022633D" w:rsidRPr="00D01115">
        <w:t xml:space="preserve"> purported to </w:t>
      </w:r>
      <w:r w:rsidR="00EE2D0B" w:rsidRPr="00D01115">
        <w:t>uncover</w:t>
      </w:r>
      <w:r w:rsidR="00C465A7" w:rsidRPr="00D01115">
        <w:t xml:space="preserve">, </w:t>
      </w:r>
      <w:r w:rsidR="00EE2D0B" w:rsidRPr="00D01115">
        <w:t>I have suggested</w:t>
      </w:r>
      <w:r w:rsidR="00C465A7" w:rsidRPr="00D01115">
        <w:t xml:space="preserve">, </w:t>
      </w:r>
      <w:r w:rsidR="0022633D" w:rsidRPr="00D01115">
        <w:t xml:space="preserve">was </w:t>
      </w:r>
      <w:r w:rsidR="00C22BB3" w:rsidRPr="00D01115">
        <w:t>valuable</w:t>
      </w:r>
      <w:r w:rsidR="0022633D" w:rsidRPr="00D01115">
        <w:t xml:space="preserve"> to people precisely because it did not conform to the co-ordinates set for truth by </w:t>
      </w:r>
      <w:r w:rsidR="00B47A28" w:rsidRPr="00D01115">
        <w:t xml:space="preserve">the trustworthy men who dominated </w:t>
      </w:r>
      <w:r w:rsidR="0022633D" w:rsidRPr="00D01115">
        <w:t>local courts</w:t>
      </w:r>
      <w:r w:rsidR="00B47A28" w:rsidRPr="00D01115">
        <w:t xml:space="preserve"> and their decision-making processes</w:t>
      </w:r>
      <w:r w:rsidR="0022633D" w:rsidRPr="00D01115">
        <w:t xml:space="preserve">. </w:t>
      </w:r>
      <w:r w:rsidR="00EE2D0B" w:rsidRPr="00D01115">
        <w:t>T</w:t>
      </w:r>
      <w:r w:rsidR="00051B5C" w:rsidRPr="00D01115">
        <w:t xml:space="preserve">his is significant </w:t>
      </w:r>
      <w:r w:rsidR="00EE2D0B" w:rsidRPr="00D01115">
        <w:t xml:space="preserve">in the first place </w:t>
      </w:r>
      <w:r w:rsidR="00051B5C" w:rsidRPr="00D01115">
        <w:t xml:space="preserve">because it shows us with more fine-grained detail the </w:t>
      </w:r>
      <w:r w:rsidR="00253F3E" w:rsidRPr="00D01115">
        <w:t xml:space="preserve">contours of </w:t>
      </w:r>
      <w:r w:rsidR="00BA5642" w:rsidRPr="00D01115">
        <w:t xml:space="preserve">the </w:t>
      </w:r>
      <w:r w:rsidR="00B32008" w:rsidRPr="00D01115">
        <w:t>widespread</w:t>
      </w:r>
      <w:r w:rsidR="00BA5642" w:rsidRPr="00D01115">
        <w:t xml:space="preserve"> </w:t>
      </w:r>
      <w:r w:rsidR="00253F3E" w:rsidRPr="00D01115">
        <w:t xml:space="preserve">dissatisfaction with the </w:t>
      </w:r>
      <w:r w:rsidR="0067418B">
        <w:t xml:space="preserve">legal system </w:t>
      </w:r>
      <w:r w:rsidR="00253F3E" w:rsidRPr="00D01115">
        <w:t xml:space="preserve">that </w:t>
      </w:r>
      <w:r w:rsidR="00BA5642" w:rsidRPr="00D01115">
        <w:t xml:space="preserve">was </w:t>
      </w:r>
      <w:r w:rsidR="00253F3E" w:rsidRPr="00D01115">
        <w:t>endemic in late-medieval England.</w:t>
      </w:r>
      <w:r w:rsidR="00253F3E" w:rsidRPr="00D01115">
        <w:rPr>
          <w:rStyle w:val="FootnoteReference"/>
        </w:rPr>
        <w:footnoteReference w:id="86"/>
      </w:r>
      <w:r w:rsidR="00EE2D0B" w:rsidRPr="00D01115">
        <w:t xml:space="preserve"> But it is also instructive because it reveals </w:t>
      </w:r>
      <w:r w:rsidR="00EA45D1" w:rsidRPr="00D01115">
        <w:t>the politics of th</w:t>
      </w:r>
      <w:r w:rsidR="00117BD5">
        <w:t>is</w:t>
      </w:r>
      <w:r w:rsidR="00EA45D1" w:rsidRPr="00D01115">
        <w:t xml:space="preserve"> legal culture of publicity</w:t>
      </w:r>
      <w:r w:rsidR="00BA4D70" w:rsidRPr="00D01115">
        <w:t xml:space="preserve">, showing up the ways in which this purportedly </w:t>
      </w:r>
      <w:r w:rsidR="00E25774" w:rsidRPr="00D01115">
        <w:t xml:space="preserve">natural or desirable quality of </w:t>
      </w:r>
      <w:r w:rsidR="00966EFB" w:rsidRPr="00D01115">
        <w:t xml:space="preserve">medieval </w:t>
      </w:r>
      <w:r w:rsidR="00E25774" w:rsidRPr="00D01115">
        <w:t xml:space="preserve">justice </w:t>
      </w:r>
      <w:r w:rsidR="00CA4FDB" w:rsidRPr="00D01115">
        <w:t xml:space="preserve">served an ideological imperative of exposure. </w:t>
      </w:r>
      <w:r w:rsidR="00BE195C" w:rsidRPr="00D01115">
        <w:t xml:space="preserve">In this </w:t>
      </w:r>
      <w:r w:rsidR="00EF5781" w:rsidRPr="00D01115">
        <w:t xml:space="preserve">final section, </w:t>
      </w:r>
      <w:r w:rsidR="00E314BF" w:rsidRPr="00D01115">
        <w:t>I would like to reflect on the implications of this analysis</w:t>
      </w:r>
      <w:r w:rsidR="00627AFE" w:rsidRPr="00D01115">
        <w:t xml:space="preserve"> for the way that we think about </w:t>
      </w:r>
      <w:r w:rsidR="002924DD" w:rsidRPr="00D01115">
        <w:t xml:space="preserve">medieval </w:t>
      </w:r>
      <w:r w:rsidR="00627AFE" w:rsidRPr="00D01115">
        <w:t>legal culture</w:t>
      </w:r>
      <w:r w:rsidR="002924DD" w:rsidRPr="00D01115">
        <w:t xml:space="preserve"> more generally</w:t>
      </w:r>
      <w:r w:rsidR="00627AFE" w:rsidRPr="00D01115">
        <w:t>.</w:t>
      </w:r>
      <w:r w:rsidR="00936FAF" w:rsidRPr="00D01115">
        <w:t xml:space="preserve"> </w:t>
      </w:r>
    </w:p>
    <w:p w14:paraId="368A2714" w14:textId="77777777" w:rsidR="00070E26" w:rsidRPr="00D01115" w:rsidRDefault="00070E26" w:rsidP="00D62E91"/>
    <w:p w14:paraId="6D0A0394" w14:textId="30FDFE56" w:rsidR="00AB0827" w:rsidRPr="00D01115" w:rsidRDefault="00936FAF" w:rsidP="00D62E91">
      <w:r w:rsidRPr="00D01115">
        <w:t xml:space="preserve">As I </w:t>
      </w:r>
      <w:r w:rsidR="00E01B7B" w:rsidRPr="00D01115">
        <w:t>noted above</w:t>
      </w:r>
      <w:r w:rsidRPr="00D01115">
        <w:t xml:space="preserve">, the idea of ‘dispute settlement’ has permeated the way that </w:t>
      </w:r>
      <w:r w:rsidR="007B3633" w:rsidRPr="00D01115">
        <w:t xml:space="preserve">medieval </w:t>
      </w:r>
      <w:r w:rsidRPr="00D01115">
        <w:t xml:space="preserve">historians have </w:t>
      </w:r>
      <w:r w:rsidR="00E92343" w:rsidRPr="00D01115">
        <w:t xml:space="preserve">thought about </w:t>
      </w:r>
      <w:r w:rsidR="003D0A39" w:rsidRPr="00D01115">
        <w:t xml:space="preserve">what </w:t>
      </w:r>
      <w:r w:rsidR="007B3633" w:rsidRPr="00D01115">
        <w:t>law-</w:t>
      </w:r>
      <w:r w:rsidR="003D0A39" w:rsidRPr="00D01115">
        <w:t>courts were doing</w:t>
      </w:r>
      <w:r w:rsidR="007B3633" w:rsidRPr="00D01115">
        <w:t xml:space="preserve"> for the last thirty years </w:t>
      </w:r>
      <w:r w:rsidR="00117BD5">
        <w:t>and</w:t>
      </w:r>
      <w:r w:rsidR="007B3633" w:rsidRPr="00D01115">
        <w:t xml:space="preserve"> more</w:t>
      </w:r>
      <w:r w:rsidR="004D4421" w:rsidRPr="00D01115">
        <w:t>.</w:t>
      </w:r>
      <w:r w:rsidR="004D4421" w:rsidRPr="00D01115">
        <w:rPr>
          <w:rStyle w:val="FootnoteReference"/>
        </w:rPr>
        <w:footnoteReference w:id="87"/>
      </w:r>
      <w:r w:rsidR="00092ADC" w:rsidRPr="00D01115">
        <w:t xml:space="preserve"> </w:t>
      </w:r>
      <w:r w:rsidR="00B77E7B" w:rsidRPr="00D01115">
        <w:t xml:space="preserve">In recent accounts, </w:t>
      </w:r>
      <w:r w:rsidR="004E62A3" w:rsidRPr="00D01115">
        <w:t xml:space="preserve">this has evolved into a </w:t>
      </w:r>
      <w:r w:rsidR="007B3633" w:rsidRPr="00D01115">
        <w:t xml:space="preserve">broader </w:t>
      </w:r>
      <w:r w:rsidR="004E62A3" w:rsidRPr="00D01115">
        <w:t>conception of law and society that, in common with broader trends in legal studies, seeks to smooth the boundary between these domains.</w:t>
      </w:r>
      <w:r w:rsidR="004E62A3" w:rsidRPr="00D01115">
        <w:rPr>
          <w:rStyle w:val="FootnoteReference"/>
          <w:color w:val="000000"/>
        </w:rPr>
        <w:footnoteReference w:id="88"/>
      </w:r>
      <w:r w:rsidR="004E62A3" w:rsidRPr="00D01115">
        <w:t xml:space="preserve"> Such an approach relies </w:t>
      </w:r>
      <w:r w:rsidR="00F5167C" w:rsidRPr="00D01115">
        <w:t xml:space="preserve">fundamentally on the </w:t>
      </w:r>
      <w:r w:rsidR="00D62E91" w:rsidRPr="00D01115">
        <w:t xml:space="preserve">notion </w:t>
      </w:r>
      <w:r w:rsidR="00F5167C" w:rsidRPr="00D01115">
        <w:t xml:space="preserve">of a </w:t>
      </w:r>
      <w:r w:rsidR="00D62E91" w:rsidRPr="00D01115">
        <w:t>common</w:t>
      </w:r>
      <w:r w:rsidR="00F5167C" w:rsidRPr="00D01115">
        <w:t xml:space="preserve"> culture </w:t>
      </w:r>
      <w:r w:rsidR="007B3633" w:rsidRPr="00D01115">
        <w:t xml:space="preserve">of signification </w:t>
      </w:r>
      <w:r w:rsidR="00CE317B" w:rsidRPr="00D01115">
        <w:t xml:space="preserve">between the educated elites who ran the courts and recorded their procedures, </w:t>
      </w:r>
      <w:r w:rsidR="007B3633" w:rsidRPr="00D01115">
        <w:t xml:space="preserve">the local elites who acted as representatives of their communities, and the people whom they </w:t>
      </w:r>
      <w:r w:rsidR="00506650" w:rsidRPr="00D01115">
        <w:t>governed</w:t>
      </w:r>
      <w:r w:rsidR="00CE317B" w:rsidRPr="00D01115">
        <w:t xml:space="preserve">. </w:t>
      </w:r>
      <w:r w:rsidR="00D62E91" w:rsidRPr="00D01115">
        <w:t xml:space="preserve">The commonness of this culture, moreover, has been explained </w:t>
      </w:r>
      <w:r w:rsidR="00D62E91" w:rsidRPr="00D01115">
        <w:rPr>
          <w:i/>
          <w:iCs/>
        </w:rPr>
        <w:t>through</w:t>
      </w:r>
      <w:r w:rsidR="00D62E91" w:rsidRPr="00D01115">
        <w:t xml:space="preserve"> the publicity of law-courts. A</w:t>
      </w:r>
      <w:r w:rsidR="007B3633" w:rsidRPr="00D01115">
        <w:t>s Chris Wickham has put it, ‘</w:t>
      </w:r>
      <w:r w:rsidR="00117BD5">
        <w:t>m</w:t>
      </w:r>
      <w:r w:rsidR="007B3633" w:rsidRPr="00D01115">
        <w:t>aking a legal relationship public was a relatively clear-cut matter of words and actions, spoken or performed in front of an audience. People might well disagree about the meaning of these acts…but they did not disagree that such acts had meaning.’</w:t>
      </w:r>
      <w:r w:rsidR="007B3633" w:rsidRPr="00D01115">
        <w:rPr>
          <w:rStyle w:val="FootnoteReference"/>
        </w:rPr>
        <w:footnoteReference w:id="89"/>
      </w:r>
    </w:p>
    <w:p w14:paraId="34383263" w14:textId="77777777" w:rsidR="00BA7B5E" w:rsidRPr="00D01115" w:rsidRDefault="00BA7B5E">
      <w:pPr>
        <w:rPr>
          <w:color w:val="000000"/>
        </w:rPr>
      </w:pPr>
    </w:p>
    <w:p w14:paraId="6AF1CFE9" w14:textId="5221BD19" w:rsidR="007B3633" w:rsidRPr="00D01115" w:rsidRDefault="00B7467F" w:rsidP="00936FAF">
      <w:pPr>
        <w:rPr>
          <w:color w:val="000000"/>
        </w:rPr>
      </w:pPr>
      <w:r>
        <w:rPr>
          <w:color w:val="000000"/>
        </w:rPr>
        <w:t>It is clear</w:t>
      </w:r>
      <w:r w:rsidR="00117BD5">
        <w:rPr>
          <w:color w:val="000000"/>
        </w:rPr>
        <w:t xml:space="preserve"> that there was</w:t>
      </w:r>
      <w:r w:rsidR="00D62E91" w:rsidRPr="00D01115">
        <w:rPr>
          <w:color w:val="000000"/>
        </w:rPr>
        <w:t xml:space="preserve"> a broad cultural </w:t>
      </w:r>
      <w:r w:rsidR="00297889" w:rsidRPr="00D01115">
        <w:rPr>
          <w:color w:val="000000"/>
        </w:rPr>
        <w:t xml:space="preserve">understanding of legal signification </w:t>
      </w:r>
      <w:r w:rsidR="00AB0827" w:rsidRPr="00D01115">
        <w:rPr>
          <w:color w:val="000000"/>
        </w:rPr>
        <w:t>in the later Middle Ages</w:t>
      </w:r>
      <w:r>
        <w:rPr>
          <w:color w:val="000000"/>
        </w:rPr>
        <w:t>, and i</w:t>
      </w:r>
      <w:r w:rsidR="00762853" w:rsidRPr="00D01115">
        <w:rPr>
          <w:color w:val="000000"/>
        </w:rPr>
        <w:t xml:space="preserve">f we are still to call ourselves </w:t>
      </w:r>
      <w:r w:rsidR="00AB0827" w:rsidRPr="00D01115">
        <w:rPr>
          <w:color w:val="000000"/>
        </w:rPr>
        <w:t>cultural historian</w:t>
      </w:r>
      <w:r w:rsidR="00762853" w:rsidRPr="00D01115">
        <w:rPr>
          <w:color w:val="000000"/>
        </w:rPr>
        <w:t>s</w:t>
      </w:r>
      <w:r w:rsidR="00AB0827" w:rsidRPr="00D01115">
        <w:rPr>
          <w:color w:val="000000"/>
        </w:rPr>
        <w:t xml:space="preserve">, </w:t>
      </w:r>
      <w:r w:rsidR="00762853" w:rsidRPr="00D01115">
        <w:rPr>
          <w:color w:val="000000"/>
        </w:rPr>
        <w:t>then we have to believe that</w:t>
      </w:r>
      <w:r w:rsidR="00297889" w:rsidRPr="00D01115">
        <w:rPr>
          <w:color w:val="000000"/>
        </w:rPr>
        <w:t xml:space="preserve"> the people we stud</w:t>
      </w:r>
      <w:r w:rsidR="008D2A9C" w:rsidRPr="00D01115">
        <w:rPr>
          <w:color w:val="000000"/>
        </w:rPr>
        <w:t>y</w:t>
      </w:r>
      <w:r w:rsidR="00297889" w:rsidRPr="00D01115">
        <w:rPr>
          <w:color w:val="000000"/>
        </w:rPr>
        <w:t xml:space="preserve"> had meaningful interactions with one another – the meaningfulness of which</w:t>
      </w:r>
      <w:r w:rsidR="00762853" w:rsidRPr="00D01115">
        <w:rPr>
          <w:color w:val="000000"/>
        </w:rPr>
        <w:t>, in turn,</w:t>
      </w:r>
      <w:r w:rsidR="00297889" w:rsidRPr="00D01115">
        <w:rPr>
          <w:color w:val="000000"/>
        </w:rPr>
        <w:t xml:space="preserve"> depended on </w:t>
      </w:r>
      <w:r w:rsidR="008D2A9C" w:rsidRPr="00D01115">
        <w:rPr>
          <w:color w:val="000000"/>
        </w:rPr>
        <w:t>mutually-intelligible</w:t>
      </w:r>
      <w:r w:rsidR="00D05F6A" w:rsidRPr="00D01115">
        <w:rPr>
          <w:color w:val="000000"/>
        </w:rPr>
        <w:t xml:space="preserve"> ideas about </w:t>
      </w:r>
      <w:r w:rsidR="00D62E91" w:rsidRPr="00D01115">
        <w:rPr>
          <w:color w:val="000000"/>
        </w:rPr>
        <w:t>meaning.</w:t>
      </w:r>
      <w:r w:rsidR="008D2A9C" w:rsidRPr="00D01115">
        <w:rPr>
          <w:rStyle w:val="FootnoteReference"/>
          <w:color w:val="000000"/>
        </w:rPr>
        <w:footnoteReference w:id="90"/>
      </w:r>
      <w:r w:rsidR="00D62E91" w:rsidRPr="00D01115">
        <w:rPr>
          <w:color w:val="000000"/>
        </w:rPr>
        <w:t xml:space="preserve"> </w:t>
      </w:r>
      <w:r>
        <w:rPr>
          <w:color w:val="000000"/>
        </w:rPr>
        <w:t xml:space="preserve">At the same time, however, I would like to suggest </w:t>
      </w:r>
      <w:r w:rsidR="00553F23" w:rsidRPr="00D01115">
        <w:rPr>
          <w:color w:val="000000"/>
        </w:rPr>
        <w:t>that we think more about</w:t>
      </w:r>
      <w:r w:rsidR="005F52C3" w:rsidRPr="00D01115">
        <w:rPr>
          <w:color w:val="000000"/>
        </w:rPr>
        <w:t xml:space="preserve"> </w:t>
      </w:r>
      <w:r w:rsidR="00506650" w:rsidRPr="00D01115">
        <w:rPr>
          <w:color w:val="000000"/>
        </w:rPr>
        <w:t xml:space="preserve">the </w:t>
      </w:r>
      <w:r w:rsidR="00762853" w:rsidRPr="00D01115">
        <w:rPr>
          <w:color w:val="000000"/>
        </w:rPr>
        <w:t xml:space="preserve">concepts </w:t>
      </w:r>
      <w:r w:rsidR="00506650" w:rsidRPr="00D01115">
        <w:rPr>
          <w:color w:val="000000"/>
        </w:rPr>
        <w:t>that governed these interactions</w:t>
      </w:r>
      <w:r w:rsidR="00553F23" w:rsidRPr="00D01115">
        <w:rPr>
          <w:color w:val="000000"/>
        </w:rPr>
        <w:t>.</w:t>
      </w:r>
      <w:r w:rsidR="00BA7B5E" w:rsidRPr="00D01115">
        <w:rPr>
          <w:rStyle w:val="FootnoteReference"/>
          <w:color w:val="000000"/>
        </w:rPr>
        <w:footnoteReference w:id="91"/>
      </w:r>
      <w:r w:rsidR="00D62E91" w:rsidRPr="00D01115">
        <w:rPr>
          <w:color w:val="000000"/>
        </w:rPr>
        <w:t xml:space="preserve"> </w:t>
      </w:r>
      <w:r>
        <w:rPr>
          <w:color w:val="000000"/>
        </w:rPr>
        <w:t>The idea of publicity</w:t>
      </w:r>
      <w:r w:rsidR="005F52C3" w:rsidRPr="00D01115">
        <w:rPr>
          <w:color w:val="000000"/>
        </w:rPr>
        <w:t xml:space="preserve">, </w:t>
      </w:r>
      <w:r w:rsidR="00390ADC" w:rsidRPr="00D01115">
        <w:rPr>
          <w:color w:val="000000"/>
        </w:rPr>
        <w:t>as we have seen</w:t>
      </w:r>
      <w:r w:rsidR="00A137CF" w:rsidRPr="00D01115">
        <w:rPr>
          <w:color w:val="000000"/>
        </w:rPr>
        <w:t xml:space="preserve">, </w:t>
      </w:r>
      <w:r>
        <w:rPr>
          <w:color w:val="000000"/>
        </w:rPr>
        <w:t>is</w:t>
      </w:r>
      <w:r w:rsidRPr="00D01115">
        <w:rPr>
          <w:color w:val="000000"/>
        </w:rPr>
        <w:t xml:space="preserve"> </w:t>
      </w:r>
      <w:r w:rsidR="00762853" w:rsidRPr="00D01115">
        <w:rPr>
          <w:color w:val="000000"/>
        </w:rPr>
        <w:t>not innocent.</w:t>
      </w:r>
      <w:r w:rsidR="00390ADC" w:rsidRPr="00D01115">
        <w:rPr>
          <w:color w:val="000000"/>
        </w:rPr>
        <w:t xml:space="preserve"> </w:t>
      </w:r>
      <w:r>
        <w:rPr>
          <w:color w:val="000000"/>
        </w:rPr>
        <w:t xml:space="preserve">And more generally, </w:t>
      </w:r>
      <w:r>
        <w:rPr>
          <w:color w:val="000000"/>
        </w:rPr>
        <w:lastRenderedPageBreak/>
        <w:t>w</w:t>
      </w:r>
      <w:r w:rsidR="0026647B" w:rsidRPr="00D01115">
        <w:rPr>
          <w:color w:val="000000"/>
        </w:rPr>
        <w:t xml:space="preserve">e need to become more adept at recognizing </w:t>
      </w:r>
      <w:r w:rsidR="00E663F7" w:rsidRPr="00D01115">
        <w:rPr>
          <w:color w:val="000000"/>
        </w:rPr>
        <w:t>those</w:t>
      </w:r>
      <w:r w:rsidR="0026647B" w:rsidRPr="00D01115">
        <w:rPr>
          <w:color w:val="000000"/>
        </w:rPr>
        <w:t xml:space="preserve"> </w:t>
      </w:r>
      <w:r>
        <w:rPr>
          <w:color w:val="000000"/>
        </w:rPr>
        <w:t>concepts</w:t>
      </w:r>
      <w:r w:rsidRPr="00D01115">
        <w:rPr>
          <w:color w:val="000000"/>
        </w:rPr>
        <w:t xml:space="preserve"> </w:t>
      </w:r>
      <w:r w:rsidR="0026647B" w:rsidRPr="00D01115">
        <w:rPr>
          <w:color w:val="000000"/>
        </w:rPr>
        <w:t xml:space="preserve">– Ian Forrest has pointed to trust, Valentin </w:t>
      </w:r>
      <w:proofErr w:type="spellStart"/>
      <w:r w:rsidR="0026647B" w:rsidRPr="00D01115">
        <w:rPr>
          <w:color w:val="000000"/>
        </w:rPr>
        <w:t>Groebner</w:t>
      </w:r>
      <w:proofErr w:type="spellEnd"/>
      <w:r w:rsidR="0026647B" w:rsidRPr="00D01115">
        <w:rPr>
          <w:color w:val="000000"/>
        </w:rPr>
        <w:t xml:space="preserve"> to identification – </w:t>
      </w:r>
      <w:r w:rsidR="00E663F7" w:rsidRPr="00D01115">
        <w:rPr>
          <w:color w:val="000000"/>
        </w:rPr>
        <w:t>that</w:t>
      </w:r>
      <w:r w:rsidR="0026647B" w:rsidRPr="00D01115">
        <w:rPr>
          <w:color w:val="000000"/>
        </w:rPr>
        <w:t xml:space="preserve"> </w:t>
      </w:r>
      <w:r w:rsidR="00E663F7" w:rsidRPr="00D01115">
        <w:rPr>
          <w:color w:val="000000"/>
        </w:rPr>
        <w:t>seem</w:t>
      </w:r>
      <w:r w:rsidR="0026647B" w:rsidRPr="00D01115">
        <w:rPr>
          <w:color w:val="000000"/>
        </w:rPr>
        <w:t xml:space="preserve"> </w:t>
      </w:r>
      <w:r w:rsidR="00E663F7" w:rsidRPr="00D01115">
        <w:rPr>
          <w:color w:val="000000"/>
        </w:rPr>
        <w:t xml:space="preserve">to </w:t>
      </w:r>
      <w:r w:rsidR="0026647B" w:rsidRPr="00D01115">
        <w:rPr>
          <w:color w:val="000000"/>
        </w:rPr>
        <w:t xml:space="preserve">act as neutral surfaces for cultural transfer, whilst </w:t>
      </w:r>
      <w:r w:rsidR="00070E26" w:rsidRPr="00D01115">
        <w:rPr>
          <w:color w:val="000000"/>
        </w:rPr>
        <w:t>actually</w:t>
      </w:r>
      <w:r w:rsidR="0026647B" w:rsidRPr="00D01115">
        <w:rPr>
          <w:color w:val="000000"/>
        </w:rPr>
        <w:t xml:space="preserve"> skewing its possibilities</w:t>
      </w:r>
      <w:r w:rsidR="00E35934" w:rsidRPr="00D01115">
        <w:rPr>
          <w:color w:val="000000"/>
        </w:rPr>
        <w:t xml:space="preserve"> in particular directions</w:t>
      </w:r>
      <w:r w:rsidR="0026647B" w:rsidRPr="00D01115">
        <w:rPr>
          <w:color w:val="000000"/>
        </w:rPr>
        <w:t>.</w:t>
      </w:r>
      <w:r w:rsidR="00BA7B5E" w:rsidRPr="00D01115">
        <w:rPr>
          <w:rStyle w:val="FootnoteReference"/>
          <w:color w:val="000000"/>
        </w:rPr>
        <w:footnoteReference w:id="92"/>
      </w:r>
      <w:r w:rsidR="002F7F0C">
        <w:rPr>
          <w:color w:val="000000"/>
        </w:rPr>
        <w:t xml:space="preserve"> </w:t>
      </w:r>
      <w:r w:rsidR="00DA72E5">
        <w:rPr>
          <w:color w:val="000000"/>
        </w:rPr>
        <w:t xml:space="preserve">It is not just that </w:t>
      </w:r>
      <w:r w:rsidR="002F7F0C">
        <w:rPr>
          <w:color w:val="000000"/>
        </w:rPr>
        <w:t>the ‘public’</w:t>
      </w:r>
      <w:r w:rsidR="00DA72E5">
        <w:rPr>
          <w:color w:val="000000"/>
        </w:rPr>
        <w:t xml:space="preserve"> is political (though of course it is), then, but that it </w:t>
      </w:r>
      <w:r w:rsidR="00C530BB">
        <w:rPr>
          <w:color w:val="000000"/>
        </w:rPr>
        <w:t xml:space="preserve">works to subtly </w:t>
      </w:r>
      <w:r w:rsidR="00DA72E5">
        <w:rPr>
          <w:color w:val="000000"/>
        </w:rPr>
        <w:t xml:space="preserve">foreclose possibilities </w:t>
      </w:r>
      <w:r>
        <w:rPr>
          <w:color w:val="000000"/>
        </w:rPr>
        <w:t xml:space="preserve">of power – </w:t>
      </w:r>
      <w:r w:rsidR="00C530BB">
        <w:rPr>
          <w:color w:val="000000"/>
        </w:rPr>
        <w:t>emphasizing</w:t>
      </w:r>
      <w:r>
        <w:rPr>
          <w:color w:val="000000"/>
        </w:rPr>
        <w:t xml:space="preserve"> </w:t>
      </w:r>
      <w:r w:rsidR="00C530BB">
        <w:rPr>
          <w:color w:val="000000"/>
        </w:rPr>
        <w:t xml:space="preserve">discourse at the expense of corporeality, attention at the expense of </w:t>
      </w:r>
      <w:r w:rsidR="00D74E00">
        <w:rPr>
          <w:color w:val="000000"/>
        </w:rPr>
        <w:t>poesis</w:t>
      </w:r>
      <w:r>
        <w:rPr>
          <w:color w:val="000000"/>
        </w:rPr>
        <w:t xml:space="preserve"> – in ways that shape the very bounds of the political</w:t>
      </w:r>
      <w:r w:rsidR="00511872">
        <w:rPr>
          <w:color w:val="000000"/>
        </w:rPr>
        <w:t>.</w:t>
      </w:r>
      <w:r w:rsidR="00511872">
        <w:rPr>
          <w:rStyle w:val="FootnoteReference"/>
          <w:color w:val="000000"/>
        </w:rPr>
        <w:footnoteReference w:id="93"/>
      </w:r>
      <w:r w:rsidR="00511872">
        <w:rPr>
          <w:color w:val="000000"/>
        </w:rPr>
        <w:t xml:space="preserve"> </w:t>
      </w:r>
      <w:r w:rsidR="00C530BB">
        <w:rPr>
          <w:color w:val="000000"/>
        </w:rPr>
        <w:t>A critical history of publicity</w:t>
      </w:r>
      <w:r>
        <w:rPr>
          <w:color w:val="000000"/>
        </w:rPr>
        <w:t xml:space="preserve"> itself</w:t>
      </w:r>
      <w:r w:rsidR="00D74E00">
        <w:rPr>
          <w:color w:val="000000"/>
        </w:rPr>
        <w:t xml:space="preserve">, interrogating </w:t>
      </w:r>
      <w:r w:rsidR="00A3342F">
        <w:rPr>
          <w:color w:val="000000"/>
        </w:rPr>
        <w:t xml:space="preserve">its lacunae and </w:t>
      </w:r>
      <w:r>
        <w:rPr>
          <w:color w:val="000000"/>
        </w:rPr>
        <w:t>exclusions,</w:t>
      </w:r>
      <w:r w:rsidR="00C530BB">
        <w:rPr>
          <w:color w:val="000000"/>
        </w:rPr>
        <w:t xml:space="preserve"> would find a rich terrain in the European Middle Ages.</w:t>
      </w:r>
      <w:r w:rsidR="00C530BB">
        <w:rPr>
          <w:rStyle w:val="FootnoteReference"/>
          <w:color w:val="000000"/>
        </w:rPr>
        <w:footnoteReference w:id="94"/>
      </w:r>
    </w:p>
    <w:p w14:paraId="59C21694" w14:textId="77777777" w:rsidR="001C04B2" w:rsidRPr="00D01115" w:rsidRDefault="001C04B2">
      <w:pPr>
        <w:rPr>
          <w:color w:val="000000"/>
        </w:rPr>
      </w:pPr>
    </w:p>
    <w:p w14:paraId="05E90C34" w14:textId="2468F922" w:rsidR="006E42B8" w:rsidRPr="00D01115" w:rsidRDefault="00B7467F" w:rsidP="00F77765">
      <w:pPr>
        <w:autoSpaceDE w:val="0"/>
        <w:autoSpaceDN w:val="0"/>
        <w:adjustRightInd w:val="0"/>
        <w:rPr>
          <w:rFonts w:eastAsiaTheme="minorHAnsi"/>
        </w:rPr>
      </w:pPr>
      <w:r>
        <w:rPr>
          <w:color w:val="000000"/>
        </w:rPr>
        <w:t xml:space="preserve">Concomitantly, </w:t>
      </w:r>
      <w:r w:rsidR="008714A4" w:rsidRPr="00D01115">
        <w:rPr>
          <w:color w:val="000000"/>
        </w:rPr>
        <w:t xml:space="preserve">we </w:t>
      </w:r>
      <w:r w:rsidR="00553F23" w:rsidRPr="00D01115">
        <w:rPr>
          <w:color w:val="000000"/>
        </w:rPr>
        <w:t xml:space="preserve">might </w:t>
      </w:r>
      <w:r>
        <w:rPr>
          <w:color w:val="000000"/>
        </w:rPr>
        <w:t xml:space="preserve">also </w:t>
      </w:r>
      <w:r w:rsidR="00553F23" w:rsidRPr="00D01115">
        <w:rPr>
          <w:color w:val="000000"/>
        </w:rPr>
        <w:t xml:space="preserve">think more </w:t>
      </w:r>
      <w:r>
        <w:rPr>
          <w:color w:val="000000"/>
        </w:rPr>
        <w:t>about the possibilities</w:t>
      </w:r>
      <w:r w:rsidR="00553F23" w:rsidRPr="00D01115">
        <w:rPr>
          <w:color w:val="000000"/>
        </w:rPr>
        <w:t xml:space="preserve"> of </w:t>
      </w:r>
      <w:r w:rsidR="008714A4" w:rsidRPr="00D01115">
        <w:rPr>
          <w:color w:val="000000"/>
        </w:rPr>
        <w:t>dissent</w:t>
      </w:r>
      <w:r>
        <w:rPr>
          <w:color w:val="000000"/>
        </w:rPr>
        <w:t xml:space="preserve"> within this culture</w:t>
      </w:r>
      <w:r w:rsidR="00553F23" w:rsidRPr="00D01115">
        <w:rPr>
          <w:color w:val="000000"/>
        </w:rPr>
        <w:t xml:space="preserve">, </w:t>
      </w:r>
      <w:r>
        <w:rPr>
          <w:color w:val="000000"/>
        </w:rPr>
        <w:t xml:space="preserve">especially </w:t>
      </w:r>
      <w:r w:rsidR="00553F23" w:rsidRPr="00D01115">
        <w:rPr>
          <w:color w:val="000000"/>
        </w:rPr>
        <w:t>as a way of understanding</w:t>
      </w:r>
      <w:r w:rsidR="008714A4" w:rsidRPr="00D01115">
        <w:rPr>
          <w:color w:val="000000"/>
        </w:rPr>
        <w:t xml:space="preserve"> </w:t>
      </w:r>
      <w:r w:rsidR="00553F23" w:rsidRPr="00D01115">
        <w:rPr>
          <w:color w:val="000000"/>
        </w:rPr>
        <w:t xml:space="preserve">a broad range of responses to </w:t>
      </w:r>
      <w:r w:rsidR="001C04B2" w:rsidRPr="00D01115">
        <w:rPr>
          <w:color w:val="000000"/>
        </w:rPr>
        <w:t>the kinds of hegemony</w:t>
      </w:r>
      <w:r w:rsidR="00192665" w:rsidRPr="00D01115">
        <w:rPr>
          <w:color w:val="000000"/>
        </w:rPr>
        <w:t xml:space="preserve"> </w:t>
      </w:r>
      <w:r w:rsidR="001C04B2" w:rsidRPr="00D01115">
        <w:rPr>
          <w:color w:val="000000"/>
        </w:rPr>
        <w:t>that emerge</w:t>
      </w:r>
      <w:r w:rsidR="00E1090B">
        <w:rPr>
          <w:color w:val="000000"/>
        </w:rPr>
        <w:t>d</w:t>
      </w:r>
      <w:r w:rsidR="001C04B2" w:rsidRPr="00D01115">
        <w:rPr>
          <w:color w:val="000000"/>
        </w:rPr>
        <w:t xml:space="preserve"> </w:t>
      </w:r>
      <w:r w:rsidR="00192665" w:rsidRPr="00D01115">
        <w:rPr>
          <w:color w:val="000000"/>
        </w:rPr>
        <w:t>in the later Middle Ages</w:t>
      </w:r>
      <w:r w:rsidR="001C04B2" w:rsidRPr="00D01115">
        <w:rPr>
          <w:color w:val="000000"/>
        </w:rPr>
        <w:t xml:space="preserve"> in concert with</w:t>
      </w:r>
      <w:r w:rsidR="00E1090B">
        <w:rPr>
          <w:color w:val="000000"/>
        </w:rPr>
        <w:t>, and response to</w:t>
      </w:r>
      <w:r w:rsidR="001C04B2" w:rsidRPr="00D01115">
        <w:rPr>
          <w:color w:val="000000"/>
        </w:rPr>
        <w:t xml:space="preserve"> the increasing complexity of </w:t>
      </w:r>
      <w:r>
        <w:rPr>
          <w:color w:val="000000"/>
        </w:rPr>
        <w:t xml:space="preserve">governmental </w:t>
      </w:r>
      <w:r w:rsidR="001C04B2" w:rsidRPr="00D01115">
        <w:rPr>
          <w:color w:val="000000"/>
        </w:rPr>
        <w:t>institutions</w:t>
      </w:r>
      <w:r w:rsidR="00553F23" w:rsidRPr="00D01115">
        <w:rPr>
          <w:color w:val="000000"/>
        </w:rPr>
        <w:t>.</w:t>
      </w:r>
      <w:r w:rsidR="00E1090B">
        <w:rPr>
          <w:rStyle w:val="FootnoteReference"/>
          <w:color w:val="000000"/>
        </w:rPr>
        <w:footnoteReference w:id="95"/>
      </w:r>
      <w:r w:rsidR="00553F23" w:rsidRPr="00D01115">
        <w:rPr>
          <w:color w:val="000000"/>
        </w:rPr>
        <w:t xml:space="preserve"> It is useful here, to return to </w:t>
      </w:r>
      <w:r w:rsidR="00AA04DE" w:rsidRPr="00D01115">
        <w:rPr>
          <w:color w:val="000000"/>
        </w:rPr>
        <w:t>the connections between soothsaying and</w:t>
      </w:r>
      <w:r w:rsidR="00553F23" w:rsidRPr="00D01115">
        <w:rPr>
          <w:color w:val="000000"/>
        </w:rPr>
        <w:t xml:space="preserve"> heresy</w:t>
      </w:r>
      <w:r w:rsidR="00B4145D">
        <w:rPr>
          <w:color w:val="000000"/>
        </w:rPr>
        <w:t>.</w:t>
      </w:r>
      <w:r w:rsidR="00553F23" w:rsidRPr="00D01115">
        <w:rPr>
          <w:color w:val="000000"/>
        </w:rPr>
        <w:t xml:space="preserve"> </w:t>
      </w:r>
      <w:r w:rsidR="00B4145D">
        <w:rPr>
          <w:color w:val="000000"/>
        </w:rPr>
        <w:t>For obvious reasons</w:t>
      </w:r>
      <w:r w:rsidR="0098575D" w:rsidRPr="00D01115">
        <w:rPr>
          <w:color w:val="000000"/>
        </w:rPr>
        <w:t>, h</w:t>
      </w:r>
      <w:r w:rsidR="006E42B8" w:rsidRPr="00D01115">
        <w:rPr>
          <w:color w:val="000000"/>
        </w:rPr>
        <w:t xml:space="preserve">istorians of religious belief have been </w:t>
      </w:r>
      <w:r w:rsidR="00EE5888" w:rsidRPr="00D01115">
        <w:rPr>
          <w:color w:val="000000"/>
        </w:rPr>
        <w:t>particularly adept</w:t>
      </w:r>
      <w:r w:rsidR="00534AC8" w:rsidRPr="00D01115">
        <w:rPr>
          <w:color w:val="000000"/>
        </w:rPr>
        <w:t xml:space="preserve"> </w:t>
      </w:r>
      <w:r w:rsidR="00EE5888" w:rsidRPr="00D01115">
        <w:rPr>
          <w:color w:val="000000"/>
        </w:rPr>
        <w:t xml:space="preserve">at </w:t>
      </w:r>
      <w:r w:rsidR="00534AC8" w:rsidRPr="00D01115">
        <w:rPr>
          <w:color w:val="000000"/>
        </w:rPr>
        <w:t xml:space="preserve">thinking about what it might have meant </w:t>
      </w:r>
      <w:r w:rsidR="00EE5888" w:rsidRPr="00D01115">
        <w:rPr>
          <w:color w:val="000000"/>
        </w:rPr>
        <w:t xml:space="preserve">for medieval people </w:t>
      </w:r>
      <w:r w:rsidR="00534AC8" w:rsidRPr="00D01115">
        <w:rPr>
          <w:color w:val="000000"/>
        </w:rPr>
        <w:t xml:space="preserve">to </w:t>
      </w:r>
      <w:r w:rsidR="001C04B2" w:rsidRPr="00D01115">
        <w:rPr>
          <w:color w:val="000000"/>
        </w:rPr>
        <w:t>oppose</w:t>
      </w:r>
      <w:r w:rsidR="0080376A" w:rsidRPr="00D01115">
        <w:rPr>
          <w:color w:val="000000"/>
        </w:rPr>
        <w:t xml:space="preserve"> </w:t>
      </w:r>
      <w:r w:rsidR="001C04B2" w:rsidRPr="00D01115">
        <w:rPr>
          <w:color w:val="000000"/>
        </w:rPr>
        <w:t>the</w:t>
      </w:r>
      <w:r w:rsidR="0080376A" w:rsidRPr="00D01115">
        <w:rPr>
          <w:color w:val="000000"/>
        </w:rPr>
        <w:t xml:space="preserve"> structures of thought</w:t>
      </w:r>
      <w:r w:rsidR="001C04B2" w:rsidRPr="00D01115">
        <w:rPr>
          <w:color w:val="000000"/>
        </w:rPr>
        <w:t xml:space="preserve"> </w:t>
      </w:r>
      <w:r w:rsidR="00B4145D">
        <w:rPr>
          <w:color w:val="000000"/>
        </w:rPr>
        <w:t>propagated</w:t>
      </w:r>
      <w:r w:rsidR="00B4145D" w:rsidRPr="00D01115">
        <w:rPr>
          <w:color w:val="000000"/>
        </w:rPr>
        <w:t xml:space="preserve"> </w:t>
      </w:r>
      <w:r w:rsidR="001C04B2" w:rsidRPr="00D01115">
        <w:rPr>
          <w:color w:val="000000"/>
        </w:rPr>
        <w:t>and defended by the institutional church</w:t>
      </w:r>
      <w:r w:rsidR="00534AC8" w:rsidRPr="00D01115">
        <w:rPr>
          <w:color w:val="000000"/>
        </w:rPr>
        <w:t>.</w:t>
      </w:r>
      <w:r w:rsidR="0098575D" w:rsidRPr="00D01115">
        <w:rPr>
          <w:color w:val="000000"/>
        </w:rPr>
        <w:t xml:space="preserve"> </w:t>
      </w:r>
      <w:r w:rsidR="009B1AAB" w:rsidRPr="00D01115">
        <w:rPr>
          <w:color w:val="000000"/>
        </w:rPr>
        <w:t>In particular, it is worth reflecting on</w:t>
      </w:r>
      <w:r w:rsidR="00F77765" w:rsidRPr="00D01115">
        <w:rPr>
          <w:color w:val="000000"/>
        </w:rPr>
        <w:t xml:space="preserve"> </w:t>
      </w:r>
      <w:r w:rsidR="009B1AAB" w:rsidRPr="00D01115">
        <w:rPr>
          <w:color w:val="000000"/>
        </w:rPr>
        <w:t xml:space="preserve">John Arnold’s </w:t>
      </w:r>
      <w:r w:rsidR="001C04B2" w:rsidRPr="00D01115">
        <w:rPr>
          <w:color w:val="000000"/>
        </w:rPr>
        <w:t xml:space="preserve">recent </w:t>
      </w:r>
      <w:r w:rsidR="009B1AAB" w:rsidRPr="00D01115">
        <w:rPr>
          <w:color w:val="000000"/>
        </w:rPr>
        <w:t>explication of the ways that ‘</w:t>
      </w:r>
      <w:r w:rsidR="009B1AAB" w:rsidRPr="00D01115">
        <w:rPr>
          <w:rFonts w:eastAsiaTheme="minorHAnsi"/>
        </w:rPr>
        <w:t>important strands of the expression of Lollard belief and identity emerge from and intertwine with other expressions of dissent’.</w:t>
      </w:r>
      <w:r w:rsidR="009B1AAB" w:rsidRPr="00D01115">
        <w:rPr>
          <w:rStyle w:val="FootnoteReference"/>
          <w:rFonts w:eastAsiaTheme="minorHAnsi"/>
        </w:rPr>
        <w:footnoteReference w:id="96"/>
      </w:r>
      <w:r w:rsidR="009B1AAB" w:rsidRPr="00D01115">
        <w:rPr>
          <w:rFonts w:eastAsiaTheme="minorHAnsi"/>
        </w:rPr>
        <w:t xml:space="preserve"> </w:t>
      </w:r>
      <w:r w:rsidR="00ED24CF" w:rsidRPr="00D01115">
        <w:rPr>
          <w:rFonts w:eastAsiaTheme="minorHAnsi"/>
        </w:rPr>
        <w:t xml:space="preserve">Part of being a Lollard, he </w:t>
      </w:r>
      <w:r w:rsidR="00B4145D">
        <w:rPr>
          <w:rFonts w:eastAsiaTheme="minorHAnsi"/>
        </w:rPr>
        <w:t>argues</w:t>
      </w:r>
      <w:r w:rsidR="00ED24CF" w:rsidRPr="00D01115">
        <w:rPr>
          <w:rFonts w:eastAsiaTheme="minorHAnsi"/>
        </w:rPr>
        <w:t xml:space="preserve">, </w:t>
      </w:r>
      <w:r w:rsidR="00861382" w:rsidRPr="00D01115">
        <w:rPr>
          <w:rFonts w:eastAsiaTheme="minorHAnsi"/>
        </w:rPr>
        <w:t xml:space="preserve">lay in </w:t>
      </w:r>
      <w:r w:rsidR="00ED24CF" w:rsidRPr="00D01115">
        <w:rPr>
          <w:rFonts w:eastAsiaTheme="minorHAnsi"/>
        </w:rPr>
        <w:t>a desire to challenge</w:t>
      </w:r>
      <w:r w:rsidR="00E02A9A" w:rsidRPr="00D01115">
        <w:rPr>
          <w:rFonts w:eastAsiaTheme="minorHAnsi"/>
        </w:rPr>
        <w:t xml:space="preserve"> orthodoxy</w:t>
      </w:r>
      <w:r w:rsidR="00F77765" w:rsidRPr="00D01115">
        <w:rPr>
          <w:rFonts w:eastAsiaTheme="minorHAnsi"/>
        </w:rPr>
        <w:t xml:space="preserve"> through expressions of anticlericalism, scepticism, disputation</w:t>
      </w:r>
      <w:r w:rsidR="00292A55" w:rsidRPr="00D01115">
        <w:rPr>
          <w:rFonts w:eastAsiaTheme="minorHAnsi"/>
        </w:rPr>
        <w:t xml:space="preserve"> (arguing with judges by citing scripture)</w:t>
      </w:r>
      <w:r w:rsidR="00F77765" w:rsidRPr="00D01115">
        <w:rPr>
          <w:rFonts w:eastAsiaTheme="minorHAnsi"/>
        </w:rPr>
        <w:t>, and rebellion</w:t>
      </w:r>
      <w:r w:rsidR="00292A55" w:rsidRPr="00D01115">
        <w:rPr>
          <w:rFonts w:eastAsiaTheme="minorHAnsi"/>
        </w:rPr>
        <w:t xml:space="preserve"> (making a mockery of the church)</w:t>
      </w:r>
      <w:r w:rsidR="00F77765" w:rsidRPr="00D01115">
        <w:rPr>
          <w:rFonts w:eastAsiaTheme="minorHAnsi"/>
        </w:rPr>
        <w:t xml:space="preserve"> –</w:t>
      </w:r>
      <w:r w:rsidR="00E02A9A" w:rsidRPr="00D01115">
        <w:rPr>
          <w:rFonts w:eastAsiaTheme="minorHAnsi"/>
        </w:rPr>
        <w:t xml:space="preserve"> in ways that were not always reducible to a </w:t>
      </w:r>
      <w:r w:rsidR="0080376A" w:rsidRPr="00D01115">
        <w:rPr>
          <w:rFonts w:eastAsiaTheme="minorHAnsi"/>
        </w:rPr>
        <w:t xml:space="preserve">particular </w:t>
      </w:r>
      <w:r w:rsidR="00E02A9A" w:rsidRPr="00D01115">
        <w:rPr>
          <w:rFonts w:eastAsiaTheme="minorHAnsi"/>
        </w:rPr>
        <w:t xml:space="preserve">set of </w:t>
      </w:r>
      <w:r w:rsidR="0080376A" w:rsidRPr="00D01115">
        <w:rPr>
          <w:rFonts w:eastAsiaTheme="minorHAnsi"/>
        </w:rPr>
        <w:t xml:space="preserve">doctrinal </w:t>
      </w:r>
      <w:r w:rsidR="00E02A9A" w:rsidRPr="00D01115">
        <w:rPr>
          <w:rFonts w:eastAsiaTheme="minorHAnsi"/>
        </w:rPr>
        <w:t xml:space="preserve">beliefs. </w:t>
      </w:r>
    </w:p>
    <w:p w14:paraId="5885D199" w14:textId="77777777" w:rsidR="0080376A" w:rsidRPr="00D01115" w:rsidRDefault="0080376A" w:rsidP="009B1AAB">
      <w:pPr>
        <w:autoSpaceDE w:val="0"/>
        <w:autoSpaceDN w:val="0"/>
        <w:adjustRightInd w:val="0"/>
        <w:rPr>
          <w:rFonts w:eastAsiaTheme="minorHAnsi"/>
        </w:rPr>
      </w:pPr>
    </w:p>
    <w:p w14:paraId="20C6C8F4" w14:textId="72DA8D1D" w:rsidR="00D02921" w:rsidRPr="00D01115" w:rsidRDefault="001C04B2" w:rsidP="00D02921">
      <w:pPr>
        <w:rPr>
          <w:rFonts w:eastAsiaTheme="minorHAnsi"/>
        </w:rPr>
      </w:pPr>
      <w:r w:rsidRPr="00D01115">
        <w:rPr>
          <w:rFonts w:eastAsiaTheme="minorHAnsi"/>
        </w:rPr>
        <w:t>T</w:t>
      </w:r>
      <w:r w:rsidR="00E16371" w:rsidRPr="00D01115">
        <w:rPr>
          <w:rFonts w:eastAsiaTheme="minorHAnsi"/>
        </w:rPr>
        <w:t xml:space="preserve">his idea </w:t>
      </w:r>
      <w:r w:rsidR="009F2CAB" w:rsidRPr="00D01115">
        <w:rPr>
          <w:rFonts w:eastAsiaTheme="minorHAnsi"/>
        </w:rPr>
        <w:t xml:space="preserve">has an important </w:t>
      </w:r>
      <w:r w:rsidR="00B4145D">
        <w:rPr>
          <w:rFonts w:eastAsiaTheme="minorHAnsi"/>
        </w:rPr>
        <w:t>resonance</w:t>
      </w:r>
      <w:r w:rsidR="00B4145D" w:rsidRPr="00D01115">
        <w:rPr>
          <w:rFonts w:eastAsiaTheme="minorHAnsi"/>
        </w:rPr>
        <w:t xml:space="preserve"> </w:t>
      </w:r>
      <w:r w:rsidR="009F2CAB" w:rsidRPr="00D01115">
        <w:rPr>
          <w:rFonts w:eastAsiaTheme="minorHAnsi"/>
        </w:rPr>
        <w:t xml:space="preserve">for </w:t>
      </w:r>
      <w:r w:rsidR="009365EB" w:rsidRPr="00D01115">
        <w:rPr>
          <w:rFonts w:eastAsiaTheme="minorHAnsi"/>
        </w:rPr>
        <w:t xml:space="preserve">legal </w:t>
      </w:r>
      <w:r w:rsidR="009F2CAB" w:rsidRPr="00D01115">
        <w:rPr>
          <w:rFonts w:eastAsiaTheme="minorHAnsi"/>
        </w:rPr>
        <w:t>culture in the later Middle Ages.</w:t>
      </w:r>
      <w:r w:rsidR="009365EB" w:rsidRPr="00D01115">
        <w:rPr>
          <w:rFonts w:eastAsiaTheme="minorHAnsi"/>
        </w:rPr>
        <w:t xml:space="preserve"> The</w:t>
      </w:r>
      <w:r w:rsidR="00192665" w:rsidRPr="00D01115">
        <w:rPr>
          <w:rFonts w:eastAsiaTheme="minorHAnsi"/>
        </w:rPr>
        <w:t xml:space="preserve"> </w:t>
      </w:r>
      <w:r w:rsidRPr="00D01115">
        <w:rPr>
          <w:rFonts w:eastAsiaTheme="minorHAnsi"/>
        </w:rPr>
        <w:t>kinds</w:t>
      </w:r>
      <w:r w:rsidR="00192665" w:rsidRPr="00D01115">
        <w:rPr>
          <w:rFonts w:eastAsiaTheme="minorHAnsi"/>
        </w:rPr>
        <w:t xml:space="preserve"> of dissent </w:t>
      </w:r>
      <w:r w:rsidR="00E663F7" w:rsidRPr="00D01115">
        <w:rPr>
          <w:rFonts w:eastAsiaTheme="minorHAnsi"/>
        </w:rPr>
        <w:t xml:space="preserve">identified by Arnold </w:t>
      </w:r>
      <w:r w:rsidR="00192665" w:rsidRPr="00D01115">
        <w:rPr>
          <w:rFonts w:eastAsiaTheme="minorHAnsi"/>
        </w:rPr>
        <w:t>have</w:t>
      </w:r>
      <w:r w:rsidR="00292A55" w:rsidRPr="00D01115">
        <w:rPr>
          <w:rFonts w:eastAsiaTheme="minorHAnsi"/>
        </w:rPr>
        <w:t xml:space="preserve"> </w:t>
      </w:r>
      <w:r w:rsidR="00192665" w:rsidRPr="00D01115">
        <w:rPr>
          <w:rFonts w:eastAsiaTheme="minorHAnsi"/>
        </w:rPr>
        <w:t>analogues in the ways we sometimes find the medieval laity responding to law</w:t>
      </w:r>
      <w:r w:rsidR="00292A55" w:rsidRPr="00D01115">
        <w:rPr>
          <w:rFonts w:eastAsiaTheme="minorHAnsi"/>
        </w:rPr>
        <w:t>:</w:t>
      </w:r>
      <w:r w:rsidR="00A84B6B" w:rsidRPr="00D01115">
        <w:rPr>
          <w:rFonts w:eastAsiaTheme="minorHAnsi"/>
        </w:rPr>
        <w:t xml:space="preserve"> </w:t>
      </w:r>
      <w:r w:rsidR="00F244BE" w:rsidRPr="00D01115">
        <w:rPr>
          <w:rFonts w:eastAsiaTheme="minorHAnsi"/>
        </w:rPr>
        <w:t>they</w:t>
      </w:r>
      <w:r w:rsidR="00A84B6B" w:rsidRPr="00D01115">
        <w:rPr>
          <w:rFonts w:eastAsiaTheme="minorHAnsi"/>
        </w:rPr>
        <w:t xml:space="preserve"> questioned the authority of officials to give judgments</w:t>
      </w:r>
      <w:r w:rsidR="00292A55" w:rsidRPr="00D01115">
        <w:rPr>
          <w:rFonts w:eastAsiaTheme="minorHAnsi"/>
        </w:rPr>
        <w:t>; they</w:t>
      </w:r>
      <w:r w:rsidR="00A84B6B" w:rsidRPr="00D01115">
        <w:rPr>
          <w:rFonts w:eastAsiaTheme="minorHAnsi"/>
        </w:rPr>
        <w:t xml:space="preserve"> expressed scepticism about the capacity of the law to deliver justice</w:t>
      </w:r>
      <w:r w:rsidR="00292A55" w:rsidRPr="00D01115">
        <w:rPr>
          <w:rFonts w:eastAsiaTheme="minorHAnsi"/>
        </w:rPr>
        <w:t xml:space="preserve">; they drew on vernacular interpretations of </w:t>
      </w:r>
      <w:r w:rsidRPr="00D01115">
        <w:rPr>
          <w:rFonts w:eastAsiaTheme="minorHAnsi"/>
        </w:rPr>
        <w:t xml:space="preserve">law </w:t>
      </w:r>
      <w:r w:rsidR="000C31FB" w:rsidRPr="00D01115">
        <w:rPr>
          <w:rFonts w:eastAsiaTheme="minorHAnsi"/>
        </w:rPr>
        <w:t xml:space="preserve">to dispute it on its own terms </w:t>
      </w:r>
      <w:r w:rsidRPr="00D01115">
        <w:rPr>
          <w:rFonts w:eastAsiaTheme="minorHAnsi"/>
        </w:rPr>
        <w:t>(for example,</w:t>
      </w:r>
      <w:r w:rsidR="00292A55" w:rsidRPr="00D01115">
        <w:rPr>
          <w:rFonts w:eastAsiaTheme="minorHAnsi"/>
        </w:rPr>
        <w:t xml:space="preserve"> in the fabled promise of Domesday book to void servile obligations</w:t>
      </w:r>
      <w:r w:rsidRPr="00D01115">
        <w:rPr>
          <w:rFonts w:eastAsiaTheme="minorHAnsi"/>
        </w:rPr>
        <w:t>)</w:t>
      </w:r>
      <w:r w:rsidR="000C31FB" w:rsidRPr="00D01115">
        <w:rPr>
          <w:rFonts w:eastAsiaTheme="minorHAnsi"/>
        </w:rPr>
        <w:t xml:space="preserve">; </w:t>
      </w:r>
      <w:r w:rsidR="00076A59" w:rsidRPr="00D01115">
        <w:rPr>
          <w:rFonts w:eastAsiaTheme="minorHAnsi"/>
        </w:rPr>
        <w:t xml:space="preserve">they </w:t>
      </w:r>
      <w:r w:rsidRPr="00D01115">
        <w:rPr>
          <w:rFonts w:eastAsiaTheme="minorHAnsi"/>
        </w:rPr>
        <w:t>used</w:t>
      </w:r>
      <w:r w:rsidR="00076A59" w:rsidRPr="00D01115">
        <w:rPr>
          <w:rFonts w:eastAsiaTheme="minorHAnsi"/>
        </w:rPr>
        <w:t xml:space="preserve"> lewd language to pour scorn on the law.</w:t>
      </w:r>
      <w:r w:rsidR="005C722A" w:rsidRPr="00D01115">
        <w:rPr>
          <w:rStyle w:val="FootnoteReference"/>
          <w:rFonts w:eastAsiaTheme="minorHAnsi"/>
        </w:rPr>
        <w:footnoteReference w:id="97"/>
      </w:r>
      <w:r w:rsidR="00076A59" w:rsidRPr="00D01115">
        <w:rPr>
          <w:rFonts w:eastAsiaTheme="minorHAnsi"/>
        </w:rPr>
        <w:t xml:space="preserve"> </w:t>
      </w:r>
      <w:r w:rsidR="008F2B27" w:rsidRPr="00D01115">
        <w:rPr>
          <w:rFonts w:eastAsiaTheme="minorHAnsi"/>
        </w:rPr>
        <w:t>The point is not that d</w:t>
      </w:r>
      <w:r w:rsidR="005C722A" w:rsidRPr="00D01115">
        <w:rPr>
          <w:rFonts w:eastAsiaTheme="minorHAnsi"/>
        </w:rPr>
        <w:t>issent against law and dissent against religion</w:t>
      </w:r>
      <w:r w:rsidR="008F2B27" w:rsidRPr="00D01115">
        <w:rPr>
          <w:rFonts w:eastAsiaTheme="minorHAnsi"/>
        </w:rPr>
        <w:t xml:space="preserve"> were the same</w:t>
      </w:r>
      <w:r w:rsidR="00FD2D28" w:rsidRPr="00D01115">
        <w:rPr>
          <w:rFonts w:eastAsiaTheme="minorHAnsi"/>
        </w:rPr>
        <w:t>,</w:t>
      </w:r>
      <w:r w:rsidRPr="00D01115">
        <w:rPr>
          <w:rFonts w:eastAsiaTheme="minorHAnsi"/>
        </w:rPr>
        <w:t xml:space="preserve"> </w:t>
      </w:r>
      <w:r w:rsidR="008F2B27" w:rsidRPr="00D01115">
        <w:rPr>
          <w:rFonts w:eastAsiaTheme="minorHAnsi"/>
        </w:rPr>
        <w:t xml:space="preserve">though of course, they might </w:t>
      </w:r>
      <w:r w:rsidR="00E663F7" w:rsidRPr="00D01115">
        <w:rPr>
          <w:rFonts w:eastAsiaTheme="minorHAnsi"/>
        </w:rPr>
        <w:t xml:space="preserve">be </w:t>
      </w:r>
      <w:r w:rsidR="008F2B27" w:rsidRPr="00D01115">
        <w:rPr>
          <w:rFonts w:eastAsiaTheme="minorHAnsi"/>
        </w:rPr>
        <w:t>on occasion.</w:t>
      </w:r>
      <w:r w:rsidRPr="00D01115">
        <w:rPr>
          <w:rStyle w:val="FootnoteReference"/>
          <w:rFonts w:eastAsiaTheme="minorHAnsi"/>
        </w:rPr>
        <w:footnoteReference w:id="98"/>
      </w:r>
      <w:r w:rsidR="008F2B27" w:rsidRPr="00D01115">
        <w:rPr>
          <w:rFonts w:eastAsiaTheme="minorHAnsi"/>
        </w:rPr>
        <w:t xml:space="preserve"> Rather, it is that these</w:t>
      </w:r>
      <w:r w:rsidR="008D42ED" w:rsidRPr="00D01115">
        <w:rPr>
          <w:rFonts w:eastAsiaTheme="minorHAnsi"/>
        </w:rPr>
        <w:t xml:space="preserve"> styles of dissent</w:t>
      </w:r>
      <w:r w:rsidR="00FD2D28" w:rsidRPr="00D01115">
        <w:rPr>
          <w:rFonts w:eastAsiaTheme="minorHAnsi"/>
        </w:rPr>
        <w:t xml:space="preserve"> were emblematic of</w:t>
      </w:r>
      <w:r w:rsidR="008F2B27" w:rsidRPr="00D01115">
        <w:rPr>
          <w:rFonts w:eastAsiaTheme="minorHAnsi"/>
        </w:rPr>
        <w:t xml:space="preserve"> </w:t>
      </w:r>
      <w:r w:rsidR="00FD2D28" w:rsidRPr="00D01115">
        <w:rPr>
          <w:rFonts w:eastAsiaTheme="minorHAnsi"/>
        </w:rPr>
        <w:t>a wider</w:t>
      </w:r>
      <w:r w:rsidRPr="00D01115">
        <w:rPr>
          <w:rFonts w:eastAsiaTheme="minorHAnsi"/>
        </w:rPr>
        <w:t xml:space="preserve"> dissatisfaction </w:t>
      </w:r>
      <w:r w:rsidR="00FD2D28" w:rsidRPr="00D01115">
        <w:rPr>
          <w:rFonts w:eastAsiaTheme="minorHAnsi"/>
        </w:rPr>
        <w:t>with</w:t>
      </w:r>
      <w:r w:rsidRPr="00D01115">
        <w:rPr>
          <w:rFonts w:eastAsiaTheme="minorHAnsi"/>
        </w:rPr>
        <w:t xml:space="preserve"> </w:t>
      </w:r>
      <w:r w:rsidR="00FD2D28" w:rsidRPr="00D01115">
        <w:rPr>
          <w:rFonts w:eastAsiaTheme="minorHAnsi"/>
        </w:rPr>
        <w:t>the kind of cultural hegemony that so many late-medieval institutions</w:t>
      </w:r>
      <w:r w:rsidR="00020C72" w:rsidRPr="00D01115">
        <w:rPr>
          <w:rFonts w:eastAsiaTheme="minorHAnsi"/>
        </w:rPr>
        <w:t>, both ecclesiastical and secular,</w:t>
      </w:r>
      <w:r w:rsidR="00FD2D28" w:rsidRPr="00D01115">
        <w:rPr>
          <w:rFonts w:eastAsiaTheme="minorHAnsi"/>
        </w:rPr>
        <w:t xml:space="preserve"> attempted to enforce.</w:t>
      </w:r>
      <w:r w:rsidR="00E36E2E" w:rsidRPr="00D01115">
        <w:rPr>
          <w:rFonts w:eastAsiaTheme="minorHAnsi"/>
        </w:rPr>
        <w:t xml:space="preserve"> </w:t>
      </w:r>
      <w:r w:rsidR="000C31FB" w:rsidRPr="00D01115">
        <w:rPr>
          <w:rFonts w:eastAsiaTheme="minorHAnsi"/>
        </w:rPr>
        <w:t>Of course, s</w:t>
      </w:r>
      <w:r w:rsidR="00D02921" w:rsidRPr="00D01115">
        <w:rPr>
          <w:rFonts w:eastAsiaTheme="minorHAnsi"/>
        </w:rPr>
        <w:t xml:space="preserve">oothsayers cannot be said to have played more than a minor role in this politics of truth. But </w:t>
      </w:r>
      <w:r w:rsidR="0014168B" w:rsidRPr="00D01115">
        <w:rPr>
          <w:rFonts w:eastAsiaTheme="minorHAnsi"/>
        </w:rPr>
        <w:lastRenderedPageBreak/>
        <w:t xml:space="preserve">they show us something of the world that existed </w:t>
      </w:r>
      <w:r w:rsidR="00B4145D">
        <w:rPr>
          <w:rFonts w:eastAsiaTheme="minorHAnsi"/>
        </w:rPr>
        <w:t>just</w:t>
      </w:r>
      <w:r w:rsidR="00020C72" w:rsidRPr="00D01115">
        <w:rPr>
          <w:rFonts w:eastAsiaTheme="minorHAnsi"/>
        </w:rPr>
        <w:t xml:space="preserve"> </w:t>
      </w:r>
      <w:r w:rsidR="0014168B" w:rsidRPr="00D01115">
        <w:rPr>
          <w:rFonts w:eastAsiaTheme="minorHAnsi"/>
        </w:rPr>
        <w:t xml:space="preserve">beyond the reach of </w:t>
      </w:r>
      <w:r w:rsidR="00020C72" w:rsidRPr="00D01115">
        <w:rPr>
          <w:rFonts w:eastAsiaTheme="minorHAnsi"/>
        </w:rPr>
        <w:t xml:space="preserve">institutions, and its </w:t>
      </w:r>
      <w:r w:rsidR="000C31FB" w:rsidRPr="00D01115">
        <w:rPr>
          <w:rFonts w:eastAsiaTheme="minorHAnsi"/>
        </w:rPr>
        <w:t xml:space="preserve">continued </w:t>
      </w:r>
      <w:r w:rsidR="00020C72" w:rsidRPr="00D01115">
        <w:rPr>
          <w:rFonts w:eastAsiaTheme="minorHAnsi"/>
        </w:rPr>
        <w:t>resilience</w:t>
      </w:r>
      <w:r w:rsidR="000C31FB" w:rsidRPr="00D01115">
        <w:rPr>
          <w:rFonts w:eastAsiaTheme="minorHAnsi"/>
        </w:rPr>
        <w:t>.</w:t>
      </w:r>
      <w:r w:rsidR="00964B52" w:rsidRPr="00D01115">
        <w:rPr>
          <w:rFonts w:eastAsiaTheme="minorHAnsi"/>
        </w:rPr>
        <w:t xml:space="preserve"> The sooth was out there.</w:t>
      </w:r>
    </w:p>
    <w:p w14:paraId="0518017A" w14:textId="77777777" w:rsidR="008B6205" w:rsidRDefault="008B6205" w:rsidP="00E36E2E">
      <w:pPr>
        <w:rPr>
          <w:rFonts w:eastAsiaTheme="minorHAnsi"/>
        </w:rPr>
      </w:pPr>
    </w:p>
    <w:p w14:paraId="04FD47B7" w14:textId="77777777" w:rsidR="00CC557C" w:rsidRDefault="00CC557C" w:rsidP="00E36E2E">
      <w:pPr>
        <w:rPr>
          <w:rFonts w:eastAsiaTheme="minorHAnsi"/>
        </w:rPr>
      </w:pPr>
    </w:p>
    <w:p w14:paraId="03B4F946" w14:textId="77777777" w:rsidR="00CC557C" w:rsidRPr="00D01115" w:rsidRDefault="00CC557C" w:rsidP="00E36E2E">
      <w:pPr>
        <w:rPr>
          <w:rFonts w:eastAsiaTheme="minorHAnsi"/>
        </w:rPr>
      </w:pPr>
      <w:r>
        <w:rPr>
          <w:rFonts w:eastAsiaTheme="minorHAnsi"/>
        </w:rPr>
        <w:t>Word count (including notes): 11244</w:t>
      </w:r>
    </w:p>
    <w:sectPr w:rsidR="00CC557C" w:rsidRPr="00D01115" w:rsidSect="006E6338">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A4DDD" w14:textId="77777777" w:rsidR="004A0302" w:rsidRDefault="004A0302" w:rsidP="00171F26">
      <w:r>
        <w:separator/>
      </w:r>
    </w:p>
  </w:endnote>
  <w:endnote w:type="continuationSeparator" w:id="0">
    <w:p w14:paraId="7F3A8DAC" w14:textId="77777777" w:rsidR="004A0302" w:rsidRDefault="004A0302" w:rsidP="0017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71367224"/>
      <w:docPartObj>
        <w:docPartGallery w:val="Page Numbers (Bottom of Page)"/>
        <w:docPartUnique/>
      </w:docPartObj>
    </w:sdtPr>
    <w:sdtEndPr>
      <w:rPr>
        <w:rStyle w:val="PageNumber"/>
      </w:rPr>
    </w:sdtEndPr>
    <w:sdtContent>
      <w:p w14:paraId="073B151D" w14:textId="77777777" w:rsidR="004E17E8" w:rsidRDefault="004E17E8" w:rsidP="007A17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A5A094" w14:textId="77777777" w:rsidR="004E17E8" w:rsidRDefault="004E17E8" w:rsidP="00A05A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61911811"/>
      <w:docPartObj>
        <w:docPartGallery w:val="Page Numbers (Bottom of Page)"/>
        <w:docPartUnique/>
      </w:docPartObj>
    </w:sdtPr>
    <w:sdtEndPr>
      <w:rPr>
        <w:rStyle w:val="PageNumber"/>
      </w:rPr>
    </w:sdtEndPr>
    <w:sdtContent>
      <w:p w14:paraId="4B38F161" w14:textId="77777777" w:rsidR="004E17E8" w:rsidRDefault="004E17E8" w:rsidP="007A17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290FE9D" w14:textId="77777777" w:rsidR="004E17E8" w:rsidRDefault="004E17E8" w:rsidP="00A05A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A052C" w14:textId="77777777" w:rsidR="004A0302" w:rsidRDefault="004A0302" w:rsidP="00171F26">
      <w:r>
        <w:separator/>
      </w:r>
    </w:p>
  </w:footnote>
  <w:footnote w:type="continuationSeparator" w:id="0">
    <w:p w14:paraId="643F348A" w14:textId="77777777" w:rsidR="004A0302" w:rsidRDefault="004A0302" w:rsidP="00171F26">
      <w:r>
        <w:continuationSeparator/>
      </w:r>
    </w:p>
  </w:footnote>
  <w:footnote w:id="1">
    <w:p w14:paraId="4EE25367" w14:textId="31040C34" w:rsidR="004E17E8" w:rsidRPr="00675E35" w:rsidRDefault="004E17E8" w:rsidP="00171F26">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This story has been reconstructed from the depositions in the case </w:t>
      </w:r>
      <w:proofErr w:type="spellStart"/>
      <w:r w:rsidRPr="00675E35">
        <w:rPr>
          <w:color w:val="000000"/>
          <w:sz w:val="20"/>
          <w:szCs w:val="20"/>
        </w:rPr>
        <w:t>Faques</w:t>
      </w:r>
      <w:proofErr w:type="spellEnd"/>
      <w:r w:rsidRPr="00675E35">
        <w:rPr>
          <w:i/>
          <w:color w:val="000000"/>
          <w:sz w:val="20"/>
          <w:szCs w:val="20"/>
        </w:rPr>
        <w:t xml:space="preserve"> c. </w:t>
      </w:r>
      <w:r w:rsidRPr="00675E35">
        <w:rPr>
          <w:color w:val="000000"/>
          <w:sz w:val="20"/>
          <w:szCs w:val="20"/>
        </w:rPr>
        <w:t xml:space="preserve">White, taken from London Metropolitan Archives [henceforth LMA], DL/C/206, </w:t>
      </w:r>
      <w:proofErr w:type="spellStart"/>
      <w:r w:rsidRPr="00675E35">
        <w:rPr>
          <w:color w:val="000000"/>
          <w:sz w:val="20"/>
          <w:szCs w:val="20"/>
        </w:rPr>
        <w:t>fos</w:t>
      </w:r>
      <w:proofErr w:type="spellEnd"/>
      <w:r w:rsidRPr="00675E35">
        <w:rPr>
          <w:color w:val="000000"/>
          <w:sz w:val="20"/>
          <w:szCs w:val="20"/>
        </w:rPr>
        <w:t>. 21v., 22r., 40r., and 42r. Quotes of direct vernacular speech have been translated into modern English.</w:t>
      </w:r>
    </w:p>
  </w:footnote>
  <w:footnote w:id="2">
    <w:p w14:paraId="5BA6707B" w14:textId="77777777" w:rsidR="004E17E8" w:rsidRPr="00675E35" w:rsidRDefault="004E17E8" w:rsidP="00171F26">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Notary is </w:t>
      </w:r>
      <w:r w:rsidRPr="00675E35">
        <w:rPr>
          <w:sz w:val="20"/>
          <w:szCs w:val="20"/>
        </w:rPr>
        <w:t xml:space="preserve">well-known to historians of print both as a collaborator of </w:t>
      </w:r>
      <w:proofErr w:type="spellStart"/>
      <w:r w:rsidRPr="00675E35">
        <w:rPr>
          <w:sz w:val="20"/>
          <w:szCs w:val="20"/>
        </w:rPr>
        <w:t>Wynkyn</w:t>
      </w:r>
      <w:proofErr w:type="spellEnd"/>
      <w:r w:rsidRPr="00675E35">
        <w:rPr>
          <w:sz w:val="20"/>
          <w:szCs w:val="20"/>
        </w:rPr>
        <w:t xml:space="preserve"> de Worde, and as a publisher of about forty mainly religious and liturgical works in the early sixteenth century</w:t>
      </w:r>
      <w:r w:rsidRPr="00675E35">
        <w:rPr>
          <w:color w:val="000000"/>
          <w:sz w:val="20"/>
          <w:szCs w:val="20"/>
        </w:rPr>
        <w:t xml:space="preserve">. See H. R. Tedder, rev. N. F. Blake, ‘Julian Notary (b. c. 1455, d. in or after 1523)’ in </w:t>
      </w:r>
      <w:r w:rsidRPr="00675E35">
        <w:rPr>
          <w:i/>
          <w:color w:val="000000"/>
          <w:sz w:val="20"/>
          <w:szCs w:val="20"/>
        </w:rPr>
        <w:t xml:space="preserve">Oxford Dictionary of National Biography </w:t>
      </w:r>
      <w:r w:rsidRPr="00675E35">
        <w:rPr>
          <w:color w:val="000000"/>
          <w:sz w:val="20"/>
          <w:szCs w:val="20"/>
        </w:rPr>
        <w:t>[accessed online].</w:t>
      </w:r>
    </w:p>
  </w:footnote>
  <w:footnote w:id="3">
    <w:p w14:paraId="1B360543" w14:textId="77777777" w:rsidR="004E17E8" w:rsidRPr="00675E35" w:rsidRDefault="004E17E8" w:rsidP="00171F26">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Dave </w:t>
      </w:r>
      <w:proofErr w:type="spellStart"/>
      <w:r w:rsidRPr="00675E35">
        <w:rPr>
          <w:color w:val="000000"/>
          <w:sz w:val="20"/>
          <w:szCs w:val="20"/>
        </w:rPr>
        <w:t>Postles</w:t>
      </w:r>
      <w:proofErr w:type="spellEnd"/>
      <w:r w:rsidRPr="00675E35">
        <w:rPr>
          <w:color w:val="000000"/>
          <w:sz w:val="20"/>
          <w:szCs w:val="20"/>
        </w:rPr>
        <w:t xml:space="preserve">, ‘The Politics of Address in Early-Modern England’, </w:t>
      </w:r>
      <w:r w:rsidRPr="00675E35">
        <w:rPr>
          <w:i/>
          <w:color w:val="000000"/>
          <w:sz w:val="20"/>
          <w:szCs w:val="20"/>
        </w:rPr>
        <w:t>Journal</w:t>
      </w:r>
      <w:r w:rsidRPr="00675E35">
        <w:rPr>
          <w:color w:val="000000"/>
          <w:sz w:val="20"/>
          <w:szCs w:val="20"/>
        </w:rPr>
        <w:t xml:space="preserve"> </w:t>
      </w:r>
      <w:r w:rsidRPr="00675E35">
        <w:rPr>
          <w:i/>
          <w:color w:val="000000"/>
          <w:sz w:val="20"/>
          <w:szCs w:val="20"/>
        </w:rPr>
        <w:t>of Historical Sociology</w:t>
      </w:r>
      <w:r w:rsidRPr="00675E35">
        <w:rPr>
          <w:color w:val="000000"/>
          <w:sz w:val="20"/>
          <w:szCs w:val="20"/>
        </w:rPr>
        <w:t>, 18:1 (2005), pp. 99-121.</w:t>
      </w:r>
    </w:p>
  </w:footnote>
  <w:footnote w:id="4">
    <w:p w14:paraId="0274A85F" w14:textId="77777777" w:rsidR="004E17E8" w:rsidRPr="00675E35" w:rsidRDefault="004E17E8" w:rsidP="00171F26">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On the workings of the London consistory court, see Shannon </w:t>
      </w:r>
      <w:proofErr w:type="spellStart"/>
      <w:r w:rsidRPr="00675E35">
        <w:rPr>
          <w:color w:val="000000"/>
          <w:sz w:val="20"/>
          <w:szCs w:val="20"/>
        </w:rPr>
        <w:t>McSheffrey</w:t>
      </w:r>
      <w:proofErr w:type="spellEnd"/>
      <w:r w:rsidRPr="00675E35">
        <w:rPr>
          <w:color w:val="000000"/>
          <w:sz w:val="20"/>
          <w:szCs w:val="20"/>
        </w:rPr>
        <w:t xml:space="preserve">, </w:t>
      </w:r>
      <w:r w:rsidRPr="00675E35">
        <w:rPr>
          <w:i/>
          <w:color w:val="000000"/>
          <w:sz w:val="20"/>
          <w:szCs w:val="20"/>
        </w:rPr>
        <w:t>Marriage, Sex, and Civic Culture in Late-Medieval London</w:t>
      </w:r>
      <w:r w:rsidRPr="00675E35">
        <w:rPr>
          <w:color w:val="000000"/>
          <w:sz w:val="20"/>
          <w:szCs w:val="20"/>
        </w:rPr>
        <w:t>. Philadelphia, 2006, Appendix 1, pp. 195-8.</w:t>
      </w:r>
    </w:p>
  </w:footnote>
  <w:footnote w:id="5">
    <w:p w14:paraId="506BED7F" w14:textId="77777777" w:rsidR="004E17E8" w:rsidRPr="00675E35" w:rsidRDefault="004E17E8" w:rsidP="00171F26">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On the use of such depositions in social and cultural history, see Tom Johnson, ‘The Preconstruction of Witness Testimony: Law and Social Discourse in England before the Reformation’, </w:t>
      </w:r>
      <w:r w:rsidRPr="00675E35">
        <w:rPr>
          <w:i/>
          <w:color w:val="000000"/>
          <w:sz w:val="20"/>
          <w:szCs w:val="20"/>
        </w:rPr>
        <w:t>Law &amp; History Review</w:t>
      </w:r>
      <w:r w:rsidRPr="00675E35">
        <w:rPr>
          <w:color w:val="000000"/>
          <w:sz w:val="20"/>
          <w:szCs w:val="20"/>
        </w:rPr>
        <w:t>, 32:1 (2014), pp. 127-147.</w:t>
      </w:r>
    </w:p>
  </w:footnote>
  <w:footnote w:id="6">
    <w:p w14:paraId="578308B0" w14:textId="77777777" w:rsidR="004E17E8" w:rsidRPr="00675E35" w:rsidRDefault="004E17E8" w:rsidP="00171F26">
      <w:pPr>
        <w:pBdr>
          <w:top w:val="nil"/>
          <w:left w:val="nil"/>
          <w:bottom w:val="nil"/>
          <w:right w:val="nil"/>
          <w:between w:val="nil"/>
        </w:pBdr>
        <w:rPr>
          <w:i/>
          <w:color w:val="000000"/>
          <w:sz w:val="20"/>
          <w:szCs w:val="20"/>
        </w:rPr>
      </w:pPr>
      <w:r w:rsidRPr="00675E35">
        <w:rPr>
          <w:sz w:val="20"/>
          <w:szCs w:val="20"/>
          <w:vertAlign w:val="superscript"/>
        </w:rPr>
        <w:footnoteRef/>
      </w:r>
      <w:r w:rsidRPr="00675E35">
        <w:rPr>
          <w:color w:val="000000"/>
          <w:sz w:val="20"/>
          <w:szCs w:val="20"/>
        </w:rPr>
        <w:t xml:space="preserve"> The story has been related for these purposes respectively in Peter W.M. Blayney, </w:t>
      </w:r>
      <w:r w:rsidRPr="00675E35">
        <w:rPr>
          <w:i/>
          <w:color w:val="000000"/>
          <w:sz w:val="20"/>
          <w:szCs w:val="20"/>
        </w:rPr>
        <w:t xml:space="preserve">The Stationers’ </w:t>
      </w:r>
      <w:proofErr w:type="gramStart"/>
      <w:r w:rsidRPr="00675E35">
        <w:rPr>
          <w:i/>
          <w:color w:val="000000"/>
          <w:sz w:val="20"/>
          <w:szCs w:val="20"/>
        </w:rPr>
        <w:t>Company</w:t>
      </w:r>
      <w:proofErr w:type="gramEnd"/>
      <w:r w:rsidRPr="00675E35">
        <w:rPr>
          <w:i/>
          <w:color w:val="000000"/>
          <w:sz w:val="20"/>
          <w:szCs w:val="20"/>
        </w:rPr>
        <w:t xml:space="preserve"> and the printers of London, 1501-1557</w:t>
      </w:r>
      <w:r w:rsidRPr="00675E35">
        <w:rPr>
          <w:color w:val="000000"/>
          <w:sz w:val="20"/>
          <w:szCs w:val="20"/>
        </w:rPr>
        <w:t xml:space="preserve">, Cambridge, 2013, and in Derek G. Neal, </w:t>
      </w:r>
      <w:r w:rsidRPr="00675E35">
        <w:rPr>
          <w:i/>
          <w:color w:val="000000"/>
          <w:sz w:val="20"/>
          <w:szCs w:val="20"/>
        </w:rPr>
        <w:t>The Masculine Self in Late Medieval England</w:t>
      </w:r>
      <w:r w:rsidRPr="00675E35">
        <w:rPr>
          <w:color w:val="000000"/>
          <w:sz w:val="20"/>
          <w:szCs w:val="20"/>
        </w:rPr>
        <w:t>. Chicago, 2008, pp. 38-9.</w:t>
      </w:r>
    </w:p>
  </w:footnote>
  <w:footnote w:id="7">
    <w:p w14:paraId="58F139D4" w14:textId="4564933C" w:rsidR="004E17E8" w:rsidRPr="00675E35" w:rsidRDefault="004E17E8" w:rsidP="00171F26">
      <w:pPr>
        <w:pStyle w:val="FootnoteText"/>
        <w:rPr>
          <w:lang w:val="en-US"/>
        </w:rPr>
      </w:pPr>
      <w:r w:rsidRPr="00675E35">
        <w:rPr>
          <w:rStyle w:val="FootnoteReference"/>
        </w:rPr>
        <w:footnoteRef/>
      </w:r>
      <w:r w:rsidRPr="00675E35">
        <w:t xml:space="preserve"> </w:t>
      </w:r>
      <w:r w:rsidRPr="00675E35">
        <w:rPr>
          <w:color w:val="000000"/>
        </w:rPr>
        <w:t>The classic account is Keith Thomas, </w:t>
      </w:r>
      <w:proofErr w:type="gramStart"/>
      <w:r w:rsidRPr="00675E35">
        <w:rPr>
          <w:i/>
          <w:color w:val="000000"/>
        </w:rPr>
        <w:t>Religion</w:t>
      </w:r>
      <w:proofErr w:type="gramEnd"/>
      <w:r w:rsidRPr="00675E35">
        <w:rPr>
          <w:i/>
          <w:color w:val="000000"/>
        </w:rPr>
        <w:t> and the Decline of Magic: Studies in popular beliefs in sixteenth and seventeenth century England</w:t>
      </w:r>
      <w:r w:rsidRPr="00675E35">
        <w:rPr>
          <w:color w:val="000000"/>
        </w:rPr>
        <w:t xml:space="preserve">. London, 1971. More recently, see Euan Cameron, </w:t>
      </w:r>
      <w:r w:rsidRPr="00675E35">
        <w:rPr>
          <w:i/>
          <w:iCs/>
          <w:color w:val="000000"/>
        </w:rPr>
        <w:t>Enchanted Europe: Superstition, Reason, and Religion, 1250-1750</w:t>
      </w:r>
      <w:r w:rsidRPr="00675E35">
        <w:rPr>
          <w:color w:val="000000"/>
        </w:rPr>
        <w:t>. Oxford, 2010</w:t>
      </w:r>
      <w:r w:rsidR="00630E9F">
        <w:rPr>
          <w:color w:val="000000"/>
        </w:rPr>
        <w:t xml:space="preserve">; </w:t>
      </w:r>
      <w:r w:rsidR="00EC1AD2">
        <w:t xml:space="preserve">Catherine Rider, </w:t>
      </w:r>
      <w:proofErr w:type="gramStart"/>
      <w:r w:rsidR="00EC1AD2">
        <w:rPr>
          <w:i/>
          <w:iCs/>
        </w:rPr>
        <w:t>Magic</w:t>
      </w:r>
      <w:proofErr w:type="gramEnd"/>
      <w:r w:rsidR="00EC1AD2">
        <w:rPr>
          <w:i/>
          <w:iCs/>
        </w:rPr>
        <w:t xml:space="preserve"> and Religion in Medieval England</w:t>
      </w:r>
      <w:r w:rsidR="00EC1AD2">
        <w:t>. London, 2012</w:t>
      </w:r>
    </w:p>
  </w:footnote>
  <w:footnote w:id="8">
    <w:p w14:paraId="39445774" w14:textId="3E714ED2" w:rsidR="004E17E8" w:rsidRPr="00675E35" w:rsidRDefault="004E17E8">
      <w:pPr>
        <w:pStyle w:val="FootnoteText"/>
        <w:rPr>
          <w:lang w:val="en-US"/>
        </w:rPr>
      </w:pPr>
      <w:r w:rsidRPr="00675E35">
        <w:rPr>
          <w:rStyle w:val="FootnoteReference"/>
        </w:rPr>
        <w:footnoteRef/>
      </w:r>
      <w:r w:rsidRPr="00675E35">
        <w:t xml:space="preserve"> See Anthony Musson, </w:t>
      </w:r>
      <w:r w:rsidRPr="00675E35">
        <w:rPr>
          <w:i/>
          <w:iCs/>
        </w:rPr>
        <w:t>Medieval Law in Context: The growth of legal consciousness from Magna Carta to the Peasants’ Revolt</w:t>
      </w:r>
      <w:r w:rsidRPr="00675E35">
        <w:t>. Manchester, 2001</w:t>
      </w:r>
      <w:r>
        <w:t xml:space="preserve">, and more recently, Tom Johnson, </w:t>
      </w:r>
      <w:r>
        <w:rPr>
          <w:i/>
          <w:iCs/>
        </w:rPr>
        <w:t>Law in Common: Legal Cultures in Late-Medieval England</w:t>
      </w:r>
      <w:r>
        <w:t>. Oxford, 2020.</w:t>
      </w:r>
    </w:p>
  </w:footnote>
  <w:footnote w:id="9">
    <w:p w14:paraId="0DDBC407" w14:textId="77777777" w:rsidR="004E17E8" w:rsidRPr="00675E35" w:rsidRDefault="004E17E8">
      <w:pPr>
        <w:pStyle w:val="FootnoteText"/>
        <w:rPr>
          <w:lang w:val="en-US"/>
        </w:rPr>
      </w:pPr>
      <w:r w:rsidRPr="00675E35">
        <w:rPr>
          <w:rStyle w:val="FootnoteReference"/>
        </w:rPr>
        <w:footnoteRef/>
      </w:r>
      <w:r w:rsidRPr="00675E35">
        <w:t xml:space="preserve"> R</w:t>
      </w:r>
      <w:r w:rsidRPr="00675E35">
        <w:rPr>
          <w:color w:val="000000"/>
        </w:rPr>
        <w:t xml:space="preserve">ichard H. </w:t>
      </w:r>
      <w:proofErr w:type="spellStart"/>
      <w:r w:rsidRPr="00675E35">
        <w:rPr>
          <w:color w:val="000000"/>
        </w:rPr>
        <w:t>Helmholz</w:t>
      </w:r>
      <w:proofErr w:type="spellEnd"/>
      <w:r w:rsidRPr="00675E35">
        <w:rPr>
          <w:color w:val="000000"/>
        </w:rPr>
        <w:t xml:space="preserve">, </w:t>
      </w:r>
      <w:r w:rsidRPr="00675E35">
        <w:rPr>
          <w:i/>
          <w:color w:val="000000"/>
        </w:rPr>
        <w:t>The Oxford History of the Laws of England: The Canon Law and Ecclesiastical Jurisdiction from 597 to the 1640s</w:t>
      </w:r>
      <w:r w:rsidRPr="00675E35">
        <w:rPr>
          <w:color w:val="000000"/>
        </w:rPr>
        <w:t xml:space="preserve">. Oxford, 2004, p. </w:t>
      </w:r>
      <w:r w:rsidRPr="00675E35">
        <w:t>565.</w:t>
      </w:r>
    </w:p>
  </w:footnote>
  <w:footnote w:id="10">
    <w:p w14:paraId="42FBED93" w14:textId="77777777" w:rsidR="004E17E8" w:rsidRPr="00675E35" w:rsidRDefault="004E17E8">
      <w:pPr>
        <w:pStyle w:val="FootnoteText"/>
        <w:rPr>
          <w:lang w:val="en-US"/>
        </w:rPr>
      </w:pPr>
      <w:r w:rsidRPr="00675E35">
        <w:rPr>
          <w:rStyle w:val="FootnoteReference"/>
        </w:rPr>
        <w:footnoteRef/>
      </w:r>
      <w:r w:rsidRPr="00675E35">
        <w:t xml:space="preserve"> See the essays in </w:t>
      </w:r>
      <w:proofErr w:type="spellStart"/>
      <w:r w:rsidRPr="00675E35">
        <w:rPr>
          <w:i/>
          <w:color w:val="000000"/>
        </w:rPr>
        <w:t>Fama</w:t>
      </w:r>
      <w:proofErr w:type="spellEnd"/>
      <w:r w:rsidRPr="00675E35">
        <w:rPr>
          <w:i/>
          <w:color w:val="000000"/>
        </w:rPr>
        <w:t>: The Politics of Talk and Reputation in Medieval Europe</w:t>
      </w:r>
      <w:r w:rsidRPr="00675E35">
        <w:rPr>
          <w:color w:val="000000"/>
        </w:rPr>
        <w:t xml:space="preserve">, ed. Thelma Fenster and Daniel Lord </w:t>
      </w:r>
      <w:proofErr w:type="spellStart"/>
      <w:r w:rsidRPr="00675E35">
        <w:rPr>
          <w:color w:val="000000"/>
        </w:rPr>
        <w:t>Smail</w:t>
      </w:r>
      <w:proofErr w:type="spellEnd"/>
      <w:r w:rsidRPr="00675E35">
        <w:rPr>
          <w:color w:val="000000"/>
        </w:rPr>
        <w:t>. Ithaca, NY, 2005.</w:t>
      </w:r>
    </w:p>
  </w:footnote>
  <w:footnote w:id="11">
    <w:p w14:paraId="55D6009C" w14:textId="77777777" w:rsidR="004E17E8" w:rsidRPr="00675E35" w:rsidRDefault="004E17E8" w:rsidP="007945A9">
      <w:pPr>
        <w:pStyle w:val="FootnoteText"/>
      </w:pPr>
      <w:r w:rsidRPr="00675E35">
        <w:rPr>
          <w:vertAlign w:val="superscript"/>
        </w:rPr>
        <w:footnoteRef/>
      </w:r>
      <w:r w:rsidRPr="00675E35">
        <w:rPr>
          <w:lang w:val="en-US"/>
        </w:rPr>
        <w:t xml:space="preserve"> On the importance of gossip as a way of policing the boundaries of social groups, see the classic article by Chris Wickham, ‘Gossip and Resistance Among the Medieval Peasantry’, </w:t>
      </w:r>
      <w:r w:rsidRPr="00675E35">
        <w:rPr>
          <w:i/>
          <w:iCs/>
          <w:lang w:val="en-US"/>
        </w:rPr>
        <w:t>Past &amp; Present</w:t>
      </w:r>
      <w:r w:rsidRPr="00675E35">
        <w:rPr>
          <w:lang w:val="en-US"/>
        </w:rPr>
        <w:t>, 160 (1998), 2-24.</w:t>
      </w:r>
    </w:p>
  </w:footnote>
  <w:footnote w:id="12">
    <w:p w14:paraId="0DE24335" w14:textId="77777777" w:rsidR="004E17E8" w:rsidRPr="00675E35" w:rsidRDefault="004E17E8">
      <w:pPr>
        <w:pStyle w:val="FootnoteText"/>
        <w:rPr>
          <w:lang w:val="en-US"/>
        </w:rPr>
      </w:pPr>
      <w:r w:rsidRPr="00675E35">
        <w:rPr>
          <w:rStyle w:val="FootnoteReference"/>
        </w:rPr>
        <w:footnoteRef/>
      </w:r>
      <w:r w:rsidRPr="00675E35">
        <w:t xml:space="preserve"> This point about jurisdiction is elaborated in a different way in Tom </w:t>
      </w:r>
      <w:r w:rsidRPr="00675E35">
        <w:rPr>
          <w:lang w:val="en-US"/>
        </w:rPr>
        <w:t xml:space="preserve">Johnson, ‘The Tree and the Rod: Jurisdiction in Late-Medieval England’, </w:t>
      </w:r>
      <w:r w:rsidRPr="00675E35">
        <w:rPr>
          <w:i/>
          <w:iCs/>
          <w:lang w:val="en-US"/>
        </w:rPr>
        <w:t>Past &amp; Present</w:t>
      </w:r>
      <w:r w:rsidRPr="00675E35">
        <w:rPr>
          <w:lang w:val="en-US"/>
        </w:rPr>
        <w:t xml:space="preserve">, 237 (2018), 13-51, at p. 25. </w:t>
      </w:r>
    </w:p>
  </w:footnote>
  <w:footnote w:id="13">
    <w:p w14:paraId="3C38F643" w14:textId="77777777" w:rsidR="004E17E8" w:rsidRPr="00675E35" w:rsidRDefault="004E17E8">
      <w:pPr>
        <w:pStyle w:val="FootnoteText"/>
        <w:rPr>
          <w:lang w:val="en-US"/>
        </w:rPr>
      </w:pPr>
      <w:r w:rsidRPr="00675E35">
        <w:rPr>
          <w:rStyle w:val="FootnoteReference"/>
        </w:rPr>
        <w:footnoteRef/>
      </w:r>
      <w:r w:rsidRPr="00675E35">
        <w:t xml:space="preserve"> On the various options open to litigants, see </w:t>
      </w:r>
      <w:proofErr w:type="spellStart"/>
      <w:r w:rsidRPr="00675E35">
        <w:rPr>
          <w:color w:val="000000"/>
        </w:rPr>
        <w:t>Phillipp</w:t>
      </w:r>
      <w:proofErr w:type="spellEnd"/>
      <w:r w:rsidRPr="00675E35">
        <w:rPr>
          <w:color w:val="000000"/>
        </w:rPr>
        <w:t> R. Schofield, ‘Peasants and the Manor Court: Gossip and Litigation in a Suffolk Village at the Close of the Thirteenth Century’, </w:t>
      </w:r>
      <w:r w:rsidRPr="00675E35">
        <w:rPr>
          <w:i/>
          <w:color w:val="000000"/>
        </w:rPr>
        <w:t>Past &amp; Present</w:t>
      </w:r>
      <w:r w:rsidRPr="00675E35">
        <w:rPr>
          <w:color w:val="000000"/>
        </w:rPr>
        <w:t>, 159 (1998), 3-42.</w:t>
      </w:r>
    </w:p>
  </w:footnote>
  <w:footnote w:id="14">
    <w:p w14:paraId="704C300B" w14:textId="77777777" w:rsidR="004E17E8" w:rsidRPr="00675E35" w:rsidRDefault="004E17E8" w:rsidP="00991CE5">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See the collections </w:t>
      </w:r>
      <w:r w:rsidRPr="00675E35">
        <w:rPr>
          <w:i/>
          <w:color w:val="000000"/>
          <w:sz w:val="20"/>
          <w:szCs w:val="20"/>
        </w:rPr>
        <w:t>Disputes and Settlements: Law and Human Relations in the West</w:t>
      </w:r>
      <w:r w:rsidRPr="00675E35">
        <w:rPr>
          <w:color w:val="000000"/>
          <w:sz w:val="20"/>
          <w:szCs w:val="20"/>
        </w:rPr>
        <w:t xml:space="preserve">, ed. John Bossy, Cambridge, 1983, and </w:t>
      </w:r>
      <w:r w:rsidRPr="00675E35">
        <w:rPr>
          <w:i/>
          <w:color w:val="000000"/>
          <w:sz w:val="20"/>
          <w:szCs w:val="20"/>
        </w:rPr>
        <w:t>The Settlement of Disputes in Early Medieval Europe</w:t>
      </w:r>
      <w:r w:rsidRPr="00675E35">
        <w:rPr>
          <w:color w:val="000000"/>
          <w:sz w:val="20"/>
          <w:szCs w:val="20"/>
        </w:rPr>
        <w:t xml:space="preserve">, ed. Wendy Davies and Paul </w:t>
      </w:r>
      <w:proofErr w:type="spellStart"/>
      <w:r w:rsidRPr="00675E35">
        <w:rPr>
          <w:color w:val="000000"/>
          <w:sz w:val="20"/>
          <w:szCs w:val="20"/>
        </w:rPr>
        <w:t>Fouracre</w:t>
      </w:r>
      <w:proofErr w:type="spellEnd"/>
      <w:r w:rsidRPr="00675E35">
        <w:rPr>
          <w:color w:val="000000"/>
          <w:sz w:val="20"/>
          <w:szCs w:val="20"/>
        </w:rPr>
        <w:t>. Cambridge, 1986. More recently, see Thomas Kuehn, </w:t>
      </w:r>
      <w:r w:rsidRPr="00675E35">
        <w:rPr>
          <w:i/>
          <w:color w:val="000000"/>
          <w:sz w:val="20"/>
          <w:szCs w:val="20"/>
        </w:rPr>
        <w:t>Law, Family, and Women: Toward a Legal Anthropology of Renaissance Italy</w:t>
      </w:r>
      <w:r w:rsidRPr="00675E35">
        <w:rPr>
          <w:color w:val="000000"/>
          <w:sz w:val="20"/>
          <w:szCs w:val="20"/>
        </w:rPr>
        <w:t xml:space="preserve">, Chicago, 1994. Influential in all of this has been the work of legal anthropologists Simon Roberts and Simon </w:t>
      </w:r>
      <w:proofErr w:type="spellStart"/>
      <w:r w:rsidRPr="00675E35">
        <w:rPr>
          <w:color w:val="000000"/>
          <w:sz w:val="20"/>
          <w:szCs w:val="20"/>
        </w:rPr>
        <w:t>Comaroff</w:t>
      </w:r>
      <w:proofErr w:type="spellEnd"/>
      <w:r w:rsidRPr="00675E35">
        <w:rPr>
          <w:color w:val="000000"/>
          <w:sz w:val="20"/>
          <w:szCs w:val="20"/>
        </w:rPr>
        <w:t xml:space="preserve">, </w:t>
      </w:r>
      <w:r w:rsidRPr="00675E35">
        <w:rPr>
          <w:i/>
          <w:color w:val="000000"/>
          <w:sz w:val="20"/>
          <w:szCs w:val="20"/>
        </w:rPr>
        <w:t>Rules and Processes: The Cultural Logic of Dispute in an African Context</w:t>
      </w:r>
      <w:r w:rsidRPr="00675E35">
        <w:rPr>
          <w:color w:val="000000"/>
          <w:sz w:val="20"/>
          <w:szCs w:val="20"/>
        </w:rPr>
        <w:t>, Chicago, 1981.</w:t>
      </w:r>
    </w:p>
  </w:footnote>
  <w:footnote w:id="15">
    <w:p w14:paraId="35DC0FAE" w14:textId="77777777" w:rsidR="004E17E8" w:rsidRPr="00675E35" w:rsidRDefault="004E17E8" w:rsidP="00991CE5">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On arbitration, see Edward Powell, ‘Settlement of Disputes by Arbitration in Fifteenth-Century England’, </w:t>
      </w:r>
      <w:r w:rsidRPr="00675E35">
        <w:rPr>
          <w:i/>
          <w:color w:val="000000"/>
          <w:sz w:val="20"/>
          <w:szCs w:val="20"/>
        </w:rPr>
        <w:t>Law &amp; History Review</w:t>
      </w:r>
      <w:r w:rsidRPr="00675E35">
        <w:rPr>
          <w:color w:val="000000"/>
          <w:sz w:val="20"/>
          <w:szCs w:val="20"/>
        </w:rPr>
        <w:t xml:space="preserve">, 2:1 (1984), pp. 21-43; Carole Rawcliffe, ‘‘That Kindliness Should be Cherished More, and Discord Driven Out’: the Settlement of Commercial Disputes by Arbitration in Later Medieval England’, in </w:t>
      </w:r>
      <w:r w:rsidRPr="00675E35">
        <w:rPr>
          <w:i/>
          <w:color w:val="000000"/>
          <w:sz w:val="20"/>
          <w:szCs w:val="20"/>
        </w:rPr>
        <w:t>Enterprise and Individuals in Fifteenth-Century England</w:t>
      </w:r>
      <w:r w:rsidRPr="00675E35">
        <w:rPr>
          <w:color w:val="000000"/>
          <w:sz w:val="20"/>
          <w:szCs w:val="20"/>
        </w:rPr>
        <w:t>, ed. Jennifer Kermode, Stroud, 1991, pp. 99-117; Lorraine </w:t>
      </w:r>
      <w:proofErr w:type="spellStart"/>
      <w:r w:rsidRPr="00675E35">
        <w:rPr>
          <w:color w:val="000000"/>
          <w:sz w:val="20"/>
          <w:szCs w:val="20"/>
        </w:rPr>
        <w:t>Attreed</w:t>
      </w:r>
      <w:proofErr w:type="spellEnd"/>
      <w:r w:rsidRPr="00675E35">
        <w:rPr>
          <w:color w:val="000000"/>
          <w:sz w:val="20"/>
          <w:szCs w:val="20"/>
        </w:rPr>
        <w:t>, ‘Arbitration and the Growth of Urban Liberties in Late Medieval England’, </w:t>
      </w:r>
      <w:r w:rsidRPr="00675E35">
        <w:rPr>
          <w:i/>
          <w:color w:val="000000"/>
          <w:sz w:val="20"/>
          <w:szCs w:val="20"/>
        </w:rPr>
        <w:t>Journal of British Studies</w:t>
      </w:r>
      <w:r w:rsidRPr="00675E35">
        <w:rPr>
          <w:color w:val="000000"/>
          <w:sz w:val="20"/>
          <w:szCs w:val="20"/>
        </w:rPr>
        <w:t>, 31:3 (1992), pp. 205-235; Ben R. </w:t>
      </w:r>
      <w:proofErr w:type="spellStart"/>
      <w:r w:rsidRPr="00675E35">
        <w:rPr>
          <w:color w:val="000000"/>
          <w:sz w:val="20"/>
          <w:szCs w:val="20"/>
        </w:rPr>
        <w:t>McRee</w:t>
      </w:r>
      <w:proofErr w:type="spellEnd"/>
      <w:r w:rsidRPr="00675E35">
        <w:rPr>
          <w:color w:val="000000"/>
          <w:sz w:val="20"/>
          <w:szCs w:val="20"/>
        </w:rPr>
        <w:t>, ‘</w:t>
      </w:r>
      <w:proofErr w:type="spellStart"/>
      <w:r w:rsidRPr="00675E35">
        <w:rPr>
          <w:color w:val="000000"/>
          <w:sz w:val="20"/>
          <w:szCs w:val="20"/>
        </w:rPr>
        <w:t>Peacemaking</w:t>
      </w:r>
      <w:proofErr w:type="spellEnd"/>
      <w:r w:rsidRPr="00675E35">
        <w:rPr>
          <w:color w:val="000000"/>
          <w:sz w:val="20"/>
          <w:szCs w:val="20"/>
        </w:rPr>
        <w:t xml:space="preserve"> and Its Limits in Late Medieval Norwich’, </w:t>
      </w:r>
      <w:r w:rsidRPr="00675E35">
        <w:rPr>
          <w:i/>
          <w:color w:val="000000"/>
          <w:sz w:val="20"/>
          <w:szCs w:val="20"/>
        </w:rPr>
        <w:t>English Historical Review</w:t>
      </w:r>
      <w:r w:rsidRPr="00675E35">
        <w:rPr>
          <w:color w:val="000000"/>
          <w:sz w:val="20"/>
          <w:szCs w:val="20"/>
        </w:rPr>
        <w:t>, 109:433 (1994), pp. 831-866.</w:t>
      </w:r>
    </w:p>
  </w:footnote>
  <w:footnote w:id="16">
    <w:p w14:paraId="56525F73" w14:textId="77777777" w:rsidR="004E17E8" w:rsidRPr="00675E35" w:rsidRDefault="004E17E8" w:rsidP="00DD2B1F">
      <w:pPr>
        <w:pBdr>
          <w:top w:val="nil"/>
          <w:left w:val="nil"/>
          <w:bottom w:val="nil"/>
          <w:right w:val="nil"/>
          <w:between w:val="nil"/>
        </w:pBdr>
        <w:rPr>
          <w:color w:val="000000"/>
          <w:sz w:val="20"/>
          <w:szCs w:val="20"/>
        </w:rPr>
      </w:pPr>
      <w:r w:rsidRPr="00675E35">
        <w:rPr>
          <w:rStyle w:val="FootnoteReference"/>
          <w:sz w:val="20"/>
          <w:szCs w:val="20"/>
        </w:rPr>
        <w:footnoteRef/>
      </w:r>
      <w:r w:rsidRPr="00675E35">
        <w:rPr>
          <w:sz w:val="20"/>
          <w:szCs w:val="20"/>
        </w:rPr>
        <w:t xml:space="preserve"> </w:t>
      </w:r>
      <w:r w:rsidRPr="00675E35">
        <w:rPr>
          <w:color w:val="000000"/>
          <w:sz w:val="20"/>
          <w:szCs w:val="20"/>
        </w:rPr>
        <w:t>See Jessie Allen, ‘A Theory of Adjudication: Law as Magic’, </w:t>
      </w:r>
      <w:r w:rsidRPr="00675E35">
        <w:rPr>
          <w:i/>
          <w:color w:val="000000"/>
          <w:sz w:val="20"/>
          <w:szCs w:val="20"/>
        </w:rPr>
        <w:t>Suffolk University Law Review</w:t>
      </w:r>
      <w:r w:rsidRPr="00675E35">
        <w:rPr>
          <w:color w:val="000000"/>
          <w:sz w:val="20"/>
          <w:szCs w:val="20"/>
        </w:rPr>
        <w:t xml:space="preserve">, 41:4 (2008), pp. 773-831. For essays that explore the laws concerning magic in modern contexts, see </w:t>
      </w:r>
      <w:r w:rsidRPr="00675E35">
        <w:rPr>
          <w:i/>
          <w:color w:val="000000"/>
          <w:sz w:val="20"/>
          <w:szCs w:val="20"/>
        </w:rPr>
        <w:t>Law and Magic: A Collection of Essays</w:t>
      </w:r>
      <w:r w:rsidRPr="00675E35">
        <w:rPr>
          <w:color w:val="000000"/>
          <w:sz w:val="20"/>
          <w:szCs w:val="20"/>
        </w:rPr>
        <w:t xml:space="preserve">, ed. Christine </w:t>
      </w:r>
      <w:proofErr w:type="spellStart"/>
      <w:r w:rsidRPr="00675E35">
        <w:rPr>
          <w:color w:val="000000"/>
          <w:sz w:val="20"/>
          <w:szCs w:val="20"/>
        </w:rPr>
        <w:t>Corcos</w:t>
      </w:r>
      <w:proofErr w:type="spellEnd"/>
      <w:r w:rsidRPr="00675E35">
        <w:rPr>
          <w:color w:val="000000"/>
          <w:sz w:val="20"/>
          <w:szCs w:val="20"/>
        </w:rPr>
        <w:t>. Durham, NC, 2010.</w:t>
      </w:r>
    </w:p>
  </w:footnote>
  <w:footnote w:id="17">
    <w:p w14:paraId="3124A56E" w14:textId="77777777" w:rsidR="004E17E8" w:rsidRPr="00675E35" w:rsidRDefault="004E17E8">
      <w:pPr>
        <w:pStyle w:val="FootnoteText"/>
        <w:rPr>
          <w:lang w:val="en-US"/>
        </w:rPr>
      </w:pPr>
      <w:r w:rsidRPr="00675E35">
        <w:rPr>
          <w:rStyle w:val="FootnoteReference"/>
        </w:rPr>
        <w:footnoteRef/>
      </w:r>
      <w:r w:rsidRPr="00675E35">
        <w:t xml:space="preserve"> Most notably, in </w:t>
      </w:r>
      <w:r w:rsidRPr="00675E35">
        <w:rPr>
          <w:color w:val="000000"/>
        </w:rPr>
        <w:t>Daniel Lord </w:t>
      </w:r>
      <w:proofErr w:type="spellStart"/>
      <w:r w:rsidRPr="00675E35">
        <w:rPr>
          <w:color w:val="000000"/>
        </w:rPr>
        <w:t>Smail</w:t>
      </w:r>
      <w:proofErr w:type="spellEnd"/>
      <w:r w:rsidRPr="00675E35">
        <w:rPr>
          <w:color w:val="000000"/>
        </w:rPr>
        <w:t>, </w:t>
      </w:r>
      <w:r w:rsidRPr="00675E35">
        <w:rPr>
          <w:i/>
          <w:color w:val="000000"/>
        </w:rPr>
        <w:t>The Consumption of Justice: Emotions, Publicity, and Legal Culture in Marseille, 1264-1423</w:t>
      </w:r>
      <w:r w:rsidRPr="00675E35">
        <w:rPr>
          <w:color w:val="000000"/>
        </w:rPr>
        <w:t>, Ithaca, NY and London, 2003.</w:t>
      </w:r>
    </w:p>
  </w:footnote>
  <w:footnote w:id="18">
    <w:p w14:paraId="65EB40F4" w14:textId="77777777" w:rsidR="004E17E8" w:rsidRPr="00675E35" w:rsidRDefault="004E17E8">
      <w:pPr>
        <w:pStyle w:val="FootnoteText"/>
        <w:rPr>
          <w:lang w:val="en-US"/>
        </w:rPr>
      </w:pPr>
      <w:r w:rsidRPr="00675E35">
        <w:rPr>
          <w:rStyle w:val="FootnoteReference"/>
        </w:rPr>
        <w:footnoteRef/>
      </w:r>
      <w:r w:rsidRPr="00675E35">
        <w:t xml:space="preserve"> See </w:t>
      </w:r>
      <w:r w:rsidRPr="00675E35">
        <w:rPr>
          <w:color w:val="000000"/>
        </w:rPr>
        <w:t xml:space="preserve">Ian Forrest, </w:t>
      </w:r>
      <w:r w:rsidRPr="00675E35">
        <w:rPr>
          <w:i/>
          <w:color w:val="000000"/>
        </w:rPr>
        <w:t>Trustworthy Men: How Faith and Inequality Shaped the Medieval Church</w:t>
      </w:r>
      <w:r w:rsidRPr="00675E35">
        <w:rPr>
          <w:color w:val="000000"/>
        </w:rPr>
        <w:t>. Princeton, 2018.</w:t>
      </w:r>
    </w:p>
  </w:footnote>
  <w:footnote w:id="19">
    <w:p w14:paraId="0D27C23C" w14:textId="77777777" w:rsidR="004E17E8" w:rsidRPr="00675E35" w:rsidRDefault="004E17E8" w:rsidP="00552465">
      <w:pPr>
        <w:pStyle w:val="FootnoteText"/>
        <w:rPr>
          <w:lang w:val="en-US"/>
        </w:rPr>
      </w:pPr>
      <w:r w:rsidRPr="00675E35">
        <w:rPr>
          <w:rStyle w:val="FootnoteReference"/>
        </w:rPr>
        <w:footnoteRef/>
      </w:r>
      <w:r w:rsidRPr="00675E35">
        <w:t xml:space="preserve"> </w:t>
      </w:r>
      <w:proofErr w:type="spellStart"/>
      <w:r w:rsidRPr="00675E35">
        <w:rPr>
          <w:color w:val="000000"/>
        </w:rPr>
        <w:t>Helmholz</w:t>
      </w:r>
      <w:proofErr w:type="spellEnd"/>
      <w:r w:rsidRPr="00675E35">
        <w:rPr>
          <w:color w:val="000000"/>
        </w:rPr>
        <w:t xml:space="preserve">, </w:t>
      </w:r>
      <w:r w:rsidRPr="00675E35">
        <w:rPr>
          <w:i/>
          <w:color w:val="000000"/>
        </w:rPr>
        <w:t>Oxford History of the Laws</w:t>
      </w:r>
      <w:r w:rsidRPr="00675E35">
        <w:rPr>
          <w:color w:val="000000"/>
        </w:rPr>
        <w:t xml:space="preserve">, pp. 634-5, remarks that such cases were ‘not particularly frequent’. A pithy characterization of their main business can be found in L. R. Poos, ‘Sex, Lies, and the Church Courts of Pre-Reformation England’, </w:t>
      </w:r>
      <w:r w:rsidRPr="00675E35">
        <w:rPr>
          <w:i/>
          <w:iCs/>
          <w:color w:val="000000"/>
        </w:rPr>
        <w:t>Journal of Interdisciplinary History</w:t>
      </w:r>
      <w:r w:rsidRPr="00675E35">
        <w:rPr>
          <w:color w:val="000000"/>
        </w:rPr>
        <w:t>, 25:4 (1995). 585-607.</w:t>
      </w:r>
    </w:p>
  </w:footnote>
  <w:footnote w:id="20">
    <w:p w14:paraId="4953395C" w14:textId="1BE9A8F4" w:rsidR="004E17E8" w:rsidRPr="00626678" w:rsidRDefault="004E17E8" w:rsidP="00552465">
      <w:pPr>
        <w:pStyle w:val="FootnoteText"/>
        <w:rPr>
          <w:lang w:val="en-US"/>
        </w:rPr>
      </w:pPr>
      <w:r w:rsidRPr="00675E35">
        <w:rPr>
          <w:rStyle w:val="FootnoteReference"/>
        </w:rPr>
        <w:footnoteRef/>
      </w:r>
      <w:r w:rsidRPr="00675E35">
        <w:t xml:space="preserve"> Kathleen </w:t>
      </w:r>
      <w:proofErr w:type="spellStart"/>
      <w:r w:rsidRPr="00675E35">
        <w:t>Kamerick</w:t>
      </w:r>
      <w:proofErr w:type="spellEnd"/>
      <w:r w:rsidRPr="00675E35">
        <w:t xml:space="preserve">, ‘Shaping Superstition in Late Medieval England’, </w:t>
      </w:r>
      <w:r w:rsidRPr="00675E35">
        <w:rPr>
          <w:i/>
        </w:rPr>
        <w:t>Magic, Ritual, and Witchcraft</w:t>
      </w:r>
      <w:r w:rsidRPr="00675E35">
        <w:t>, 3:1 (2008), 29-53.</w:t>
      </w:r>
      <w:r>
        <w:t xml:space="preserve"> </w:t>
      </w:r>
    </w:p>
  </w:footnote>
  <w:footnote w:id="21">
    <w:p w14:paraId="3FE9109E" w14:textId="4EC53314" w:rsidR="00007F47" w:rsidRPr="00007F47" w:rsidRDefault="00007F47">
      <w:pPr>
        <w:pStyle w:val="FootnoteText"/>
      </w:pPr>
      <w:r>
        <w:rPr>
          <w:rStyle w:val="FootnoteReference"/>
        </w:rPr>
        <w:footnoteRef/>
      </w:r>
      <w:r>
        <w:t xml:space="preserve"> For a useful </w:t>
      </w:r>
      <w:r w:rsidR="00965E2F">
        <w:t>introduction to the conceptual problems with medieval</w:t>
      </w:r>
      <w:r>
        <w:t xml:space="preserve"> magic, see Rider, </w:t>
      </w:r>
      <w:r>
        <w:rPr>
          <w:i/>
          <w:iCs/>
        </w:rPr>
        <w:t>Magic and Religion</w:t>
      </w:r>
      <w:r>
        <w:t xml:space="preserve">, pp. </w:t>
      </w:r>
      <w:r w:rsidR="00965E2F">
        <w:t>10-17.</w:t>
      </w:r>
    </w:p>
  </w:footnote>
  <w:footnote w:id="22">
    <w:p w14:paraId="18CC55CA" w14:textId="2DB836AE" w:rsidR="004E17E8" w:rsidRPr="00675E35" w:rsidRDefault="004E17E8" w:rsidP="00552465">
      <w:pPr>
        <w:pStyle w:val="FootnoteText"/>
        <w:rPr>
          <w:lang w:val="en-US"/>
        </w:rPr>
      </w:pPr>
      <w:r w:rsidRPr="00675E35">
        <w:rPr>
          <w:rStyle w:val="FootnoteReference"/>
        </w:rPr>
        <w:footnoteRef/>
      </w:r>
      <w:r w:rsidRPr="00675E35">
        <w:t xml:space="preserve"> On this distinction, see </w:t>
      </w:r>
      <w:r w:rsidRPr="00675E35">
        <w:rPr>
          <w:lang w:val="en-US"/>
        </w:rPr>
        <w:t xml:space="preserve">Richard Kieckhefer, </w:t>
      </w:r>
      <w:r w:rsidRPr="00675E35">
        <w:rPr>
          <w:i/>
          <w:iCs/>
          <w:lang w:val="en-US"/>
        </w:rPr>
        <w:t>Magic in the Middle Ages</w:t>
      </w:r>
      <w:r w:rsidRPr="00675E35">
        <w:rPr>
          <w:lang w:val="en-US"/>
        </w:rPr>
        <w:t xml:space="preserve"> (Cambridge, 1989), p. 53; on the ‘common tradition’, see </w:t>
      </w:r>
      <w:r w:rsidRPr="00675E35">
        <w:rPr>
          <w:color w:val="000000"/>
        </w:rPr>
        <w:t>Catherine Rider, ‘Common Magic’, in </w:t>
      </w:r>
      <w:r w:rsidRPr="00675E35">
        <w:rPr>
          <w:i/>
          <w:color w:val="000000"/>
        </w:rPr>
        <w:t>The Cambridge History of Magic and Witchcraft in the West: From Antiquity to the Present</w:t>
      </w:r>
      <w:r w:rsidRPr="00675E35">
        <w:rPr>
          <w:color w:val="000000"/>
        </w:rPr>
        <w:t>, ed. David J. Collins (Cambridge, 2014), 303-331</w:t>
      </w:r>
      <w:r w:rsidRPr="00675E35">
        <w:rPr>
          <w:lang w:val="en-US"/>
        </w:rPr>
        <w:t>.</w:t>
      </w:r>
      <w:r w:rsidRPr="004E17E8">
        <w:t xml:space="preserve"> </w:t>
      </w:r>
      <w:r>
        <w:t xml:space="preserve">For a (mostly </w:t>
      </w:r>
      <w:proofErr w:type="spellStart"/>
      <w:r>
        <w:t>postmedieval</w:t>
      </w:r>
      <w:proofErr w:type="spellEnd"/>
      <w:r>
        <w:t xml:space="preserve">) history of popular magical practice, see Owen Davies, </w:t>
      </w:r>
      <w:r w:rsidRPr="00847941">
        <w:rPr>
          <w:i/>
          <w:iCs/>
        </w:rPr>
        <w:t xml:space="preserve">Popular Magic: </w:t>
      </w:r>
      <w:proofErr w:type="gramStart"/>
      <w:r w:rsidRPr="00847941">
        <w:rPr>
          <w:i/>
          <w:iCs/>
        </w:rPr>
        <w:t>Cunning-folk</w:t>
      </w:r>
      <w:proofErr w:type="gramEnd"/>
      <w:r w:rsidRPr="00847941">
        <w:rPr>
          <w:i/>
          <w:iCs/>
        </w:rPr>
        <w:t xml:space="preserve"> in English History</w:t>
      </w:r>
      <w:r>
        <w:t>. London, 2008.</w:t>
      </w:r>
    </w:p>
  </w:footnote>
  <w:footnote w:id="23">
    <w:p w14:paraId="7203F847" w14:textId="77777777" w:rsidR="004E17E8" w:rsidRPr="00675E35" w:rsidRDefault="004E17E8" w:rsidP="00552465">
      <w:pPr>
        <w:pStyle w:val="FootnoteText"/>
      </w:pPr>
      <w:r w:rsidRPr="00675E35">
        <w:rPr>
          <w:rStyle w:val="FootnoteReference"/>
        </w:rPr>
        <w:footnoteRef/>
      </w:r>
      <w:r w:rsidRPr="00675E35">
        <w:t xml:space="preserve"> </w:t>
      </w:r>
      <w:r w:rsidRPr="00675E35">
        <w:rPr>
          <w:i/>
          <w:iCs/>
        </w:rPr>
        <w:t>The Courts of the Archdeaconry of Buckingham, 1483-1523</w:t>
      </w:r>
      <w:r w:rsidRPr="00675E35">
        <w:t>, ed. E. M.</w:t>
      </w:r>
      <w:r w:rsidRPr="00675E35">
        <w:rPr>
          <w:b/>
          <w:bCs/>
        </w:rPr>
        <w:t> </w:t>
      </w:r>
      <w:proofErr w:type="spellStart"/>
      <w:r w:rsidRPr="00675E35">
        <w:t>Elvey</w:t>
      </w:r>
      <w:proofErr w:type="spellEnd"/>
      <w:r w:rsidRPr="00675E35">
        <w:t xml:space="preserve"> (Aylesbury, 1975), p. 23. Barton appears several more times in these records: accused of fornicating with a miller’s wife, interfering in a defamation case involving local gentry, acting as a compurgator for another priest, and defaming a local man as a ‘</w:t>
      </w:r>
      <w:proofErr w:type="spellStart"/>
      <w:r w:rsidRPr="00675E35">
        <w:t>chorle</w:t>
      </w:r>
      <w:proofErr w:type="spellEnd"/>
      <w:r w:rsidRPr="00675E35">
        <w:t>’ and ‘</w:t>
      </w:r>
      <w:proofErr w:type="spellStart"/>
      <w:r w:rsidRPr="00675E35">
        <w:t>boundeman</w:t>
      </w:r>
      <w:proofErr w:type="spellEnd"/>
      <w:r w:rsidRPr="00675E35">
        <w:t>’: respectively, pp. 24, 70-1, 89, 105.</w:t>
      </w:r>
    </w:p>
  </w:footnote>
  <w:footnote w:id="24">
    <w:p w14:paraId="1D58AA17" w14:textId="77777777" w:rsidR="004E17E8" w:rsidRPr="00675E35" w:rsidRDefault="004E17E8" w:rsidP="00552465">
      <w:pPr>
        <w:rPr>
          <w:sz w:val="20"/>
          <w:szCs w:val="20"/>
        </w:rPr>
      </w:pPr>
      <w:r w:rsidRPr="00675E35">
        <w:rPr>
          <w:rStyle w:val="FootnoteReference"/>
          <w:sz w:val="20"/>
          <w:szCs w:val="20"/>
        </w:rPr>
        <w:footnoteRef/>
      </w:r>
      <w:r w:rsidRPr="00675E35">
        <w:rPr>
          <w:sz w:val="20"/>
          <w:szCs w:val="20"/>
        </w:rPr>
        <w:t xml:space="preserve"> For examples of (reports of) summoning spirits to find lost goods, see </w:t>
      </w:r>
      <w:r w:rsidRPr="00675E35">
        <w:rPr>
          <w:rStyle w:val="s2"/>
          <w:color w:val="000000"/>
          <w:sz w:val="20"/>
          <w:szCs w:val="20"/>
        </w:rPr>
        <w:t>A. Hamilton</w:t>
      </w:r>
      <w:r w:rsidRPr="00675E35">
        <w:rPr>
          <w:rStyle w:val="apple-converted-space"/>
          <w:color w:val="000000"/>
          <w:sz w:val="20"/>
          <w:szCs w:val="20"/>
        </w:rPr>
        <w:t> </w:t>
      </w:r>
      <w:r w:rsidRPr="00675E35">
        <w:rPr>
          <w:rStyle w:val="s2"/>
          <w:color w:val="000000"/>
          <w:sz w:val="20"/>
          <w:szCs w:val="20"/>
        </w:rPr>
        <w:t>Thompson,</w:t>
      </w:r>
      <w:r w:rsidRPr="00675E35">
        <w:rPr>
          <w:rStyle w:val="apple-converted-space"/>
          <w:color w:val="000000"/>
          <w:sz w:val="20"/>
          <w:szCs w:val="20"/>
        </w:rPr>
        <w:t> </w:t>
      </w:r>
      <w:r w:rsidRPr="00675E35">
        <w:rPr>
          <w:rStyle w:val="s3"/>
          <w:i/>
          <w:iCs/>
          <w:color w:val="000000"/>
          <w:sz w:val="20"/>
          <w:szCs w:val="20"/>
        </w:rPr>
        <w:t>The English Clergy and their Organization in the Later Middle Ages</w:t>
      </w:r>
      <w:r w:rsidRPr="00675E35">
        <w:rPr>
          <w:rStyle w:val="apple-converted-space"/>
          <w:color w:val="000000"/>
          <w:sz w:val="20"/>
          <w:szCs w:val="20"/>
        </w:rPr>
        <w:t> </w:t>
      </w:r>
      <w:r w:rsidRPr="00675E35">
        <w:rPr>
          <w:rStyle w:val="s2"/>
          <w:color w:val="000000"/>
          <w:sz w:val="20"/>
          <w:szCs w:val="20"/>
        </w:rPr>
        <w:t>(Oxford, 1947)</w:t>
      </w:r>
      <w:r w:rsidRPr="00675E35">
        <w:rPr>
          <w:sz w:val="20"/>
          <w:szCs w:val="20"/>
        </w:rPr>
        <w:t xml:space="preserve">, p. 222; </w:t>
      </w:r>
      <w:r w:rsidRPr="00675E35">
        <w:rPr>
          <w:i/>
          <w:iCs/>
          <w:sz w:val="20"/>
          <w:szCs w:val="20"/>
        </w:rPr>
        <w:t>The Register of Thomas Appleby, Bishop of Carlisle, 1363-1395</w:t>
      </w:r>
      <w:r w:rsidRPr="00675E35">
        <w:rPr>
          <w:sz w:val="20"/>
          <w:szCs w:val="20"/>
        </w:rPr>
        <w:t>, ed. R. L. Storey (Woodbridge, 2006), pp. 44-5.</w:t>
      </w:r>
    </w:p>
  </w:footnote>
  <w:footnote w:id="25">
    <w:p w14:paraId="6D81F637" w14:textId="77777777" w:rsidR="004E17E8" w:rsidRPr="00675E35" w:rsidRDefault="004E17E8" w:rsidP="00552465">
      <w:pPr>
        <w:rPr>
          <w:sz w:val="20"/>
          <w:szCs w:val="20"/>
        </w:rPr>
      </w:pPr>
      <w:r w:rsidRPr="00675E35">
        <w:rPr>
          <w:rStyle w:val="FootnoteReference"/>
          <w:sz w:val="20"/>
          <w:szCs w:val="20"/>
        </w:rPr>
        <w:footnoteRef/>
      </w:r>
      <w:r w:rsidRPr="00675E35">
        <w:rPr>
          <w:sz w:val="20"/>
          <w:szCs w:val="20"/>
        </w:rPr>
        <w:t xml:space="preserve"> See </w:t>
      </w:r>
      <w:r w:rsidRPr="00675E35">
        <w:rPr>
          <w:sz w:val="20"/>
          <w:szCs w:val="20"/>
          <w:lang w:val="en-US"/>
        </w:rPr>
        <w:t xml:space="preserve">Michael D. Bailey, ‘From Sorcery to Witchcraft: Clerical Conceptions of Magic in the Later Middle Ages </w:t>
      </w:r>
      <w:r w:rsidRPr="00675E35">
        <w:rPr>
          <w:i/>
          <w:iCs/>
          <w:sz w:val="20"/>
          <w:szCs w:val="20"/>
          <w:lang w:val="en-US"/>
        </w:rPr>
        <w:t>Speculum</w:t>
      </w:r>
      <w:r w:rsidRPr="00675E35">
        <w:rPr>
          <w:sz w:val="20"/>
          <w:szCs w:val="20"/>
          <w:lang w:val="en-US"/>
        </w:rPr>
        <w:t xml:space="preserve">, 76:4 (2001), 960-990; </w:t>
      </w:r>
      <w:r w:rsidRPr="00675E35">
        <w:rPr>
          <w:rStyle w:val="s2"/>
          <w:color w:val="000000"/>
          <w:sz w:val="20"/>
          <w:szCs w:val="20"/>
        </w:rPr>
        <w:t>Pau Castell Granados, ‘“E cert</w:t>
      </w:r>
      <w:r w:rsidRPr="00675E35">
        <w:rPr>
          <w:rStyle w:val="apple-converted-space"/>
          <w:color w:val="000000"/>
          <w:sz w:val="20"/>
          <w:szCs w:val="20"/>
        </w:rPr>
        <w:t> </w:t>
      </w:r>
      <w:proofErr w:type="spellStart"/>
      <w:r w:rsidRPr="00675E35">
        <w:rPr>
          <w:rStyle w:val="s2"/>
          <w:color w:val="000000"/>
          <w:sz w:val="20"/>
          <w:szCs w:val="20"/>
        </w:rPr>
        <w:t>te</w:t>
      </w:r>
      <w:proofErr w:type="spellEnd"/>
      <w:r w:rsidRPr="00675E35">
        <w:rPr>
          <w:rStyle w:val="apple-converted-space"/>
          <w:color w:val="000000"/>
          <w:sz w:val="20"/>
          <w:szCs w:val="20"/>
        </w:rPr>
        <w:t> </w:t>
      </w:r>
      <w:proofErr w:type="spellStart"/>
      <w:r w:rsidRPr="00675E35">
        <w:rPr>
          <w:rStyle w:val="s2"/>
          <w:color w:val="000000"/>
          <w:sz w:val="20"/>
          <w:szCs w:val="20"/>
        </w:rPr>
        <w:t>molt</w:t>
      </w:r>
      <w:proofErr w:type="spellEnd"/>
      <w:r w:rsidRPr="00675E35">
        <w:rPr>
          <w:rStyle w:val="apple-converted-space"/>
          <w:color w:val="000000"/>
          <w:sz w:val="20"/>
          <w:szCs w:val="20"/>
        </w:rPr>
        <w:t> </w:t>
      </w:r>
      <w:r w:rsidRPr="00675E35">
        <w:rPr>
          <w:rStyle w:val="s2"/>
          <w:color w:val="000000"/>
          <w:sz w:val="20"/>
          <w:szCs w:val="20"/>
        </w:rPr>
        <w:t>gran</w:t>
      </w:r>
      <w:r w:rsidRPr="00675E35">
        <w:rPr>
          <w:rStyle w:val="apple-converted-space"/>
          <w:color w:val="000000"/>
          <w:sz w:val="20"/>
          <w:szCs w:val="20"/>
        </w:rPr>
        <w:t> </w:t>
      </w:r>
      <w:proofErr w:type="spellStart"/>
      <w:r w:rsidRPr="00675E35">
        <w:rPr>
          <w:rStyle w:val="s2"/>
          <w:color w:val="000000"/>
          <w:sz w:val="20"/>
          <w:szCs w:val="20"/>
        </w:rPr>
        <w:t>fama</w:t>
      </w:r>
      <w:proofErr w:type="spellEnd"/>
      <w:r w:rsidRPr="00675E35">
        <w:rPr>
          <w:rStyle w:val="apple-converted-space"/>
          <w:color w:val="000000"/>
          <w:sz w:val="20"/>
          <w:szCs w:val="20"/>
        </w:rPr>
        <w:t> </w:t>
      </w:r>
      <w:r w:rsidRPr="00675E35">
        <w:rPr>
          <w:rStyle w:val="s2"/>
          <w:color w:val="000000"/>
          <w:sz w:val="20"/>
          <w:szCs w:val="20"/>
        </w:rPr>
        <w:t>de</w:t>
      </w:r>
      <w:r w:rsidRPr="00675E35">
        <w:rPr>
          <w:rStyle w:val="apple-converted-space"/>
          <w:color w:val="000000"/>
          <w:sz w:val="20"/>
          <w:szCs w:val="20"/>
        </w:rPr>
        <w:t> </w:t>
      </w:r>
      <w:proofErr w:type="spellStart"/>
      <w:r w:rsidRPr="00675E35">
        <w:rPr>
          <w:rStyle w:val="s2"/>
          <w:color w:val="000000"/>
          <w:sz w:val="20"/>
          <w:szCs w:val="20"/>
        </w:rPr>
        <w:t>bruixa</w:t>
      </w:r>
      <w:proofErr w:type="spellEnd"/>
      <w:r w:rsidRPr="00675E35">
        <w:rPr>
          <w:rStyle w:val="apple-converted-space"/>
          <w:color w:val="000000"/>
          <w:sz w:val="20"/>
          <w:szCs w:val="20"/>
        </w:rPr>
        <w:t> </w:t>
      </w:r>
      <w:r w:rsidRPr="00675E35">
        <w:rPr>
          <w:rStyle w:val="s2"/>
          <w:color w:val="000000"/>
          <w:sz w:val="20"/>
          <w:szCs w:val="20"/>
        </w:rPr>
        <w:t xml:space="preserve">e se fa </w:t>
      </w:r>
      <w:proofErr w:type="spellStart"/>
      <w:r w:rsidRPr="00675E35">
        <w:rPr>
          <w:rStyle w:val="s2"/>
          <w:color w:val="000000"/>
          <w:sz w:val="20"/>
          <w:szCs w:val="20"/>
        </w:rPr>
        <w:t>metgessa</w:t>
      </w:r>
      <w:proofErr w:type="spellEnd"/>
      <w:r w:rsidRPr="00675E35">
        <w:rPr>
          <w:rStyle w:val="s2"/>
          <w:color w:val="000000"/>
          <w:sz w:val="20"/>
          <w:szCs w:val="20"/>
        </w:rPr>
        <w:t xml:space="preserve"> e</w:t>
      </w:r>
      <w:r w:rsidRPr="00675E35">
        <w:rPr>
          <w:rStyle w:val="apple-converted-space"/>
          <w:color w:val="000000"/>
          <w:sz w:val="20"/>
          <w:szCs w:val="20"/>
        </w:rPr>
        <w:t> </w:t>
      </w:r>
      <w:r w:rsidRPr="00675E35">
        <w:rPr>
          <w:rStyle w:val="s2"/>
          <w:color w:val="000000"/>
          <w:sz w:val="20"/>
          <w:szCs w:val="20"/>
        </w:rPr>
        <w:t>fa</w:t>
      </w:r>
      <w:r w:rsidRPr="00675E35">
        <w:rPr>
          <w:rStyle w:val="apple-converted-space"/>
          <w:color w:val="000000"/>
          <w:sz w:val="20"/>
          <w:szCs w:val="20"/>
        </w:rPr>
        <w:t> </w:t>
      </w:r>
      <w:proofErr w:type="spellStart"/>
      <w:r w:rsidRPr="00675E35">
        <w:rPr>
          <w:rStyle w:val="s2"/>
          <w:color w:val="000000"/>
          <w:sz w:val="20"/>
          <w:szCs w:val="20"/>
        </w:rPr>
        <w:t>medecines</w:t>
      </w:r>
      <w:proofErr w:type="spellEnd"/>
      <w:r w:rsidRPr="00675E35">
        <w:rPr>
          <w:rStyle w:val="s2"/>
          <w:color w:val="000000"/>
          <w:sz w:val="20"/>
          <w:szCs w:val="20"/>
        </w:rPr>
        <w:t>”: La</w:t>
      </w:r>
      <w:r w:rsidRPr="00675E35">
        <w:rPr>
          <w:rStyle w:val="apple-converted-space"/>
          <w:color w:val="000000"/>
          <w:sz w:val="20"/>
          <w:szCs w:val="20"/>
        </w:rPr>
        <w:t> </w:t>
      </w:r>
      <w:proofErr w:type="spellStart"/>
      <w:r w:rsidRPr="00675E35">
        <w:rPr>
          <w:rStyle w:val="s2"/>
          <w:color w:val="000000"/>
          <w:sz w:val="20"/>
          <w:szCs w:val="20"/>
        </w:rPr>
        <w:t>Demonización</w:t>
      </w:r>
      <w:proofErr w:type="spellEnd"/>
      <w:r w:rsidRPr="00675E35">
        <w:rPr>
          <w:rStyle w:val="apple-converted-space"/>
          <w:color w:val="000000"/>
          <w:sz w:val="20"/>
          <w:szCs w:val="20"/>
        </w:rPr>
        <w:t> </w:t>
      </w:r>
      <w:r w:rsidRPr="00675E35">
        <w:rPr>
          <w:rStyle w:val="s2"/>
          <w:color w:val="000000"/>
          <w:sz w:val="20"/>
          <w:szCs w:val="20"/>
        </w:rPr>
        <w:t>de</w:t>
      </w:r>
      <w:r w:rsidRPr="00675E35">
        <w:rPr>
          <w:rStyle w:val="apple-converted-space"/>
          <w:color w:val="000000"/>
          <w:sz w:val="20"/>
          <w:szCs w:val="20"/>
        </w:rPr>
        <w:t> </w:t>
      </w:r>
      <w:r w:rsidRPr="00675E35">
        <w:rPr>
          <w:rStyle w:val="s2"/>
          <w:color w:val="000000"/>
          <w:sz w:val="20"/>
          <w:szCs w:val="20"/>
        </w:rPr>
        <w:t>las</w:t>
      </w:r>
      <w:r w:rsidRPr="00675E35">
        <w:rPr>
          <w:rStyle w:val="apple-converted-space"/>
          <w:color w:val="000000"/>
          <w:sz w:val="20"/>
          <w:szCs w:val="20"/>
        </w:rPr>
        <w:t> </w:t>
      </w:r>
      <w:proofErr w:type="spellStart"/>
      <w:r w:rsidRPr="00675E35">
        <w:rPr>
          <w:rStyle w:val="s2"/>
          <w:color w:val="000000"/>
          <w:sz w:val="20"/>
          <w:szCs w:val="20"/>
        </w:rPr>
        <w:t>práctivas</w:t>
      </w:r>
      <w:proofErr w:type="spellEnd"/>
      <w:r w:rsidRPr="00675E35">
        <w:rPr>
          <w:rStyle w:val="apple-converted-space"/>
          <w:color w:val="000000"/>
          <w:sz w:val="20"/>
          <w:szCs w:val="20"/>
        </w:rPr>
        <w:t> </w:t>
      </w:r>
      <w:proofErr w:type="spellStart"/>
      <w:r w:rsidRPr="00675E35">
        <w:rPr>
          <w:rStyle w:val="s2"/>
          <w:color w:val="000000"/>
          <w:sz w:val="20"/>
          <w:szCs w:val="20"/>
        </w:rPr>
        <w:t>mágico-medicinales</w:t>
      </w:r>
      <w:proofErr w:type="spellEnd"/>
      <w:r w:rsidRPr="00675E35">
        <w:rPr>
          <w:rStyle w:val="s2"/>
          <w:color w:val="000000"/>
          <w:sz w:val="20"/>
          <w:szCs w:val="20"/>
        </w:rPr>
        <w:t xml:space="preserve">  </w:t>
      </w:r>
      <w:proofErr w:type="spellStart"/>
      <w:r w:rsidRPr="00675E35">
        <w:rPr>
          <w:rStyle w:val="s2"/>
          <w:color w:val="000000"/>
          <w:sz w:val="20"/>
          <w:szCs w:val="20"/>
        </w:rPr>
        <w:t>femeninas</w:t>
      </w:r>
      <w:proofErr w:type="spellEnd"/>
      <w:r w:rsidRPr="00675E35">
        <w:rPr>
          <w:rStyle w:val="s2"/>
          <w:color w:val="000000"/>
          <w:sz w:val="20"/>
          <w:szCs w:val="20"/>
        </w:rPr>
        <w:t xml:space="preserve"> (siglos</w:t>
      </w:r>
      <w:r w:rsidRPr="00675E35">
        <w:rPr>
          <w:rStyle w:val="apple-converted-space"/>
          <w:color w:val="000000"/>
          <w:sz w:val="20"/>
          <w:szCs w:val="20"/>
        </w:rPr>
        <w:t> </w:t>
      </w:r>
      <w:r w:rsidRPr="00675E35">
        <w:rPr>
          <w:rStyle w:val="s2"/>
          <w:color w:val="000000"/>
          <w:sz w:val="20"/>
          <w:szCs w:val="20"/>
        </w:rPr>
        <w:t>XIV-XVI)’,</w:t>
      </w:r>
      <w:r w:rsidRPr="00675E35">
        <w:rPr>
          <w:rStyle w:val="apple-converted-space"/>
          <w:color w:val="000000"/>
          <w:sz w:val="20"/>
          <w:szCs w:val="20"/>
        </w:rPr>
        <w:t> </w:t>
      </w:r>
      <w:r w:rsidRPr="00675E35">
        <w:rPr>
          <w:rStyle w:val="s3"/>
          <w:i/>
          <w:iCs/>
          <w:color w:val="000000"/>
          <w:sz w:val="20"/>
          <w:szCs w:val="20"/>
        </w:rPr>
        <w:t>Studia</w:t>
      </w:r>
      <w:r w:rsidRPr="00675E35">
        <w:rPr>
          <w:rStyle w:val="apple-converted-space"/>
          <w:i/>
          <w:iCs/>
          <w:color w:val="000000"/>
          <w:sz w:val="20"/>
          <w:szCs w:val="20"/>
        </w:rPr>
        <w:t> </w:t>
      </w:r>
      <w:proofErr w:type="spellStart"/>
      <w:r w:rsidRPr="00675E35">
        <w:rPr>
          <w:rStyle w:val="s3"/>
          <w:i/>
          <w:iCs/>
          <w:color w:val="000000"/>
          <w:sz w:val="20"/>
          <w:szCs w:val="20"/>
        </w:rPr>
        <w:t>historica</w:t>
      </w:r>
      <w:proofErr w:type="spellEnd"/>
      <w:r w:rsidRPr="00675E35">
        <w:rPr>
          <w:rStyle w:val="s3"/>
          <w:i/>
          <w:iCs/>
          <w:color w:val="000000"/>
          <w:sz w:val="20"/>
          <w:szCs w:val="20"/>
        </w:rPr>
        <w:t>.</w:t>
      </w:r>
      <w:r w:rsidRPr="00675E35">
        <w:rPr>
          <w:rStyle w:val="apple-converted-space"/>
          <w:i/>
          <w:iCs/>
          <w:color w:val="000000"/>
          <w:sz w:val="20"/>
          <w:szCs w:val="20"/>
        </w:rPr>
        <w:t> </w:t>
      </w:r>
      <w:r w:rsidRPr="00675E35">
        <w:rPr>
          <w:rStyle w:val="s3"/>
          <w:i/>
          <w:iCs/>
          <w:color w:val="000000"/>
          <w:sz w:val="20"/>
          <w:szCs w:val="20"/>
        </w:rPr>
        <w:t>Historia</w:t>
      </w:r>
      <w:r w:rsidRPr="00675E35">
        <w:rPr>
          <w:rStyle w:val="apple-converted-space"/>
          <w:i/>
          <w:iCs/>
          <w:color w:val="000000"/>
          <w:sz w:val="20"/>
          <w:szCs w:val="20"/>
        </w:rPr>
        <w:t> </w:t>
      </w:r>
      <w:r w:rsidRPr="00675E35">
        <w:rPr>
          <w:rStyle w:val="s3"/>
          <w:i/>
          <w:iCs/>
          <w:color w:val="000000"/>
          <w:sz w:val="20"/>
          <w:szCs w:val="20"/>
        </w:rPr>
        <w:t>medieval</w:t>
      </w:r>
      <w:r w:rsidRPr="00675E35">
        <w:rPr>
          <w:rStyle w:val="s2"/>
          <w:color w:val="000000"/>
          <w:sz w:val="20"/>
          <w:szCs w:val="20"/>
        </w:rPr>
        <w:t>, 31 (2013), 233-244.</w:t>
      </w:r>
    </w:p>
  </w:footnote>
  <w:footnote w:id="26">
    <w:p w14:paraId="2DCF8F39" w14:textId="77777777" w:rsidR="004E17E8" w:rsidRPr="00675E35" w:rsidRDefault="004E17E8">
      <w:pPr>
        <w:pStyle w:val="FootnoteText"/>
        <w:rPr>
          <w:lang w:val="en-US"/>
        </w:rPr>
      </w:pPr>
      <w:r w:rsidRPr="00675E35">
        <w:rPr>
          <w:rStyle w:val="FootnoteReference"/>
        </w:rPr>
        <w:footnoteRef/>
      </w:r>
      <w:r w:rsidRPr="00675E35">
        <w:t xml:space="preserve"> </w:t>
      </w:r>
      <w:r w:rsidRPr="00675E35">
        <w:rPr>
          <w:color w:val="000000"/>
        </w:rPr>
        <w:t xml:space="preserve">On this web of connections, see </w:t>
      </w:r>
      <w:r w:rsidRPr="00675E35">
        <w:rPr>
          <w:lang w:val="en-US"/>
        </w:rPr>
        <w:t xml:space="preserve">Catherine Rider, ‘Magic and unorthodoxy in late medieval English pastoral manuals’, in </w:t>
      </w:r>
      <w:r w:rsidRPr="00675E35">
        <w:rPr>
          <w:i/>
          <w:iCs/>
          <w:lang w:val="en-US"/>
        </w:rPr>
        <w:t>The Unorthodox Imagination in Late Medieval Britain</w:t>
      </w:r>
      <w:r w:rsidRPr="00675E35">
        <w:rPr>
          <w:lang w:val="en-US"/>
        </w:rPr>
        <w:t xml:space="preserve"> (Manchester, 2010), 96-114.</w:t>
      </w:r>
      <w:r w:rsidRPr="00675E35">
        <w:rPr>
          <w:color w:val="000000"/>
        </w:rPr>
        <w:t xml:space="preserve"> On fear of, and efforts to prosecute heresy, see </w:t>
      </w:r>
      <w:r w:rsidRPr="00675E35">
        <w:rPr>
          <w:rStyle w:val="s2"/>
          <w:color w:val="000000"/>
        </w:rPr>
        <w:t>Ian</w:t>
      </w:r>
      <w:r w:rsidRPr="00675E35">
        <w:rPr>
          <w:rStyle w:val="apple-converted-space"/>
          <w:color w:val="000000"/>
        </w:rPr>
        <w:t> </w:t>
      </w:r>
      <w:r w:rsidRPr="00675E35">
        <w:rPr>
          <w:rStyle w:val="s2"/>
          <w:color w:val="000000"/>
        </w:rPr>
        <w:t>Forrest,</w:t>
      </w:r>
      <w:r w:rsidRPr="00675E35">
        <w:rPr>
          <w:rStyle w:val="apple-converted-space"/>
          <w:color w:val="000000"/>
        </w:rPr>
        <w:t> </w:t>
      </w:r>
      <w:r w:rsidRPr="00675E35">
        <w:rPr>
          <w:rStyle w:val="s3"/>
          <w:i/>
          <w:iCs/>
          <w:color w:val="000000"/>
        </w:rPr>
        <w:t>The</w:t>
      </w:r>
      <w:r w:rsidRPr="00675E35">
        <w:rPr>
          <w:rStyle w:val="apple-converted-space"/>
          <w:i/>
          <w:iCs/>
          <w:color w:val="000000"/>
        </w:rPr>
        <w:t> </w:t>
      </w:r>
      <w:r w:rsidRPr="00675E35">
        <w:rPr>
          <w:rStyle w:val="s3"/>
          <w:i/>
          <w:iCs/>
          <w:color w:val="000000"/>
        </w:rPr>
        <w:t>Detection</w:t>
      </w:r>
      <w:r w:rsidRPr="00675E35">
        <w:rPr>
          <w:rStyle w:val="apple-converted-space"/>
          <w:i/>
          <w:iCs/>
          <w:color w:val="000000"/>
        </w:rPr>
        <w:t> </w:t>
      </w:r>
      <w:r w:rsidRPr="00675E35">
        <w:rPr>
          <w:rStyle w:val="s3"/>
          <w:i/>
          <w:iCs/>
          <w:color w:val="000000"/>
        </w:rPr>
        <w:t>of Heresy in Late Medieval England</w:t>
      </w:r>
      <w:r w:rsidRPr="00675E35">
        <w:rPr>
          <w:rStyle w:val="apple-converted-space"/>
          <w:color w:val="000000"/>
        </w:rPr>
        <w:t xml:space="preserve"> (</w:t>
      </w:r>
      <w:r w:rsidRPr="00675E35">
        <w:rPr>
          <w:rStyle w:val="s2"/>
          <w:color w:val="000000"/>
        </w:rPr>
        <w:t xml:space="preserve">Oxford, 2005); on the broader political climate, see Margaret Aston, ‘Lollardy and Sedition’, in </w:t>
      </w:r>
      <w:r w:rsidRPr="00675E35">
        <w:rPr>
          <w:rStyle w:val="s2"/>
          <w:i/>
          <w:iCs/>
          <w:color w:val="000000"/>
        </w:rPr>
        <w:t>Peasants, Knights, and Heretics</w:t>
      </w:r>
      <w:r w:rsidRPr="00675E35">
        <w:rPr>
          <w:rStyle w:val="s2"/>
          <w:color w:val="000000"/>
        </w:rPr>
        <w:t>, ed. R. H. Hilton (Cambridge, 1976), 273-318.</w:t>
      </w:r>
    </w:p>
  </w:footnote>
  <w:footnote w:id="27">
    <w:p w14:paraId="0EB63F46" w14:textId="77777777" w:rsidR="004E17E8" w:rsidRPr="00675E35" w:rsidRDefault="004E17E8" w:rsidP="00552465">
      <w:pPr>
        <w:rPr>
          <w:sz w:val="20"/>
          <w:szCs w:val="20"/>
        </w:rPr>
      </w:pPr>
      <w:r w:rsidRPr="00675E35">
        <w:rPr>
          <w:rStyle w:val="FootnoteReference"/>
          <w:sz w:val="20"/>
          <w:szCs w:val="20"/>
        </w:rPr>
        <w:footnoteRef/>
      </w:r>
      <w:r w:rsidRPr="00675E35">
        <w:rPr>
          <w:sz w:val="20"/>
          <w:szCs w:val="20"/>
        </w:rPr>
        <w:t xml:space="preserve"> See H.A. Kelly, ‘English kings and the fear of sorcery’, </w:t>
      </w:r>
      <w:r w:rsidRPr="00675E35">
        <w:rPr>
          <w:i/>
          <w:iCs/>
          <w:sz w:val="20"/>
          <w:szCs w:val="20"/>
        </w:rPr>
        <w:t>Medieval Studies</w:t>
      </w:r>
      <w:r w:rsidRPr="00675E35">
        <w:rPr>
          <w:sz w:val="20"/>
          <w:szCs w:val="20"/>
        </w:rPr>
        <w:t xml:space="preserve">, 39 (1977), 206-38; Jessica Freeman, ‘Sorcery at court and manor: Margery </w:t>
      </w:r>
      <w:proofErr w:type="spellStart"/>
      <w:r w:rsidRPr="00675E35">
        <w:rPr>
          <w:sz w:val="20"/>
          <w:szCs w:val="20"/>
        </w:rPr>
        <w:t>Jourdemayne</w:t>
      </w:r>
      <w:proofErr w:type="spellEnd"/>
      <w:r w:rsidRPr="00675E35">
        <w:rPr>
          <w:sz w:val="20"/>
          <w:szCs w:val="20"/>
        </w:rPr>
        <w:t xml:space="preserve">, the witch of Eye next Westminster’, </w:t>
      </w:r>
      <w:r w:rsidRPr="00675E35">
        <w:rPr>
          <w:i/>
          <w:iCs/>
          <w:sz w:val="20"/>
          <w:szCs w:val="20"/>
        </w:rPr>
        <w:t>Journal of Medieval History</w:t>
      </w:r>
      <w:r w:rsidRPr="00675E35">
        <w:rPr>
          <w:sz w:val="20"/>
          <w:szCs w:val="20"/>
        </w:rPr>
        <w:t>, 30 (2004), 343-357.</w:t>
      </w:r>
    </w:p>
  </w:footnote>
  <w:footnote w:id="28">
    <w:p w14:paraId="00A61170" w14:textId="140F7896" w:rsidR="004E17E8" w:rsidRPr="00675E35" w:rsidRDefault="004E17E8" w:rsidP="00552465">
      <w:pPr>
        <w:pBdr>
          <w:top w:val="nil"/>
          <w:left w:val="nil"/>
          <w:bottom w:val="nil"/>
          <w:right w:val="nil"/>
          <w:between w:val="nil"/>
        </w:pBdr>
        <w:rPr>
          <w:color w:val="000000"/>
          <w:sz w:val="20"/>
          <w:szCs w:val="20"/>
        </w:rPr>
      </w:pPr>
      <w:r w:rsidRPr="00675E35">
        <w:rPr>
          <w:rStyle w:val="FootnoteReference"/>
          <w:sz w:val="20"/>
          <w:szCs w:val="20"/>
        </w:rPr>
        <w:footnoteRef/>
      </w:r>
      <w:r w:rsidRPr="00675E35">
        <w:rPr>
          <w:sz w:val="20"/>
          <w:szCs w:val="20"/>
        </w:rPr>
        <w:t xml:space="preserve"> </w:t>
      </w:r>
      <w:r w:rsidRPr="00675E35">
        <w:rPr>
          <w:sz w:val="20"/>
          <w:szCs w:val="20"/>
          <w:lang w:val="en-US"/>
        </w:rPr>
        <w:t xml:space="preserve">Heresy inquisitions did not generally turn up other kinds of heterodox practice, perhaps because inquisitors heeded </w:t>
      </w:r>
      <w:r w:rsidR="00FC4433">
        <w:rPr>
          <w:sz w:val="20"/>
          <w:szCs w:val="20"/>
          <w:lang w:val="en-US"/>
        </w:rPr>
        <w:t>a</w:t>
      </w:r>
      <w:r w:rsidR="00FC4433" w:rsidRPr="00675E35">
        <w:rPr>
          <w:sz w:val="20"/>
          <w:szCs w:val="20"/>
          <w:lang w:val="en-US"/>
        </w:rPr>
        <w:t xml:space="preserve"> </w:t>
      </w:r>
      <w:r w:rsidRPr="00675E35">
        <w:rPr>
          <w:sz w:val="20"/>
          <w:szCs w:val="20"/>
          <w:lang w:val="en-US"/>
        </w:rPr>
        <w:t xml:space="preserve">jurisdictional injunction against investigating sorcery: </w:t>
      </w:r>
      <w:r w:rsidRPr="00675E35">
        <w:rPr>
          <w:rStyle w:val="s2"/>
          <w:color w:val="000000"/>
          <w:sz w:val="20"/>
          <w:szCs w:val="20"/>
        </w:rPr>
        <w:t>Forrest,</w:t>
      </w:r>
      <w:r w:rsidRPr="00675E35">
        <w:rPr>
          <w:rStyle w:val="apple-converted-space"/>
          <w:color w:val="000000"/>
          <w:sz w:val="20"/>
          <w:szCs w:val="20"/>
        </w:rPr>
        <w:t> </w:t>
      </w:r>
      <w:r w:rsidRPr="00675E35">
        <w:rPr>
          <w:rStyle w:val="s3"/>
          <w:i/>
          <w:iCs/>
          <w:color w:val="000000"/>
          <w:sz w:val="20"/>
          <w:szCs w:val="20"/>
        </w:rPr>
        <w:t>The</w:t>
      </w:r>
      <w:r w:rsidRPr="00675E35">
        <w:rPr>
          <w:rStyle w:val="apple-converted-space"/>
          <w:i/>
          <w:iCs/>
          <w:color w:val="000000"/>
          <w:sz w:val="20"/>
          <w:szCs w:val="20"/>
        </w:rPr>
        <w:t> </w:t>
      </w:r>
      <w:r w:rsidRPr="00675E35">
        <w:rPr>
          <w:rStyle w:val="s3"/>
          <w:i/>
          <w:iCs/>
          <w:color w:val="000000"/>
          <w:sz w:val="20"/>
          <w:szCs w:val="20"/>
        </w:rPr>
        <w:t>Detection</w:t>
      </w:r>
      <w:r w:rsidRPr="00675E35">
        <w:rPr>
          <w:rStyle w:val="apple-converted-space"/>
          <w:i/>
          <w:iCs/>
          <w:color w:val="000000"/>
          <w:sz w:val="20"/>
          <w:szCs w:val="20"/>
        </w:rPr>
        <w:t> </w:t>
      </w:r>
      <w:r w:rsidRPr="00675E35">
        <w:rPr>
          <w:rStyle w:val="s3"/>
          <w:i/>
          <w:iCs/>
          <w:color w:val="000000"/>
          <w:sz w:val="20"/>
          <w:szCs w:val="20"/>
        </w:rPr>
        <w:t>of Heresy</w:t>
      </w:r>
      <w:r w:rsidRPr="00675E35">
        <w:rPr>
          <w:rStyle w:val="s3"/>
          <w:color w:val="000000"/>
          <w:sz w:val="20"/>
          <w:szCs w:val="20"/>
        </w:rPr>
        <w:t xml:space="preserve">, p. 196, fn. 92. On the other hand, one case from a visitation of Kent in 1511 (at a time of ongoing heresy investigations in the area) described a woman who cursed her neighbours as ‘holding an erroneous opinion’, suggesting that the two might still be conflated: see </w:t>
      </w:r>
      <w:r w:rsidRPr="00675E35">
        <w:rPr>
          <w:rStyle w:val="s3"/>
          <w:i/>
          <w:iCs/>
          <w:color w:val="000000"/>
          <w:sz w:val="20"/>
          <w:szCs w:val="20"/>
        </w:rPr>
        <w:t xml:space="preserve">Kentish Visitations of Archbishop William </w:t>
      </w:r>
      <w:proofErr w:type="spellStart"/>
      <w:r w:rsidRPr="00675E35">
        <w:rPr>
          <w:rStyle w:val="s3"/>
          <w:i/>
          <w:iCs/>
          <w:color w:val="000000"/>
          <w:sz w:val="20"/>
          <w:szCs w:val="20"/>
        </w:rPr>
        <w:t>Warham</w:t>
      </w:r>
      <w:proofErr w:type="spellEnd"/>
      <w:r w:rsidRPr="00675E35">
        <w:rPr>
          <w:rStyle w:val="s3"/>
          <w:i/>
          <w:iCs/>
          <w:color w:val="000000"/>
          <w:sz w:val="20"/>
          <w:szCs w:val="20"/>
        </w:rPr>
        <w:t xml:space="preserve"> and his Deputies, 1511-12</w:t>
      </w:r>
      <w:r w:rsidRPr="00675E35">
        <w:rPr>
          <w:rStyle w:val="s3"/>
          <w:color w:val="000000"/>
          <w:sz w:val="20"/>
          <w:szCs w:val="20"/>
        </w:rPr>
        <w:t>, ed. K. L. Wood-Legh. Kent Records, XXIV. Maidstone, 1984, p. 267.</w:t>
      </w:r>
    </w:p>
  </w:footnote>
  <w:footnote w:id="29">
    <w:p w14:paraId="7DF7A138" w14:textId="77777777" w:rsidR="004E17E8" w:rsidRPr="00675E35" w:rsidRDefault="004E17E8" w:rsidP="00552465">
      <w:pPr>
        <w:pStyle w:val="FootnoteText"/>
        <w:rPr>
          <w:lang w:val="en-US"/>
        </w:rPr>
      </w:pPr>
      <w:r w:rsidRPr="00675E35">
        <w:rPr>
          <w:rStyle w:val="FootnoteReference"/>
        </w:rPr>
        <w:footnoteRef/>
      </w:r>
      <w:r w:rsidRPr="00675E35">
        <w:t xml:space="preserve"> </w:t>
      </w:r>
      <w:r w:rsidRPr="00E46273">
        <w:t>The Decretals</w:t>
      </w:r>
      <w:r>
        <w:t xml:space="preserve"> devoted</w:t>
      </w:r>
      <w:r w:rsidRPr="00E46273">
        <w:t xml:space="preserve"> a title on </w:t>
      </w:r>
      <w:r w:rsidRPr="00E46273">
        <w:rPr>
          <w:szCs w:val="22"/>
        </w:rPr>
        <w:t>fortune-tellers (</w:t>
      </w:r>
      <w:r w:rsidRPr="00E46273">
        <w:rPr>
          <w:i/>
          <w:iCs/>
          <w:szCs w:val="22"/>
        </w:rPr>
        <w:t xml:space="preserve">de </w:t>
      </w:r>
      <w:proofErr w:type="spellStart"/>
      <w:r w:rsidRPr="00E46273">
        <w:rPr>
          <w:i/>
          <w:iCs/>
          <w:szCs w:val="22"/>
        </w:rPr>
        <w:t>sortilegiis</w:t>
      </w:r>
      <w:proofErr w:type="spellEnd"/>
      <w:r w:rsidRPr="00E46273">
        <w:rPr>
          <w:szCs w:val="22"/>
        </w:rPr>
        <w:t xml:space="preserve">) and </w:t>
      </w:r>
      <w:r>
        <w:rPr>
          <w:szCs w:val="22"/>
        </w:rPr>
        <w:t xml:space="preserve">spent </w:t>
      </w:r>
      <w:r w:rsidRPr="00E46273">
        <w:rPr>
          <w:szCs w:val="22"/>
        </w:rPr>
        <w:t>some effort distinguishing divination from prophecy</w:t>
      </w:r>
      <w:r>
        <w:rPr>
          <w:szCs w:val="22"/>
        </w:rPr>
        <w:t xml:space="preserve">, but the treatment is relatively cursory: </w:t>
      </w:r>
      <w:proofErr w:type="spellStart"/>
      <w:r w:rsidRPr="00675E35">
        <w:t>Hostiensis</w:t>
      </w:r>
      <w:proofErr w:type="spellEnd"/>
      <w:r w:rsidRPr="00675E35">
        <w:t xml:space="preserve">, </w:t>
      </w:r>
      <w:r w:rsidRPr="00675E35">
        <w:rPr>
          <w:i/>
          <w:iCs/>
        </w:rPr>
        <w:t>Summa Aurea</w:t>
      </w:r>
      <w:r w:rsidRPr="00675E35">
        <w:t xml:space="preserve"> (Venice, 1576), [Lib. V, tit. 21], pp. 1647-50.</w:t>
      </w:r>
    </w:p>
  </w:footnote>
  <w:footnote w:id="30">
    <w:p w14:paraId="1FF0CFA4" w14:textId="77777777" w:rsidR="004E17E8" w:rsidRPr="00543CC8" w:rsidRDefault="004E17E8" w:rsidP="00552465">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William </w:t>
      </w:r>
      <w:proofErr w:type="spellStart"/>
      <w:r w:rsidRPr="00675E35">
        <w:rPr>
          <w:color w:val="000000"/>
          <w:sz w:val="20"/>
          <w:szCs w:val="20"/>
        </w:rPr>
        <w:t>Lyndwood</w:t>
      </w:r>
      <w:proofErr w:type="spellEnd"/>
      <w:r w:rsidRPr="00675E35">
        <w:rPr>
          <w:color w:val="000000"/>
          <w:sz w:val="20"/>
          <w:szCs w:val="20"/>
        </w:rPr>
        <w:t xml:space="preserve">, </w:t>
      </w:r>
      <w:proofErr w:type="spellStart"/>
      <w:r w:rsidRPr="00675E35">
        <w:rPr>
          <w:i/>
          <w:color w:val="000000"/>
          <w:sz w:val="20"/>
          <w:szCs w:val="20"/>
        </w:rPr>
        <w:t>Provinciale</w:t>
      </w:r>
      <w:proofErr w:type="spellEnd"/>
      <w:r w:rsidRPr="00675E35">
        <w:rPr>
          <w:i/>
          <w:color w:val="000000"/>
          <w:sz w:val="20"/>
          <w:szCs w:val="20"/>
        </w:rPr>
        <w:t> </w:t>
      </w:r>
      <w:proofErr w:type="spellStart"/>
      <w:r w:rsidRPr="00675E35">
        <w:rPr>
          <w:i/>
          <w:color w:val="000000"/>
          <w:sz w:val="20"/>
          <w:szCs w:val="20"/>
        </w:rPr>
        <w:t>seu</w:t>
      </w:r>
      <w:proofErr w:type="spellEnd"/>
      <w:r w:rsidRPr="00675E35">
        <w:rPr>
          <w:i/>
          <w:color w:val="000000"/>
          <w:sz w:val="20"/>
          <w:szCs w:val="20"/>
        </w:rPr>
        <w:t xml:space="preserve"> </w:t>
      </w:r>
      <w:proofErr w:type="spellStart"/>
      <w:r w:rsidRPr="00675E35">
        <w:rPr>
          <w:i/>
          <w:color w:val="000000"/>
          <w:sz w:val="20"/>
          <w:szCs w:val="20"/>
        </w:rPr>
        <w:t>constitutiones</w:t>
      </w:r>
      <w:proofErr w:type="spellEnd"/>
      <w:r w:rsidRPr="00675E35">
        <w:rPr>
          <w:i/>
          <w:color w:val="000000"/>
          <w:sz w:val="20"/>
          <w:szCs w:val="20"/>
        </w:rPr>
        <w:t xml:space="preserve"> </w:t>
      </w:r>
      <w:proofErr w:type="spellStart"/>
      <w:r w:rsidRPr="00675E35">
        <w:rPr>
          <w:i/>
          <w:color w:val="000000"/>
          <w:sz w:val="20"/>
          <w:szCs w:val="20"/>
        </w:rPr>
        <w:t>Angliae</w:t>
      </w:r>
      <w:proofErr w:type="spellEnd"/>
      <w:r w:rsidRPr="00675E35">
        <w:rPr>
          <w:i/>
          <w:color w:val="000000"/>
          <w:sz w:val="20"/>
          <w:szCs w:val="20"/>
        </w:rPr>
        <w:t xml:space="preserve"> </w:t>
      </w:r>
      <w:proofErr w:type="spellStart"/>
      <w:r w:rsidRPr="00675E35">
        <w:rPr>
          <w:i/>
          <w:color w:val="000000"/>
          <w:sz w:val="20"/>
          <w:szCs w:val="20"/>
        </w:rPr>
        <w:t>continens</w:t>
      </w:r>
      <w:proofErr w:type="spellEnd"/>
      <w:r w:rsidRPr="00675E35">
        <w:rPr>
          <w:i/>
          <w:color w:val="000000"/>
          <w:sz w:val="20"/>
          <w:szCs w:val="20"/>
        </w:rPr>
        <w:t xml:space="preserve"> </w:t>
      </w:r>
      <w:proofErr w:type="spellStart"/>
      <w:r w:rsidRPr="00675E35">
        <w:rPr>
          <w:i/>
          <w:color w:val="000000"/>
          <w:sz w:val="20"/>
          <w:szCs w:val="20"/>
        </w:rPr>
        <w:t>constitutiones</w:t>
      </w:r>
      <w:proofErr w:type="spellEnd"/>
      <w:r w:rsidRPr="00675E35">
        <w:rPr>
          <w:i/>
          <w:color w:val="000000"/>
          <w:sz w:val="20"/>
          <w:szCs w:val="20"/>
        </w:rPr>
        <w:t xml:space="preserve"> </w:t>
      </w:r>
      <w:proofErr w:type="spellStart"/>
      <w:r w:rsidRPr="00675E35">
        <w:rPr>
          <w:i/>
          <w:color w:val="000000"/>
          <w:sz w:val="20"/>
          <w:szCs w:val="20"/>
        </w:rPr>
        <w:t>provinciales</w:t>
      </w:r>
      <w:proofErr w:type="spellEnd"/>
      <w:r w:rsidRPr="00675E35">
        <w:rPr>
          <w:i/>
          <w:color w:val="000000"/>
          <w:sz w:val="20"/>
          <w:szCs w:val="20"/>
        </w:rPr>
        <w:t xml:space="preserve"> </w:t>
      </w:r>
      <w:proofErr w:type="spellStart"/>
      <w:r w:rsidRPr="00675E35">
        <w:rPr>
          <w:i/>
          <w:color w:val="000000"/>
          <w:sz w:val="20"/>
          <w:szCs w:val="20"/>
        </w:rPr>
        <w:t>quatuordecim</w:t>
      </w:r>
      <w:proofErr w:type="spellEnd"/>
      <w:r w:rsidRPr="00675E35">
        <w:rPr>
          <w:i/>
          <w:color w:val="000000"/>
          <w:sz w:val="20"/>
          <w:szCs w:val="20"/>
        </w:rPr>
        <w:t xml:space="preserve"> </w:t>
      </w:r>
      <w:proofErr w:type="spellStart"/>
      <w:r w:rsidRPr="00675E35">
        <w:rPr>
          <w:i/>
          <w:color w:val="000000"/>
          <w:sz w:val="20"/>
          <w:szCs w:val="20"/>
        </w:rPr>
        <w:t>archiepiscoporum</w:t>
      </w:r>
      <w:proofErr w:type="spellEnd"/>
      <w:r w:rsidRPr="00675E35">
        <w:rPr>
          <w:i/>
          <w:color w:val="000000"/>
          <w:sz w:val="20"/>
          <w:szCs w:val="20"/>
        </w:rPr>
        <w:t xml:space="preserve"> </w:t>
      </w:r>
      <w:proofErr w:type="spellStart"/>
      <w:r w:rsidRPr="00675E35">
        <w:rPr>
          <w:i/>
          <w:color w:val="000000"/>
          <w:sz w:val="20"/>
          <w:szCs w:val="20"/>
        </w:rPr>
        <w:t>Cantuariensium</w:t>
      </w:r>
      <w:proofErr w:type="spellEnd"/>
      <w:r w:rsidRPr="00675E35">
        <w:rPr>
          <w:i/>
          <w:color w:val="000000"/>
          <w:sz w:val="20"/>
          <w:szCs w:val="20"/>
        </w:rPr>
        <w:t xml:space="preserve">…cum </w:t>
      </w:r>
      <w:proofErr w:type="spellStart"/>
      <w:r w:rsidRPr="00675E35">
        <w:rPr>
          <w:i/>
          <w:color w:val="000000"/>
          <w:sz w:val="20"/>
          <w:szCs w:val="20"/>
        </w:rPr>
        <w:t>summariis</w:t>
      </w:r>
      <w:proofErr w:type="spellEnd"/>
      <w:r w:rsidRPr="00675E35">
        <w:rPr>
          <w:i/>
          <w:color w:val="000000"/>
          <w:sz w:val="20"/>
          <w:szCs w:val="20"/>
        </w:rPr>
        <w:t xml:space="preserve"> </w:t>
      </w:r>
      <w:proofErr w:type="spellStart"/>
      <w:r w:rsidRPr="00675E35">
        <w:rPr>
          <w:i/>
          <w:color w:val="000000"/>
          <w:sz w:val="20"/>
          <w:szCs w:val="20"/>
        </w:rPr>
        <w:t>atque</w:t>
      </w:r>
      <w:proofErr w:type="spellEnd"/>
      <w:r w:rsidRPr="00675E35">
        <w:rPr>
          <w:i/>
          <w:color w:val="000000"/>
          <w:sz w:val="20"/>
          <w:szCs w:val="20"/>
        </w:rPr>
        <w:t xml:space="preserve"> </w:t>
      </w:r>
      <w:proofErr w:type="spellStart"/>
      <w:r w:rsidRPr="00675E35">
        <w:rPr>
          <w:i/>
          <w:color w:val="000000"/>
          <w:sz w:val="20"/>
          <w:szCs w:val="20"/>
        </w:rPr>
        <w:t>eruditis</w:t>
      </w:r>
      <w:proofErr w:type="spellEnd"/>
      <w:r w:rsidRPr="00675E35">
        <w:rPr>
          <w:i/>
          <w:color w:val="000000"/>
          <w:sz w:val="20"/>
          <w:szCs w:val="20"/>
        </w:rPr>
        <w:t xml:space="preserve"> </w:t>
      </w:r>
      <w:proofErr w:type="spellStart"/>
      <w:r w:rsidRPr="00675E35">
        <w:rPr>
          <w:i/>
          <w:color w:val="000000"/>
          <w:sz w:val="20"/>
          <w:szCs w:val="20"/>
        </w:rPr>
        <w:t>annotationibus</w:t>
      </w:r>
      <w:proofErr w:type="spellEnd"/>
      <w:r w:rsidRPr="00675E35">
        <w:rPr>
          <w:i/>
          <w:color w:val="000000"/>
          <w:sz w:val="20"/>
          <w:szCs w:val="20"/>
        </w:rPr>
        <w:t>, </w:t>
      </w:r>
      <w:proofErr w:type="spellStart"/>
      <w:r w:rsidRPr="00675E35">
        <w:rPr>
          <w:i/>
          <w:color w:val="000000"/>
          <w:sz w:val="20"/>
          <w:szCs w:val="20"/>
        </w:rPr>
        <w:t>summá</w:t>
      </w:r>
      <w:proofErr w:type="spellEnd"/>
      <w:r w:rsidRPr="00675E35">
        <w:rPr>
          <w:i/>
          <w:color w:val="000000"/>
          <w:sz w:val="20"/>
          <w:szCs w:val="20"/>
        </w:rPr>
        <w:t xml:space="preserve"> </w:t>
      </w:r>
      <w:proofErr w:type="spellStart"/>
      <w:r w:rsidRPr="00675E35">
        <w:rPr>
          <w:i/>
          <w:color w:val="000000"/>
          <w:sz w:val="20"/>
          <w:szCs w:val="20"/>
        </w:rPr>
        <w:t>accuratione</w:t>
      </w:r>
      <w:proofErr w:type="spellEnd"/>
      <w:r w:rsidRPr="00675E35">
        <w:rPr>
          <w:i/>
          <w:color w:val="000000"/>
          <w:sz w:val="20"/>
          <w:szCs w:val="20"/>
        </w:rPr>
        <w:t xml:space="preserve"> </w:t>
      </w:r>
      <w:proofErr w:type="spellStart"/>
      <w:r w:rsidRPr="00675E35">
        <w:rPr>
          <w:i/>
          <w:color w:val="000000"/>
          <w:sz w:val="20"/>
          <w:szCs w:val="20"/>
        </w:rPr>
        <w:t>denuo</w:t>
      </w:r>
      <w:proofErr w:type="spellEnd"/>
      <w:r w:rsidRPr="00675E35">
        <w:rPr>
          <w:i/>
          <w:color w:val="000000"/>
          <w:sz w:val="20"/>
          <w:szCs w:val="20"/>
        </w:rPr>
        <w:t xml:space="preserve"> </w:t>
      </w:r>
      <w:proofErr w:type="spellStart"/>
      <w:r w:rsidRPr="00675E35">
        <w:rPr>
          <w:i/>
          <w:color w:val="000000"/>
          <w:sz w:val="20"/>
          <w:szCs w:val="20"/>
        </w:rPr>
        <w:t>revisum</w:t>
      </w:r>
      <w:proofErr w:type="spellEnd"/>
      <w:r w:rsidRPr="00675E35">
        <w:rPr>
          <w:i/>
          <w:color w:val="000000"/>
          <w:sz w:val="20"/>
          <w:szCs w:val="20"/>
        </w:rPr>
        <w:t xml:space="preserve"> </w:t>
      </w:r>
      <w:proofErr w:type="spellStart"/>
      <w:r w:rsidRPr="00675E35">
        <w:rPr>
          <w:i/>
          <w:color w:val="000000"/>
          <w:sz w:val="20"/>
          <w:szCs w:val="20"/>
        </w:rPr>
        <w:t>atque</w:t>
      </w:r>
      <w:proofErr w:type="spellEnd"/>
      <w:r w:rsidRPr="00675E35">
        <w:rPr>
          <w:i/>
          <w:color w:val="000000"/>
          <w:sz w:val="20"/>
          <w:szCs w:val="20"/>
        </w:rPr>
        <w:t xml:space="preserve"> </w:t>
      </w:r>
      <w:proofErr w:type="spellStart"/>
      <w:r w:rsidRPr="00675E35">
        <w:rPr>
          <w:i/>
          <w:color w:val="000000"/>
          <w:sz w:val="20"/>
          <w:szCs w:val="20"/>
        </w:rPr>
        <w:t>impressum</w:t>
      </w:r>
      <w:proofErr w:type="spellEnd"/>
      <w:r w:rsidRPr="00675E35">
        <w:rPr>
          <w:color w:val="000000"/>
          <w:sz w:val="20"/>
          <w:szCs w:val="20"/>
        </w:rPr>
        <w:t xml:space="preserve">. Oxford, 1679; [De Officio </w:t>
      </w:r>
      <w:proofErr w:type="spellStart"/>
      <w:r w:rsidRPr="00675E35">
        <w:rPr>
          <w:color w:val="000000"/>
          <w:sz w:val="20"/>
          <w:szCs w:val="20"/>
        </w:rPr>
        <w:t>Archipresbyteri</w:t>
      </w:r>
      <w:proofErr w:type="spellEnd"/>
      <w:r w:rsidRPr="00675E35">
        <w:rPr>
          <w:color w:val="000000"/>
          <w:sz w:val="20"/>
          <w:szCs w:val="20"/>
        </w:rPr>
        <w:t xml:space="preserve">, Lib I., Tit. II., k. </w:t>
      </w:r>
      <w:r w:rsidRPr="00675E35">
        <w:rPr>
          <w:i/>
          <w:color w:val="000000"/>
          <w:sz w:val="20"/>
          <w:szCs w:val="20"/>
        </w:rPr>
        <w:t xml:space="preserve">Omnia </w:t>
      </w:r>
      <w:proofErr w:type="spellStart"/>
      <w:r w:rsidRPr="00675E35">
        <w:rPr>
          <w:i/>
          <w:color w:val="000000"/>
          <w:sz w:val="20"/>
          <w:szCs w:val="20"/>
        </w:rPr>
        <w:t>sortilegia</w:t>
      </w:r>
      <w:proofErr w:type="spellEnd"/>
      <w:r w:rsidRPr="00543CC8">
        <w:rPr>
          <w:color w:val="000000"/>
          <w:sz w:val="20"/>
          <w:szCs w:val="20"/>
        </w:rPr>
        <w:t xml:space="preserve">], p. 55. </w:t>
      </w:r>
      <w:proofErr w:type="spellStart"/>
      <w:r w:rsidRPr="00543CC8">
        <w:rPr>
          <w:color w:val="000000"/>
          <w:sz w:val="20"/>
          <w:szCs w:val="20"/>
        </w:rPr>
        <w:t>Lyndwood</w:t>
      </w:r>
      <w:proofErr w:type="spellEnd"/>
      <w:r w:rsidRPr="00543CC8">
        <w:rPr>
          <w:color w:val="000000"/>
          <w:sz w:val="20"/>
          <w:szCs w:val="20"/>
        </w:rPr>
        <w:t xml:space="preserve"> cites </w:t>
      </w:r>
      <w:proofErr w:type="spellStart"/>
      <w:r w:rsidRPr="00543CC8">
        <w:rPr>
          <w:color w:val="000000"/>
          <w:sz w:val="20"/>
          <w:szCs w:val="20"/>
        </w:rPr>
        <w:t>Hostiensis</w:t>
      </w:r>
      <w:proofErr w:type="spellEnd"/>
      <w:r w:rsidRPr="00543CC8">
        <w:rPr>
          <w:color w:val="000000"/>
          <w:sz w:val="20"/>
          <w:szCs w:val="20"/>
        </w:rPr>
        <w:t xml:space="preserve"> here.</w:t>
      </w:r>
    </w:p>
  </w:footnote>
  <w:footnote w:id="31">
    <w:p w14:paraId="745A93FA" w14:textId="77777777" w:rsidR="004E17E8" w:rsidRPr="00543CC8" w:rsidRDefault="004E17E8" w:rsidP="00E8117A">
      <w:pPr>
        <w:rPr>
          <w:sz w:val="20"/>
          <w:szCs w:val="20"/>
        </w:rPr>
      </w:pPr>
      <w:r w:rsidRPr="00543CC8">
        <w:rPr>
          <w:rStyle w:val="FootnoteReference"/>
          <w:sz w:val="20"/>
          <w:szCs w:val="20"/>
        </w:rPr>
        <w:footnoteRef/>
      </w:r>
      <w:r w:rsidRPr="00543CC8">
        <w:rPr>
          <w:sz w:val="20"/>
          <w:szCs w:val="20"/>
        </w:rPr>
        <w:t xml:space="preserve"> </w:t>
      </w:r>
      <w:r>
        <w:rPr>
          <w:sz w:val="20"/>
          <w:szCs w:val="20"/>
        </w:rPr>
        <w:t xml:space="preserve">This is unsurprising, given that he was an experienced canon lawyer and court administrator: </w:t>
      </w:r>
      <w:r w:rsidRPr="00543CC8">
        <w:rPr>
          <w:sz w:val="20"/>
          <w:szCs w:val="20"/>
        </w:rPr>
        <w:t xml:space="preserve">see R. H. </w:t>
      </w:r>
      <w:proofErr w:type="spellStart"/>
      <w:r w:rsidRPr="00543CC8">
        <w:rPr>
          <w:sz w:val="20"/>
          <w:szCs w:val="20"/>
        </w:rPr>
        <w:t>Helmholz</w:t>
      </w:r>
      <w:proofErr w:type="spellEnd"/>
      <w:r w:rsidRPr="00543CC8">
        <w:rPr>
          <w:sz w:val="20"/>
          <w:szCs w:val="20"/>
        </w:rPr>
        <w:t xml:space="preserve">, ‘William </w:t>
      </w:r>
      <w:proofErr w:type="spellStart"/>
      <w:r w:rsidRPr="00543CC8">
        <w:rPr>
          <w:sz w:val="20"/>
          <w:szCs w:val="20"/>
        </w:rPr>
        <w:t>Lyndwood</w:t>
      </w:r>
      <w:proofErr w:type="spellEnd"/>
      <w:r w:rsidRPr="00543CC8">
        <w:rPr>
          <w:sz w:val="20"/>
          <w:szCs w:val="20"/>
        </w:rPr>
        <w:t xml:space="preserve"> (</w:t>
      </w:r>
      <w:r w:rsidRPr="00543CC8">
        <w:rPr>
          <w:i/>
          <w:iCs/>
          <w:sz w:val="20"/>
          <w:szCs w:val="20"/>
        </w:rPr>
        <w:t xml:space="preserve">c. </w:t>
      </w:r>
      <w:r w:rsidRPr="00543CC8">
        <w:rPr>
          <w:sz w:val="20"/>
          <w:szCs w:val="20"/>
        </w:rPr>
        <w:t xml:space="preserve">1375-1446)’, </w:t>
      </w:r>
      <w:r w:rsidRPr="00543CC8">
        <w:rPr>
          <w:i/>
          <w:iCs/>
          <w:sz w:val="20"/>
          <w:szCs w:val="20"/>
        </w:rPr>
        <w:t>Oxford Dictionary of National Biography</w:t>
      </w:r>
      <w:r w:rsidRPr="00543CC8">
        <w:rPr>
          <w:sz w:val="20"/>
          <w:szCs w:val="20"/>
        </w:rPr>
        <w:t xml:space="preserve"> [accessed online].</w:t>
      </w:r>
    </w:p>
  </w:footnote>
  <w:footnote w:id="32">
    <w:p w14:paraId="51EBD003" w14:textId="77777777" w:rsidR="004E17E8" w:rsidRPr="00543CC8" w:rsidRDefault="004E17E8" w:rsidP="00E8117A">
      <w:pPr>
        <w:rPr>
          <w:sz w:val="20"/>
          <w:szCs w:val="20"/>
        </w:rPr>
      </w:pPr>
      <w:r w:rsidRPr="00543CC8">
        <w:rPr>
          <w:sz w:val="20"/>
          <w:szCs w:val="20"/>
          <w:vertAlign w:val="superscript"/>
        </w:rPr>
        <w:footnoteRef/>
      </w:r>
      <w:r w:rsidRPr="00543CC8">
        <w:rPr>
          <w:sz w:val="20"/>
          <w:szCs w:val="20"/>
        </w:rPr>
        <w:t xml:space="preserve"> </w:t>
      </w:r>
      <w:r w:rsidRPr="00543CC8">
        <w:rPr>
          <w:color w:val="000000"/>
          <w:sz w:val="20"/>
          <w:szCs w:val="20"/>
        </w:rPr>
        <w:t xml:space="preserve">Karen Jones and Michael Zell, ‘‘The </w:t>
      </w:r>
      <w:proofErr w:type="spellStart"/>
      <w:r w:rsidRPr="00543CC8">
        <w:rPr>
          <w:color w:val="000000"/>
          <w:sz w:val="20"/>
          <w:szCs w:val="20"/>
        </w:rPr>
        <w:t>divels</w:t>
      </w:r>
      <w:proofErr w:type="spellEnd"/>
      <w:r w:rsidRPr="00543CC8">
        <w:rPr>
          <w:color w:val="000000"/>
          <w:sz w:val="20"/>
          <w:szCs w:val="20"/>
        </w:rPr>
        <w:t xml:space="preserve"> </w:t>
      </w:r>
      <w:proofErr w:type="spellStart"/>
      <w:r w:rsidRPr="00543CC8">
        <w:rPr>
          <w:color w:val="000000"/>
          <w:sz w:val="20"/>
          <w:szCs w:val="20"/>
        </w:rPr>
        <w:t>speciall</w:t>
      </w:r>
      <w:proofErr w:type="spellEnd"/>
      <w:r w:rsidRPr="00543CC8">
        <w:rPr>
          <w:color w:val="000000"/>
          <w:sz w:val="20"/>
          <w:szCs w:val="20"/>
        </w:rPr>
        <w:t xml:space="preserve"> instruments’: women and witchcraft before the ‘great witch-hunt’’, </w:t>
      </w:r>
      <w:r w:rsidRPr="00543CC8">
        <w:rPr>
          <w:i/>
          <w:color w:val="000000"/>
          <w:sz w:val="20"/>
          <w:szCs w:val="20"/>
        </w:rPr>
        <w:t>Social History</w:t>
      </w:r>
      <w:r w:rsidRPr="00543CC8">
        <w:rPr>
          <w:color w:val="000000"/>
          <w:sz w:val="20"/>
          <w:szCs w:val="20"/>
        </w:rPr>
        <w:t xml:space="preserve">, 30:1 (2006), 45-63, found that </w:t>
      </w:r>
      <w:proofErr w:type="spellStart"/>
      <w:r w:rsidRPr="00543CC8">
        <w:rPr>
          <w:i/>
          <w:iCs/>
          <w:color w:val="000000"/>
          <w:sz w:val="20"/>
          <w:szCs w:val="20"/>
        </w:rPr>
        <w:t>sortilegii</w:t>
      </w:r>
      <w:proofErr w:type="spellEnd"/>
      <w:r w:rsidRPr="00543CC8">
        <w:rPr>
          <w:color w:val="000000"/>
          <w:sz w:val="20"/>
          <w:szCs w:val="20"/>
        </w:rPr>
        <w:t xml:space="preserve">, </w:t>
      </w:r>
      <w:proofErr w:type="spellStart"/>
      <w:r w:rsidRPr="00543CC8">
        <w:rPr>
          <w:i/>
          <w:iCs/>
          <w:color w:val="000000"/>
          <w:sz w:val="20"/>
          <w:szCs w:val="20"/>
        </w:rPr>
        <w:t>incantaciones</w:t>
      </w:r>
      <w:proofErr w:type="spellEnd"/>
      <w:r w:rsidRPr="00543CC8">
        <w:rPr>
          <w:i/>
          <w:iCs/>
          <w:color w:val="000000"/>
          <w:sz w:val="20"/>
          <w:szCs w:val="20"/>
        </w:rPr>
        <w:t xml:space="preserve"> </w:t>
      </w:r>
      <w:r w:rsidRPr="00543CC8">
        <w:rPr>
          <w:color w:val="000000"/>
          <w:sz w:val="20"/>
          <w:szCs w:val="20"/>
        </w:rPr>
        <w:t xml:space="preserve">and </w:t>
      </w:r>
      <w:proofErr w:type="spellStart"/>
      <w:r w:rsidRPr="00543CC8">
        <w:rPr>
          <w:i/>
          <w:iCs/>
          <w:color w:val="000000"/>
          <w:sz w:val="20"/>
          <w:szCs w:val="20"/>
        </w:rPr>
        <w:t>arte</w:t>
      </w:r>
      <w:proofErr w:type="spellEnd"/>
      <w:r w:rsidRPr="00543CC8">
        <w:rPr>
          <w:i/>
          <w:iCs/>
          <w:color w:val="000000"/>
          <w:sz w:val="20"/>
          <w:szCs w:val="20"/>
        </w:rPr>
        <w:t xml:space="preserve"> </w:t>
      </w:r>
      <w:proofErr w:type="spellStart"/>
      <w:r w:rsidRPr="00543CC8">
        <w:rPr>
          <w:i/>
          <w:iCs/>
          <w:color w:val="000000"/>
          <w:sz w:val="20"/>
          <w:szCs w:val="20"/>
        </w:rPr>
        <w:t>magica</w:t>
      </w:r>
      <w:proofErr w:type="spellEnd"/>
      <w:r w:rsidRPr="00543CC8">
        <w:rPr>
          <w:color w:val="000000"/>
          <w:sz w:val="20"/>
          <w:szCs w:val="20"/>
        </w:rPr>
        <w:t xml:space="preserve"> were the most common, but do not state the incidence of each term: ‘Women and witchcraft’, p. 49.</w:t>
      </w:r>
      <w:r w:rsidRPr="00543CC8">
        <w:rPr>
          <w:sz w:val="20"/>
          <w:szCs w:val="20"/>
        </w:rPr>
        <w:t xml:space="preserve"> The term </w:t>
      </w:r>
      <w:proofErr w:type="spellStart"/>
      <w:r w:rsidRPr="00543CC8">
        <w:rPr>
          <w:i/>
          <w:iCs/>
          <w:sz w:val="20"/>
          <w:szCs w:val="20"/>
        </w:rPr>
        <w:t>necromancia</w:t>
      </w:r>
      <w:proofErr w:type="spellEnd"/>
      <w:r w:rsidRPr="00543CC8">
        <w:rPr>
          <w:sz w:val="20"/>
          <w:szCs w:val="20"/>
        </w:rPr>
        <w:t xml:space="preserve"> </w:t>
      </w:r>
      <w:r>
        <w:rPr>
          <w:sz w:val="20"/>
          <w:szCs w:val="20"/>
        </w:rPr>
        <w:t xml:space="preserve">was also sometimes used, apparently shorn of its connotations with demonic or learned magic: </w:t>
      </w:r>
      <w:r w:rsidRPr="00543CC8">
        <w:rPr>
          <w:sz w:val="20"/>
          <w:szCs w:val="20"/>
        </w:rPr>
        <w:t xml:space="preserve">see below, fn. 43. For uses of </w:t>
      </w:r>
      <w:proofErr w:type="spellStart"/>
      <w:r w:rsidRPr="00543CC8">
        <w:rPr>
          <w:i/>
          <w:iCs/>
          <w:sz w:val="20"/>
          <w:szCs w:val="20"/>
        </w:rPr>
        <w:t>arte</w:t>
      </w:r>
      <w:proofErr w:type="spellEnd"/>
      <w:r w:rsidRPr="00543CC8">
        <w:rPr>
          <w:i/>
          <w:iCs/>
          <w:sz w:val="20"/>
          <w:szCs w:val="20"/>
        </w:rPr>
        <w:t xml:space="preserve"> </w:t>
      </w:r>
      <w:proofErr w:type="spellStart"/>
      <w:r w:rsidRPr="00543CC8">
        <w:rPr>
          <w:i/>
          <w:iCs/>
          <w:sz w:val="20"/>
          <w:szCs w:val="20"/>
        </w:rPr>
        <w:t>magica</w:t>
      </w:r>
      <w:proofErr w:type="spellEnd"/>
      <w:r w:rsidRPr="00543CC8">
        <w:rPr>
          <w:sz w:val="20"/>
          <w:szCs w:val="20"/>
        </w:rPr>
        <w:t xml:space="preserve">, see e.g., LMA, 9065/6, 120r.; </w:t>
      </w:r>
      <w:r w:rsidRPr="00675E35">
        <w:rPr>
          <w:rStyle w:val="s2"/>
          <w:i/>
          <w:iCs/>
          <w:color w:val="000000"/>
          <w:sz w:val="20"/>
          <w:szCs w:val="20"/>
        </w:rPr>
        <w:t>The Register of John</w:t>
      </w:r>
      <w:r w:rsidRPr="00675E35">
        <w:rPr>
          <w:rStyle w:val="apple-converted-space"/>
          <w:i/>
          <w:iCs/>
          <w:color w:val="000000"/>
          <w:sz w:val="20"/>
          <w:szCs w:val="20"/>
        </w:rPr>
        <w:t> </w:t>
      </w:r>
      <w:r w:rsidRPr="00675E35">
        <w:rPr>
          <w:rStyle w:val="s2"/>
          <w:i/>
          <w:iCs/>
          <w:color w:val="000000"/>
          <w:sz w:val="20"/>
          <w:szCs w:val="20"/>
        </w:rPr>
        <w:t>Morton, Archbishop of Canterbury, 1486-1500, Volume III: Norwich</w:t>
      </w:r>
      <w:r w:rsidRPr="00675E35">
        <w:rPr>
          <w:rStyle w:val="apple-converted-space"/>
          <w:i/>
          <w:iCs/>
          <w:color w:val="000000"/>
          <w:sz w:val="20"/>
          <w:szCs w:val="20"/>
        </w:rPr>
        <w:t> </w:t>
      </w:r>
      <w:proofErr w:type="spellStart"/>
      <w:r w:rsidRPr="00675E35">
        <w:rPr>
          <w:rStyle w:val="s3"/>
          <w:color w:val="000000"/>
          <w:sz w:val="20"/>
          <w:szCs w:val="20"/>
        </w:rPr>
        <w:t>Sede</w:t>
      </w:r>
      <w:proofErr w:type="spellEnd"/>
      <w:r w:rsidRPr="00675E35">
        <w:rPr>
          <w:rStyle w:val="s3"/>
          <w:color w:val="000000"/>
          <w:sz w:val="20"/>
          <w:szCs w:val="20"/>
        </w:rPr>
        <w:t xml:space="preserve"> </w:t>
      </w:r>
      <w:proofErr w:type="spellStart"/>
      <w:r w:rsidRPr="00675E35">
        <w:rPr>
          <w:rStyle w:val="s3"/>
          <w:color w:val="000000"/>
          <w:sz w:val="20"/>
          <w:szCs w:val="20"/>
        </w:rPr>
        <w:t>Vacante</w:t>
      </w:r>
      <w:proofErr w:type="spellEnd"/>
      <w:r w:rsidRPr="00675E35">
        <w:rPr>
          <w:rStyle w:val="s2"/>
          <w:i/>
          <w:iCs/>
          <w:color w:val="000000"/>
          <w:sz w:val="20"/>
          <w:szCs w:val="20"/>
        </w:rPr>
        <w:t>, 1499</w:t>
      </w:r>
      <w:r w:rsidRPr="00675E35">
        <w:rPr>
          <w:rStyle w:val="s3"/>
          <w:color w:val="000000"/>
          <w:sz w:val="20"/>
          <w:szCs w:val="20"/>
        </w:rPr>
        <w:t>, Canterbury and York Society, LXXXIX ed. Christopher Harper-Bill (Woodbridge, 2000)</w:t>
      </w:r>
      <w:r w:rsidRPr="00543CC8">
        <w:rPr>
          <w:sz w:val="20"/>
          <w:szCs w:val="20"/>
        </w:rPr>
        <w:t xml:space="preserve">, p. 196. For uses of </w:t>
      </w:r>
      <w:proofErr w:type="spellStart"/>
      <w:r w:rsidRPr="00543CC8">
        <w:rPr>
          <w:i/>
          <w:iCs/>
          <w:sz w:val="20"/>
          <w:szCs w:val="20"/>
        </w:rPr>
        <w:t>incantaciones</w:t>
      </w:r>
      <w:proofErr w:type="spellEnd"/>
      <w:r w:rsidRPr="00543CC8">
        <w:rPr>
          <w:sz w:val="20"/>
          <w:szCs w:val="20"/>
        </w:rPr>
        <w:t xml:space="preserve">, see </w:t>
      </w:r>
      <w:r w:rsidRPr="00543CC8">
        <w:rPr>
          <w:color w:val="000000"/>
          <w:sz w:val="20"/>
          <w:szCs w:val="20"/>
        </w:rPr>
        <w:t>Thompson, </w:t>
      </w:r>
      <w:r w:rsidRPr="00543CC8">
        <w:rPr>
          <w:i/>
          <w:color w:val="000000"/>
          <w:sz w:val="20"/>
          <w:szCs w:val="20"/>
        </w:rPr>
        <w:t>English</w:t>
      </w:r>
      <w:r w:rsidRPr="00675E35">
        <w:rPr>
          <w:i/>
          <w:color w:val="000000"/>
          <w:sz w:val="20"/>
          <w:szCs w:val="20"/>
        </w:rPr>
        <w:t xml:space="preserve"> Clergy</w:t>
      </w:r>
      <w:r w:rsidRPr="00675E35">
        <w:rPr>
          <w:iCs/>
          <w:color w:val="000000"/>
          <w:sz w:val="20"/>
          <w:szCs w:val="20"/>
        </w:rPr>
        <w:t>, p. 221. For still rarer ‘sorcery’</w:t>
      </w:r>
      <w:r w:rsidRPr="00675E35">
        <w:rPr>
          <w:color w:val="000000"/>
          <w:sz w:val="20"/>
          <w:szCs w:val="20"/>
        </w:rPr>
        <w:t xml:space="preserve"> (</w:t>
      </w:r>
      <w:proofErr w:type="spellStart"/>
      <w:r w:rsidRPr="00675E35">
        <w:rPr>
          <w:i/>
          <w:iCs/>
          <w:color w:val="000000"/>
          <w:sz w:val="20"/>
          <w:szCs w:val="20"/>
        </w:rPr>
        <w:t>sorsoria</w:t>
      </w:r>
      <w:proofErr w:type="spellEnd"/>
      <w:r w:rsidRPr="00675E35">
        <w:rPr>
          <w:color w:val="000000"/>
          <w:sz w:val="20"/>
          <w:szCs w:val="20"/>
        </w:rPr>
        <w:t xml:space="preserve">), see </w:t>
      </w:r>
      <w:r w:rsidRPr="00367DD6">
        <w:rPr>
          <w:i/>
          <w:color w:val="000000"/>
          <w:sz w:val="20"/>
          <w:szCs w:val="20"/>
        </w:rPr>
        <w:t xml:space="preserve">Lower </w:t>
      </w:r>
      <w:r>
        <w:rPr>
          <w:i/>
          <w:color w:val="000000"/>
          <w:sz w:val="20"/>
          <w:szCs w:val="20"/>
        </w:rPr>
        <w:t>E</w:t>
      </w:r>
      <w:r w:rsidRPr="00367DD6">
        <w:rPr>
          <w:i/>
          <w:color w:val="000000"/>
          <w:sz w:val="20"/>
          <w:szCs w:val="20"/>
        </w:rPr>
        <w:t xml:space="preserve">cclesiastical </w:t>
      </w:r>
      <w:r>
        <w:rPr>
          <w:i/>
          <w:color w:val="000000"/>
          <w:sz w:val="20"/>
          <w:szCs w:val="20"/>
        </w:rPr>
        <w:t>J</w:t>
      </w:r>
      <w:r w:rsidRPr="00367DD6">
        <w:rPr>
          <w:i/>
          <w:color w:val="000000"/>
          <w:sz w:val="20"/>
          <w:szCs w:val="20"/>
        </w:rPr>
        <w:t xml:space="preserve">urisdiction in </w:t>
      </w:r>
      <w:r>
        <w:rPr>
          <w:i/>
          <w:color w:val="000000"/>
          <w:sz w:val="20"/>
          <w:szCs w:val="20"/>
        </w:rPr>
        <w:t>L</w:t>
      </w:r>
      <w:r w:rsidRPr="00367DD6">
        <w:rPr>
          <w:i/>
          <w:color w:val="000000"/>
          <w:sz w:val="20"/>
          <w:szCs w:val="20"/>
        </w:rPr>
        <w:t>ate-</w:t>
      </w:r>
      <w:r>
        <w:rPr>
          <w:i/>
          <w:color w:val="000000"/>
          <w:sz w:val="20"/>
          <w:szCs w:val="20"/>
        </w:rPr>
        <w:t>M</w:t>
      </w:r>
      <w:r w:rsidRPr="00367DD6">
        <w:rPr>
          <w:i/>
          <w:color w:val="000000"/>
          <w:sz w:val="20"/>
          <w:szCs w:val="20"/>
        </w:rPr>
        <w:t>edieval England</w:t>
      </w:r>
      <w:r>
        <w:rPr>
          <w:i/>
          <w:color w:val="000000"/>
          <w:sz w:val="20"/>
          <w:szCs w:val="20"/>
        </w:rPr>
        <w:t>: the C</w:t>
      </w:r>
      <w:r w:rsidRPr="00367DD6">
        <w:rPr>
          <w:i/>
          <w:color w:val="000000"/>
          <w:sz w:val="20"/>
          <w:szCs w:val="20"/>
        </w:rPr>
        <w:t>ourts of the Dean and Chapter of Lincoln, 1336</w:t>
      </w:r>
      <w:r>
        <w:rPr>
          <w:i/>
          <w:color w:val="000000"/>
          <w:sz w:val="20"/>
          <w:szCs w:val="20"/>
        </w:rPr>
        <w:t>-</w:t>
      </w:r>
      <w:r w:rsidRPr="00367DD6">
        <w:rPr>
          <w:i/>
          <w:color w:val="000000"/>
          <w:sz w:val="20"/>
          <w:szCs w:val="20"/>
        </w:rPr>
        <w:t>1349 and the Deanery of Wi</w:t>
      </w:r>
      <w:r>
        <w:rPr>
          <w:i/>
          <w:color w:val="000000"/>
          <w:sz w:val="20"/>
          <w:szCs w:val="20"/>
        </w:rPr>
        <w:t>s</w:t>
      </w:r>
      <w:r w:rsidRPr="00367DD6">
        <w:rPr>
          <w:i/>
          <w:color w:val="000000"/>
          <w:sz w:val="20"/>
          <w:szCs w:val="20"/>
        </w:rPr>
        <w:t>bech, 1458</w:t>
      </w:r>
      <w:r>
        <w:rPr>
          <w:i/>
          <w:color w:val="000000"/>
          <w:sz w:val="20"/>
          <w:szCs w:val="20"/>
        </w:rPr>
        <w:t>-</w:t>
      </w:r>
      <w:r w:rsidRPr="00367DD6">
        <w:rPr>
          <w:i/>
          <w:color w:val="000000"/>
          <w:sz w:val="20"/>
          <w:szCs w:val="20"/>
        </w:rPr>
        <w:t xml:space="preserve">1484 </w:t>
      </w:r>
      <w:r w:rsidRPr="00367DD6">
        <w:rPr>
          <w:iCs/>
          <w:color w:val="000000"/>
          <w:sz w:val="20"/>
          <w:szCs w:val="20"/>
        </w:rPr>
        <w:t>(</w:t>
      </w:r>
      <w:r>
        <w:rPr>
          <w:iCs/>
          <w:color w:val="000000"/>
          <w:sz w:val="20"/>
          <w:szCs w:val="20"/>
        </w:rPr>
        <w:t>Oxford</w:t>
      </w:r>
      <w:r w:rsidRPr="00367DD6">
        <w:rPr>
          <w:iCs/>
          <w:color w:val="000000"/>
          <w:sz w:val="20"/>
          <w:szCs w:val="20"/>
        </w:rPr>
        <w:t>, 2001),</w:t>
      </w:r>
      <w:r>
        <w:rPr>
          <w:iCs/>
          <w:color w:val="000000"/>
          <w:sz w:val="20"/>
          <w:szCs w:val="20"/>
        </w:rPr>
        <w:t xml:space="preserve"> ed. L. R. Poos,</w:t>
      </w:r>
      <w:r w:rsidRPr="00675E35">
        <w:rPr>
          <w:color w:val="000000"/>
          <w:sz w:val="20"/>
          <w:szCs w:val="20"/>
        </w:rPr>
        <w:t xml:space="preserve"> p. 106; and another in Normandy, </w:t>
      </w:r>
      <w:r w:rsidRPr="00675E35">
        <w:rPr>
          <w:i/>
          <w:color w:val="000000"/>
          <w:sz w:val="20"/>
          <w:szCs w:val="20"/>
        </w:rPr>
        <w:t xml:space="preserve">Le </w:t>
      </w:r>
      <w:proofErr w:type="spellStart"/>
      <w:r w:rsidRPr="00675E35">
        <w:rPr>
          <w:i/>
          <w:color w:val="000000"/>
          <w:sz w:val="20"/>
          <w:szCs w:val="20"/>
        </w:rPr>
        <w:t>registre</w:t>
      </w:r>
      <w:proofErr w:type="spellEnd"/>
      <w:r w:rsidRPr="00675E35">
        <w:rPr>
          <w:i/>
          <w:color w:val="000000"/>
          <w:sz w:val="20"/>
          <w:szCs w:val="20"/>
        </w:rPr>
        <w:t xml:space="preserve"> de </w:t>
      </w:r>
      <w:proofErr w:type="spellStart"/>
      <w:r w:rsidRPr="00675E35">
        <w:rPr>
          <w:i/>
          <w:color w:val="000000"/>
          <w:sz w:val="20"/>
          <w:szCs w:val="20"/>
        </w:rPr>
        <w:t>l’officialité</w:t>
      </w:r>
      <w:proofErr w:type="spellEnd"/>
      <w:r w:rsidRPr="00675E35">
        <w:rPr>
          <w:i/>
          <w:color w:val="000000"/>
          <w:sz w:val="20"/>
          <w:szCs w:val="20"/>
        </w:rPr>
        <w:t xml:space="preserve"> de </w:t>
      </w:r>
      <w:proofErr w:type="spellStart"/>
      <w:r w:rsidRPr="00675E35">
        <w:rPr>
          <w:i/>
          <w:color w:val="000000"/>
          <w:sz w:val="20"/>
          <w:szCs w:val="20"/>
        </w:rPr>
        <w:t>l’abbaye</w:t>
      </w:r>
      <w:proofErr w:type="spellEnd"/>
      <w:r w:rsidRPr="00675E35">
        <w:rPr>
          <w:i/>
          <w:color w:val="000000"/>
          <w:sz w:val="20"/>
          <w:szCs w:val="20"/>
        </w:rPr>
        <w:t xml:space="preserve"> de </w:t>
      </w:r>
      <w:proofErr w:type="spellStart"/>
      <w:r w:rsidRPr="00675E35">
        <w:rPr>
          <w:i/>
          <w:color w:val="000000"/>
          <w:sz w:val="20"/>
          <w:szCs w:val="20"/>
        </w:rPr>
        <w:t>Cerisy</w:t>
      </w:r>
      <w:proofErr w:type="spellEnd"/>
      <w:r w:rsidRPr="00675E35">
        <w:rPr>
          <w:i/>
          <w:color w:val="000000"/>
          <w:sz w:val="20"/>
          <w:szCs w:val="20"/>
        </w:rPr>
        <w:t>, 1314-1457</w:t>
      </w:r>
      <w:r w:rsidRPr="00675E35">
        <w:rPr>
          <w:color w:val="000000"/>
          <w:sz w:val="20"/>
          <w:szCs w:val="20"/>
        </w:rPr>
        <w:t>, ed. M. Gustave Dupont (Caen, 1880), p. 80.</w:t>
      </w:r>
    </w:p>
  </w:footnote>
  <w:footnote w:id="33">
    <w:p w14:paraId="5E97D609" w14:textId="77777777" w:rsidR="004E17E8" w:rsidRPr="00675E35" w:rsidRDefault="004E17E8" w:rsidP="00E8117A">
      <w:pPr>
        <w:rPr>
          <w:color w:val="000000"/>
          <w:sz w:val="20"/>
          <w:szCs w:val="20"/>
        </w:rPr>
      </w:pPr>
      <w:r w:rsidRPr="00675E35">
        <w:rPr>
          <w:sz w:val="20"/>
          <w:szCs w:val="20"/>
          <w:vertAlign w:val="superscript"/>
        </w:rPr>
        <w:footnoteRef/>
      </w:r>
      <w:r w:rsidRPr="00675E35">
        <w:rPr>
          <w:sz w:val="20"/>
          <w:szCs w:val="20"/>
        </w:rPr>
        <w:t xml:space="preserve"> </w:t>
      </w:r>
      <w:r w:rsidRPr="00675E35">
        <w:rPr>
          <w:i/>
          <w:color w:val="000000"/>
          <w:sz w:val="20"/>
          <w:szCs w:val="20"/>
        </w:rPr>
        <w:t>Depositions and other Ecclesiastical Proceedings from the Courts of Durham, Extending from 1311 to the Reign of Elizabeth</w:t>
      </w:r>
      <w:r w:rsidRPr="00675E35">
        <w:rPr>
          <w:color w:val="000000"/>
          <w:sz w:val="20"/>
          <w:szCs w:val="20"/>
        </w:rPr>
        <w:t>, Surtees Society 21, ed. James Raine. York, 1845, p. 33, with the following transcription: ‘</w:t>
      </w:r>
      <w:proofErr w:type="spellStart"/>
      <w:r w:rsidRPr="00675E35">
        <w:rPr>
          <w:color w:val="000000"/>
          <w:sz w:val="20"/>
          <w:szCs w:val="20"/>
        </w:rPr>
        <w:t>Imponitur</w:t>
      </w:r>
      <w:proofErr w:type="spellEnd"/>
      <w:r w:rsidRPr="00675E35">
        <w:rPr>
          <w:color w:val="000000"/>
          <w:sz w:val="20"/>
          <w:szCs w:val="20"/>
        </w:rPr>
        <w:t xml:space="preserve"> </w:t>
      </w:r>
      <w:proofErr w:type="spellStart"/>
      <w:r w:rsidRPr="00675E35">
        <w:rPr>
          <w:color w:val="000000"/>
          <w:sz w:val="20"/>
          <w:szCs w:val="20"/>
        </w:rPr>
        <w:t>sibi</w:t>
      </w:r>
      <w:proofErr w:type="spellEnd"/>
      <w:r w:rsidRPr="00675E35">
        <w:rPr>
          <w:color w:val="000000"/>
          <w:sz w:val="20"/>
          <w:szCs w:val="20"/>
        </w:rPr>
        <w:t xml:space="preserve"> quod </w:t>
      </w:r>
      <w:proofErr w:type="spellStart"/>
      <w:r w:rsidRPr="00675E35">
        <w:rPr>
          <w:color w:val="000000"/>
          <w:sz w:val="20"/>
          <w:szCs w:val="20"/>
        </w:rPr>
        <w:t>utitur</w:t>
      </w:r>
      <w:proofErr w:type="spellEnd"/>
      <w:r w:rsidRPr="00675E35">
        <w:rPr>
          <w:color w:val="000000"/>
          <w:sz w:val="20"/>
          <w:szCs w:val="20"/>
        </w:rPr>
        <w:t xml:space="preserve"> </w:t>
      </w:r>
      <w:proofErr w:type="spellStart"/>
      <w:r w:rsidRPr="00675E35">
        <w:rPr>
          <w:color w:val="000000"/>
          <w:sz w:val="20"/>
          <w:szCs w:val="20"/>
        </w:rPr>
        <w:t>arte</w:t>
      </w:r>
      <w:proofErr w:type="spellEnd"/>
      <w:r w:rsidRPr="00675E35">
        <w:rPr>
          <w:color w:val="000000"/>
          <w:sz w:val="20"/>
          <w:szCs w:val="20"/>
        </w:rPr>
        <w:t> </w:t>
      </w:r>
      <w:proofErr w:type="spellStart"/>
      <w:r w:rsidRPr="00675E35">
        <w:rPr>
          <w:color w:val="000000"/>
          <w:sz w:val="20"/>
          <w:szCs w:val="20"/>
        </w:rPr>
        <w:t>sortilegii</w:t>
      </w:r>
      <w:proofErr w:type="spellEnd"/>
      <w:r w:rsidRPr="00675E35">
        <w:rPr>
          <w:color w:val="000000"/>
          <w:sz w:val="20"/>
          <w:szCs w:val="20"/>
        </w:rPr>
        <w:t xml:space="preserve">, scilicet </w:t>
      </w:r>
      <w:proofErr w:type="spellStart"/>
      <w:r w:rsidRPr="00675E35">
        <w:rPr>
          <w:color w:val="000000"/>
          <w:sz w:val="20"/>
          <w:szCs w:val="20"/>
        </w:rPr>
        <w:t>utitur</w:t>
      </w:r>
      <w:proofErr w:type="spellEnd"/>
      <w:r w:rsidRPr="00675E35">
        <w:rPr>
          <w:color w:val="000000"/>
          <w:sz w:val="20"/>
          <w:szCs w:val="20"/>
        </w:rPr>
        <w:t xml:space="preserve"> </w:t>
      </w:r>
      <w:proofErr w:type="spellStart"/>
      <w:r w:rsidRPr="00675E35">
        <w:rPr>
          <w:color w:val="000000"/>
          <w:sz w:val="20"/>
          <w:szCs w:val="20"/>
        </w:rPr>
        <w:t>arte</w:t>
      </w:r>
      <w:proofErr w:type="spellEnd"/>
      <w:r w:rsidRPr="00675E35">
        <w:rPr>
          <w:color w:val="000000"/>
          <w:sz w:val="20"/>
          <w:szCs w:val="20"/>
        </w:rPr>
        <w:t xml:space="preserve"> medical’ cum </w:t>
      </w:r>
      <w:proofErr w:type="spellStart"/>
      <w:r w:rsidRPr="00675E35">
        <w:rPr>
          <w:color w:val="000000"/>
          <w:sz w:val="20"/>
          <w:szCs w:val="20"/>
        </w:rPr>
        <w:t>plumbo</w:t>
      </w:r>
      <w:proofErr w:type="spellEnd"/>
      <w:r w:rsidRPr="00675E35">
        <w:rPr>
          <w:color w:val="000000"/>
          <w:sz w:val="20"/>
          <w:szCs w:val="20"/>
        </w:rPr>
        <w:t xml:space="preserve"> et </w:t>
      </w:r>
      <w:proofErr w:type="spellStart"/>
      <w:r w:rsidRPr="00675E35">
        <w:rPr>
          <w:color w:val="000000"/>
          <w:sz w:val="20"/>
          <w:szCs w:val="20"/>
        </w:rPr>
        <w:t>pect</w:t>
      </w:r>
      <w:proofErr w:type="spellEnd"/>
      <w:r w:rsidRPr="00675E35">
        <w:rPr>
          <w:color w:val="000000"/>
          <w:sz w:val="20"/>
          <w:szCs w:val="20"/>
        </w:rPr>
        <w:t>’ et ferro’.’</w:t>
      </w:r>
    </w:p>
  </w:footnote>
  <w:footnote w:id="34">
    <w:p w14:paraId="01FAF409" w14:textId="77777777" w:rsidR="004E17E8" w:rsidRPr="0036351B" w:rsidRDefault="004E17E8">
      <w:pPr>
        <w:pStyle w:val="FootnoteText"/>
        <w:rPr>
          <w:lang w:val="en-US"/>
        </w:rPr>
      </w:pPr>
      <w:r w:rsidRPr="00675E35">
        <w:rPr>
          <w:rStyle w:val="FootnoteReference"/>
        </w:rPr>
        <w:footnoteRef/>
      </w:r>
      <w:r w:rsidRPr="00675E35">
        <w:t xml:space="preserve"> </w:t>
      </w:r>
      <w:r>
        <w:t xml:space="preserve">Generally, see </w:t>
      </w:r>
      <w:r w:rsidRPr="00675E35">
        <w:t xml:space="preserve">Michael D. </w:t>
      </w:r>
      <w:r w:rsidRPr="00675E35">
        <w:rPr>
          <w:lang w:val="en-US"/>
        </w:rPr>
        <w:t xml:space="preserve">Bailey ‘A Late-Medieval Crisis of Superstition?’, </w:t>
      </w:r>
      <w:r w:rsidRPr="00675E35">
        <w:rPr>
          <w:i/>
          <w:iCs/>
          <w:lang w:val="en-US"/>
        </w:rPr>
        <w:t>Speculum</w:t>
      </w:r>
      <w:r w:rsidRPr="00675E35">
        <w:rPr>
          <w:lang w:val="en-US"/>
        </w:rPr>
        <w:t>, 84:3 (2009), 633-661</w:t>
      </w:r>
      <w:r>
        <w:rPr>
          <w:lang w:val="en-US"/>
        </w:rPr>
        <w:t>, and for England in particular,</w:t>
      </w:r>
      <w:r w:rsidRPr="00675E35">
        <w:t xml:space="preserve"> </w:t>
      </w:r>
      <w:proofErr w:type="spellStart"/>
      <w:r w:rsidRPr="00675E35">
        <w:t>Kamerick</w:t>
      </w:r>
      <w:proofErr w:type="spellEnd"/>
      <w:r w:rsidRPr="00675E35">
        <w:t>, ‘Shaping Superstition</w:t>
      </w:r>
      <w:r>
        <w:t>’</w:t>
      </w:r>
      <w:r w:rsidRPr="00675E35">
        <w:t xml:space="preserve">, </w:t>
      </w:r>
      <w:r>
        <w:t>pp. 52-3.</w:t>
      </w:r>
    </w:p>
  </w:footnote>
  <w:footnote w:id="35">
    <w:p w14:paraId="7643AAD0" w14:textId="0FF7B788" w:rsidR="00BE6C28" w:rsidRPr="005E2429" w:rsidRDefault="004E17E8" w:rsidP="00552465">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Jones and Zell, ‘‘The </w:t>
      </w:r>
      <w:proofErr w:type="spellStart"/>
      <w:r w:rsidRPr="00675E35">
        <w:rPr>
          <w:color w:val="000000"/>
          <w:sz w:val="20"/>
          <w:szCs w:val="20"/>
        </w:rPr>
        <w:t>divels</w:t>
      </w:r>
      <w:proofErr w:type="spellEnd"/>
      <w:r w:rsidRPr="00675E35">
        <w:rPr>
          <w:color w:val="000000"/>
          <w:sz w:val="20"/>
          <w:szCs w:val="20"/>
        </w:rPr>
        <w:t xml:space="preserve"> </w:t>
      </w:r>
      <w:proofErr w:type="spellStart"/>
      <w:r w:rsidRPr="00675E35">
        <w:rPr>
          <w:color w:val="000000"/>
          <w:sz w:val="20"/>
          <w:szCs w:val="20"/>
        </w:rPr>
        <w:t>speciall</w:t>
      </w:r>
      <w:proofErr w:type="spellEnd"/>
      <w:r w:rsidRPr="00675E35">
        <w:rPr>
          <w:color w:val="000000"/>
          <w:sz w:val="20"/>
          <w:szCs w:val="20"/>
        </w:rPr>
        <w:t xml:space="preserve"> instruments’: women and witchcraft before the ‘great witch-hunt’’, </w:t>
      </w:r>
      <w:r w:rsidRPr="00675E35">
        <w:rPr>
          <w:i/>
          <w:color w:val="000000"/>
          <w:sz w:val="20"/>
          <w:szCs w:val="20"/>
        </w:rPr>
        <w:t>Social History</w:t>
      </w:r>
      <w:r w:rsidRPr="00675E35">
        <w:rPr>
          <w:color w:val="000000"/>
          <w:sz w:val="20"/>
          <w:szCs w:val="20"/>
        </w:rPr>
        <w:t xml:space="preserve">, 30:1 (2006), 45-63, p. 50. Only a handful of these cases pre-date 1450. In my own </w:t>
      </w:r>
      <w:r>
        <w:rPr>
          <w:color w:val="000000"/>
          <w:sz w:val="20"/>
          <w:szCs w:val="20"/>
        </w:rPr>
        <w:t>collection</w:t>
      </w:r>
      <w:r w:rsidRPr="00675E35">
        <w:rPr>
          <w:color w:val="000000"/>
          <w:sz w:val="20"/>
          <w:szCs w:val="20"/>
        </w:rPr>
        <w:t xml:space="preserve"> of </w:t>
      </w:r>
      <w:r>
        <w:rPr>
          <w:color w:val="000000"/>
          <w:sz w:val="20"/>
          <w:szCs w:val="20"/>
        </w:rPr>
        <w:t xml:space="preserve">55 soothsaying </w:t>
      </w:r>
      <w:r w:rsidRPr="00675E35">
        <w:rPr>
          <w:color w:val="000000"/>
          <w:sz w:val="20"/>
          <w:szCs w:val="20"/>
        </w:rPr>
        <w:t>cases</w:t>
      </w:r>
      <w:r>
        <w:rPr>
          <w:color w:val="000000"/>
          <w:sz w:val="20"/>
          <w:szCs w:val="20"/>
        </w:rPr>
        <w:t xml:space="preserve"> </w:t>
      </w:r>
      <w:r w:rsidR="00FC4433">
        <w:rPr>
          <w:color w:val="000000"/>
          <w:sz w:val="20"/>
          <w:szCs w:val="20"/>
        </w:rPr>
        <w:t xml:space="preserve">heard before </w:t>
      </w:r>
      <w:r>
        <w:rPr>
          <w:color w:val="000000"/>
          <w:sz w:val="20"/>
          <w:szCs w:val="20"/>
        </w:rPr>
        <w:t>the church courts</w:t>
      </w:r>
      <w:r w:rsidRPr="00675E35">
        <w:rPr>
          <w:color w:val="000000"/>
          <w:sz w:val="20"/>
          <w:szCs w:val="20"/>
        </w:rPr>
        <w:t>, the divide was starker, with 3</w:t>
      </w:r>
      <w:r>
        <w:rPr>
          <w:color w:val="000000"/>
          <w:sz w:val="20"/>
          <w:szCs w:val="20"/>
        </w:rPr>
        <w:t>2</w:t>
      </w:r>
      <w:r w:rsidRPr="00675E35">
        <w:rPr>
          <w:color w:val="000000"/>
          <w:sz w:val="20"/>
          <w:szCs w:val="20"/>
        </w:rPr>
        <w:t xml:space="preserve"> of the 5</w:t>
      </w:r>
      <w:r>
        <w:rPr>
          <w:color w:val="000000"/>
          <w:sz w:val="20"/>
          <w:szCs w:val="20"/>
        </w:rPr>
        <w:t>5</w:t>
      </w:r>
      <w:r w:rsidRPr="00675E35">
        <w:rPr>
          <w:color w:val="000000"/>
          <w:sz w:val="20"/>
          <w:szCs w:val="20"/>
        </w:rPr>
        <w:t xml:space="preserve"> accused were women, while 22 were men (of which 5 were clergy), and 1 </w:t>
      </w:r>
      <w:r w:rsidRPr="00BE6C28">
        <w:rPr>
          <w:color w:val="000000"/>
          <w:sz w:val="20"/>
          <w:szCs w:val="20"/>
        </w:rPr>
        <w:t>unknown.</w:t>
      </w:r>
      <w:r w:rsidR="00FC4433" w:rsidRPr="00BE6C28">
        <w:rPr>
          <w:color w:val="000000"/>
          <w:sz w:val="20"/>
          <w:szCs w:val="20"/>
        </w:rPr>
        <w:t xml:space="preserve"> In his </w:t>
      </w:r>
      <w:r w:rsidR="00FC4433" w:rsidRPr="00007F47">
        <w:rPr>
          <w:color w:val="000000"/>
          <w:sz w:val="20"/>
          <w:szCs w:val="20"/>
        </w:rPr>
        <w:t xml:space="preserve">study of </w:t>
      </w:r>
      <w:r w:rsidR="00BE6C28" w:rsidRPr="00007F47">
        <w:rPr>
          <w:color w:val="000000"/>
          <w:sz w:val="20"/>
          <w:szCs w:val="20"/>
        </w:rPr>
        <w:t xml:space="preserve">291 </w:t>
      </w:r>
      <w:r w:rsidR="00FC4433" w:rsidRPr="00007F47">
        <w:rPr>
          <w:color w:val="000000"/>
          <w:sz w:val="20"/>
          <w:szCs w:val="20"/>
        </w:rPr>
        <w:t>early-modern witch</w:t>
      </w:r>
      <w:r w:rsidR="00FC4433" w:rsidRPr="005E2429">
        <w:rPr>
          <w:color w:val="000000"/>
          <w:sz w:val="20"/>
          <w:szCs w:val="20"/>
        </w:rPr>
        <w:t>craft</w:t>
      </w:r>
      <w:r w:rsidR="00BE6C28" w:rsidRPr="005E2429">
        <w:rPr>
          <w:color w:val="000000"/>
          <w:sz w:val="20"/>
          <w:szCs w:val="20"/>
        </w:rPr>
        <w:t xml:space="preserve"> prosecutions in Essex </w:t>
      </w:r>
      <w:r w:rsidR="00BE6C28" w:rsidRPr="00F35B6A">
        <w:rPr>
          <w:sz w:val="20"/>
          <w:szCs w:val="20"/>
        </w:rPr>
        <w:t xml:space="preserve">between 1560 and 1640, Alan MacFarlane found that it </w:t>
      </w:r>
      <w:proofErr w:type="spellStart"/>
      <w:r w:rsidR="00BE6C28" w:rsidRPr="00F35B6A">
        <w:rPr>
          <w:sz w:val="20"/>
          <w:szCs w:val="20"/>
        </w:rPr>
        <w:t>wasold</w:t>
      </w:r>
      <w:proofErr w:type="spellEnd"/>
      <w:r w:rsidR="00BE6C28" w:rsidRPr="00F35B6A">
        <w:rPr>
          <w:sz w:val="20"/>
          <w:szCs w:val="20"/>
        </w:rPr>
        <w:t xml:space="preserve">, moderately poor women who were most likely to be accused as witches: </w:t>
      </w:r>
      <w:r w:rsidR="00BE6C28" w:rsidRPr="00BE6C28">
        <w:rPr>
          <w:color w:val="000000"/>
          <w:sz w:val="20"/>
          <w:szCs w:val="20"/>
        </w:rPr>
        <w:t xml:space="preserve">Alan MacFarlane, </w:t>
      </w:r>
      <w:r w:rsidR="00BE6C28" w:rsidRPr="00BE6C28">
        <w:rPr>
          <w:i/>
          <w:color w:val="000000"/>
          <w:sz w:val="20"/>
          <w:szCs w:val="20"/>
        </w:rPr>
        <w:t>Witchcraft in Tudor and Stuart England: A Regional and Comparative Study</w:t>
      </w:r>
      <w:r w:rsidR="00BE6C28" w:rsidRPr="00007F47">
        <w:rPr>
          <w:color w:val="000000"/>
          <w:sz w:val="20"/>
          <w:szCs w:val="20"/>
        </w:rPr>
        <w:t>. Abingdon, 1970.</w:t>
      </w:r>
    </w:p>
  </w:footnote>
  <w:footnote w:id="36">
    <w:p w14:paraId="647BA998" w14:textId="5F7FD4F6" w:rsidR="004E17E8" w:rsidRPr="005E2429" w:rsidRDefault="004E17E8" w:rsidP="00552465">
      <w:pPr>
        <w:pBdr>
          <w:top w:val="nil"/>
          <w:left w:val="nil"/>
          <w:bottom w:val="nil"/>
          <w:right w:val="nil"/>
          <w:between w:val="nil"/>
        </w:pBdr>
        <w:rPr>
          <w:color w:val="000000"/>
          <w:sz w:val="20"/>
          <w:szCs w:val="20"/>
        </w:rPr>
      </w:pPr>
      <w:r w:rsidRPr="00BE6C28">
        <w:rPr>
          <w:sz w:val="20"/>
          <w:szCs w:val="20"/>
          <w:vertAlign w:val="superscript"/>
        </w:rPr>
        <w:footnoteRef/>
      </w:r>
      <w:r w:rsidRPr="00BE6C28">
        <w:rPr>
          <w:color w:val="000000"/>
          <w:sz w:val="20"/>
          <w:szCs w:val="20"/>
        </w:rPr>
        <w:t xml:space="preserve"> On the gender of magical practitioners, see Rider, ‘Common Magic’, p. 323. On the institutional exclusion of women’s voices</w:t>
      </w:r>
      <w:r w:rsidR="00FC4433" w:rsidRPr="00007F47">
        <w:rPr>
          <w:color w:val="000000"/>
          <w:sz w:val="20"/>
          <w:szCs w:val="20"/>
        </w:rPr>
        <w:t xml:space="preserve"> in late-medieval England</w:t>
      </w:r>
      <w:r w:rsidRPr="00007F47">
        <w:rPr>
          <w:color w:val="000000"/>
          <w:sz w:val="20"/>
          <w:szCs w:val="20"/>
        </w:rPr>
        <w:t xml:space="preserve">, see Forrest, </w:t>
      </w:r>
      <w:r w:rsidRPr="005E2429">
        <w:rPr>
          <w:i/>
          <w:color w:val="000000"/>
          <w:sz w:val="20"/>
          <w:szCs w:val="20"/>
        </w:rPr>
        <w:t>Trustworthy Men</w:t>
      </w:r>
      <w:r w:rsidRPr="005E2429">
        <w:rPr>
          <w:color w:val="000000"/>
          <w:sz w:val="20"/>
          <w:szCs w:val="20"/>
        </w:rPr>
        <w:t>, p. 182.</w:t>
      </w:r>
    </w:p>
  </w:footnote>
  <w:footnote w:id="37">
    <w:p w14:paraId="7726200E" w14:textId="77777777" w:rsidR="004E17E8" w:rsidRPr="00675E35" w:rsidRDefault="004E17E8" w:rsidP="00552465">
      <w:pPr>
        <w:rPr>
          <w:sz w:val="20"/>
          <w:szCs w:val="20"/>
        </w:rPr>
      </w:pPr>
      <w:r w:rsidRPr="00BE6C28">
        <w:rPr>
          <w:sz w:val="20"/>
          <w:szCs w:val="20"/>
          <w:vertAlign w:val="superscript"/>
        </w:rPr>
        <w:footnoteRef/>
      </w:r>
      <w:r w:rsidRPr="00BE6C28">
        <w:rPr>
          <w:sz w:val="20"/>
          <w:szCs w:val="20"/>
        </w:rPr>
        <w:t xml:space="preserve"> See </w:t>
      </w:r>
      <w:r w:rsidRPr="00BE6C28">
        <w:rPr>
          <w:color w:val="000000"/>
          <w:sz w:val="20"/>
          <w:szCs w:val="20"/>
        </w:rPr>
        <w:t>Sandy </w:t>
      </w:r>
      <w:proofErr w:type="spellStart"/>
      <w:r w:rsidRPr="00BE6C28">
        <w:rPr>
          <w:color w:val="000000"/>
          <w:sz w:val="20"/>
          <w:szCs w:val="20"/>
        </w:rPr>
        <w:t>Bardsley</w:t>
      </w:r>
      <w:proofErr w:type="spellEnd"/>
      <w:r w:rsidRPr="00BE6C28">
        <w:rPr>
          <w:color w:val="000000"/>
          <w:sz w:val="20"/>
          <w:szCs w:val="20"/>
        </w:rPr>
        <w:t>, </w:t>
      </w:r>
      <w:r w:rsidRPr="00007F47">
        <w:rPr>
          <w:i/>
          <w:color w:val="000000"/>
          <w:sz w:val="20"/>
          <w:szCs w:val="20"/>
        </w:rPr>
        <w:t>Venomous Tongues: Speech and Gender in Late Medieval England</w:t>
      </w:r>
      <w:r w:rsidRPr="00007F47">
        <w:rPr>
          <w:color w:val="000000"/>
          <w:sz w:val="20"/>
          <w:szCs w:val="20"/>
        </w:rPr>
        <w:t>. Philadelphia</w:t>
      </w:r>
      <w:r w:rsidRPr="00675E35">
        <w:rPr>
          <w:color w:val="000000"/>
          <w:sz w:val="20"/>
          <w:szCs w:val="20"/>
        </w:rPr>
        <w:t>, 2006.</w:t>
      </w:r>
    </w:p>
  </w:footnote>
  <w:footnote w:id="38">
    <w:p w14:paraId="0CA8B240" w14:textId="77777777" w:rsidR="004E17E8" w:rsidRPr="00675E35" w:rsidRDefault="004E17E8" w:rsidP="00552465">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I found four cases in which ‘</w:t>
      </w:r>
      <w:proofErr w:type="spellStart"/>
      <w:r w:rsidRPr="00675E35">
        <w:rPr>
          <w:color w:val="000000"/>
          <w:sz w:val="20"/>
          <w:szCs w:val="20"/>
        </w:rPr>
        <w:t>incantationes</w:t>
      </w:r>
      <w:proofErr w:type="spellEnd"/>
      <w:r w:rsidRPr="00675E35">
        <w:rPr>
          <w:color w:val="000000"/>
          <w:sz w:val="20"/>
          <w:szCs w:val="20"/>
        </w:rPr>
        <w:t>’ or the noun ‘</w:t>
      </w:r>
      <w:proofErr w:type="spellStart"/>
      <w:r w:rsidRPr="00675E35">
        <w:rPr>
          <w:color w:val="000000"/>
          <w:sz w:val="20"/>
          <w:szCs w:val="20"/>
        </w:rPr>
        <w:t>incantatrix</w:t>
      </w:r>
      <w:proofErr w:type="spellEnd"/>
      <w:r w:rsidRPr="00675E35">
        <w:rPr>
          <w:color w:val="000000"/>
          <w:sz w:val="20"/>
          <w:szCs w:val="20"/>
        </w:rPr>
        <w:t>’ (tellingly gendered female) was used; see also Jones and Zell, ‘Women and witchcraft’, pp. 52-4.</w:t>
      </w:r>
    </w:p>
  </w:footnote>
  <w:footnote w:id="39">
    <w:p w14:paraId="3ECAE9C9" w14:textId="77777777" w:rsidR="004E17E8" w:rsidRPr="00675E35" w:rsidRDefault="004E17E8" w:rsidP="00552465">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Poos, ‘Sex, Lies, and the Church Courts’, pp. 597-9.</w:t>
      </w:r>
    </w:p>
  </w:footnote>
  <w:footnote w:id="40">
    <w:p w14:paraId="0977A821" w14:textId="77777777" w:rsidR="004E17E8" w:rsidRPr="00675E35" w:rsidRDefault="004E17E8" w:rsidP="00552465">
      <w:pPr>
        <w:rPr>
          <w:sz w:val="20"/>
          <w:szCs w:val="20"/>
        </w:rPr>
      </w:pPr>
      <w:r w:rsidRPr="00675E35">
        <w:rPr>
          <w:sz w:val="20"/>
          <w:szCs w:val="20"/>
          <w:vertAlign w:val="superscript"/>
        </w:rPr>
        <w:footnoteRef/>
      </w:r>
      <w:r w:rsidRPr="00675E35">
        <w:rPr>
          <w:color w:val="000000"/>
          <w:sz w:val="20"/>
          <w:szCs w:val="20"/>
        </w:rPr>
        <w:t xml:space="preserve"> </w:t>
      </w:r>
      <w:r w:rsidRPr="00675E35">
        <w:rPr>
          <w:rStyle w:val="s2"/>
          <w:i/>
          <w:iCs/>
          <w:color w:val="000000"/>
          <w:sz w:val="20"/>
          <w:szCs w:val="20"/>
        </w:rPr>
        <w:t>Register of John</w:t>
      </w:r>
      <w:r w:rsidRPr="00675E35">
        <w:rPr>
          <w:rStyle w:val="apple-converted-space"/>
          <w:i/>
          <w:iCs/>
          <w:color w:val="000000"/>
          <w:sz w:val="20"/>
          <w:szCs w:val="20"/>
        </w:rPr>
        <w:t> </w:t>
      </w:r>
      <w:r w:rsidRPr="00675E35">
        <w:rPr>
          <w:rStyle w:val="s2"/>
          <w:i/>
          <w:iCs/>
          <w:color w:val="000000"/>
          <w:sz w:val="20"/>
          <w:szCs w:val="20"/>
        </w:rPr>
        <w:t>Morton</w:t>
      </w:r>
      <w:r>
        <w:rPr>
          <w:rStyle w:val="s2"/>
          <w:color w:val="000000"/>
          <w:sz w:val="20"/>
          <w:szCs w:val="20"/>
        </w:rPr>
        <w:t>,</w:t>
      </w:r>
      <w:r w:rsidRPr="00675E35">
        <w:rPr>
          <w:rStyle w:val="s3"/>
          <w:color w:val="000000"/>
          <w:sz w:val="20"/>
          <w:szCs w:val="20"/>
        </w:rPr>
        <w:t xml:space="preserve"> ed. Harper-Bill</w:t>
      </w:r>
      <w:r w:rsidRPr="00675E35">
        <w:rPr>
          <w:color w:val="000000"/>
          <w:sz w:val="20"/>
          <w:szCs w:val="20"/>
        </w:rPr>
        <w:t>, p. 215.</w:t>
      </w:r>
    </w:p>
  </w:footnote>
  <w:footnote w:id="41">
    <w:p w14:paraId="4E79A0E0" w14:textId="77777777" w:rsidR="004E17E8" w:rsidRPr="00675E35" w:rsidRDefault="004E17E8" w:rsidP="00552465">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Rider, ‘Common Magic’, p. 321.</w:t>
      </w:r>
    </w:p>
  </w:footnote>
  <w:footnote w:id="42">
    <w:p w14:paraId="2B1D95A1" w14:textId="77777777" w:rsidR="004E17E8" w:rsidRPr="00D164D2" w:rsidRDefault="004E17E8" w:rsidP="00552465">
      <w:pPr>
        <w:rPr>
          <w:iCs/>
          <w:sz w:val="20"/>
          <w:szCs w:val="20"/>
        </w:rPr>
      </w:pPr>
      <w:r w:rsidRPr="00675E35">
        <w:rPr>
          <w:sz w:val="20"/>
          <w:szCs w:val="20"/>
          <w:vertAlign w:val="superscript"/>
        </w:rPr>
        <w:footnoteRef/>
      </w:r>
      <w:r w:rsidRPr="00675E35">
        <w:rPr>
          <w:sz w:val="20"/>
          <w:szCs w:val="20"/>
        </w:rPr>
        <w:t xml:space="preserve"> </w:t>
      </w:r>
      <w:r w:rsidRPr="00675E35">
        <w:rPr>
          <w:i/>
          <w:sz w:val="20"/>
          <w:szCs w:val="20"/>
        </w:rPr>
        <w:t>Dives et Pauper</w:t>
      </w:r>
      <w:r>
        <w:rPr>
          <w:iCs/>
          <w:sz w:val="20"/>
          <w:szCs w:val="20"/>
        </w:rPr>
        <w:t xml:space="preserve">, ed. P. H. Barnum, Early English Texts Society, </w:t>
      </w:r>
      <w:proofErr w:type="spellStart"/>
      <w:r>
        <w:rPr>
          <w:iCs/>
          <w:sz w:val="20"/>
          <w:szCs w:val="20"/>
        </w:rPr>
        <w:t>o.s.</w:t>
      </w:r>
      <w:proofErr w:type="spellEnd"/>
      <w:r>
        <w:rPr>
          <w:iCs/>
          <w:sz w:val="20"/>
          <w:szCs w:val="20"/>
        </w:rPr>
        <w:t>, 275 (2 vols., Oxford, 1959).</w:t>
      </w:r>
    </w:p>
  </w:footnote>
  <w:footnote w:id="43">
    <w:p w14:paraId="29021CAE" w14:textId="77777777" w:rsidR="004E17E8" w:rsidRPr="00675E35" w:rsidRDefault="004E17E8" w:rsidP="00552465">
      <w:pPr>
        <w:rPr>
          <w:sz w:val="20"/>
          <w:szCs w:val="20"/>
        </w:rPr>
      </w:pPr>
      <w:r w:rsidRPr="00675E35">
        <w:rPr>
          <w:sz w:val="20"/>
          <w:szCs w:val="20"/>
          <w:vertAlign w:val="superscript"/>
        </w:rPr>
        <w:footnoteRef/>
      </w:r>
      <w:r w:rsidRPr="00675E35">
        <w:rPr>
          <w:sz w:val="20"/>
          <w:szCs w:val="20"/>
        </w:rPr>
        <w:t xml:space="preserve"> </w:t>
      </w:r>
      <w:r w:rsidRPr="00675E35">
        <w:rPr>
          <w:color w:val="000000"/>
          <w:sz w:val="20"/>
          <w:szCs w:val="20"/>
        </w:rPr>
        <w:t xml:space="preserve">Marjorie </w:t>
      </w:r>
      <w:proofErr w:type="spellStart"/>
      <w:r w:rsidRPr="00675E35">
        <w:rPr>
          <w:color w:val="000000"/>
          <w:sz w:val="20"/>
          <w:szCs w:val="20"/>
        </w:rPr>
        <w:t>Keniston</w:t>
      </w:r>
      <w:proofErr w:type="spellEnd"/>
      <w:r w:rsidRPr="00675E35">
        <w:rPr>
          <w:color w:val="000000"/>
          <w:sz w:val="20"/>
          <w:szCs w:val="20"/>
        </w:rPr>
        <w:t> McIntosh, </w:t>
      </w:r>
      <w:r w:rsidRPr="00675E35">
        <w:rPr>
          <w:i/>
          <w:color w:val="000000"/>
          <w:sz w:val="20"/>
          <w:szCs w:val="20"/>
        </w:rPr>
        <w:t xml:space="preserve">Controlling </w:t>
      </w:r>
      <w:proofErr w:type="spellStart"/>
      <w:r w:rsidRPr="00675E35">
        <w:rPr>
          <w:i/>
          <w:color w:val="000000"/>
          <w:sz w:val="20"/>
          <w:szCs w:val="20"/>
        </w:rPr>
        <w:t>Misbehavior</w:t>
      </w:r>
      <w:proofErr w:type="spellEnd"/>
      <w:r w:rsidRPr="00675E35">
        <w:rPr>
          <w:i/>
          <w:color w:val="000000"/>
          <w:sz w:val="20"/>
          <w:szCs w:val="20"/>
        </w:rPr>
        <w:t xml:space="preserve"> in England, 1370-1600</w:t>
      </w:r>
      <w:r w:rsidRPr="00675E35">
        <w:rPr>
          <w:color w:val="000000"/>
          <w:sz w:val="20"/>
          <w:szCs w:val="20"/>
        </w:rPr>
        <w:t>. Cambridge, 1998, pp. 108-124.</w:t>
      </w:r>
    </w:p>
  </w:footnote>
  <w:footnote w:id="44">
    <w:p w14:paraId="5112F4DC" w14:textId="77777777" w:rsidR="004E17E8" w:rsidRPr="00675E35" w:rsidRDefault="004E17E8" w:rsidP="00552465">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Thompson, </w:t>
      </w:r>
      <w:r w:rsidRPr="00675E35">
        <w:rPr>
          <w:i/>
          <w:color w:val="000000"/>
          <w:sz w:val="20"/>
          <w:szCs w:val="20"/>
        </w:rPr>
        <w:t>The English Clergy</w:t>
      </w:r>
      <w:r w:rsidRPr="00675E35">
        <w:rPr>
          <w:color w:val="000000"/>
          <w:sz w:val="20"/>
          <w:szCs w:val="20"/>
        </w:rPr>
        <w:t>, p. 220: ‘…</w:t>
      </w:r>
      <w:proofErr w:type="spellStart"/>
      <w:r w:rsidRPr="00675E35">
        <w:rPr>
          <w:color w:val="000000"/>
          <w:sz w:val="20"/>
          <w:szCs w:val="20"/>
        </w:rPr>
        <w:t>quia</w:t>
      </w:r>
      <w:proofErr w:type="spellEnd"/>
      <w:r w:rsidRPr="00675E35">
        <w:rPr>
          <w:color w:val="000000"/>
          <w:sz w:val="20"/>
          <w:szCs w:val="20"/>
        </w:rPr>
        <w:t xml:space="preserve"> mulier </w:t>
      </w:r>
      <w:proofErr w:type="spellStart"/>
      <w:r w:rsidRPr="00675E35">
        <w:rPr>
          <w:color w:val="000000"/>
          <w:sz w:val="20"/>
          <w:szCs w:val="20"/>
        </w:rPr>
        <w:t>est</w:t>
      </w:r>
      <w:proofErr w:type="spellEnd"/>
      <w:r w:rsidRPr="00675E35">
        <w:rPr>
          <w:color w:val="000000"/>
          <w:sz w:val="20"/>
          <w:szCs w:val="20"/>
        </w:rPr>
        <w:t xml:space="preserve"> pauper et </w:t>
      </w:r>
      <w:proofErr w:type="spellStart"/>
      <w:r w:rsidRPr="00675E35">
        <w:rPr>
          <w:color w:val="000000"/>
          <w:sz w:val="20"/>
          <w:szCs w:val="20"/>
        </w:rPr>
        <w:t>valetudinaria</w:t>
      </w:r>
      <w:proofErr w:type="spellEnd"/>
      <w:r w:rsidRPr="00675E35">
        <w:rPr>
          <w:color w:val="000000"/>
          <w:sz w:val="20"/>
          <w:szCs w:val="20"/>
        </w:rPr>
        <w:t>’; ‘…</w:t>
      </w:r>
      <w:proofErr w:type="spellStart"/>
      <w:r w:rsidRPr="00675E35">
        <w:rPr>
          <w:color w:val="000000"/>
          <w:sz w:val="20"/>
          <w:szCs w:val="20"/>
        </w:rPr>
        <w:t>quia</w:t>
      </w:r>
      <w:proofErr w:type="spellEnd"/>
      <w:r w:rsidRPr="00675E35">
        <w:rPr>
          <w:color w:val="000000"/>
          <w:sz w:val="20"/>
          <w:szCs w:val="20"/>
        </w:rPr>
        <w:t xml:space="preserve"> </w:t>
      </w:r>
      <w:proofErr w:type="spellStart"/>
      <w:r w:rsidRPr="00675E35">
        <w:rPr>
          <w:color w:val="000000"/>
          <w:sz w:val="20"/>
          <w:szCs w:val="20"/>
        </w:rPr>
        <w:t>paraclitus</w:t>
      </w:r>
      <w:proofErr w:type="spellEnd"/>
      <w:r w:rsidRPr="00675E35">
        <w:rPr>
          <w:color w:val="000000"/>
          <w:sz w:val="20"/>
          <w:szCs w:val="20"/>
        </w:rPr>
        <w:t xml:space="preserve"> </w:t>
      </w:r>
      <w:proofErr w:type="spellStart"/>
      <w:r w:rsidRPr="00675E35">
        <w:rPr>
          <w:color w:val="000000"/>
          <w:sz w:val="20"/>
          <w:szCs w:val="20"/>
        </w:rPr>
        <w:t>est</w:t>
      </w:r>
      <w:proofErr w:type="spellEnd"/>
      <w:r w:rsidRPr="00675E35">
        <w:rPr>
          <w:color w:val="000000"/>
          <w:sz w:val="20"/>
          <w:szCs w:val="20"/>
        </w:rPr>
        <w:t>’.</w:t>
      </w:r>
      <w:r w:rsidRPr="00675E35">
        <w:rPr>
          <w:sz w:val="20"/>
          <w:szCs w:val="20"/>
        </w:rPr>
        <w:t xml:space="preserve"> It was not rare for ecclesiastical authorities to revoke prosecution on such grounds, as it formed part of a larger mandate within canon law to act ethically towards defendants: R. H. </w:t>
      </w:r>
      <w:proofErr w:type="spellStart"/>
      <w:r w:rsidRPr="00675E35">
        <w:rPr>
          <w:sz w:val="20"/>
          <w:szCs w:val="20"/>
        </w:rPr>
        <w:t>Helmholz</w:t>
      </w:r>
      <w:proofErr w:type="spellEnd"/>
      <w:r w:rsidRPr="00675E35">
        <w:rPr>
          <w:sz w:val="20"/>
          <w:szCs w:val="20"/>
        </w:rPr>
        <w:t xml:space="preserve">, </w:t>
      </w:r>
      <w:r w:rsidRPr="00675E35">
        <w:rPr>
          <w:i/>
          <w:sz w:val="20"/>
          <w:szCs w:val="20"/>
        </w:rPr>
        <w:t>The Oxford History of the Laws of England: The Canon Law and Ecclesiastical Jurisdiction from 597 to the 1640s</w:t>
      </w:r>
      <w:r w:rsidRPr="00675E35">
        <w:rPr>
          <w:sz w:val="20"/>
          <w:szCs w:val="20"/>
        </w:rPr>
        <w:t>. Oxford, 2004, pp. 225-6, 374-5.</w:t>
      </w:r>
    </w:p>
  </w:footnote>
  <w:footnote w:id="45">
    <w:p w14:paraId="5F4877DB" w14:textId="77777777" w:rsidR="004E17E8" w:rsidRPr="00675E35" w:rsidRDefault="004E17E8" w:rsidP="00552465">
      <w:pPr>
        <w:pStyle w:val="FootnoteText"/>
        <w:rPr>
          <w:lang w:val="en-US"/>
        </w:rPr>
      </w:pPr>
      <w:r w:rsidRPr="00675E35">
        <w:rPr>
          <w:rStyle w:val="FootnoteReference"/>
        </w:rPr>
        <w:footnoteRef/>
      </w:r>
      <w:r w:rsidRPr="00675E35">
        <w:t xml:space="preserve"> </w:t>
      </w:r>
      <w:r w:rsidRPr="00675E35">
        <w:rPr>
          <w:lang w:val="en-US"/>
        </w:rPr>
        <w:t xml:space="preserve">As has sometimes been suggested for heresy, in e.g., R. I. Moore, </w:t>
      </w:r>
      <w:r w:rsidRPr="00675E35">
        <w:rPr>
          <w:i/>
          <w:iCs/>
          <w:lang w:val="en-US"/>
        </w:rPr>
        <w:t>The Formation of a Persecuting Society</w:t>
      </w:r>
      <w:r w:rsidRPr="00675E35">
        <w:rPr>
          <w:lang w:val="en-US"/>
        </w:rPr>
        <w:t xml:space="preserve">: </w:t>
      </w:r>
      <w:r w:rsidRPr="00675E35">
        <w:rPr>
          <w:i/>
          <w:iCs/>
          <w:lang w:val="en-US"/>
        </w:rPr>
        <w:t>Authority and Deviance in Western Europe 950-1250</w:t>
      </w:r>
      <w:r w:rsidRPr="00675E35">
        <w:rPr>
          <w:lang w:val="en-US"/>
        </w:rPr>
        <w:t xml:space="preserve"> (2nd </w:t>
      </w:r>
      <w:proofErr w:type="spellStart"/>
      <w:r w:rsidRPr="00675E35">
        <w:rPr>
          <w:lang w:val="en-US"/>
        </w:rPr>
        <w:t>edn</w:t>
      </w:r>
      <w:proofErr w:type="spellEnd"/>
      <w:r w:rsidRPr="00675E35">
        <w:rPr>
          <w:lang w:val="en-US"/>
        </w:rPr>
        <w:t xml:space="preserve">., London, 2006). But more recently, John Arnold, ‘Voicing Dissent: Heresy Trials in Later Medieval England’, </w:t>
      </w:r>
      <w:r w:rsidRPr="00675E35">
        <w:rPr>
          <w:i/>
          <w:iCs/>
          <w:lang w:val="en-US"/>
        </w:rPr>
        <w:t>Past &amp; Present</w:t>
      </w:r>
      <w:r w:rsidRPr="00675E35">
        <w:rPr>
          <w:lang w:val="en-US"/>
        </w:rPr>
        <w:t>, no. 242 (2019), 1-36.</w:t>
      </w:r>
    </w:p>
  </w:footnote>
  <w:footnote w:id="46">
    <w:p w14:paraId="7A2B07E3" w14:textId="77777777" w:rsidR="004E17E8" w:rsidRPr="006C6EA0" w:rsidRDefault="004E17E8" w:rsidP="00D843CC">
      <w:pPr>
        <w:rPr>
          <w:sz w:val="20"/>
          <w:szCs w:val="20"/>
        </w:rPr>
      </w:pPr>
      <w:r w:rsidRPr="006C6EA0">
        <w:rPr>
          <w:sz w:val="20"/>
          <w:szCs w:val="20"/>
          <w:vertAlign w:val="superscript"/>
        </w:rPr>
        <w:footnoteRef/>
      </w:r>
      <w:r w:rsidRPr="006C6EA0">
        <w:rPr>
          <w:sz w:val="20"/>
          <w:szCs w:val="20"/>
        </w:rPr>
        <w:t xml:space="preserve"> Richard Firth Green, </w:t>
      </w:r>
      <w:r w:rsidRPr="006C6EA0">
        <w:rPr>
          <w:i/>
          <w:sz w:val="20"/>
          <w:szCs w:val="20"/>
        </w:rPr>
        <w:t>A Crisis of Truth: Literature and Law in Ricardian England</w:t>
      </w:r>
      <w:r>
        <w:rPr>
          <w:sz w:val="20"/>
          <w:szCs w:val="20"/>
        </w:rPr>
        <w:t xml:space="preserve"> (</w:t>
      </w:r>
      <w:r w:rsidRPr="006C6EA0">
        <w:rPr>
          <w:sz w:val="20"/>
          <w:szCs w:val="20"/>
        </w:rPr>
        <w:t>Philadelphia, 1999</w:t>
      </w:r>
      <w:r>
        <w:rPr>
          <w:sz w:val="20"/>
          <w:szCs w:val="20"/>
        </w:rPr>
        <w:t>)</w:t>
      </w:r>
      <w:r w:rsidRPr="006C6EA0">
        <w:rPr>
          <w:sz w:val="20"/>
          <w:szCs w:val="20"/>
        </w:rPr>
        <w:t>, pp. 21, 26-30.</w:t>
      </w:r>
      <w:r w:rsidRPr="0033336C">
        <w:rPr>
          <w:i/>
          <w:color w:val="000000"/>
          <w:sz w:val="20"/>
          <w:szCs w:val="20"/>
        </w:rPr>
        <w:t xml:space="preserve"> </w:t>
      </w:r>
    </w:p>
  </w:footnote>
  <w:footnote w:id="47">
    <w:p w14:paraId="5FDA8EEB" w14:textId="77777777" w:rsidR="004E17E8" w:rsidRPr="004776DB" w:rsidRDefault="004E17E8">
      <w:pPr>
        <w:pStyle w:val="FootnoteText"/>
        <w:rPr>
          <w:lang w:val="en-US"/>
        </w:rPr>
      </w:pPr>
      <w:r>
        <w:rPr>
          <w:rStyle w:val="FootnoteReference"/>
        </w:rPr>
        <w:footnoteRef/>
      </w:r>
      <w:r>
        <w:t xml:space="preserve"> S</w:t>
      </w:r>
      <w:r>
        <w:rPr>
          <w:iCs/>
          <w:color w:val="000000"/>
        </w:rPr>
        <w:t xml:space="preserve">ee </w:t>
      </w:r>
      <w:r w:rsidRPr="006C6EA0">
        <w:rPr>
          <w:i/>
          <w:color w:val="000000"/>
        </w:rPr>
        <w:t>M</w:t>
      </w:r>
      <w:r>
        <w:rPr>
          <w:i/>
          <w:color w:val="000000"/>
        </w:rPr>
        <w:t xml:space="preserve">iddle </w:t>
      </w:r>
      <w:r w:rsidRPr="006C6EA0">
        <w:rPr>
          <w:i/>
          <w:color w:val="000000"/>
        </w:rPr>
        <w:t>E</w:t>
      </w:r>
      <w:r>
        <w:rPr>
          <w:i/>
          <w:color w:val="000000"/>
        </w:rPr>
        <w:t xml:space="preserve">nglish </w:t>
      </w:r>
      <w:r w:rsidRPr="006C6EA0">
        <w:rPr>
          <w:i/>
          <w:color w:val="000000"/>
        </w:rPr>
        <w:t>D</w:t>
      </w:r>
      <w:r>
        <w:rPr>
          <w:i/>
          <w:color w:val="000000"/>
        </w:rPr>
        <w:t>ictionary</w:t>
      </w:r>
      <w:r w:rsidRPr="006C6EA0">
        <w:rPr>
          <w:color w:val="000000"/>
        </w:rPr>
        <w:t>, qv. ‘</w:t>
      </w:r>
      <w:proofErr w:type="spellStart"/>
      <w:r w:rsidRPr="006C6EA0">
        <w:rPr>
          <w:color w:val="000000"/>
          <w:highlight w:val="white"/>
        </w:rPr>
        <w:t>sọ̄th-</w:t>
      </w:r>
      <w:proofErr w:type="gramStart"/>
      <w:r w:rsidRPr="006C6EA0">
        <w:rPr>
          <w:color w:val="000000"/>
          <w:highlight w:val="white"/>
        </w:rPr>
        <w:t>seier</w:t>
      </w:r>
      <w:proofErr w:type="spellEnd"/>
      <w:r w:rsidRPr="006C6EA0">
        <w:rPr>
          <w:color w:val="000000"/>
          <w:highlight w:val="white"/>
        </w:rPr>
        <w:t>(</w:t>
      </w:r>
      <w:proofErr w:type="gramEnd"/>
      <w:r w:rsidRPr="006C6EA0">
        <w:rPr>
          <w:color w:val="000000"/>
          <w:highlight w:val="white"/>
        </w:rPr>
        <w:t>e’ (2).</w:t>
      </w:r>
    </w:p>
  </w:footnote>
  <w:footnote w:id="48">
    <w:p w14:paraId="5EA9A629" w14:textId="77777777" w:rsidR="004E17E8" w:rsidRPr="00675E35" w:rsidRDefault="004E17E8" w:rsidP="00474A0F">
      <w:pPr>
        <w:rPr>
          <w:sz w:val="20"/>
          <w:szCs w:val="20"/>
        </w:rPr>
      </w:pPr>
      <w:r w:rsidRPr="00675E35">
        <w:rPr>
          <w:sz w:val="20"/>
          <w:szCs w:val="20"/>
          <w:vertAlign w:val="superscript"/>
        </w:rPr>
        <w:footnoteRef/>
      </w:r>
      <w:r w:rsidRPr="00675E35">
        <w:rPr>
          <w:color w:val="000000"/>
          <w:sz w:val="20"/>
          <w:szCs w:val="20"/>
        </w:rPr>
        <w:t xml:space="preserve"> </w:t>
      </w:r>
      <w:r w:rsidRPr="00675E35">
        <w:rPr>
          <w:sz w:val="20"/>
          <w:szCs w:val="20"/>
        </w:rPr>
        <w:t xml:space="preserve">Interestingly, it nonetheless remained rare for soothsayers themselves to be accused of defamation; I have found only one such case, that of Agnes Bowmer of Witton (in County Durham): </w:t>
      </w:r>
      <w:r w:rsidRPr="00675E35">
        <w:rPr>
          <w:i/>
          <w:color w:val="000000"/>
          <w:sz w:val="20"/>
          <w:szCs w:val="20"/>
        </w:rPr>
        <w:t>Depositions and other Ecclesiastical Proceedings</w:t>
      </w:r>
      <w:r w:rsidRPr="00675E35">
        <w:rPr>
          <w:color w:val="000000"/>
          <w:sz w:val="20"/>
          <w:szCs w:val="20"/>
        </w:rPr>
        <w:t>, ed. Raine, p. 29. This connection between magic and rumour was much stronger with early-modern witchcraft: Jones and Zell, ‘Women and witchcraft’, p. 60, fn. 123.</w:t>
      </w:r>
    </w:p>
  </w:footnote>
  <w:footnote w:id="49">
    <w:p w14:paraId="2D58561A" w14:textId="77777777" w:rsidR="004E17E8" w:rsidRPr="00675E35" w:rsidRDefault="004E17E8" w:rsidP="00DD2A23">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w:t>
      </w:r>
      <w:proofErr w:type="spellStart"/>
      <w:r w:rsidRPr="00675E35">
        <w:rPr>
          <w:color w:val="000000"/>
          <w:sz w:val="20"/>
          <w:szCs w:val="20"/>
        </w:rPr>
        <w:t>Helmholz</w:t>
      </w:r>
      <w:proofErr w:type="spellEnd"/>
      <w:r w:rsidRPr="00675E35">
        <w:rPr>
          <w:color w:val="000000"/>
          <w:sz w:val="20"/>
          <w:szCs w:val="20"/>
        </w:rPr>
        <w:t xml:space="preserve">, </w:t>
      </w:r>
      <w:r w:rsidRPr="00675E35">
        <w:rPr>
          <w:i/>
          <w:color w:val="000000"/>
          <w:sz w:val="20"/>
          <w:szCs w:val="20"/>
        </w:rPr>
        <w:t>Select Cases on Defamation</w:t>
      </w:r>
      <w:r w:rsidRPr="00675E35">
        <w:rPr>
          <w:color w:val="000000"/>
          <w:sz w:val="20"/>
          <w:szCs w:val="20"/>
        </w:rPr>
        <w:t xml:space="preserve">, pp. xxvi-xxxviii. Nb., </w:t>
      </w:r>
      <w:proofErr w:type="spellStart"/>
      <w:r w:rsidRPr="00675E35">
        <w:rPr>
          <w:color w:val="000000"/>
          <w:sz w:val="20"/>
          <w:szCs w:val="20"/>
        </w:rPr>
        <w:t>Lyndwood’s</w:t>
      </w:r>
      <w:proofErr w:type="spellEnd"/>
      <w:r w:rsidRPr="00675E35">
        <w:rPr>
          <w:color w:val="000000"/>
          <w:sz w:val="20"/>
          <w:szCs w:val="20"/>
        </w:rPr>
        <w:t xml:space="preserve"> </w:t>
      </w:r>
      <w:proofErr w:type="spellStart"/>
      <w:r w:rsidRPr="00675E35">
        <w:rPr>
          <w:i/>
          <w:color w:val="000000"/>
          <w:sz w:val="20"/>
          <w:szCs w:val="20"/>
        </w:rPr>
        <w:t>Provinciale</w:t>
      </w:r>
      <w:proofErr w:type="spellEnd"/>
      <w:r w:rsidRPr="00675E35">
        <w:rPr>
          <w:color w:val="000000"/>
          <w:sz w:val="20"/>
          <w:szCs w:val="20"/>
        </w:rPr>
        <w:t xml:space="preserve"> specified that true statements could still be defamatory, a discrepancy that likely reflects differences between dioceses.</w:t>
      </w:r>
    </w:p>
  </w:footnote>
  <w:footnote w:id="50">
    <w:p w14:paraId="30EBE9CE" w14:textId="77777777" w:rsidR="004E17E8" w:rsidRPr="00675E35" w:rsidRDefault="004E17E8" w:rsidP="004467A5">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w:t>
      </w:r>
      <w:proofErr w:type="spellStart"/>
      <w:r w:rsidRPr="00675E35">
        <w:rPr>
          <w:color w:val="000000"/>
          <w:sz w:val="20"/>
          <w:szCs w:val="20"/>
        </w:rPr>
        <w:t>Helmholz</w:t>
      </w:r>
      <w:proofErr w:type="spellEnd"/>
      <w:r w:rsidRPr="00675E35">
        <w:rPr>
          <w:color w:val="000000"/>
          <w:sz w:val="20"/>
          <w:szCs w:val="20"/>
        </w:rPr>
        <w:t xml:space="preserve">, </w:t>
      </w:r>
      <w:r w:rsidRPr="00675E35">
        <w:rPr>
          <w:i/>
          <w:color w:val="000000"/>
          <w:sz w:val="20"/>
          <w:szCs w:val="20"/>
        </w:rPr>
        <w:t>Oxford History of the Laws</w:t>
      </w:r>
      <w:r w:rsidRPr="00675E35">
        <w:rPr>
          <w:color w:val="000000"/>
          <w:sz w:val="20"/>
          <w:szCs w:val="20"/>
        </w:rPr>
        <w:t>, p. 572.</w:t>
      </w:r>
    </w:p>
  </w:footnote>
  <w:footnote w:id="51">
    <w:p w14:paraId="65754CD0" w14:textId="77777777" w:rsidR="004E17E8" w:rsidRPr="00675E35" w:rsidRDefault="004E17E8" w:rsidP="004467A5">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Of course, the question of who gets to decide ‘common suspicion’ is a highly political one, on which see Forrest, </w:t>
      </w:r>
      <w:r w:rsidRPr="00675E35">
        <w:rPr>
          <w:i/>
          <w:color w:val="000000"/>
          <w:sz w:val="20"/>
          <w:szCs w:val="20"/>
        </w:rPr>
        <w:t>Trustworthy Men</w:t>
      </w:r>
      <w:r w:rsidRPr="00675E35">
        <w:rPr>
          <w:color w:val="000000"/>
          <w:sz w:val="20"/>
          <w:szCs w:val="20"/>
        </w:rPr>
        <w:t>, passim.</w:t>
      </w:r>
    </w:p>
  </w:footnote>
  <w:footnote w:id="52">
    <w:p w14:paraId="6010C49E" w14:textId="77777777" w:rsidR="004E17E8" w:rsidRPr="00675E35" w:rsidRDefault="004E17E8" w:rsidP="004467A5">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R. H. </w:t>
      </w:r>
      <w:proofErr w:type="spellStart"/>
      <w:r w:rsidRPr="00675E35">
        <w:rPr>
          <w:color w:val="000000"/>
          <w:sz w:val="20"/>
          <w:szCs w:val="20"/>
        </w:rPr>
        <w:t>Helmholz</w:t>
      </w:r>
      <w:proofErr w:type="spellEnd"/>
      <w:r w:rsidRPr="00675E35">
        <w:rPr>
          <w:color w:val="000000"/>
          <w:sz w:val="20"/>
          <w:szCs w:val="20"/>
        </w:rPr>
        <w:t xml:space="preserve">, ‘Crime, Compurgation and the Courts of the Medieval Church’, </w:t>
      </w:r>
      <w:r w:rsidRPr="00675E35">
        <w:rPr>
          <w:i/>
          <w:color w:val="000000"/>
          <w:sz w:val="20"/>
          <w:szCs w:val="20"/>
        </w:rPr>
        <w:t>Law &amp; History Review</w:t>
      </w:r>
      <w:r w:rsidRPr="00675E35">
        <w:rPr>
          <w:color w:val="000000"/>
          <w:sz w:val="20"/>
          <w:szCs w:val="20"/>
        </w:rPr>
        <w:t>, 1:1 (1983), pp. 1-26, at p. 22.</w:t>
      </w:r>
    </w:p>
  </w:footnote>
  <w:footnote w:id="53">
    <w:p w14:paraId="7E53C14E" w14:textId="2D48852B" w:rsidR="004E17E8" w:rsidRPr="00675E35" w:rsidRDefault="004E17E8" w:rsidP="004467A5">
      <w:pPr>
        <w:rPr>
          <w:sz w:val="20"/>
          <w:szCs w:val="20"/>
        </w:rPr>
      </w:pPr>
      <w:r w:rsidRPr="00675E35">
        <w:rPr>
          <w:sz w:val="20"/>
          <w:szCs w:val="20"/>
          <w:vertAlign w:val="superscript"/>
        </w:rPr>
        <w:footnoteRef/>
      </w:r>
      <w:r w:rsidRPr="00675E35">
        <w:rPr>
          <w:sz w:val="20"/>
          <w:szCs w:val="20"/>
        </w:rPr>
        <w:t xml:space="preserve"> See, </w:t>
      </w:r>
      <w:r w:rsidR="001D600F">
        <w:rPr>
          <w:sz w:val="20"/>
          <w:szCs w:val="20"/>
        </w:rPr>
        <w:t xml:space="preserve">friendly debate between </w:t>
      </w:r>
      <w:r w:rsidRPr="00675E35">
        <w:rPr>
          <w:sz w:val="20"/>
          <w:szCs w:val="20"/>
        </w:rPr>
        <w:t>Chris Wickham, ‘</w:t>
      </w:r>
      <w:proofErr w:type="spellStart"/>
      <w:r w:rsidRPr="00675E35">
        <w:rPr>
          <w:i/>
          <w:sz w:val="20"/>
          <w:szCs w:val="20"/>
        </w:rPr>
        <w:t>Fama</w:t>
      </w:r>
      <w:proofErr w:type="spellEnd"/>
      <w:r w:rsidRPr="00675E35">
        <w:rPr>
          <w:i/>
          <w:sz w:val="20"/>
          <w:szCs w:val="20"/>
        </w:rPr>
        <w:t xml:space="preserve"> </w:t>
      </w:r>
      <w:r w:rsidRPr="00675E35">
        <w:rPr>
          <w:sz w:val="20"/>
          <w:szCs w:val="20"/>
        </w:rPr>
        <w:t>and the Law in Twelfth-Century Tuscany’, and Thomas Kuehn, ‘</w:t>
      </w:r>
      <w:proofErr w:type="spellStart"/>
      <w:r w:rsidRPr="00675E35">
        <w:rPr>
          <w:i/>
          <w:sz w:val="20"/>
          <w:szCs w:val="20"/>
        </w:rPr>
        <w:t>Fama</w:t>
      </w:r>
      <w:proofErr w:type="spellEnd"/>
      <w:r w:rsidRPr="00675E35">
        <w:rPr>
          <w:i/>
          <w:sz w:val="20"/>
          <w:szCs w:val="20"/>
        </w:rPr>
        <w:t xml:space="preserve"> </w:t>
      </w:r>
      <w:r w:rsidRPr="00675E35">
        <w:rPr>
          <w:sz w:val="20"/>
          <w:szCs w:val="20"/>
        </w:rPr>
        <w:t xml:space="preserve">as a Legal Status in Renaissance Florence’, both in </w:t>
      </w:r>
      <w:proofErr w:type="spellStart"/>
      <w:r w:rsidRPr="00675E35">
        <w:rPr>
          <w:i/>
          <w:sz w:val="20"/>
          <w:szCs w:val="20"/>
        </w:rPr>
        <w:t>Fama</w:t>
      </w:r>
      <w:proofErr w:type="spellEnd"/>
      <w:r w:rsidRPr="00675E35">
        <w:rPr>
          <w:sz w:val="20"/>
          <w:szCs w:val="20"/>
        </w:rPr>
        <w:t xml:space="preserve">, ed. </w:t>
      </w:r>
      <w:proofErr w:type="spellStart"/>
      <w:r w:rsidRPr="00675E35">
        <w:rPr>
          <w:sz w:val="20"/>
          <w:szCs w:val="20"/>
        </w:rPr>
        <w:t>Smail</w:t>
      </w:r>
      <w:proofErr w:type="spellEnd"/>
      <w:r w:rsidRPr="00675E35">
        <w:rPr>
          <w:sz w:val="20"/>
          <w:szCs w:val="20"/>
        </w:rPr>
        <w:t xml:space="preserve"> and Fenster.</w:t>
      </w:r>
    </w:p>
  </w:footnote>
  <w:footnote w:id="54">
    <w:p w14:paraId="6E2BBA5B" w14:textId="77777777" w:rsidR="004E17E8" w:rsidRPr="00675E35" w:rsidRDefault="004E17E8" w:rsidP="004467A5">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LMA, DL/C/B/043/MS9064/6, </w:t>
      </w:r>
      <w:proofErr w:type="spellStart"/>
      <w:r w:rsidRPr="00675E35">
        <w:rPr>
          <w:color w:val="000000"/>
          <w:sz w:val="20"/>
          <w:szCs w:val="20"/>
        </w:rPr>
        <w:t>fo</w:t>
      </w:r>
      <w:proofErr w:type="spellEnd"/>
      <w:r w:rsidRPr="00675E35">
        <w:rPr>
          <w:color w:val="000000"/>
          <w:sz w:val="20"/>
          <w:szCs w:val="20"/>
        </w:rPr>
        <w:t>. 11r.</w:t>
      </w:r>
    </w:p>
  </w:footnote>
  <w:footnote w:id="55">
    <w:p w14:paraId="1E9919FD" w14:textId="77777777" w:rsidR="004E17E8" w:rsidRPr="00675E35" w:rsidRDefault="004E17E8">
      <w:pPr>
        <w:pStyle w:val="FootnoteText"/>
        <w:rPr>
          <w:lang w:val="en-US"/>
        </w:rPr>
      </w:pPr>
      <w:r w:rsidRPr="00675E35">
        <w:rPr>
          <w:rStyle w:val="FootnoteReference"/>
        </w:rPr>
        <w:footnoteRef/>
      </w:r>
      <w:r w:rsidRPr="00675E35">
        <w:t xml:space="preserve"> </w:t>
      </w:r>
      <w:r w:rsidRPr="00675E35">
        <w:rPr>
          <w:lang w:val="en-US"/>
        </w:rPr>
        <w:t xml:space="preserve">On a different manifestation of the flexibility of </w:t>
      </w:r>
      <w:proofErr w:type="spellStart"/>
      <w:r w:rsidRPr="00675E35">
        <w:rPr>
          <w:i/>
          <w:iCs/>
          <w:lang w:val="en-US"/>
        </w:rPr>
        <w:t>fama</w:t>
      </w:r>
      <w:proofErr w:type="spellEnd"/>
      <w:r w:rsidRPr="00675E35">
        <w:rPr>
          <w:lang w:val="en-US"/>
        </w:rPr>
        <w:t xml:space="preserve">, see Marie A. Kelleher, ‘Law and the Maiden: </w:t>
      </w:r>
      <w:proofErr w:type="spellStart"/>
      <w:r w:rsidRPr="00675E35">
        <w:rPr>
          <w:lang w:val="en-US"/>
        </w:rPr>
        <w:t>Inquisitio</w:t>
      </w:r>
      <w:proofErr w:type="spellEnd"/>
      <w:r w:rsidRPr="00675E35">
        <w:rPr>
          <w:lang w:val="en-US"/>
        </w:rPr>
        <w:t xml:space="preserve">, </w:t>
      </w:r>
      <w:proofErr w:type="spellStart"/>
      <w:r w:rsidRPr="00675E35">
        <w:rPr>
          <w:lang w:val="en-US"/>
        </w:rPr>
        <w:t>fama</w:t>
      </w:r>
      <w:proofErr w:type="spellEnd"/>
      <w:r w:rsidRPr="00675E35">
        <w:rPr>
          <w:lang w:val="en-US"/>
        </w:rPr>
        <w:t xml:space="preserve">, and the testimony of children in Medieval Catalonia’, </w:t>
      </w:r>
      <w:r w:rsidRPr="00675E35">
        <w:rPr>
          <w:i/>
          <w:iCs/>
          <w:lang w:val="en-US"/>
        </w:rPr>
        <w:t>Viator</w:t>
      </w:r>
      <w:r w:rsidRPr="00675E35">
        <w:rPr>
          <w:lang w:val="en-US"/>
        </w:rPr>
        <w:t>, 37 (2006), 351-367.</w:t>
      </w:r>
    </w:p>
  </w:footnote>
  <w:footnote w:id="56">
    <w:p w14:paraId="7286CC29" w14:textId="77777777" w:rsidR="004E17E8" w:rsidRPr="00675E35" w:rsidRDefault="004E17E8" w:rsidP="004467A5">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LMA, DL/C/B/043/MS9064/3, </w:t>
      </w:r>
      <w:proofErr w:type="spellStart"/>
      <w:r w:rsidRPr="00675E35">
        <w:rPr>
          <w:color w:val="000000"/>
          <w:sz w:val="20"/>
          <w:szCs w:val="20"/>
        </w:rPr>
        <w:t>fo</w:t>
      </w:r>
      <w:proofErr w:type="spellEnd"/>
      <w:r w:rsidRPr="00675E35">
        <w:rPr>
          <w:color w:val="000000"/>
          <w:sz w:val="20"/>
          <w:szCs w:val="20"/>
        </w:rPr>
        <w:t>. 117v.</w:t>
      </w:r>
    </w:p>
  </w:footnote>
  <w:footnote w:id="57">
    <w:p w14:paraId="38532526" w14:textId="77777777" w:rsidR="004E17E8" w:rsidRPr="00675E35" w:rsidRDefault="004E17E8" w:rsidP="00BF2025">
      <w:pPr>
        <w:outlineLvl w:val="0"/>
        <w:rPr>
          <w:sz w:val="20"/>
          <w:szCs w:val="20"/>
        </w:rPr>
      </w:pPr>
      <w:r w:rsidRPr="00675E35">
        <w:rPr>
          <w:rStyle w:val="FootnoteReference"/>
          <w:sz w:val="20"/>
          <w:szCs w:val="20"/>
        </w:rPr>
        <w:footnoteRef/>
      </w:r>
      <w:r w:rsidRPr="00675E35">
        <w:rPr>
          <w:sz w:val="20"/>
          <w:szCs w:val="20"/>
        </w:rPr>
        <w:t xml:space="preserve"> Such an interpretation of these kinds of defamation cases is proposed in Ian Forrest, ‘Defamation, Heresy, and Late Medieval Social Life’ in </w:t>
      </w:r>
      <w:r w:rsidRPr="00675E35">
        <w:rPr>
          <w:i/>
          <w:sz w:val="20"/>
          <w:szCs w:val="20"/>
        </w:rPr>
        <w:t>Image, Text, and Church, 1380-1600: Essays for Margaret Aston</w:t>
      </w:r>
      <w:r w:rsidRPr="00675E35">
        <w:rPr>
          <w:sz w:val="20"/>
          <w:szCs w:val="20"/>
        </w:rPr>
        <w:t xml:space="preserve">, ed. L. Clark, M. </w:t>
      </w:r>
      <w:proofErr w:type="spellStart"/>
      <w:r w:rsidRPr="00675E35">
        <w:rPr>
          <w:sz w:val="20"/>
          <w:szCs w:val="20"/>
        </w:rPr>
        <w:t>Jurkowski</w:t>
      </w:r>
      <w:proofErr w:type="spellEnd"/>
      <w:r w:rsidRPr="00675E35">
        <w:rPr>
          <w:sz w:val="20"/>
          <w:szCs w:val="20"/>
        </w:rPr>
        <w:t>, and C. Richmond (Toronto, 2009), 142-161, at p. 148.</w:t>
      </w:r>
    </w:p>
  </w:footnote>
  <w:footnote w:id="58">
    <w:p w14:paraId="68C4FE24" w14:textId="77777777" w:rsidR="004E17E8" w:rsidRPr="00675E35" w:rsidRDefault="004E17E8" w:rsidP="004467A5">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LMA, DL/C/B/043/MS9064/11, </w:t>
      </w:r>
      <w:proofErr w:type="spellStart"/>
      <w:r w:rsidRPr="00675E35">
        <w:rPr>
          <w:color w:val="000000"/>
          <w:sz w:val="20"/>
          <w:szCs w:val="20"/>
        </w:rPr>
        <w:t>fo</w:t>
      </w:r>
      <w:proofErr w:type="spellEnd"/>
      <w:r w:rsidRPr="00675E35">
        <w:rPr>
          <w:color w:val="000000"/>
          <w:sz w:val="20"/>
          <w:szCs w:val="20"/>
        </w:rPr>
        <w:t>. 158r.</w:t>
      </w:r>
    </w:p>
  </w:footnote>
  <w:footnote w:id="59">
    <w:p w14:paraId="68569506" w14:textId="77777777" w:rsidR="004E17E8" w:rsidRPr="00675E35" w:rsidRDefault="004E17E8" w:rsidP="00057AA2">
      <w:pPr>
        <w:pStyle w:val="NormalWeb"/>
        <w:spacing w:before="0" w:beforeAutospacing="0" w:after="0" w:afterAutospacing="0" w:line="216" w:lineRule="atLeast"/>
        <w:rPr>
          <w:color w:val="000000"/>
          <w:sz w:val="20"/>
          <w:szCs w:val="20"/>
        </w:rPr>
      </w:pPr>
      <w:r w:rsidRPr="00675E35">
        <w:rPr>
          <w:sz w:val="20"/>
          <w:szCs w:val="20"/>
          <w:vertAlign w:val="superscript"/>
        </w:rPr>
        <w:footnoteRef/>
      </w:r>
      <w:r w:rsidRPr="00675E35">
        <w:rPr>
          <w:color w:val="000000"/>
          <w:sz w:val="20"/>
          <w:szCs w:val="20"/>
        </w:rPr>
        <w:t xml:space="preserve"> On the activities of the London ward-motes, to which constables reported, see Christine L. Winters, ‘The </w:t>
      </w:r>
      <w:proofErr w:type="spellStart"/>
      <w:r w:rsidRPr="00675E35">
        <w:rPr>
          <w:color w:val="000000"/>
          <w:sz w:val="20"/>
          <w:szCs w:val="20"/>
        </w:rPr>
        <w:t>Portsoken</w:t>
      </w:r>
      <w:proofErr w:type="spellEnd"/>
      <w:r w:rsidRPr="00675E35">
        <w:rPr>
          <w:color w:val="000000"/>
          <w:sz w:val="20"/>
          <w:szCs w:val="20"/>
        </w:rPr>
        <w:t xml:space="preserve"> Presentments: An Analysis of a London Ward in the 15th Century,’ </w:t>
      </w:r>
      <w:r w:rsidRPr="00675E35">
        <w:rPr>
          <w:i/>
          <w:color w:val="000000"/>
          <w:sz w:val="20"/>
          <w:szCs w:val="20"/>
        </w:rPr>
        <w:t>Transactions of the London and Middlesex Archaeological Society</w:t>
      </w:r>
      <w:r w:rsidRPr="00675E35">
        <w:rPr>
          <w:color w:val="000000"/>
          <w:sz w:val="20"/>
          <w:szCs w:val="20"/>
        </w:rPr>
        <w:t>, 56 (2005),</w:t>
      </w:r>
      <w:r w:rsidRPr="00675E35">
        <w:rPr>
          <w:i/>
          <w:color w:val="000000"/>
          <w:sz w:val="20"/>
          <w:szCs w:val="20"/>
        </w:rPr>
        <w:t xml:space="preserve"> </w:t>
      </w:r>
      <w:r w:rsidRPr="00675E35">
        <w:rPr>
          <w:color w:val="000000"/>
          <w:sz w:val="20"/>
          <w:szCs w:val="20"/>
        </w:rPr>
        <w:t>pp. 97-161. More generally, see Christian D.</w:t>
      </w:r>
      <w:r w:rsidRPr="00675E35">
        <w:rPr>
          <w:rStyle w:val="apple-converted-space"/>
          <w:color w:val="000000"/>
          <w:sz w:val="20"/>
          <w:szCs w:val="20"/>
        </w:rPr>
        <w:t> </w:t>
      </w:r>
      <w:r w:rsidRPr="00675E35">
        <w:rPr>
          <w:sz w:val="20"/>
          <w:szCs w:val="20"/>
        </w:rPr>
        <w:t>Liddy</w:t>
      </w:r>
      <w:r w:rsidRPr="00675E35">
        <w:rPr>
          <w:color w:val="000000"/>
          <w:sz w:val="20"/>
          <w:szCs w:val="20"/>
        </w:rPr>
        <w:t xml:space="preserve">, ‘Cultures of Surveillance in Late Medieval English Towns: The monitoring of speech and the fear of revolt’, in </w:t>
      </w:r>
      <w:proofErr w:type="spellStart"/>
      <w:r w:rsidRPr="00675E35">
        <w:rPr>
          <w:i/>
          <w:iCs/>
          <w:color w:val="000000"/>
          <w:sz w:val="20"/>
          <w:szCs w:val="20"/>
        </w:rPr>
        <w:t>T</w:t>
      </w:r>
      <w:r w:rsidRPr="00675E35">
        <w:rPr>
          <w:rStyle w:val="FootnoteTextChar"/>
          <w:i/>
          <w:iCs/>
          <w:color w:val="000000"/>
        </w:rPr>
        <w:t xml:space="preserve"> </w:t>
      </w:r>
      <w:r w:rsidRPr="00675E35">
        <w:rPr>
          <w:rStyle w:val="s2"/>
          <w:i/>
          <w:iCs/>
          <w:color w:val="000000"/>
          <w:sz w:val="20"/>
          <w:szCs w:val="20"/>
        </w:rPr>
        <w:t>he</w:t>
      </w:r>
      <w:proofErr w:type="spellEnd"/>
      <w:r w:rsidRPr="00675E35">
        <w:rPr>
          <w:rStyle w:val="s2"/>
          <w:i/>
          <w:iCs/>
          <w:color w:val="000000"/>
          <w:sz w:val="20"/>
          <w:szCs w:val="20"/>
        </w:rPr>
        <w:t xml:space="preserve"> Routledge History Handbook of Medieval Revolt</w:t>
      </w:r>
      <w:r w:rsidRPr="00675E35">
        <w:rPr>
          <w:rStyle w:val="s3"/>
          <w:color w:val="000000"/>
          <w:sz w:val="20"/>
          <w:szCs w:val="20"/>
        </w:rPr>
        <w:t xml:space="preserve">, ed. Justine </w:t>
      </w:r>
      <w:proofErr w:type="spellStart"/>
      <w:r w:rsidRPr="00675E35">
        <w:rPr>
          <w:rStyle w:val="s3"/>
          <w:color w:val="000000"/>
          <w:sz w:val="20"/>
          <w:szCs w:val="20"/>
        </w:rPr>
        <w:t>Firnhaber</w:t>
      </w:r>
      <w:proofErr w:type="spellEnd"/>
      <w:r w:rsidRPr="00675E35">
        <w:rPr>
          <w:rStyle w:val="s3"/>
          <w:color w:val="000000"/>
          <w:sz w:val="20"/>
          <w:szCs w:val="20"/>
        </w:rPr>
        <w:t xml:space="preserve">-Baker with Dirk </w:t>
      </w:r>
      <w:proofErr w:type="spellStart"/>
      <w:r w:rsidRPr="00675E35">
        <w:rPr>
          <w:rStyle w:val="s3"/>
          <w:color w:val="000000"/>
          <w:sz w:val="20"/>
          <w:szCs w:val="20"/>
        </w:rPr>
        <w:t>Schoenaers</w:t>
      </w:r>
      <w:proofErr w:type="spellEnd"/>
      <w:r w:rsidRPr="00675E35">
        <w:rPr>
          <w:rStyle w:val="s3"/>
          <w:color w:val="000000"/>
          <w:sz w:val="20"/>
          <w:szCs w:val="20"/>
        </w:rPr>
        <w:t xml:space="preserve"> (London and New York, 2017),</w:t>
      </w:r>
      <w:r w:rsidRPr="00675E35">
        <w:rPr>
          <w:color w:val="000000"/>
          <w:sz w:val="20"/>
          <w:szCs w:val="20"/>
        </w:rPr>
        <w:t xml:space="preserve"> 311-329.</w:t>
      </w:r>
    </w:p>
  </w:footnote>
  <w:footnote w:id="60">
    <w:p w14:paraId="5CA0013D" w14:textId="77777777" w:rsidR="004E17E8" w:rsidRPr="00675E35" w:rsidRDefault="004E17E8" w:rsidP="004467A5">
      <w:pPr>
        <w:rPr>
          <w:sz w:val="20"/>
          <w:szCs w:val="20"/>
        </w:rPr>
      </w:pPr>
      <w:r w:rsidRPr="00675E35">
        <w:rPr>
          <w:sz w:val="20"/>
          <w:szCs w:val="20"/>
          <w:vertAlign w:val="superscript"/>
        </w:rPr>
        <w:footnoteRef/>
      </w:r>
      <w:r w:rsidRPr="00675E35">
        <w:rPr>
          <w:sz w:val="20"/>
          <w:szCs w:val="20"/>
        </w:rPr>
        <w:t xml:space="preserve"> Norfolk Record Office, DCN 67/1a, m. 1r. ‘</w:t>
      </w:r>
      <w:proofErr w:type="spellStart"/>
      <w:r w:rsidRPr="00675E35">
        <w:rPr>
          <w:sz w:val="20"/>
          <w:szCs w:val="20"/>
        </w:rPr>
        <w:t>Galfridus</w:t>
      </w:r>
      <w:proofErr w:type="spellEnd"/>
      <w:r w:rsidRPr="00675E35">
        <w:rPr>
          <w:sz w:val="20"/>
          <w:szCs w:val="20"/>
        </w:rPr>
        <w:t xml:space="preserve"> </w:t>
      </w:r>
      <w:proofErr w:type="spellStart"/>
      <w:r w:rsidRPr="00675E35">
        <w:rPr>
          <w:sz w:val="20"/>
          <w:szCs w:val="20"/>
        </w:rPr>
        <w:t>Skynnere</w:t>
      </w:r>
      <w:proofErr w:type="spellEnd"/>
      <w:r w:rsidRPr="00675E35">
        <w:rPr>
          <w:sz w:val="20"/>
          <w:szCs w:val="20"/>
        </w:rPr>
        <w:t xml:space="preserve"> </w:t>
      </w:r>
      <w:proofErr w:type="spellStart"/>
      <w:r w:rsidRPr="00675E35">
        <w:rPr>
          <w:sz w:val="20"/>
          <w:szCs w:val="20"/>
        </w:rPr>
        <w:t>maliciose</w:t>
      </w:r>
      <w:proofErr w:type="spellEnd"/>
      <w:r w:rsidRPr="00675E35">
        <w:rPr>
          <w:sz w:val="20"/>
          <w:szCs w:val="20"/>
        </w:rPr>
        <w:t xml:space="preserve"> </w:t>
      </w:r>
      <w:proofErr w:type="spellStart"/>
      <w:r w:rsidRPr="00675E35">
        <w:rPr>
          <w:sz w:val="20"/>
          <w:szCs w:val="20"/>
        </w:rPr>
        <w:t>diffamavit</w:t>
      </w:r>
      <w:proofErr w:type="spellEnd"/>
      <w:r w:rsidRPr="00675E35">
        <w:rPr>
          <w:sz w:val="20"/>
          <w:szCs w:val="20"/>
        </w:rPr>
        <w:t xml:space="preserve"> </w:t>
      </w:r>
      <w:proofErr w:type="spellStart"/>
      <w:r w:rsidRPr="00675E35">
        <w:rPr>
          <w:sz w:val="20"/>
          <w:szCs w:val="20"/>
        </w:rPr>
        <w:t>Emmota</w:t>
      </w:r>
      <w:proofErr w:type="spellEnd"/>
      <w:r w:rsidRPr="00675E35">
        <w:rPr>
          <w:sz w:val="20"/>
          <w:szCs w:val="20"/>
        </w:rPr>
        <w:t> </w:t>
      </w:r>
      <w:proofErr w:type="spellStart"/>
      <w:r w:rsidRPr="00675E35">
        <w:rPr>
          <w:sz w:val="20"/>
          <w:szCs w:val="20"/>
        </w:rPr>
        <w:t>Bryte</w:t>
      </w:r>
      <w:proofErr w:type="spellEnd"/>
      <w:r w:rsidRPr="00675E35">
        <w:rPr>
          <w:sz w:val="20"/>
          <w:szCs w:val="20"/>
        </w:rPr>
        <w:t> </w:t>
      </w:r>
      <w:proofErr w:type="spellStart"/>
      <w:r w:rsidRPr="00675E35">
        <w:rPr>
          <w:sz w:val="20"/>
          <w:szCs w:val="20"/>
        </w:rPr>
        <w:t>dicendo</w:t>
      </w:r>
      <w:proofErr w:type="spellEnd"/>
      <w:r w:rsidRPr="00675E35">
        <w:rPr>
          <w:sz w:val="20"/>
          <w:szCs w:val="20"/>
        </w:rPr>
        <w:t xml:space="preserve"> quod </w:t>
      </w:r>
      <w:proofErr w:type="spellStart"/>
      <w:r w:rsidRPr="00675E35">
        <w:rPr>
          <w:sz w:val="20"/>
          <w:szCs w:val="20"/>
        </w:rPr>
        <w:t>furati</w:t>
      </w:r>
      <w:proofErr w:type="spellEnd"/>
      <w:r w:rsidRPr="00675E35">
        <w:rPr>
          <w:sz w:val="20"/>
          <w:szCs w:val="20"/>
        </w:rPr>
        <w:t xml:space="preserve"> </w:t>
      </w:r>
      <w:proofErr w:type="spellStart"/>
      <w:r w:rsidRPr="00675E35">
        <w:rPr>
          <w:sz w:val="20"/>
          <w:szCs w:val="20"/>
        </w:rPr>
        <w:t>fuit</w:t>
      </w:r>
      <w:proofErr w:type="spellEnd"/>
      <w:r w:rsidRPr="00675E35">
        <w:rPr>
          <w:sz w:val="20"/>
          <w:szCs w:val="20"/>
        </w:rPr>
        <w:t xml:space="preserve"> I </w:t>
      </w:r>
      <w:proofErr w:type="spellStart"/>
      <w:r w:rsidRPr="00675E35">
        <w:rPr>
          <w:sz w:val="20"/>
          <w:szCs w:val="20"/>
        </w:rPr>
        <w:t>chalon</w:t>
      </w:r>
      <w:proofErr w:type="spellEnd"/>
      <w:r w:rsidRPr="00675E35">
        <w:rPr>
          <w:sz w:val="20"/>
          <w:szCs w:val="20"/>
        </w:rPr>
        <w:t xml:space="preserve"> et I </w:t>
      </w:r>
      <w:proofErr w:type="spellStart"/>
      <w:r w:rsidRPr="00675E35">
        <w:rPr>
          <w:sz w:val="20"/>
          <w:szCs w:val="20"/>
        </w:rPr>
        <w:t>linthianum</w:t>
      </w:r>
      <w:proofErr w:type="spellEnd"/>
      <w:r w:rsidRPr="00675E35">
        <w:rPr>
          <w:sz w:val="20"/>
          <w:szCs w:val="20"/>
        </w:rPr>
        <w:t>…</w:t>
      </w:r>
      <w:proofErr w:type="spellStart"/>
      <w:r w:rsidRPr="00675E35">
        <w:rPr>
          <w:sz w:val="20"/>
          <w:szCs w:val="20"/>
        </w:rPr>
        <w:t>comparuit</w:t>
      </w:r>
      <w:proofErr w:type="spellEnd"/>
      <w:r w:rsidRPr="00675E35">
        <w:rPr>
          <w:sz w:val="20"/>
          <w:szCs w:val="20"/>
        </w:rPr>
        <w:t xml:space="preserve"> et </w:t>
      </w:r>
      <w:proofErr w:type="spellStart"/>
      <w:r w:rsidRPr="00675E35">
        <w:rPr>
          <w:sz w:val="20"/>
          <w:szCs w:val="20"/>
        </w:rPr>
        <w:t>asseruit</w:t>
      </w:r>
      <w:proofErr w:type="spellEnd"/>
      <w:r w:rsidRPr="00675E35">
        <w:rPr>
          <w:sz w:val="20"/>
          <w:szCs w:val="20"/>
        </w:rPr>
        <w:t xml:space="preserve"> quod </w:t>
      </w:r>
      <w:proofErr w:type="spellStart"/>
      <w:r w:rsidRPr="00675E35">
        <w:rPr>
          <w:sz w:val="20"/>
          <w:szCs w:val="20"/>
        </w:rPr>
        <w:t>quidam</w:t>
      </w:r>
      <w:proofErr w:type="spellEnd"/>
      <w:r w:rsidRPr="00675E35">
        <w:rPr>
          <w:sz w:val="20"/>
          <w:szCs w:val="20"/>
        </w:rPr>
        <w:t xml:space="preserve"> </w:t>
      </w:r>
      <w:proofErr w:type="spellStart"/>
      <w:r w:rsidRPr="00675E35">
        <w:rPr>
          <w:sz w:val="20"/>
          <w:szCs w:val="20"/>
        </w:rPr>
        <w:t>veridictum</w:t>
      </w:r>
      <w:proofErr w:type="spellEnd"/>
      <w:r w:rsidRPr="00675E35">
        <w:rPr>
          <w:sz w:val="20"/>
          <w:szCs w:val="20"/>
        </w:rPr>
        <w:t> </w:t>
      </w:r>
      <w:proofErr w:type="spellStart"/>
      <w:r w:rsidRPr="00675E35">
        <w:rPr>
          <w:sz w:val="20"/>
          <w:szCs w:val="20"/>
        </w:rPr>
        <w:t>retulit</w:t>
      </w:r>
      <w:proofErr w:type="spellEnd"/>
      <w:r w:rsidRPr="00675E35">
        <w:rPr>
          <w:sz w:val="20"/>
          <w:szCs w:val="20"/>
        </w:rPr>
        <w:t xml:space="preserve"> </w:t>
      </w:r>
      <w:proofErr w:type="spellStart"/>
      <w:r w:rsidRPr="00675E35">
        <w:rPr>
          <w:sz w:val="20"/>
          <w:szCs w:val="20"/>
        </w:rPr>
        <w:t>uxori</w:t>
      </w:r>
      <w:proofErr w:type="spellEnd"/>
      <w:r w:rsidRPr="00675E35">
        <w:rPr>
          <w:sz w:val="20"/>
          <w:szCs w:val="20"/>
        </w:rPr>
        <w:t xml:space="preserve"> sue quod </w:t>
      </w:r>
      <w:proofErr w:type="spellStart"/>
      <w:r w:rsidRPr="00675E35">
        <w:rPr>
          <w:sz w:val="20"/>
          <w:szCs w:val="20"/>
        </w:rPr>
        <w:t>certa</w:t>
      </w:r>
      <w:proofErr w:type="spellEnd"/>
      <w:r w:rsidRPr="00675E35">
        <w:rPr>
          <w:sz w:val="20"/>
          <w:szCs w:val="20"/>
        </w:rPr>
        <w:t xml:space="preserve"> mulier in </w:t>
      </w:r>
      <w:proofErr w:type="spellStart"/>
      <w:r w:rsidRPr="00675E35">
        <w:rPr>
          <w:sz w:val="20"/>
          <w:szCs w:val="20"/>
        </w:rPr>
        <w:t>viridi</w:t>
      </w:r>
      <w:proofErr w:type="spellEnd"/>
      <w:r w:rsidRPr="00675E35">
        <w:rPr>
          <w:sz w:val="20"/>
          <w:szCs w:val="20"/>
        </w:rPr>
        <w:t xml:space="preserve"> tunica </w:t>
      </w:r>
      <w:proofErr w:type="spellStart"/>
      <w:r w:rsidRPr="00675E35">
        <w:rPr>
          <w:sz w:val="20"/>
          <w:szCs w:val="20"/>
        </w:rPr>
        <w:t>duplicata</w:t>
      </w:r>
      <w:proofErr w:type="spellEnd"/>
      <w:r w:rsidRPr="00675E35">
        <w:rPr>
          <w:sz w:val="20"/>
          <w:szCs w:val="20"/>
        </w:rPr>
        <w:t xml:space="preserve"> cum </w:t>
      </w:r>
      <w:proofErr w:type="spellStart"/>
      <w:r w:rsidRPr="00675E35">
        <w:rPr>
          <w:sz w:val="20"/>
          <w:szCs w:val="20"/>
        </w:rPr>
        <w:t>panno</w:t>
      </w:r>
      <w:proofErr w:type="spellEnd"/>
      <w:r w:rsidRPr="00675E35">
        <w:rPr>
          <w:sz w:val="20"/>
          <w:szCs w:val="20"/>
        </w:rPr>
        <w:t xml:space="preserve"> </w:t>
      </w:r>
      <w:proofErr w:type="spellStart"/>
      <w:r w:rsidRPr="00675E35">
        <w:rPr>
          <w:sz w:val="20"/>
          <w:szCs w:val="20"/>
        </w:rPr>
        <w:t>laico</w:t>
      </w:r>
      <w:proofErr w:type="spellEnd"/>
      <w:r w:rsidRPr="00675E35">
        <w:rPr>
          <w:sz w:val="20"/>
          <w:szCs w:val="20"/>
        </w:rPr>
        <w:t xml:space="preserve"> </w:t>
      </w:r>
      <w:proofErr w:type="spellStart"/>
      <w:r w:rsidRPr="00675E35">
        <w:rPr>
          <w:sz w:val="20"/>
          <w:szCs w:val="20"/>
        </w:rPr>
        <w:t>habuit</w:t>
      </w:r>
      <w:proofErr w:type="spellEnd"/>
      <w:r w:rsidRPr="00675E35">
        <w:rPr>
          <w:sz w:val="20"/>
          <w:szCs w:val="20"/>
        </w:rPr>
        <w:t xml:space="preserve"> bona et </w:t>
      </w:r>
      <w:proofErr w:type="spellStart"/>
      <w:r w:rsidRPr="00675E35">
        <w:rPr>
          <w:sz w:val="20"/>
          <w:szCs w:val="20"/>
        </w:rPr>
        <w:t>fatetur</w:t>
      </w:r>
      <w:proofErr w:type="spellEnd"/>
      <w:r w:rsidRPr="00675E35">
        <w:rPr>
          <w:sz w:val="20"/>
          <w:szCs w:val="20"/>
        </w:rPr>
        <w:t xml:space="preserve"> </w:t>
      </w:r>
      <w:proofErr w:type="spellStart"/>
      <w:r w:rsidRPr="00675E35">
        <w:rPr>
          <w:sz w:val="20"/>
          <w:szCs w:val="20"/>
        </w:rPr>
        <w:t>articulum</w:t>
      </w:r>
      <w:proofErr w:type="spellEnd"/>
      <w:r w:rsidRPr="00675E35">
        <w:rPr>
          <w:sz w:val="20"/>
          <w:szCs w:val="20"/>
        </w:rPr>
        <w:t xml:space="preserve">; </w:t>
      </w:r>
      <w:proofErr w:type="spellStart"/>
      <w:r w:rsidRPr="00675E35">
        <w:rPr>
          <w:sz w:val="20"/>
          <w:szCs w:val="20"/>
        </w:rPr>
        <w:t>abjuravit</w:t>
      </w:r>
      <w:proofErr w:type="spellEnd"/>
      <w:r w:rsidRPr="00675E35">
        <w:rPr>
          <w:sz w:val="20"/>
          <w:szCs w:val="20"/>
        </w:rPr>
        <w:t xml:space="preserve"> tam pro </w:t>
      </w:r>
      <w:proofErr w:type="spellStart"/>
      <w:r w:rsidRPr="00675E35">
        <w:rPr>
          <w:sz w:val="20"/>
          <w:szCs w:val="20"/>
        </w:rPr>
        <w:t>sortilegio</w:t>
      </w:r>
      <w:proofErr w:type="spellEnd"/>
      <w:r w:rsidRPr="00675E35">
        <w:rPr>
          <w:sz w:val="20"/>
          <w:szCs w:val="20"/>
        </w:rPr>
        <w:t xml:space="preserve"> </w:t>
      </w:r>
      <w:proofErr w:type="spellStart"/>
      <w:r w:rsidRPr="00675E35">
        <w:rPr>
          <w:sz w:val="20"/>
          <w:szCs w:val="20"/>
        </w:rPr>
        <w:t>quam</w:t>
      </w:r>
      <w:proofErr w:type="spellEnd"/>
      <w:r w:rsidRPr="00675E35">
        <w:rPr>
          <w:sz w:val="20"/>
          <w:szCs w:val="20"/>
        </w:rPr>
        <w:t xml:space="preserve"> </w:t>
      </w:r>
      <w:proofErr w:type="spellStart"/>
      <w:r w:rsidRPr="00675E35">
        <w:rPr>
          <w:sz w:val="20"/>
          <w:szCs w:val="20"/>
        </w:rPr>
        <w:t>diffamacionis</w:t>
      </w:r>
      <w:proofErr w:type="spellEnd"/>
      <w:r w:rsidRPr="00675E35">
        <w:rPr>
          <w:sz w:val="20"/>
          <w:szCs w:val="20"/>
        </w:rPr>
        <w:t>…’</w:t>
      </w:r>
    </w:p>
  </w:footnote>
  <w:footnote w:id="61">
    <w:p w14:paraId="015C56E2" w14:textId="77777777" w:rsidR="004E17E8" w:rsidRPr="00675E35" w:rsidRDefault="004E17E8" w:rsidP="004467A5">
      <w:pPr>
        <w:rPr>
          <w:sz w:val="20"/>
          <w:szCs w:val="20"/>
        </w:rPr>
      </w:pPr>
      <w:r w:rsidRPr="00675E35">
        <w:rPr>
          <w:sz w:val="20"/>
          <w:szCs w:val="20"/>
          <w:vertAlign w:val="superscript"/>
        </w:rPr>
        <w:footnoteRef/>
      </w:r>
      <w:r w:rsidRPr="00675E35">
        <w:rPr>
          <w:sz w:val="20"/>
          <w:szCs w:val="20"/>
        </w:rPr>
        <w:t xml:space="preserve"> See Morris S. Arnold, ‘Law and Fact in the Medieval Jury Trial: Out of Sight, Out of Mind’, </w:t>
      </w:r>
      <w:r w:rsidRPr="00675E35">
        <w:rPr>
          <w:i/>
          <w:sz w:val="20"/>
          <w:szCs w:val="20"/>
        </w:rPr>
        <w:t>The American Journal of Legal History</w:t>
      </w:r>
      <w:r w:rsidRPr="00675E35">
        <w:rPr>
          <w:sz w:val="20"/>
          <w:szCs w:val="20"/>
        </w:rPr>
        <w:t xml:space="preserve">, 18:4 (1974), pp. 267-280; the essays in </w:t>
      </w:r>
      <w:r w:rsidRPr="00675E35">
        <w:rPr>
          <w:i/>
          <w:sz w:val="20"/>
          <w:szCs w:val="20"/>
        </w:rPr>
        <w:t>Twelve Good Men and True: The Trial Jury in England 1200-1800</w:t>
      </w:r>
      <w:r w:rsidRPr="00675E35">
        <w:rPr>
          <w:sz w:val="20"/>
          <w:szCs w:val="20"/>
        </w:rPr>
        <w:t xml:space="preserve">, ed. J. S. Cockburn and Thomas A. Green (Princeton, NJ, 1988); and John L. Beckerman, ‘Procedural Innovation and Institutional Change in Medieval English Manorial Courts’, </w:t>
      </w:r>
      <w:r w:rsidRPr="00675E35">
        <w:rPr>
          <w:i/>
          <w:sz w:val="20"/>
          <w:szCs w:val="20"/>
        </w:rPr>
        <w:t>Law &amp; History Review</w:t>
      </w:r>
      <w:r w:rsidRPr="00675E35">
        <w:rPr>
          <w:sz w:val="20"/>
          <w:szCs w:val="20"/>
        </w:rPr>
        <w:t>, 10:2 (1992), pp. 197-252.</w:t>
      </w:r>
    </w:p>
  </w:footnote>
  <w:footnote w:id="62">
    <w:p w14:paraId="4E7DC7C9" w14:textId="77777777" w:rsidR="004E17E8" w:rsidRPr="00675E35" w:rsidRDefault="004E17E8" w:rsidP="004467A5">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LA, </w:t>
      </w:r>
      <w:proofErr w:type="spellStart"/>
      <w:r w:rsidRPr="00675E35">
        <w:rPr>
          <w:color w:val="000000"/>
          <w:sz w:val="20"/>
          <w:szCs w:val="20"/>
        </w:rPr>
        <w:t>Vj</w:t>
      </w:r>
      <w:proofErr w:type="spellEnd"/>
      <w:r w:rsidRPr="00675E35">
        <w:rPr>
          <w:color w:val="000000"/>
          <w:sz w:val="20"/>
          <w:szCs w:val="20"/>
        </w:rPr>
        <w:t xml:space="preserve">/6, </w:t>
      </w:r>
      <w:proofErr w:type="spellStart"/>
      <w:r w:rsidRPr="00675E35">
        <w:rPr>
          <w:color w:val="000000"/>
          <w:sz w:val="20"/>
          <w:szCs w:val="20"/>
        </w:rPr>
        <w:t>fo</w:t>
      </w:r>
      <w:proofErr w:type="spellEnd"/>
      <w:r w:rsidRPr="00675E35">
        <w:rPr>
          <w:color w:val="000000"/>
          <w:sz w:val="20"/>
          <w:szCs w:val="20"/>
        </w:rPr>
        <w:t>. 27r. ‘Thomas </w:t>
      </w:r>
      <w:proofErr w:type="spellStart"/>
      <w:r w:rsidRPr="00675E35">
        <w:rPr>
          <w:color w:val="000000"/>
          <w:sz w:val="20"/>
          <w:szCs w:val="20"/>
        </w:rPr>
        <w:t>Pelson</w:t>
      </w:r>
      <w:proofErr w:type="spellEnd"/>
      <w:r w:rsidRPr="00675E35">
        <w:rPr>
          <w:color w:val="000000"/>
          <w:sz w:val="20"/>
          <w:szCs w:val="20"/>
        </w:rPr>
        <w:t> </w:t>
      </w:r>
      <w:proofErr w:type="spellStart"/>
      <w:r w:rsidRPr="00675E35">
        <w:rPr>
          <w:color w:val="000000"/>
          <w:sz w:val="20"/>
          <w:szCs w:val="20"/>
        </w:rPr>
        <w:t>ostendit</w:t>
      </w:r>
      <w:proofErr w:type="spellEnd"/>
      <w:r w:rsidRPr="00675E35">
        <w:rPr>
          <w:color w:val="000000"/>
          <w:sz w:val="20"/>
          <w:szCs w:val="20"/>
        </w:rPr>
        <w:t> se </w:t>
      </w:r>
      <w:proofErr w:type="spellStart"/>
      <w:r w:rsidRPr="00675E35">
        <w:rPr>
          <w:color w:val="000000"/>
          <w:sz w:val="20"/>
          <w:szCs w:val="20"/>
        </w:rPr>
        <w:t>divinatorem</w:t>
      </w:r>
      <w:proofErr w:type="spellEnd"/>
      <w:r w:rsidRPr="00675E35">
        <w:rPr>
          <w:color w:val="000000"/>
          <w:sz w:val="20"/>
          <w:szCs w:val="20"/>
        </w:rPr>
        <w:t> et </w:t>
      </w:r>
      <w:proofErr w:type="spellStart"/>
      <w:r w:rsidRPr="00675E35">
        <w:rPr>
          <w:color w:val="000000"/>
          <w:sz w:val="20"/>
          <w:szCs w:val="20"/>
        </w:rPr>
        <w:t>dat</w:t>
      </w:r>
      <w:proofErr w:type="spellEnd"/>
      <w:r w:rsidRPr="00675E35">
        <w:rPr>
          <w:color w:val="000000"/>
          <w:sz w:val="20"/>
          <w:szCs w:val="20"/>
        </w:rPr>
        <w:t> </w:t>
      </w:r>
      <w:proofErr w:type="spellStart"/>
      <w:r w:rsidRPr="00675E35">
        <w:rPr>
          <w:color w:val="000000"/>
          <w:sz w:val="20"/>
          <w:szCs w:val="20"/>
        </w:rPr>
        <w:t>iudicia</w:t>
      </w:r>
      <w:proofErr w:type="spellEnd"/>
      <w:r w:rsidRPr="00675E35">
        <w:rPr>
          <w:color w:val="000000"/>
          <w:sz w:val="20"/>
          <w:szCs w:val="20"/>
        </w:rPr>
        <w:t> tam super </w:t>
      </w:r>
      <w:proofErr w:type="spellStart"/>
      <w:r w:rsidRPr="00675E35">
        <w:rPr>
          <w:color w:val="000000"/>
          <w:sz w:val="20"/>
          <w:szCs w:val="20"/>
        </w:rPr>
        <w:t>furti</w:t>
      </w:r>
      <w:proofErr w:type="spellEnd"/>
      <w:r w:rsidRPr="00675E35">
        <w:rPr>
          <w:color w:val="000000"/>
          <w:sz w:val="20"/>
          <w:szCs w:val="20"/>
        </w:rPr>
        <w:t> </w:t>
      </w:r>
      <w:proofErr w:type="spellStart"/>
      <w:r w:rsidRPr="00675E35">
        <w:rPr>
          <w:color w:val="000000"/>
          <w:sz w:val="20"/>
          <w:szCs w:val="20"/>
        </w:rPr>
        <w:t>quam</w:t>
      </w:r>
      <w:proofErr w:type="spellEnd"/>
      <w:r w:rsidRPr="00675E35">
        <w:rPr>
          <w:color w:val="000000"/>
          <w:sz w:val="20"/>
          <w:szCs w:val="20"/>
        </w:rPr>
        <w:t xml:space="preserve"> super </w:t>
      </w:r>
      <w:proofErr w:type="spellStart"/>
      <w:r w:rsidRPr="00675E35">
        <w:rPr>
          <w:color w:val="000000"/>
          <w:sz w:val="20"/>
          <w:szCs w:val="20"/>
        </w:rPr>
        <w:t>varijs</w:t>
      </w:r>
      <w:proofErr w:type="spellEnd"/>
      <w:r w:rsidRPr="00675E35">
        <w:rPr>
          <w:color w:val="000000"/>
          <w:sz w:val="20"/>
          <w:szCs w:val="20"/>
        </w:rPr>
        <w:t xml:space="preserve"> </w:t>
      </w:r>
      <w:proofErr w:type="spellStart"/>
      <w:r w:rsidRPr="00675E35">
        <w:rPr>
          <w:color w:val="000000"/>
          <w:sz w:val="20"/>
          <w:szCs w:val="20"/>
        </w:rPr>
        <w:t>languiribus</w:t>
      </w:r>
      <w:proofErr w:type="spellEnd"/>
      <w:r w:rsidRPr="00675E35">
        <w:rPr>
          <w:color w:val="000000"/>
          <w:sz w:val="20"/>
          <w:szCs w:val="20"/>
        </w:rPr>
        <w:t xml:space="preserve"> [sic] </w:t>
      </w:r>
      <w:proofErr w:type="spellStart"/>
      <w:r w:rsidRPr="00675E35">
        <w:rPr>
          <w:color w:val="000000"/>
          <w:sz w:val="20"/>
          <w:szCs w:val="20"/>
        </w:rPr>
        <w:t>hominum</w:t>
      </w:r>
      <w:proofErr w:type="spellEnd"/>
      <w:r w:rsidRPr="00675E35">
        <w:rPr>
          <w:color w:val="000000"/>
          <w:sz w:val="20"/>
          <w:szCs w:val="20"/>
        </w:rPr>
        <w:t> </w:t>
      </w:r>
      <w:proofErr w:type="spellStart"/>
      <w:r w:rsidRPr="00675E35">
        <w:rPr>
          <w:color w:val="000000"/>
          <w:sz w:val="20"/>
          <w:szCs w:val="20"/>
        </w:rPr>
        <w:t>atque</w:t>
      </w:r>
      <w:proofErr w:type="spellEnd"/>
      <w:r w:rsidRPr="00675E35">
        <w:rPr>
          <w:color w:val="000000"/>
          <w:sz w:val="20"/>
          <w:szCs w:val="20"/>
        </w:rPr>
        <w:t> </w:t>
      </w:r>
      <w:proofErr w:type="spellStart"/>
      <w:r w:rsidRPr="00675E35">
        <w:rPr>
          <w:color w:val="000000"/>
          <w:sz w:val="20"/>
          <w:szCs w:val="20"/>
        </w:rPr>
        <w:t>pecudum</w:t>
      </w:r>
      <w:proofErr w:type="spellEnd"/>
      <w:r w:rsidRPr="00675E35">
        <w:rPr>
          <w:color w:val="000000"/>
          <w:sz w:val="20"/>
          <w:szCs w:val="20"/>
        </w:rPr>
        <w:t>…’</w:t>
      </w:r>
    </w:p>
  </w:footnote>
  <w:footnote w:id="63">
    <w:p w14:paraId="4A663FE3" w14:textId="77777777" w:rsidR="004E17E8" w:rsidRPr="00675E35" w:rsidRDefault="004E17E8" w:rsidP="00146385">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Thompson, </w:t>
      </w:r>
      <w:r w:rsidRPr="00675E35">
        <w:rPr>
          <w:i/>
          <w:color w:val="000000"/>
          <w:sz w:val="20"/>
          <w:szCs w:val="20"/>
        </w:rPr>
        <w:t>English Clergy</w:t>
      </w:r>
      <w:r w:rsidRPr="00675E35">
        <w:rPr>
          <w:color w:val="000000"/>
          <w:sz w:val="20"/>
          <w:szCs w:val="20"/>
        </w:rPr>
        <w:t>, p. 221.</w:t>
      </w:r>
    </w:p>
  </w:footnote>
  <w:footnote w:id="64">
    <w:p w14:paraId="4FADD2E9" w14:textId="77777777" w:rsidR="004E17E8" w:rsidRPr="00675E35" w:rsidRDefault="004E17E8" w:rsidP="00146385">
      <w:pPr>
        <w:rPr>
          <w:sz w:val="20"/>
          <w:szCs w:val="20"/>
        </w:rPr>
      </w:pPr>
      <w:r w:rsidRPr="00675E35">
        <w:rPr>
          <w:rStyle w:val="FootnoteReference"/>
          <w:sz w:val="20"/>
          <w:szCs w:val="20"/>
        </w:rPr>
        <w:footnoteRef/>
      </w:r>
      <w:r w:rsidRPr="00675E35">
        <w:rPr>
          <w:sz w:val="20"/>
          <w:szCs w:val="20"/>
        </w:rPr>
        <w:t xml:space="preserve"> </w:t>
      </w:r>
      <w:r w:rsidRPr="00675E35">
        <w:rPr>
          <w:sz w:val="20"/>
          <w:szCs w:val="20"/>
          <w:lang w:val="en-US"/>
        </w:rPr>
        <w:t xml:space="preserve">Ibid., </w:t>
      </w:r>
      <w:r w:rsidRPr="00675E35">
        <w:rPr>
          <w:sz w:val="20"/>
          <w:szCs w:val="20"/>
        </w:rPr>
        <w:t>‘</w:t>
      </w:r>
      <w:proofErr w:type="spellStart"/>
      <w:r w:rsidRPr="00675E35">
        <w:rPr>
          <w:sz w:val="20"/>
          <w:szCs w:val="20"/>
          <w:lang w:val="en-US"/>
        </w:rPr>
        <w:t>exercuisse</w:t>
      </w:r>
      <w:proofErr w:type="spellEnd"/>
      <w:r w:rsidRPr="00675E35">
        <w:rPr>
          <w:sz w:val="20"/>
          <w:szCs w:val="20"/>
          <w:lang w:val="en-US"/>
        </w:rPr>
        <w:t xml:space="preserve"> </w:t>
      </w:r>
      <w:proofErr w:type="spellStart"/>
      <w:r w:rsidRPr="00675E35">
        <w:rPr>
          <w:sz w:val="20"/>
          <w:szCs w:val="20"/>
          <w:lang w:val="en-US"/>
        </w:rPr>
        <w:t>huiusmodi</w:t>
      </w:r>
      <w:proofErr w:type="spellEnd"/>
      <w:r w:rsidRPr="00675E35">
        <w:rPr>
          <w:sz w:val="20"/>
          <w:szCs w:val="20"/>
          <w:lang w:val="en-US"/>
        </w:rPr>
        <w:t xml:space="preserve"> </w:t>
      </w:r>
      <w:proofErr w:type="spellStart"/>
      <w:r w:rsidRPr="00675E35">
        <w:rPr>
          <w:sz w:val="20"/>
          <w:szCs w:val="20"/>
          <w:lang w:val="en-US"/>
        </w:rPr>
        <w:t>artem</w:t>
      </w:r>
      <w:proofErr w:type="spellEnd"/>
      <w:r w:rsidRPr="00675E35">
        <w:rPr>
          <w:sz w:val="20"/>
          <w:szCs w:val="20"/>
          <w:lang w:val="en-US"/>
        </w:rPr>
        <w:t xml:space="preserve"> </w:t>
      </w:r>
      <w:proofErr w:type="spellStart"/>
      <w:r w:rsidRPr="00675E35">
        <w:rPr>
          <w:sz w:val="20"/>
          <w:szCs w:val="20"/>
          <w:lang w:val="en-US"/>
        </w:rPr>
        <w:t>iuxta</w:t>
      </w:r>
      <w:proofErr w:type="spellEnd"/>
      <w:r w:rsidRPr="00675E35">
        <w:rPr>
          <w:sz w:val="20"/>
          <w:szCs w:val="20"/>
          <w:lang w:val="en-US"/>
        </w:rPr>
        <w:t xml:space="preserve"> </w:t>
      </w:r>
      <w:proofErr w:type="spellStart"/>
      <w:r w:rsidRPr="00675E35">
        <w:rPr>
          <w:sz w:val="20"/>
          <w:szCs w:val="20"/>
          <w:lang w:val="en-US"/>
        </w:rPr>
        <w:t>regulas</w:t>
      </w:r>
      <w:proofErr w:type="spellEnd"/>
      <w:r w:rsidRPr="00675E35">
        <w:rPr>
          <w:sz w:val="20"/>
          <w:szCs w:val="20"/>
          <w:lang w:val="en-US"/>
        </w:rPr>
        <w:t xml:space="preserve"> in </w:t>
      </w:r>
      <w:proofErr w:type="spellStart"/>
      <w:r w:rsidRPr="00675E35">
        <w:rPr>
          <w:sz w:val="20"/>
          <w:szCs w:val="20"/>
          <w:lang w:val="en-US"/>
        </w:rPr>
        <w:t>quodam</w:t>
      </w:r>
      <w:proofErr w:type="spellEnd"/>
      <w:r w:rsidRPr="00675E35">
        <w:rPr>
          <w:sz w:val="20"/>
          <w:szCs w:val="20"/>
          <w:lang w:val="en-US"/>
        </w:rPr>
        <w:t xml:space="preserve"> </w:t>
      </w:r>
      <w:proofErr w:type="spellStart"/>
      <w:r w:rsidRPr="00675E35">
        <w:rPr>
          <w:sz w:val="20"/>
          <w:szCs w:val="20"/>
          <w:lang w:val="en-US"/>
        </w:rPr>
        <w:t>libro</w:t>
      </w:r>
      <w:proofErr w:type="spellEnd"/>
      <w:r w:rsidRPr="00675E35">
        <w:rPr>
          <w:sz w:val="20"/>
          <w:szCs w:val="20"/>
          <w:lang w:val="en-US"/>
        </w:rPr>
        <w:t xml:space="preserve"> </w:t>
      </w:r>
      <w:proofErr w:type="spellStart"/>
      <w:r w:rsidRPr="00675E35">
        <w:rPr>
          <w:sz w:val="20"/>
          <w:szCs w:val="20"/>
          <w:lang w:val="en-US"/>
        </w:rPr>
        <w:t>quem</w:t>
      </w:r>
      <w:proofErr w:type="spellEnd"/>
      <w:r w:rsidRPr="00675E35">
        <w:rPr>
          <w:sz w:val="20"/>
          <w:szCs w:val="20"/>
          <w:lang w:val="en-US"/>
        </w:rPr>
        <w:t xml:space="preserve"> </w:t>
      </w:r>
      <w:proofErr w:type="spellStart"/>
      <w:r w:rsidRPr="00675E35">
        <w:rPr>
          <w:sz w:val="20"/>
          <w:szCs w:val="20"/>
          <w:lang w:val="en-US"/>
        </w:rPr>
        <w:t>habuit</w:t>
      </w:r>
      <w:proofErr w:type="spellEnd"/>
      <w:r w:rsidRPr="00675E35">
        <w:rPr>
          <w:sz w:val="20"/>
          <w:szCs w:val="20"/>
          <w:lang w:val="en-US"/>
        </w:rPr>
        <w:t xml:space="preserve"> de </w:t>
      </w:r>
      <w:proofErr w:type="spellStart"/>
      <w:r w:rsidRPr="00675E35">
        <w:rPr>
          <w:sz w:val="20"/>
          <w:szCs w:val="20"/>
          <w:lang w:val="en-US"/>
        </w:rPr>
        <w:t>Willelmo</w:t>
      </w:r>
      <w:proofErr w:type="spellEnd"/>
      <w:r w:rsidRPr="00675E35">
        <w:rPr>
          <w:sz w:val="20"/>
          <w:szCs w:val="20"/>
          <w:lang w:val="en-US"/>
        </w:rPr>
        <w:t xml:space="preserve"> </w:t>
      </w:r>
      <w:proofErr w:type="spellStart"/>
      <w:r w:rsidRPr="00675E35">
        <w:rPr>
          <w:sz w:val="20"/>
          <w:szCs w:val="20"/>
          <w:lang w:val="en-US"/>
        </w:rPr>
        <w:t>Tetteford</w:t>
      </w:r>
      <w:proofErr w:type="spellEnd"/>
      <w:r w:rsidRPr="00675E35">
        <w:rPr>
          <w:sz w:val="20"/>
          <w:szCs w:val="20"/>
          <w:lang w:val="en-US"/>
        </w:rPr>
        <w:t xml:space="preserve"> </w:t>
      </w:r>
      <w:proofErr w:type="spellStart"/>
      <w:r w:rsidRPr="00675E35">
        <w:rPr>
          <w:sz w:val="20"/>
          <w:szCs w:val="20"/>
          <w:lang w:val="en-US"/>
        </w:rPr>
        <w:t>iam</w:t>
      </w:r>
      <w:proofErr w:type="spellEnd"/>
      <w:r w:rsidRPr="00675E35">
        <w:rPr>
          <w:sz w:val="20"/>
          <w:szCs w:val="20"/>
          <w:lang w:val="en-US"/>
        </w:rPr>
        <w:t xml:space="preserve"> </w:t>
      </w:r>
      <w:proofErr w:type="spellStart"/>
      <w:r w:rsidRPr="00675E35">
        <w:rPr>
          <w:sz w:val="20"/>
          <w:szCs w:val="20"/>
          <w:lang w:val="en-US"/>
        </w:rPr>
        <w:t>defuncto</w:t>
      </w:r>
      <w:proofErr w:type="spellEnd"/>
      <w:r w:rsidRPr="00675E35">
        <w:rPr>
          <w:sz w:val="20"/>
          <w:szCs w:val="20"/>
          <w:lang w:val="en-US"/>
        </w:rPr>
        <w:t>’.</w:t>
      </w:r>
    </w:p>
  </w:footnote>
  <w:footnote w:id="65">
    <w:p w14:paraId="5A81209D" w14:textId="77777777" w:rsidR="004E17E8" w:rsidRPr="00675E35" w:rsidRDefault="004E17E8">
      <w:pPr>
        <w:pStyle w:val="FootnoteText"/>
        <w:rPr>
          <w:lang w:val="en-US"/>
        </w:rPr>
      </w:pPr>
      <w:r w:rsidRPr="00675E35">
        <w:rPr>
          <w:rStyle w:val="FootnoteReference"/>
        </w:rPr>
        <w:footnoteRef/>
      </w:r>
      <w:r w:rsidRPr="00675E35">
        <w:t xml:space="preserve"> The classic account of this phenomenon, in legal anthropology, is </w:t>
      </w:r>
      <w:proofErr w:type="spellStart"/>
      <w:r w:rsidRPr="00675E35">
        <w:t>Keebet</w:t>
      </w:r>
      <w:proofErr w:type="spellEnd"/>
      <w:r w:rsidRPr="00675E35">
        <w:t xml:space="preserve"> von Benda-Beckmann ‘Forum Shopping and Shopping Forums: Dispute Settlement in a Minangkabau Village in West Sumatra, Indonesia,’ in </w:t>
      </w:r>
      <w:r w:rsidRPr="00675E35">
        <w:rPr>
          <w:i/>
          <w:iCs/>
        </w:rPr>
        <w:t>The Broken Stairways to Consensus</w:t>
      </w:r>
      <w:r w:rsidRPr="00675E35">
        <w:t xml:space="preserve">, ed. </w:t>
      </w:r>
      <w:proofErr w:type="spellStart"/>
      <w:r w:rsidRPr="00675E35">
        <w:t>eadem</w:t>
      </w:r>
      <w:proofErr w:type="spellEnd"/>
      <w:r w:rsidRPr="00675E35">
        <w:t xml:space="preserve"> (Dordrecht, 1984).</w:t>
      </w:r>
    </w:p>
  </w:footnote>
  <w:footnote w:id="66">
    <w:p w14:paraId="26CD1D6C" w14:textId="77777777" w:rsidR="004E17E8" w:rsidRPr="00675E35" w:rsidRDefault="004E17E8" w:rsidP="0074532A">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Respectively, The National Archives, C 1/46/425; LMA, DL/C/B/043/MS9064/5, </w:t>
      </w:r>
      <w:proofErr w:type="spellStart"/>
      <w:r w:rsidRPr="00675E35">
        <w:rPr>
          <w:color w:val="000000"/>
          <w:sz w:val="20"/>
          <w:szCs w:val="20"/>
        </w:rPr>
        <w:t>fo</w:t>
      </w:r>
      <w:proofErr w:type="spellEnd"/>
      <w:r w:rsidRPr="00675E35">
        <w:rPr>
          <w:color w:val="000000"/>
          <w:sz w:val="20"/>
          <w:szCs w:val="20"/>
        </w:rPr>
        <w:t>. 120r.</w:t>
      </w:r>
    </w:p>
  </w:footnote>
  <w:footnote w:id="67">
    <w:p w14:paraId="25EE91C7" w14:textId="77777777" w:rsidR="004E17E8" w:rsidRPr="00675E35" w:rsidRDefault="004E17E8" w:rsidP="001A05AB">
      <w:pPr>
        <w:rPr>
          <w:color w:val="000000"/>
          <w:sz w:val="20"/>
          <w:szCs w:val="20"/>
        </w:rPr>
      </w:pPr>
      <w:r w:rsidRPr="00675E35">
        <w:rPr>
          <w:rStyle w:val="FootnoteReference"/>
          <w:sz w:val="20"/>
          <w:szCs w:val="20"/>
        </w:rPr>
        <w:footnoteRef/>
      </w:r>
      <w:r w:rsidRPr="00675E35">
        <w:rPr>
          <w:sz w:val="20"/>
          <w:szCs w:val="20"/>
        </w:rPr>
        <w:t xml:space="preserve"> For a case alluding to personal instruction, see </w:t>
      </w:r>
      <w:r w:rsidRPr="00675E35">
        <w:rPr>
          <w:i/>
          <w:color w:val="000000"/>
          <w:sz w:val="20"/>
          <w:szCs w:val="20"/>
        </w:rPr>
        <w:t>Register of John Morton</w:t>
      </w:r>
      <w:r w:rsidRPr="00675E35">
        <w:rPr>
          <w:color w:val="000000"/>
          <w:sz w:val="20"/>
          <w:szCs w:val="20"/>
        </w:rPr>
        <w:t>,</w:t>
      </w:r>
      <w:r w:rsidRPr="00675E35">
        <w:rPr>
          <w:i/>
          <w:color w:val="000000"/>
          <w:sz w:val="20"/>
          <w:szCs w:val="20"/>
        </w:rPr>
        <w:t> </w:t>
      </w:r>
      <w:r w:rsidRPr="00675E35">
        <w:rPr>
          <w:color w:val="000000"/>
          <w:sz w:val="20"/>
          <w:szCs w:val="20"/>
        </w:rPr>
        <w:t>ed. Harper-Bill, p. 215; f</w:t>
      </w:r>
      <w:r w:rsidRPr="00675E35">
        <w:rPr>
          <w:sz w:val="20"/>
          <w:szCs w:val="20"/>
          <w:lang w:val="en-US"/>
        </w:rPr>
        <w:t xml:space="preserve">or a case in which a soothsayer admitted to learning from books, see </w:t>
      </w:r>
      <w:r w:rsidRPr="00675E35">
        <w:rPr>
          <w:color w:val="000000"/>
          <w:sz w:val="20"/>
          <w:szCs w:val="20"/>
        </w:rPr>
        <w:t xml:space="preserve">Thompson, </w:t>
      </w:r>
      <w:r w:rsidRPr="00675E35">
        <w:rPr>
          <w:i/>
          <w:color w:val="000000"/>
          <w:sz w:val="20"/>
          <w:szCs w:val="20"/>
        </w:rPr>
        <w:t>English Clergy</w:t>
      </w:r>
      <w:r w:rsidRPr="00675E35">
        <w:rPr>
          <w:color w:val="000000"/>
          <w:sz w:val="20"/>
          <w:szCs w:val="20"/>
        </w:rPr>
        <w:t>, p. 221</w:t>
      </w:r>
      <w:r>
        <w:rPr>
          <w:color w:val="000000"/>
          <w:sz w:val="20"/>
          <w:szCs w:val="20"/>
        </w:rPr>
        <w:t>.</w:t>
      </w:r>
    </w:p>
  </w:footnote>
  <w:footnote w:id="68">
    <w:p w14:paraId="4C5B3517" w14:textId="77777777" w:rsidR="004E17E8" w:rsidRPr="00675E35" w:rsidRDefault="004E17E8" w:rsidP="001B0DC5">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For descriptions of these methods see Thomas, </w:t>
      </w:r>
      <w:r w:rsidRPr="00675E35">
        <w:rPr>
          <w:i/>
          <w:color w:val="000000"/>
          <w:sz w:val="20"/>
          <w:szCs w:val="20"/>
        </w:rPr>
        <w:t>Religion and the Decline of Magic</w:t>
      </w:r>
      <w:r w:rsidRPr="00675E35">
        <w:rPr>
          <w:color w:val="000000"/>
          <w:sz w:val="20"/>
          <w:szCs w:val="20"/>
        </w:rPr>
        <w:t>, pp. 212-252.</w:t>
      </w:r>
    </w:p>
  </w:footnote>
  <w:footnote w:id="69">
    <w:p w14:paraId="62109D3A" w14:textId="205038F5" w:rsidR="004E17E8" w:rsidRPr="00675E35" w:rsidRDefault="004E17E8">
      <w:pPr>
        <w:pStyle w:val="FootnoteText"/>
        <w:rPr>
          <w:lang w:val="en-US"/>
        </w:rPr>
      </w:pPr>
      <w:r w:rsidRPr="00675E35">
        <w:rPr>
          <w:rStyle w:val="FootnoteReference"/>
        </w:rPr>
        <w:footnoteRef/>
      </w:r>
      <w:r w:rsidRPr="00675E35">
        <w:t xml:space="preserve"> </w:t>
      </w:r>
      <w:r w:rsidRPr="00675E35">
        <w:rPr>
          <w:lang w:val="en-US"/>
        </w:rPr>
        <w:t xml:space="preserve">On the use of presentment, see </w:t>
      </w:r>
      <w:r w:rsidRPr="00675E35">
        <w:rPr>
          <w:rStyle w:val="s2"/>
          <w:color w:val="000000"/>
        </w:rPr>
        <w:t>John</w:t>
      </w:r>
      <w:r w:rsidRPr="00675E35">
        <w:rPr>
          <w:rStyle w:val="apple-converted-space"/>
          <w:color w:val="000000"/>
        </w:rPr>
        <w:t> </w:t>
      </w:r>
      <w:r w:rsidRPr="00675E35">
        <w:rPr>
          <w:rStyle w:val="s2"/>
          <w:color w:val="000000"/>
        </w:rPr>
        <w:t>S.</w:t>
      </w:r>
      <w:r w:rsidRPr="00675E35">
        <w:rPr>
          <w:rStyle w:val="apple-converted-space"/>
          <w:color w:val="000000"/>
        </w:rPr>
        <w:t> </w:t>
      </w:r>
      <w:r w:rsidRPr="00675E35">
        <w:rPr>
          <w:rStyle w:val="s2"/>
          <w:color w:val="000000"/>
        </w:rPr>
        <w:t>Beckerman, ‘Procedural Innovation and Institutional Change in Medieval English Manorial Courts’,</w:t>
      </w:r>
      <w:r w:rsidRPr="00675E35">
        <w:rPr>
          <w:rStyle w:val="apple-converted-space"/>
          <w:color w:val="000000"/>
        </w:rPr>
        <w:t> </w:t>
      </w:r>
      <w:r w:rsidRPr="00675E35">
        <w:rPr>
          <w:rStyle w:val="s3"/>
          <w:i/>
          <w:iCs/>
          <w:color w:val="000000"/>
        </w:rPr>
        <w:t>Law &amp; History Review</w:t>
      </w:r>
      <w:r w:rsidRPr="00675E35">
        <w:rPr>
          <w:rStyle w:val="s2"/>
          <w:color w:val="000000"/>
        </w:rPr>
        <w:t xml:space="preserve">, 10:2 (1992), 197-252; on </w:t>
      </w:r>
      <w:proofErr w:type="spellStart"/>
      <w:r w:rsidRPr="00675E35">
        <w:rPr>
          <w:rStyle w:val="s2"/>
          <w:i/>
          <w:iCs/>
          <w:color w:val="000000"/>
        </w:rPr>
        <w:t>fama</w:t>
      </w:r>
      <w:proofErr w:type="spellEnd"/>
      <w:r w:rsidRPr="00675E35">
        <w:rPr>
          <w:rStyle w:val="s2"/>
          <w:color w:val="000000"/>
        </w:rPr>
        <w:t xml:space="preserve">, see above, </w:t>
      </w:r>
      <w:proofErr w:type="spellStart"/>
      <w:r w:rsidRPr="00675E35">
        <w:rPr>
          <w:rStyle w:val="s2"/>
          <w:color w:val="000000"/>
        </w:rPr>
        <w:t>fnn</w:t>
      </w:r>
      <w:proofErr w:type="spellEnd"/>
      <w:r w:rsidRPr="00675E35">
        <w:rPr>
          <w:rStyle w:val="s2"/>
          <w:color w:val="000000"/>
        </w:rPr>
        <w:t>. 4</w:t>
      </w:r>
      <w:r w:rsidR="0009643C">
        <w:rPr>
          <w:rStyle w:val="s2"/>
          <w:color w:val="000000"/>
        </w:rPr>
        <w:t>9</w:t>
      </w:r>
      <w:r w:rsidRPr="00675E35">
        <w:rPr>
          <w:rStyle w:val="s2"/>
          <w:color w:val="000000"/>
        </w:rPr>
        <w:t>-5</w:t>
      </w:r>
      <w:r w:rsidR="0009643C">
        <w:rPr>
          <w:rStyle w:val="s2"/>
          <w:color w:val="000000"/>
        </w:rPr>
        <w:t>2</w:t>
      </w:r>
      <w:r w:rsidRPr="00675E35">
        <w:rPr>
          <w:rStyle w:val="s2"/>
          <w:color w:val="000000"/>
        </w:rPr>
        <w:t>.</w:t>
      </w:r>
    </w:p>
  </w:footnote>
  <w:footnote w:id="70">
    <w:p w14:paraId="326CAD29" w14:textId="77777777" w:rsidR="004E17E8" w:rsidRPr="00675E35" w:rsidRDefault="004E17E8" w:rsidP="00564041">
      <w:pPr>
        <w:rPr>
          <w:sz w:val="20"/>
          <w:szCs w:val="20"/>
        </w:rPr>
      </w:pPr>
      <w:r w:rsidRPr="00675E35">
        <w:rPr>
          <w:rStyle w:val="FootnoteReference"/>
          <w:sz w:val="20"/>
          <w:szCs w:val="20"/>
        </w:rPr>
        <w:footnoteRef/>
      </w:r>
      <w:r w:rsidRPr="00675E35">
        <w:rPr>
          <w:sz w:val="20"/>
          <w:szCs w:val="20"/>
        </w:rPr>
        <w:t xml:space="preserve"> </w:t>
      </w:r>
      <w:r w:rsidRPr="00675E35">
        <w:rPr>
          <w:rStyle w:val="s2"/>
          <w:color w:val="000000"/>
          <w:sz w:val="20"/>
          <w:szCs w:val="20"/>
        </w:rPr>
        <w:t xml:space="preserve">Peter L. Larson, ‘Village Voice or Village Oligarchy? The Jurors of the Durham Halmote Court, 1349 to 1424’, </w:t>
      </w:r>
      <w:r w:rsidRPr="00675E35">
        <w:rPr>
          <w:rStyle w:val="s2"/>
          <w:i/>
          <w:iCs/>
          <w:color w:val="000000"/>
          <w:sz w:val="20"/>
          <w:szCs w:val="20"/>
        </w:rPr>
        <w:t>Law &amp; History Review</w:t>
      </w:r>
      <w:r w:rsidRPr="00675E35">
        <w:rPr>
          <w:rStyle w:val="s2"/>
          <w:color w:val="000000"/>
          <w:sz w:val="20"/>
          <w:szCs w:val="20"/>
        </w:rPr>
        <w:t>, 28:3 (2010), 675-709.</w:t>
      </w:r>
    </w:p>
  </w:footnote>
  <w:footnote w:id="71">
    <w:p w14:paraId="0E3BD7BD" w14:textId="77777777" w:rsidR="004E17E8" w:rsidRPr="00675E35" w:rsidRDefault="004E17E8">
      <w:pPr>
        <w:pStyle w:val="FootnoteText"/>
        <w:rPr>
          <w:lang w:val="en-US"/>
        </w:rPr>
      </w:pPr>
      <w:r w:rsidRPr="00675E35">
        <w:rPr>
          <w:rStyle w:val="FootnoteReference"/>
        </w:rPr>
        <w:footnoteRef/>
      </w:r>
      <w:r w:rsidRPr="00675E35">
        <w:t xml:space="preserve"> </w:t>
      </w:r>
      <w:r w:rsidRPr="00675E35">
        <w:rPr>
          <w:rStyle w:val="s2"/>
          <w:color w:val="000000"/>
        </w:rPr>
        <w:t>Ian Forrest, ‘The Transformation of Visitation in Thirteenth-Century England’,</w:t>
      </w:r>
      <w:r w:rsidRPr="00675E35">
        <w:rPr>
          <w:rStyle w:val="apple-converted-space"/>
          <w:color w:val="000000"/>
        </w:rPr>
        <w:t> </w:t>
      </w:r>
      <w:r w:rsidRPr="00675E35">
        <w:rPr>
          <w:rStyle w:val="s3"/>
          <w:i/>
          <w:iCs/>
          <w:color w:val="000000"/>
        </w:rPr>
        <w:t>Past &amp; Present</w:t>
      </w:r>
      <w:r w:rsidRPr="00675E35">
        <w:rPr>
          <w:rStyle w:val="s2"/>
          <w:color w:val="000000"/>
        </w:rPr>
        <w:t xml:space="preserve">, 221 (2013), 3-38, esp. pp. </w:t>
      </w:r>
      <w:r w:rsidRPr="00675E35">
        <w:rPr>
          <w:lang w:val="en-US"/>
        </w:rPr>
        <w:t xml:space="preserve">A slightly more optimistic reading can be found in </w:t>
      </w:r>
      <w:proofErr w:type="spellStart"/>
      <w:r w:rsidRPr="00675E35">
        <w:rPr>
          <w:rStyle w:val="s2"/>
          <w:color w:val="000000"/>
        </w:rPr>
        <w:t>Phillipp</w:t>
      </w:r>
      <w:proofErr w:type="spellEnd"/>
      <w:r w:rsidRPr="00675E35">
        <w:rPr>
          <w:rStyle w:val="s2"/>
          <w:color w:val="000000"/>
        </w:rPr>
        <w:t xml:space="preserve"> R. Schofield,</w:t>
      </w:r>
      <w:r w:rsidRPr="00675E35">
        <w:rPr>
          <w:rStyle w:val="apple-converted-space"/>
          <w:color w:val="000000"/>
        </w:rPr>
        <w:t> </w:t>
      </w:r>
      <w:r w:rsidRPr="00675E35">
        <w:rPr>
          <w:rStyle w:val="s3"/>
          <w:i/>
          <w:iCs/>
          <w:color w:val="000000"/>
        </w:rPr>
        <w:t>Peasant and Community in Medieval England 1200-1500</w:t>
      </w:r>
      <w:r w:rsidRPr="00675E35">
        <w:rPr>
          <w:rStyle w:val="apple-converted-space"/>
          <w:i/>
          <w:iCs/>
          <w:color w:val="000000"/>
        </w:rPr>
        <w:t> </w:t>
      </w:r>
      <w:r w:rsidRPr="00675E35">
        <w:rPr>
          <w:rStyle w:val="s2"/>
          <w:color w:val="000000"/>
        </w:rPr>
        <w:t>(Basingstoke, 2003)</w:t>
      </w:r>
      <w:r w:rsidRPr="00675E35">
        <w:t>, pp. 42-3.</w:t>
      </w:r>
    </w:p>
  </w:footnote>
  <w:footnote w:id="72">
    <w:p w14:paraId="28D018F8" w14:textId="77777777" w:rsidR="004E17E8" w:rsidRPr="00675E35" w:rsidRDefault="004E17E8" w:rsidP="00216107">
      <w:pPr>
        <w:rPr>
          <w:sz w:val="20"/>
          <w:szCs w:val="20"/>
        </w:rPr>
      </w:pPr>
      <w:r w:rsidRPr="00675E35">
        <w:rPr>
          <w:rStyle w:val="FootnoteReference"/>
          <w:sz w:val="20"/>
          <w:szCs w:val="20"/>
        </w:rPr>
        <w:footnoteRef/>
      </w:r>
      <w:r w:rsidRPr="00675E35">
        <w:rPr>
          <w:sz w:val="20"/>
          <w:szCs w:val="20"/>
        </w:rPr>
        <w:t xml:space="preserve"> </w:t>
      </w:r>
      <w:r w:rsidRPr="00675E35">
        <w:rPr>
          <w:sz w:val="20"/>
          <w:szCs w:val="20"/>
          <w:lang w:val="en-US"/>
        </w:rPr>
        <w:t xml:space="preserve">Forrest, </w:t>
      </w:r>
      <w:r w:rsidRPr="00675E35">
        <w:rPr>
          <w:i/>
          <w:iCs/>
          <w:sz w:val="20"/>
          <w:szCs w:val="20"/>
          <w:lang w:val="en-US"/>
        </w:rPr>
        <w:t>Trustworthy Men</w:t>
      </w:r>
      <w:r w:rsidRPr="00675E35">
        <w:rPr>
          <w:sz w:val="20"/>
          <w:szCs w:val="20"/>
          <w:lang w:val="en-US"/>
        </w:rPr>
        <w:t xml:space="preserve">, p. 227. </w:t>
      </w:r>
      <w:r w:rsidRPr="00675E35">
        <w:rPr>
          <w:sz w:val="20"/>
          <w:szCs w:val="20"/>
        </w:rPr>
        <w:t xml:space="preserve">On the differentiation of peasant living conditions, see Stephen </w:t>
      </w:r>
      <w:proofErr w:type="spellStart"/>
      <w:r w:rsidRPr="00675E35">
        <w:rPr>
          <w:sz w:val="20"/>
          <w:szCs w:val="20"/>
        </w:rPr>
        <w:t>Mileson</w:t>
      </w:r>
      <w:proofErr w:type="spellEnd"/>
      <w:r w:rsidRPr="00675E35">
        <w:rPr>
          <w:sz w:val="20"/>
          <w:szCs w:val="20"/>
        </w:rPr>
        <w:t xml:space="preserve">, ‘Openness and Closure in the Later Medieval Village’, </w:t>
      </w:r>
      <w:r w:rsidRPr="00675E35">
        <w:rPr>
          <w:i/>
          <w:sz w:val="20"/>
          <w:szCs w:val="20"/>
        </w:rPr>
        <w:t>Past &amp; Present</w:t>
      </w:r>
      <w:r w:rsidRPr="00675E35">
        <w:rPr>
          <w:sz w:val="20"/>
          <w:szCs w:val="20"/>
        </w:rPr>
        <w:t>, 234 (2017), 3-37.</w:t>
      </w:r>
    </w:p>
  </w:footnote>
  <w:footnote w:id="73">
    <w:p w14:paraId="525ABB7B" w14:textId="77777777" w:rsidR="004E17E8" w:rsidRPr="00675E35" w:rsidRDefault="004E17E8" w:rsidP="00F04E28">
      <w:pPr>
        <w:rPr>
          <w:sz w:val="20"/>
          <w:szCs w:val="20"/>
        </w:rPr>
      </w:pPr>
      <w:r w:rsidRPr="00675E35">
        <w:rPr>
          <w:rStyle w:val="FootnoteReference"/>
          <w:sz w:val="20"/>
          <w:szCs w:val="20"/>
        </w:rPr>
        <w:footnoteRef/>
      </w:r>
      <w:r w:rsidRPr="00675E35">
        <w:rPr>
          <w:sz w:val="20"/>
          <w:szCs w:val="20"/>
        </w:rPr>
        <w:t xml:space="preserve"> Quotes respectively from, J. S. Beckerman, ‘The articles of presentment of a court leet and court baron, in English, c.1400’, </w:t>
      </w:r>
      <w:r w:rsidRPr="00675E35">
        <w:rPr>
          <w:i/>
          <w:sz w:val="20"/>
          <w:szCs w:val="20"/>
        </w:rPr>
        <w:t>Bulletin of the Institute of Historical Research</w:t>
      </w:r>
      <w:r w:rsidRPr="00675E35">
        <w:rPr>
          <w:sz w:val="20"/>
          <w:szCs w:val="20"/>
        </w:rPr>
        <w:t>, 47 (1974), 230-4, at p. 231</w:t>
      </w:r>
      <w:r w:rsidRPr="00675E35">
        <w:rPr>
          <w:rStyle w:val="s2"/>
          <w:color w:val="000000"/>
          <w:sz w:val="20"/>
          <w:szCs w:val="20"/>
        </w:rPr>
        <w:t xml:space="preserve">; </w:t>
      </w:r>
      <w:r w:rsidRPr="00675E35">
        <w:rPr>
          <w:sz w:val="20"/>
          <w:szCs w:val="20"/>
        </w:rPr>
        <w:t xml:space="preserve">Magdalen College Oxford, Brackley 209. It is important to distinguish, here, these local presentment juries from those used in the common law courts, which were generally used in both civil </w:t>
      </w:r>
      <w:proofErr w:type="gramStart"/>
      <w:r w:rsidRPr="00675E35">
        <w:rPr>
          <w:sz w:val="20"/>
          <w:szCs w:val="20"/>
        </w:rPr>
        <w:t>or</w:t>
      </w:r>
      <w:proofErr w:type="gramEnd"/>
      <w:r w:rsidRPr="00675E35">
        <w:rPr>
          <w:sz w:val="20"/>
          <w:szCs w:val="20"/>
        </w:rPr>
        <w:t xml:space="preserve"> criminal trials to make decisions </w:t>
      </w:r>
      <w:r w:rsidRPr="00675E35">
        <w:rPr>
          <w:i/>
          <w:iCs/>
          <w:sz w:val="20"/>
          <w:szCs w:val="20"/>
        </w:rPr>
        <w:t xml:space="preserve">after </w:t>
      </w:r>
      <w:r w:rsidRPr="00675E35">
        <w:rPr>
          <w:sz w:val="20"/>
          <w:szCs w:val="20"/>
        </w:rPr>
        <w:t xml:space="preserve">cases had been brought. </w:t>
      </w:r>
    </w:p>
  </w:footnote>
  <w:footnote w:id="74">
    <w:p w14:paraId="7DD75245" w14:textId="77777777" w:rsidR="004E17E8" w:rsidRPr="00675E35" w:rsidRDefault="004E17E8" w:rsidP="007A508D">
      <w:pPr>
        <w:rPr>
          <w:sz w:val="20"/>
          <w:szCs w:val="20"/>
        </w:rPr>
      </w:pPr>
      <w:r w:rsidRPr="00675E35">
        <w:rPr>
          <w:rStyle w:val="FootnoteReference"/>
          <w:sz w:val="20"/>
          <w:szCs w:val="20"/>
        </w:rPr>
        <w:footnoteRef/>
      </w:r>
      <w:r w:rsidRPr="00675E35">
        <w:rPr>
          <w:sz w:val="20"/>
          <w:szCs w:val="20"/>
        </w:rPr>
        <w:t xml:space="preserve"> </w:t>
      </w:r>
      <w:r w:rsidRPr="00675E35">
        <w:rPr>
          <w:color w:val="000000"/>
          <w:sz w:val="20"/>
          <w:szCs w:val="20"/>
        </w:rPr>
        <w:t xml:space="preserve">Beckerman, ‘Procedural Innovation and Institutional Change’, p. 220; </w:t>
      </w:r>
      <w:r w:rsidRPr="00675E35">
        <w:rPr>
          <w:rStyle w:val="s2"/>
          <w:color w:val="000000"/>
          <w:sz w:val="20"/>
          <w:szCs w:val="20"/>
        </w:rPr>
        <w:t xml:space="preserve">James </w:t>
      </w:r>
      <w:proofErr w:type="spellStart"/>
      <w:r w:rsidRPr="00675E35">
        <w:rPr>
          <w:rStyle w:val="s2"/>
          <w:color w:val="000000"/>
          <w:sz w:val="20"/>
          <w:szCs w:val="20"/>
        </w:rPr>
        <w:t>Masschaele</w:t>
      </w:r>
      <w:proofErr w:type="spellEnd"/>
      <w:r w:rsidRPr="00675E35">
        <w:rPr>
          <w:rStyle w:val="s2"/>
          <w:color w:val="000000"/>
          <w:sz w:val="20"/>
          <w:szCs w:val="20"/>
        </w:rPr>
        <w:t>,</w:t>
      </w:r>
      <w:r w:rsidRPr="00675E35">
        <w:rPr>
          <w:rStyle w:val="apple-converted-space"/>
          <w:color w:val="000000"/>
          <w:sz w:val="20"/>
          <w:szCs w:val="20"/>
        </w:rPr>
        <w:t> </w:t>
      </w:r>
      <w:r w:rsidRPr="00675E35">
        <w:rPr>
          <w:rStyle w:val="s3"/>
          <w:i/>
          <w:iCs/>
          <w:color w:val="000000"/>
          <w:sz w:val="20"/>
          <w:szCs w:val="20"/>
        </w:rPr>
        <w:t>Jury, State, and Society in Medieval England</w:t>
      </w:r>
      <w:r w:rsidRPr="00675E35">
        <w:rPr>
          <w:rStyle w:val="apple-converted-space"/>
          <w:color w:val="000000"/>
          <w:sz w:val="20"/>
          <w:szCs w:val="20"/>
        </w:rPr>
        <w:t> </w:t>
      </w:r>
      <w:r w:rsidRPr="00675E35">
        <w:rPr>
          <w:rStyle w:val="s2"/>
          <w:color w:val="000000"/>
          <w:sz w:val="20"/>
          <w:szCs w:val="20"/>
        </w:rPr>
        <w:t xml:space="preserve">(New York, 2008), p. 13. Though cf., for county-level jurors, the findings of </w:t>
      </w:r>
      <w:r w:rsidRPr="00675E35">
        <w:rPr>
          <w:color w:val="000000"/>
          <w:sz w:val="20"/>
          <w:szCs w:val="20"/>
        </w:rPr>
        <w:t xml:space="preserve">Edward Powell, ‘Jury Trial at Gaol Delivery in the Late Middle Ages: The Midland Circuit, 1400-1429’, in </w:t>
      </w:r>
      <w:r w:rsidRPr="00675E35">
        <w:rPr>
          <w:rStyle w:val="s2"/>
          <w:i/>
          <w:iCs/>
          <w:color w:val="000000"/>
          <w:sz w:val="20"/>
          <w:szCs w:val="20"/>
        </w:rPr>
        <w:t>Twelve Good Men and True: The Criminal Trial Jury in England, 1200-1800</w:t>
      </w:r>
      <w:r w:rsidRPr="00675E35">
        <w:rPr>
          <w:rStyle w:val="s3"/>
          <w:color w:val="000000"/>
          <w:sz w:val="20"/>
          <w:szCs w:val="20"/>
        </w:rPr>
        <w:t>, ed. J. S. Cockburn and Thomas A. Green (Princeton, NJ, 1988)</w:t>
      </w:r>
      <w:r w:rsidRPr="00675E35">
        <w:rPr>
          <w:sz w:val="20"/>
          <w:szCs w:val="20"/>
        </w:rPr>
        <w:t xml:space="preserve">, </w:t>
      </w:r>
      <w:r w:rsidRPr="00675E35">
        <w:rPr>
          <w:color w:val="000000"/>
          <w:sz w:val="20"/>
          <w:szCs w:val="20"/>
        </w:rPr>
        <w:t>78-116, at p. 96.</w:t>
      </w:r>
    </w:p>
  </w:footnote>
  <w:footnote w:id="75">
    <w:p w14:paraId="487C132F" w14:textId="77777777" w:rsidR="004E17E8" w:rsidRPr="00675E35" w:rsidRDefault="004E17E8">
      <w:pPr>
        <w:pStyle w:val="FootnoteText"/>
        <w:rPr>
          <w:lang w:val="en-US"/>
        </w:rPr>
      </w:pPr>
      <w:r w:rsidRPr="00675E35">
        <w:rPr>
          <w:rStyle w:val="FootnoteReference"/>
        </w:rPr>
        <w:footnoteRef/>
      </w:r>
      <w:r w:rsidRPr="00675E35">
        <w:t xml:space="preserve"> </w:t>
      </w:r>
      <w:r w:rsidRPr="00675E35">
        <w:rPr>
          <w:lang w:val="en-US"/>
        </w:rPr>
        <w:t xml:space="preserve">With a different emphasis, a similar point is made in Thomas, </w:t>
      </w:r>
      <w:r w:rsidRPr="00675E35">
        <w:rPr>
          <w:i/>
          <w:iCs/>
          <w:lang w:val="en-US"/>
        </w:rPr>
        <w:t>Religion and the Decline of Magic</w:t>
      </w:r>
      <w:r w:rsidRPr="00675E35">
        <w:rPr>
          <w:lang w:val="en-US"/>
        </w:rPr>
        <w:t>, pp. 216-17.</w:t>
      </w:r>
    </w:p>
  </w:footnote>
  <w:footnote w:id="76">
    <w:p w14:paraId="5AF8BE20" w14:textId="77777777" w:rsidR="004E17E8" w:rsidRPr="00675E35" w:rsidRDefault="004E17E8" w:rsidP="00F55AAD">
      <w:pPr>
        <w:pBdr>
          <w:top w:val="nil"/>
          <w:left w:val="nil"/>
          <w:bottom w:val="nil"/>
          <w:right w:val="nil"/>
          <w:between w:val="nil"/>
        </w:pBdr>
        <w:rPr>
          <w:color w:val="000000"/>
          <w:sz w:val="20"/>
          <w:szCs w:val="20"/>
        </w:rPr>
      </w:pPr>
      <w:r w:rsidRPr="00675E35">
        <w:rPr>
          <w:rStyle w:val="FootnoteReference"/>
          <w:sz w:val="20"/>
          <w:szCs w:val="20"/>
        </w:rPr>
        <w:footnoteRef/>
      </w:r>
      <w:r w:rsidRPr="00675E35">
        <w:rPr>
          <w:sz w:val="20"/>
          <w:szCs w:val="20"/>
        </w:rPr>
        <w:t xml:space="preserve"> </w:t>
      </w:r>
      <w:r w:rsidRPr="00675E35">
        <w:rPr>
          <w:i/>
          <w:color w:val="000000"/>
          <w:sz w:val="20"/>
          <w:szCs w:val="20"/>
        </w:rPr>
        <w:t>Register of John Morton</w:t>
      </w:r>
      <w:r w:rsidRPr="00675E35">
        <w:rPr>
          <w:color w:val="000000"/>
          <w:sz w:val="20"/>
          <w:szCs w:val="20"/>
        </w:rPr>
        <w:t>,</w:t>
      </w:r>
      <w:r w:rsidRPr="00675E35">
        <w:rPr>
          <w:i/>
          <w:color w:val="000000"/>
          <w:sz w:val="20"/>
          <w:szCs w:val="20"/>
        </w:rPr>
        <w:t> </w:t>
      </w:r>
      <w:r w:rsidRPr="00675E35">
        <w:rPr>
          <w:color w:val="000000"/>
          <w:sz w:val="20"/>
          <w:szCs w:val="20"/>
        </w:rPr>
        <w:t>ed. Harper-Bill, p. 217.</w:t>
      </w:r>
    </w:p>
  </w:footnote>
  <w:footnote w:id="77">
    <w:p w14:paraId="13A2B97B" w14:textId="77777777" w:rsidR="004E17E8" w:rsidRPr="00675E35" w:rsidRDefault="004E17E8" w:rsidP="00A605E9">
      <w:pPr>
        <w:rPr>
          <w:sz w:val="20"/>
          <w:szCs w:val="20"/>
        </w:rPr>
      </w:pPr>
      <w:r w:rsidRPr="00675E35">
        <w:rPr>
          <w:rStyle w:val="FootnoteReference"/>
          <w:sz w:val="20"/>
          <w:szCs w:val="20"/>
        </w:rPr>
        <w:footnoteRef/>
      </w:r>
      <w:r w:rsidRPr="00675E35">
        <w:rPr>
          <w:sz w:val="20"/>
          <w:szCs w:val="20"/>
        </w:rPr>
        <w:t xml:space="preserve"> Barbara J. Shapiro, </w:t>
      </w:r>
      <w:r w:rsidRPr="00675E35">
        <w:rPr>
          <w:i/>
          <w:iCs/>
          <w:sz w:val="20"/>
          <w:szCs w:val="20"/>
        </w:rPr>
        <w:t>“Beyond Reasonable Doubt” and “Probable Cause”: Historical Perspectives on the Anglo-American Law of Evidence</w:t>
      </w:r>
      <w:r w:rsidRPr="00675E35">
        <w:rPr>
          <w:sz w:val="20"/>
          <w:szCs w:val="20"/>
        </w:rPr>
        <w:t xml:space="preserve"> (Berkeley, CA, 1991), xi, describes the jury as a ‘black box’. But cf. Daniel </w:t>
      </w:r>
      <w:proofErr w:type="spellStart"/>
      <w:r w:rsidRPr="00675E35">
        <w:rPr>
          <w:sz w:val="20"/>
          <w:szCs w:val="20"/>
        </w:rPr>
        <w:t>Klerman</w:t>
      </w:r>
      <w:proofErr w:type="spellEnd"/>
      <w:r w:rsidRPr="00675E35">
        <w:rPr>
          <w:sz w:val="20"/>
          <w:szCs w:val="20"/>
        </w:rPr>
        <w:t xml:space="preserve">, ‘Was the Jury Ever Self-Informing?’, </w:t>
      </w:r>
      <w:r w:rsidRPr="00675E35">
        <w:rPr>
          <w:i/>
          <w:iCs/>
          <w:sz w:val="20"/>
          <w:szCs w:val="20"/>
        </w:rPr>
        <w:t>Southern California Law Review</w:t>
      </w:r>
      <w:r w:rsidRPr="00675E35">
        <w:rPr>
          <w:sz w:val="20"/>
          <w:szCs w:val="20"/>
        </w:rPr>
        <w:t>, 77 (2003), 123-50, which brings together much evidence to nuance this, at least for thirteenth-century royal courts.</w:t>
      </w:r>
    </w:p>
  </w:footnote>
  <w:footnote w:id="78">
    <w:p w14:paraId="64B24DB7" w14:textId="77777777" w:rsidR="004E17E8" w:rsidRPr="00675E35" w:rsidRDefault="004E17E8" w:rsidP="00AD729C">
      <w:pPr>
        <w:rPr>
          <w:sz w:val="20"/>
          <w:szCs w:val="20"/>
        </w:rPr>
      </w:pPr>
      <w:r w:rsidRPr="00675E35">
        <w:rPr>
          <w:rStyle w:val="FootnoteReference"/>
          <w:sz w:val="20"/>
          <w:szCs w:val="20"/>
        </w:rPr>
        <w:footnoteRef/>
      </w:r>
      <w:r w:rsidRPr="00675E35">
        <w:rPr>
          <w:sz w:val="20"/>
          <w:szCs w:val="20"/>
        </w:rPr>
        <w:t xml:space="preserve"> For a vivid account of jury deliberations gone wrong (for the court of Common Pleas), see David J. </w:t>
      </w:r>
      <w:proofErr w:type="spellStart"/>
      <w:r w:rsidRPr="00675E35">
        <w:rPr>
          <w:sz w:val="20"/>
          <w:szCs w:val="20"/>
        </w:rPr>
        <w:t>Seipp</w:t>
      </w:r>
      <w:proofErr w:type="spellEnd"/>
      <w:r w:rsidRPr="00675E35">
        <w:rPr>
          <w:sz w:val="20"/>
          <w:szCs w:val="20"/>
        </w:rPr>
        <w:t xml:space="preserve">, ‘Jurors, Evidences, and Tempest of 1499’, in </w:t>
      </w:r>
      <w:r w:rsidRPr="00675E35">
        <w:rPr>
          <w:i/>
          <w:iCs/>
          <w:sz w:val="20"/>
          <w:szCs w:val="20"/>
        </w:rPr>
        <w:t>The Dearest Birth Right of the People of England: The Jury in the History of the Common Law</w:t>
      </w:r>
      <w:r w:rsidRPr="00675E35">
        <w:rPr>
          <w:sz w:val="20"/>
          <w:szCs w:val="20"/>
        </w:rPr>
        <w:t xml:space="preserve">, ed. John W. Cairns and Grant McLeod (Oxford, and Portland, OR, 2002), 75-92; on fines for interference, see Anne </w:t>
      </w:r>
      <w:proofErr w:type="spellStart"/>
      <w:r w:rsidRPr="00675E35">
        <w:rPr>
          <w:sz w:val="20"/>
          <w:szCs w:val="20"/>
        </w:rPr>
        <w:t>Reiber</w:t>
      </w:r>
      <w:proofErr w:type="spellEnd"/>
      <w:r w:rsidRPr="00675E35">
        <w:rPr>
          <w:sz w:val="20"/>
          <w:szCs w:val="20"/>
        </w:rPr>
        <w:t xml:space="preserve"> </w:t>
      </w:r>
      <w:proofErr w:type="spellStart"/>
      <w:r w:rsidRPr="00675E35">
        <w:rPr>
          <w:sz w:val="20"/>
          <w:szCs w:val="20"/>
        </w:rPr>
        <w:t>DeWindt</w:t>
      </w:r>
      <w:proofErr w:type="spellEnd"/>
      <w:r w:rsidRPr="00675E35">
        <w:rPr>
          <w:sz w:val="20"/>
          <w:szCs w:val="20"/>
        </w:rPr>
        <w:t>, ‘Local Government in a Small Town: A Medieval Leet Jury and Its Constituents’, Albion, 23:3 (1991), 627-654, p. 634.</w:t>
      </w:r>
    </w:p>
  </w:footnote>
  <w:footnote w:id="79">
    <w:p w14:paraId="275C61DD" w14:textId="77777777" w:rsidR="004E17E8" w:rsidRPr="00675E35" w:rsidRDefault="004E17E8">
      <w:pPr>
        <w:pStyle w:val="FootnoteText"/>
        <w:rPr>
          <w:lang w:val="en-US"/>
        </w:rPr>
      </w:pPr>
      <w:r w:rsidRPr="00675E35">
        <w:rPr>
          <w:rStyle w:val="FootnoteReference"/>
        </w:rPr>
        <w:footnoteRef/>
      </w:r>
      <w:r w:rsidRPr="00675E35">
        <w:t xml:space="preserve"> </w:t>
      </w:r>
      <w:r w:rsidRPr="00675E35">
        <w:rPr>
          <w:lang w:val="en-US"/>
        </w:rPr>
        <w:t xml:space="preserve">These words and an accompanying assault saw Geoffrey and his relation John indicted before royal justices: </w:t>
      </w:r>
      <w:r w:rsidRPr="00675E35">
        <w:rPr>
          <w:color w:val="000000"/>
        </w:rPr>
        <w:t>The National Archives, KB 9/234, no. 27.</w:t>
      </w:r>
    </w:p>
  </w:footnote>
  <w:footnote w:id="80">
    <w:p w14:paraId="1E2322D8" w14:textId="77777777" w:rsidR="004E17E8" w:rsidRPr="00675E35" w:rsidRDefault="004E17E8" w:rsidP="00BF6F4D">
      <w:pPr>
        <w:pBdr>
          <w:top w:val="nil"/>
          <w:left w:val="nil"/>
          <w:bottom w:val="nil"/>
          <w:right w:val="nil"/>
          <w:between w:val="nil"/>
        </w:pBdr>
        <w:rPr>
          <w:color w:val="000000"/>
          <w:sz w:val="20"/>
          <w:szCs w:val="20"/>
        </w:rPr>
      </w:pPr>
      <w:r w:rsidRPr="00675E35">
        <w:rPr>
          <w:sz w:val="20"/>
          <w:szCs w:val="20"/>
          <w:vertAlign w:val="superscript"/>
        </w:rPr>
        <w:footnoteRef/>
      </w:r>
      <w:r w:rsidRPr="00675E35">
        <w:rPr>
          <w:color w:val="000000"/>
          <w:sz w:val="20"/>
          <w:szCs w:val="20"/>
        </w:rPr>
        <w:t xml:space="preserve"> For a few recent examples, see James </w:t>
      </w:r>
      <w:proofErr w:type="spellStart"/>
      <w:r w:rsidRPr="00675E35">
        <w:rPr>
          <w:color w:val="000000"/>
          <w:sz w:val="20"/>
          <w:szCs w:val="20"/>
        </w:rPr>
        <w:t>Masschaele</w:t>
      </w:r>
      <w:proofErr w:type="spellEnd"/>
      <w:r w:rsidRPr="00675E35">
        <w:rPr>
          <w:color w:val="000000"/>
          <w:sz w:val="20"/>
          <w:szCs w:val="20"/>
        </w:rPr>
        <w:t>, ‘The Public Space of the Marketplace in Medieval England’, </w:t>
      </w:r>
      <w:r w:rsidRPr="00675E35">
        <w:rPr>
          <w:i/>
          <w:color w:val="000000"/>
          <w:sz w:val="20"/>
          <w:szCs w:val="20"/>
        </w:rPr>
        <w:t>Speculum</w:t>
      </w:r>
      <w:r w:rsidRPr="00675E35">
        <w:rPr>
          <w:color w:val="000000"/>
          <w:sz w:val="20"/>
          <w:szCs w:val="20"/>
        </w:rPr>
        <w:t>, 77:2 (2002), pp. 409-14; Carol Symes, </w:t>
      </w:r>
      <w:r w:rsidRPr="00675E35">
        <w:rPr>
          <w:i/>
          <w:color w:val="000000"/>
          <w:sz w:val="20"/>
          <w:szCs w:val="20"/>
        </w:rPr>
        <w:t>A Common Stage: Theatre and Public Life in Medieval Arras</w:t>
      </w:r>
      <w:r w:rsidRPr="00675E35">
        <w:rPr>
          <w:color w:val="000000"/>
          <w:sz w:val="20"/>
          <w:szCs w:val="20"/>
        </w:rPr>
        <w:t xml:space="preserve">. Ithaca and London, 2008, p. 142-3. Helen Carrel, ‘The ideology of punishment in late medieval English towns’, </w:t>
      </w:r>
      <w:r w:rsidRPr="00675E35">
        <w:rPr>
          <w:i/>
          <w:color w:val="000000"/>
          <w:sz w:val="20"/>
          <w:szCs w:val="20"/>
        </w:rPr>
        <w:t>Social History</w:t>
      </w:r>
      <w:r w:rsidRPr="00675E35">
        <w:rPr>
          <w:color w:val="000000"/>
          <w:sz w:val="20"/>
          <w:szCs w:val="20"/>
        </w:rPr>
        <w:t xml:space="preserve">, 34:3 (2009), pp. 315ff. </w:t>
      </w:r>
    </w:p>
  </w:footnote>
  <w:footnote w:id="81">
    <w:p w14:paraId="44FC7DDA" w14:textId="77777777" w:rsidR="004E17E8" w:rsidRPr="00675E35" w:rsidRDefault="004E17E8" w:rsidP="00583652">
      <w:pPr>
        <w:rPr>
          <w:sz w:val="20"/>
          <w:szCs w:val="20"/>
        </w:rPr>
      </w:pPr>
      <w:r w:rsidRPr="00675E35">
        <w:rPr>
          <w:rStyle w:val="FootnoteReference"/>
          <w:sz w:val="20"/>
          <w:szCs w:val="20"/>
        </w:rPr>
        <w:footnoteRef/>
      </w:r>
      <w:r w:rsidRPr="00675E35">
        <w:rPr>
          <w:sz w:val="20"/>
          <w:szCs w:val="20"/>
        </w:rPr>
        <w:t xml:space="preserve"> </w:t>
      </w:r>
      <w:proofErr w:type="spellStart"/>
      <w:r w:rsidRPr="00675E35">
        <w:rPr>
          <w:sz w:val="20"/>
          <w:szCs w:val="20"/>
          <w:lang w:val="en-US"/>
        </w:rPr>
        <w:t>Smail</w:t>
      </w:r>
      <w:proofErr w:type="spellEnd"/>
      <w:r w:rsidRPr="00675E35">
        <w:rPr>
          <w:sz w:val="20"/>
          <w:szCs w:val="20"/>
          <w:lang w:val="en-US"/>
        </w:rPr>
        <w:t xml:space="preserve">, </w:t>
      </w:r>
      <w:r w:rsidRPr="00675E35">
        <w:rPr>
          <w:i/>
          <w:iCs/>
          <w:sz w:val="20"/>
          <w:szCs w:val="20"/>
          <w:lang w:val="en-US"/>
        </w:rPr>
        <w:t>The Consumption of Justice</w:t>
      </w:r>
      <w:r w:rsidRPr="00675E35">
        <w:rPr>
          <w:sz w:val="20"/>
          <w:szCs w:val="20"/>
          <w:lang w:val="en-US"/>
        </w:rPr>
        <w:t xml:space="preserve">, p. 16. Influential in the background here is </w:t>
      </w:r>
      <w:r w:rsidRPr="00675E35">
        <w:rPr>
          <w:rStyle w:val="s2"/>
          <w:color w:val="000000"/>
          <w:sz w:val="20"/>
          <w:szCs w:val="20"/>
        </w:rPr>
        <w:t xml:space="preserve">William Ian Miller, </w:t>
      </w:r>
      <w:r w:rsidRPr="00675E35">
        <w:rPr>
          <w:rStyle w:val="s2"/>
          <w:i/>
          <w:iCs/>
          <w:color w:val="000000"/>
          <w:sz w:val="20"/>
          <w:szCs w:val="20"/>
        </w:rPr>
        <w:t>Humiliation</w:t>
      </w:r>
      <w:r w:rsidRPr="00675E35">
        <w:rPr>
          <w:rStyle w:val="s2"/>
          <w:color w:val="000000"/>
          <w:sz w:val="20"/>
          <w:szCs w:val="20"/>
        </w:rPr>
        <w:t xml:space="preserve"> (Ithaca, NY, 1993).</w:t>
      </w:r>
    </w:p>
  </w:footnote>
  <w:footnote w:id="82">
    <w:p w14:paraId="2574F5AE" w14:textId="77777777" w:rsidR="004E17E8" w:rsidRPr="00675E35" w:rsidRDefault="004E17E8" w:rsidP="00A762FF">
      <w:pPr>
        <w:pStyle w:val="FootnoteText"/>
      </w:pPr>
      <w:r w:rsidRPr="00675E35">
        <w:rPr>
          <w:rStyle w:val="FootnoteReference"/>
        </w:rPr>
        <w:footnoteRef/>
      </w:r>
      <w:r w:rsidRPr="00675E35">
        <w:t xml:space="preserve"> In a slightly different vein, see the comments on the liberal politics of publicity raised in </w:t>
      </w:r>
      <w:r w:rsidRPr="00675E35">
        <w:rPr>
          <w:lang w:val="en-US"/>
        </w:rPr>
        <w:t xml:space="preserve">Shannon </w:t>
      </w:r>
      <w:proofErr w:type="spellStart"/>
      <w:r w:rsidRPr="00675E35">
        <w:rPr>
          <w:lang w:val="en-US"/>
        </w:rPr>
        <w:t>McSheffrey</w:t>
      </w:r>
      <w:proofErr w:type="spellEnd"/>
      <w:r w:rsidRPr="00675E35">
        <w:rPr>
          <w:lang w:val="en-US"/>
        </w:rPr>
        <w:t>, ‘</w:t>
      </w:r>
      <w:r w:rsidRPr="00675E35">
        <w:t xml:space="preserve">Place, Space, and Situation: Public and Private in the Making of Marriage in Late-Medieval London’, </w:t>
      </w:r>
      <w:r w:rsidRPr="00675E35">
        <w:rPr>
          <w:i/>
          <w:iCs/>
        </w:rPr>
        <w:t>Speculum</w:t>
      </w:r>
      <w:r w:rsidRPr="00675E35">
        <w:t>, 70:4 (2003), 960-990, pp. 987-90.</w:t>
      </w:r>
    </w:p>
  </w:footnote>
  <w:footnote w:id="83">
    <w:p w14:paraId="1301D3C1" w14:textId="77777777" w:rsidR="004E17E8" w:rsidRPr="00675E35" w:rsidRDefault="004E17E8">
      <w:pPr>
        <w:pStyle w:val="FootnoteText"/>
        <w:rPr>
          <w:lang w:val="en-US"/>
        </w:rPr>
      </w:pPr>
      <w:r w:rsidRPr="00675E35">
        <w:rPr>
          <w:rStyle w:val="FootnoteReference"/>
        </w:rPr>
        <w:footnoteRef/>
      </w:r>
      <w:r w:rsidRPr="00675E35">
        <w:t xml:space="preserve"> </w:t>
      </w:r>
      <w:r w:rsidRPr="00675E35">
        <w:rPr>
          <w:rStyle w:val="s2"/>
          <w:color w:val="000000"/>
        </w:rPr>
        <w:t xml:space="preserve">Cf. Paul </w:t>
      </w:r>
      <w:proofErr w:type="spellStart"/>
      <w:r w:rsidRPr="00675E35">
        <w:rPr>
          <w:rStyle w:val="s2"/>
          <w:color w:val="000000"/>
        </w:rPr>
        <w:t>Hyams</w:t>
      </w:r>
      <w:proofErr w:type="spellEnd"/>
      <w:r w:rsidRPr="00675E35">
        <w:rPr>
          <w:rStyle w:val="s2"/>
          <w:color w:val="000000"/>
        </w:rPr>
        <w:t xml:space="preserve">, </w:t>
      </w:r>
      <w:proofErr w:type="spellStart"/>
      <w:r w:rsidRPr="00675E35">
        <w:rPr>
          <w:rStyle w:val="s2"/>
          <w:i/>
          <w:iCs/>
          <w:color w:val="000000"/>
        </w:rPr>
        <w:t>Rancor</w:t>
      </w:r>
      <w:proofErr w:type="spellEnd"/>
      <w:r w:rsidRPr="00675E35">
        <w:rPr>
          <w:rStyle w:val="s2"/>
          <w:i/>
          <w:iCs/>
          <w:color w:val="000000"/>
        </w:rPr>
        <w:t xml:space="preserve"> and Reconciliation in Medieval England </w:t>
      </w:r>
      <w:r w:rsidRPr="00675E35">
        <w:rPr>
          <w:rStyle w:val="s2"/>
          <w:color w:val="000000"/>
        </w:rPr>
        <w:t>(Ithaca, NY, 2003), which attempts to naturalize wrong as an ‘elemental notion’ of law. On the contrary: law is what allows us to construct wrong.</w:t>
      </w:r>
    </w:p>
  </w:footnote>
  <w:footnote w:id="84">
    <w:p w14:paraId="482547CA" w14:textId="77777777" w:rsidR="004E17E8" w:rsidRPr="00675E35" w:rsidRDefault="004E17E8" w:rsidP="00A055B1">
      <w:pPr>
        <w:pStyle w:val="FootnoteText"/>
      </w:pPr>
      <w:r w:rsidRPr="00675E35">
        <w:rPr>
          <w:rStyle w:val="FootnoteReference"/>
        </w:rPr>
        <w:footnoteRef/>
      </w:r>
      <w:r w:rsidRPr="00675E35">
        <w:t xml:space="preserve"> I am inspired here by the critique of rights discourse put forward in </w:t>
      </w:r>
      <w:r w:rsidRPr="00675E35">
        <w:rPr>
          <w:lang w:val="en-US"/>
        </w:rPr>
        <w:t xml:space="preserve">Wendy Brown, </w:t>
      </w:r>
      <w:r w:rsidRPr="00675E35">
        <w:rPr>
          <w:i/>
          <w:iCs/>
          <w:lang w:val="en-US"/>
        </w:rPr>
        <w:t>States of Injury: Power and Freedom</w:t>
      </w:r>
      <w:r w:rsidRPr="00675E35">
        <w:rPr>
          <w:lang w:val="en-US"/>
        </w:rPr>
        <w:t xml:space="preserve"> </w:t>
      </w:r>
      <w:r w:rsidRPr="00675E35">
        <w:rPr>
          <w:i/>
          <w:iCs/>
          <w:lang w:val="en-US"/>
        </w:rPr>
        <w:t>in Late Modernity</w:t>
      </w:r>
      <w:r w:rsidRPr="00675E35">
        <w:rPr>
          <w:lang w:val="en-US"/>
        </w:rPr>
        <w:t xml:space="preserve"> (Princeton, NJ, 1996), p. 127. Medieval legal historians have long understood the importance of the law of proof for legal development more generally: see e.g., in the common law tradition, </w:t>
      </w:r>
      <w:r w:rsidRPr="00675E35">
        <w:t>S. F. C. Milsom, ‘Law and Fact in Legal Development’, </w:t>
      </w:r>
      <w:r w:rsidRPr="00675E35">
        <w:rPr>
          <w:i/>
          <w:iCs/>
        </w:rPr>
        <w:t>University of Toronto Law Journal</w:t>
      </w:r>
      <w:r w:rsidRPr="00675E35">
        <w:t xml:space="preserve">, 17:1 (1967), 1-19; and for Roman law, </w:t>
      </w:r>
      <w:r w:rsidRPr="00675E35">
        <w:rPr>
          <w:rStyle w:val="s2"/>
          <w:color w:val="000000"/>
        </w:rPr>
        <w:t>Richard M.</w:t>
      </w:r>
      <w:r w:rsidRPr="00675E35">
        <w:rPr>
          <w:rStyle w:val="apple-converted-space"/>
          <w:color w:val="000000"/>
        </w:rPr>
        <w:t> </w:t>
      </w:r>
      <w:proofErr w:type="spellStart"/>
      <w:r w:rsidRPr="00675E35">
        <w:rPr>
          <w:rStyle w:val="s2"/>
          <w:color w:val="000000"/>
        </w:rPr>
        <w:t>Fraher</w:t>
      </w:r>
      <w:proofErr w:type="spellEnd"/>
      <w:r w:rsidRPr="00675E35">
        <w:rPr>
          <w:rStyle w:val="s2"/>
          <w:color w:val="000000"/>
        </w:rPr>
        <w:t>, ‘Conviction According to Conscience: The Medieval Jurists’ Debate concerning Judicial Discretion and the Law of</w:t>
      </w:r>
      <w:r w:rsidRPr="00675E35">
        <w:rPr>
          <w:rStyle w:val="apple-converted-space"/>
          <w:color w:val="000000"/>
        </w:rPr>
        <w:t> </w:t>
      </w:r>
      <w:r w:rsidRPr="00675E35">
        <w:rPr>
          <w:rStyle w:val="s2"/>
          <w:color w:val="000000"/>
        </w:rPr>
        <w:t>Proof’,</w:t>
      </w:r>
      <w:r w:rsidRPr="00675E35">
        <w:rPr>
          <w:rStyle w:val="apple-converted-space"/>
          <w:color w:val="000000"/>
        </w:rPr>
        <w:t> </w:t>
      </w:r>
      <w:r w:rsidRPr="00675E35">
        <w:rPr>
          <w:rStyle w:val="s3"/>
          <w:i/>
          <w:iCs/>
          <w:color w:val="000000"/>
        </w:rPr>
        <w:t>Law and History Review</w:t>
      </w:r>
      <w:r w:rsidRPr="00675E35">
        <w:rPr>
          <w:rStyle w:val="s2"/>
          <w:color w:val="000000"/>
        </w:rPr>
        <w:t>, 7:1 (1989), 23-88.</w:t>
      </w:r>
    </w:p>
  </w:footnote>
  <w:footnote w:id="85">
    <w:p w14:paraId="593FDE75" w14:textId="77777777" w:rsidR="004E17E8" w:rsidRPr="00675E35" w:rsidRDefault="004E17E8">
      <w:pPr>
        <w:pStyle w:val="FootnoteText"/>
        <w:rPr>
          <w:lang w:val="en-US"/>
        </w:rPr>
      </w:pPr>
      <w:r w:rsidRPr="00675E35">
        <w:rPr>
          <w:rStyle w:val="FootnoteReference"/>
        </w:rPr>
        <w:footnoteRef/>
      </w:r>
      <w:r w:rsidRPr="00675E35">
        <w:t xml:space="preserve"> As noted in both </w:t>
      </w:r>
      <w:r w:rsidRPr="00675E35">
        <w:rPr>
          <w:i/>
          <w:iCs/>
          <w:lang w:val="en-US"/>
        </w:rPr>
        <w:t>Select Cases on Defamation</w:t>
      </w:r>
      <w:r w:rsidRPr="00675E35">
        <w:rPr>
          <w:lang w:val="en-US"/>
        </w:rPr>
        <w:t xml:space="preserve">, ed. </w:t>
      </w:r>
      <w:proofErr w:type="spellStart"/>
      <w:r w:rsidRPr="00675E35">
        <w:rPr>
          <w:lang w:val="en-US"/>
        </w:rPr>
        <w:t>Helmholz</w:t>
      </w:r>
      <w:proofErr w:type="spellEnd"/>
      <w:r w:rsidRPr="00675E35">
        <w:rPr>
          <w:lang w:val="en-US"/>
        </w:rPr>
        <w:t xml:space="preserve">, p. xxxiii, and Forrest, ‘Defamation, Heresy, and Late Medieval Social Life’, p. 156. </w:t>
      </w:r>
      <w:proofErr w:type="spellStart"/>
      <w:r w:rsidRPr="00675E35">
        <w:rPr>
          <w:lang w:val="en-US"/>
        </w:rPr>
        <w:t>Helmholz</w:t>
      </w:r>
      <w:proofErr w:type="spellEnd"/>
      <w:r w:rsidRPr="00675E35">
        <w:rPr>
          <w:lang w:val="en-US"/>
        </w:rPr>
        <w:t xml:space="preserve"> sees these words as a legal fiction, inserted by plaintiffs to emphasize that the accusation was truly meant (and not uttered in anger, which was a possible </w:t>
      </w:r>
      <w:proofErr w:type="spellStart"/>
      <w:r w:rsidRPr="00675E35">
        <w:rPr>
          <w:lang w:val="en-US"/>
        </w:rPr>
        <w:t>defence</w:t>
      </w:r>
      <w:proofErr w:type="spellEnd"/>
      <w:r w:rsidRPr="00675E35">
        <w:rPr>
          <w:lang w:val="en-US"/>
        </w:rPr>
        <w:t xml:space="preserve"> in defamation suits); Forrest suggests that the words were genuinely uttered, a cultural trope that signaled the legitimacy of the accusation to bystanders. </w:t>
      </w:r>
    </w:p>
  </w:footnote>
  <w:footnote w:id="86">
    <w:p w14:paraId="024612B0" w14:textId="77777777" w:rsidR="004E17E8" w:rsidRPr="00675E35" w:rsidRDefault="004E17E8" w:rsidP="00BA5642">
      <w:pPr>
        <w:rPr>
          <w:sz w:val="20"/>
          <w:szCs w:val="20"/>
        </w:rPr>
      </w:pPr>
      <w:r w:rsidRPr="00675E35">
        <w:rPr>
          <w:rStyle w:val="FootnoteReference"/>
          <w:sz w:val="20"/>
          <w:szCs w:val="20"/>
        </w:rPr>
        <w:footnoteRef/>
      </w:r>
      <w:r w:rsidRPr="00675E35">
        <w:rPr>
          <w:sz w:val="20"/>
          <w:szCs w:val="20"/>
        </w:rPr>
        <w:t xml:space="preserve"> </w:t>
      </w:r>
      <w:r w:rsidRPr="00675E35">
        <w:rPr>
          <w:sz w:val="20"/>
          <w:szCs w:val="20"/>
          <w:lang w:val="en-US"/>
        </w:rPr>
        <w:t xml:space="preserve">E.g., see the comments in </w:t>
      </w:r>
      <w:r w:rsidRPr="00675E35">
        <w:rPr>
          <w:rStyle w:val="s2"/>
          <w:color w:val="000000"/>
          <w:sz w:val="20"/>
          <w:szCs w:val="20"/>
        </w:rPr>
        <w:t>Christine</w:t>
      </w:r>
      <w:r w:rsidRPr="00675E35">
        <w:rPr>
          <w:rStyle w:val="apple-converted-space"/>
          <w:color w:val="000000"/>
          <w:sz w:val="20"/>
          <w:szCs w:val="20"/>
        </w:rPr>
        <w:t> </w:t>
      </w:r>
      <w:r w:rsidRPr="00675E35">
        <w:rPr>
          <w:rStyle w:val="s2"/>
          <w:color w:val="000000"/>
          <w:sz w:val="20"/>
          <w:szCs w:val="20"/>
        </w:rPr>
        <w:t>Carpenter, ‘Law, Justice and Landowners in Late Medieval England’,</w:t>
      </w:r>
      <w:r w:rsidRPr="00675E35">
        <w:rPr>
          <w:rStyle w:val="apple-converted-space"/>
          <w:color w:val="000000"/>
          <w:sz w:val="20"/>
          <w:szCs w:val="20"/>
        </w:rPr>
        <w:t> </w:t>
      </w:r>
      <w:r w:rsidRPr="00675E35">
        <w:rPr>
          <w:rStyle w:val="s3"/>
          <w:i/>
          <w:iCs/>
          <w:color w:val="000000"/>
          <w:sz w:val="20"/>
          <w:szCs w:val="20"/>
        </w:rPr>
        <w:t>Law</w:t>
      </w:r>
      <w:r w:rsidRPr="00675E35">
        <w:rPr>
          <w:rStyle w:val="apple-converted-space"/>
          <w:i/>
          <w:iCs/>
          <w:color w:val="000000"/>
          <w:sz w:val="20"/>
          <w:szCs w:val="20"/>
        </w:rPr>
        <w:t> </w:t>
      </w:r>
      <w:r w:rsidRPr="00675E35">
        <w:rPr>
          <w:rStyle w:val="s3"/>
          <w:i/>
          <w:iCs/>
          <w:color w:val="000000"/>
          <w:sz w:val="20"/>
          <w:szCs w:val="20"/>
        </w:rPr>
        <w:t>and History Review</w:t>
      </w:r>
      <w:r w:rsidRPr="00675E35">
        <w:rPr>
          <w:rStyle w:val="s2"/>
          <w:color w:val="000000"/>
          <w:sz w:val="20"/>
          <w:szCs w:val="20"/>
        </w:rPr>
        <w:t>, 1:2 (1983), 205-237; Anthony</w:t>
      </w:r>
      <w:r w:rsidRPr="00675E35">
        <w:rPr>
          <w:rStyle w:val="apple-converted-space"/>
          <w:color w:val="000000"/>
          <w:sz w:val="20"/>
          <w:szCs w:val="20"/>
        </w:rPr>
        <w:t> </w:t>
      </w:r>
      <w:r w:rsidRPr="00675E35">
        <w:rPr>
          <w:rStyle w:val="s2"/>
          <w:color w:val="000000"/>
          <w:sz w:val="20"/>
          <w:szCs w:val="20"/>
        </w:rPr>
        <w:t>Musson</w:t>
      </w:r>
      <w:r w:rsidRPr="00675E35">
        <w:rPr>
          <w:rStyle w:val="apple-converted-space"/>
          <w:color w:val="000000"/>
          <w:sz w:val="20"/>
          <w:szCs w:val="20"/>
        </w:rPr>
        <w:t> </w:t>
      </w:r>
      <w:r w:rsidRPr="00675E35">
        <w:rPr>
          <w:rStyle w:val="s2"/>
          <w:color w:val="000000"/>
          <w:sz w:val="20"/>
          <w:szCs w:val="20"/>
        </w:rPr>
        <w:t>and W. M.</w:t>
      </w:r>
      <w:r w:rsidRPr="00675E35">
        <w:rPr>
          <w:rStyle w:val="apple-converted-space"/>
          <w:color w:val="000000"/>
          <w:sz w:val="20"/>
          <w:szCs w:val="20"/>
        </w:rPr>
        <w:t> </w:t>
      </w:r>
      <w:r w:rsidRPr="00675E35">
        <w:rPr>
          <w:rStyle w:val="s2"/>
          <w:color w:val="000000"/>
          <w:sz w:val="20"/>
          <w:szCs w:val="20"/>
        </w:rPr>
        <w:t>Ormrod,</w:t>
      </w:r>
      <w:r w:rsidRPr="00675E35">
        <w:rPr>
          <w:rStyle w:val="apple-converted-space"/>
          <w:color w:val="000000"/>
          <w:sz w:val="20"/>
          <w:szCs w:val="20"/>
        </w:rPr>
        <w:t> </w:t>
      </w:r>
      <w:r w:rsidRPr="00675E35">
        <w:rPr>
          <w:rStyle w:val="s3"/>
          <w:i/>
          <w:iCs/>
          <w:color w:val="000000"/>
          <w:sz w:val="20"/>
          <w:szCs w:val="20"/>
        </w:rPr>
        <w:t>The Evolution of English Justice:</w:t>
      </w:r>
      <w:r w:rsidRPr="00675E35">
        <w:rPr>
          <w:rStyle w:val="apple-converted-space"/>
          <w:i/>
          <w:iCs/>
          <w:color w:val="000000"/>
          <w:sz w:val="20"/>
          <w:szCs w:val="20"/>
        </w:rPr>
        <w:t> </w:t>
      </w:r>
      <w:r w:rsidRPr="00675E35">
        <w:rPr>
          <w:rStyle w:val="s3"/>
          <w:i/>
          <w:iCs/>
          <w:color w:val="000000"/>
          <w:sz w:val="20"/>
          <w:szCs w:val="20"/>
        </w:rPr>
        <w:t>Law, Politics and Society in the Fourteenth Century</w:t>
      </w:r>
      <w:r w:rsidRPr="00675E35">
        <w:rPr>
          <w:rStyle w:val="apple-converted-space"/>
          <w:color w:val="000000"/>
          <w:sz w:val="20"/>
          <w:szCs w:val="20"/>
        </w:rPr>
        <w:t> </w:t>
      </w:r>
      <w:r w:rsidRPr="00675E35">
        <w:rPr>
          <w:rStyle w:val="s2"/>
          <w:color w:val="000000"/>
          <w:sz w:val="20"/>
          <w:szCs w:val="20"/>
        </w:rPr>
        <w:t xml:space="preserve">(Basingstoke, 1999), pp. 174-5.  </w:t>
      </w:r>
      <w:r w:rsidRPr="00675E35">
        <w:rPr>
          <w:sz w:val="20"/>
          <w:szCs w:val="20"/>
        </w:rPr>
        <w:t xml:space="preserve">This dissatisfaction found many other outlets, of course, from the way that lawyers and legal documents were attacked during rebellions to the development of a sophisticated literature of judicial plaint, on which see respectively </w:t>
      </w:r>
      <w:r w:rsidRPr="00675E35">
        <w:rPr>
          <w:rStyle w:val="s2"/>
          <w:color w:val="000000"/>
          <w:sz w:val="20"/>
          <w:szCs w:val="20"/>
        </w:rPr>
        <w:t>Steven Justice,</w:t>
      </w:r>
      <w:r w:rsidRPr="00675E35">
        <w:rPr>
          <w:rStyle w:val="apple-converted-space"/>
          <w:color w:val="000000"/>
          <w:sz w:val="20"/>
          <w:szCs w:val="20"/>
        </w:rPr>
        <w:t> </w:t>
      </w:r>
      <w:r w:rsidRPr="00675E35">
        <w:rPr>
          <w:rStyle w:val="s3"/>
          <w:i/>
          <w:iCs/>
          <w:color w:val="000000"/>
          <w:sz w:val="20"/>
          <w:szCs w:val="20"/>
        </w:rPr>
        <w:t>Writing and Rebellion: England in</w:t>
      </w:r>
      <w:r w:rsidRPr="00675E35">
        <w:rPr>
          <w:rStyle w:val="apple-converted-space"/>
          <w:i/>
          <w:iCs/>
          <w:color w:val="000000"/>
          <w:sz w:val="20"/>
          <w:szCs w:val="20"/>
        </w:rPr>
        <w:t> </w:t>
      </w:r>
      <w:r w:rsidRPr="00675E35">
        <w:rPr>
          <w:rStyle w:val="s3"/>
          <w:i/>
          <w:iCs/>
          <w:color w:val="000000"/>
          <w:sz w:val="20"/>
          <w:szCs w:val="20"/>
        </w:rPr>
        <w:t>1381</w:t>
      </w:r>
      <w:r w:rsidRPr="00675E35">
        <w:rPr>
          <w:rStyle w:val="apple-converted-space"/>
          <w:color w:val="000000"/>
          <w:sz w:val="20"/>
          <w:szCs w:val="20"/>
        </w:rPr>
        <w:t> </w:t>
      </w:r>
      <w:r w:rsidRPr="00675E35">
        <w:rPr>
          <w:rStyle w:val="s2"/>
          <w:color w:val="000000"/>
          <w:sz w:val="20"/>
          <w:szCs w:val="20"/>
        </w:rPr>
        <w:t xml:space="preserve">(Berkeley, CA, 1994), pp. 54-6; </w:t>
      </w:r>
      <w:r w:rsidRPr="00675E35">
        <w:rPr>
          <w:sz w:val="20"/>
          <w:szCs w:val="20"/>
          <w:lang w:val="en-US"/>
        </w:rPr>
        <w:t xml:space="preserve">Wendy </w:t>
      </w:r>
      <w:proofErr w:type="spellStart"/>
      <w:r w:rsidRPr="00675E35">
        <w:rPr>
          <w:sz w:val="20"/>
          <w:szCs w:val="20"/>
          <w:lang w:val="en-US"/>
        </w:rPr>
        <w:t>Scase</w:t>
      </w:r>
      <w:proofErr w:type="spellEnd"/>
      <w:r w:rsidRPr="00675E35">
        <w:rPr>
          <w:sz w:val="20"/>
          <w:szCs w:val="20"/>
          <w:lang w:val="en-US"/>
        </w:rPr>
        <w:t xml:space="preserve">, </w:t>
      </w:r>
      <w:r w:rsidRPr="00675E35">
        <w:rPr>
          <w:i/>
          <w:sz w:val="20"/>
          <w:szCs w:val="20"/>
          <w:lang w:val="en-US"/>
        </w:rPr>
        <w:t>Literature and Complaint in England, 1272-1553</w:t>
      </w:r>
      <w:r w:rsidRPr="00675E35">
        <w:rPr>
          <w:sz w:val="20"/>
          <w:szCs w:val="20"/>
          <w:lang w:val="en-US"/>
        </w:rPr>
        <w:t xml:space="preserve"> (Oxford, 2007).</w:t>
      </w:r>
    </w:p>
  </w:footnote>
  <w:footnote w:id="87">
    <w:p w14:paraId="554797CB" w14:textId="77777777" w:rsidR="004E17E8" w:rsidRPr="00675E35" w:rsidRDefault="004E17E8" w:rsidP="004D4421">
      <w:pPr>
        <w:pStyle w:val="FootnoteText"/>
        <w:rPr>
          <w:lang w:val="en-US"/>
        </w:rPr>
      </w:pPr>
      <w:r w:rsidRPr="00675E35">
        <w:rPr>
          <w:rStyle w:val="FootnoteReference"/>
        </w:rPr>
        <w:footnoteRef/>
      </w:r>
      <w:r w:rsidRPr="00675E35">
        <w:t xml:space="preserve"> See above, </w:t>
      </w:r>
      <w:proofErr w:type="spellStart"/>
      <w:r w:rsidRPr="00675E35">
        <w:t>fnn</w:t>
      </w:r>
      <w:proofErr w:type="spellEnd"/>
      <w:r w:rsidRPr="00675E35">
        <w:t>. 13-14.</w:t>
      </w:r>
      <w:r w:rsidRPr="00675E35">
        <w:rPr>
          <w:rStyle w:val="s2"/>
          <w:color w:val="000000"/>
        </w:rPr>
        <w:t xml:space="preserve"> For a recent review of this literature, see </w:t>
      </w:r>
      <w:r w:rsidRPr="00675E35">
        <w:rPr>
          <w:rStyle w:val="s3"/>
          <w:color w:val="000000"/>
        </w:rPr>
        <w:t>John Jordan, ‘Rethinking</w:t>
      </w:r>
      <w:r w:rsidRPr="00675E35">
        <w:rPr>
          <w:rStyle w:val="apple-converted-space"/>
          <w:color w:val="000000"/>
        </w:rPr>
        <w:t> </w:t>
      </w:r>
      <w:r w:rsidRPr="00675E35">
        <w:rPr>
          <w:rStyle w:val="s2"/>
          <w:i/>
          <w:iCs/>
          <w:color w:val="000000"/>
        </w:rPr>
        <w:t>Disputes and Settlements</w:t>
      </w:r>
      <w:r w:rsidRPr="00675E35">
        <w:rPr>
          <w:rStyle w:val="s3"/>
          <w:color w:val="000000"/>
        </w:rPr>
        <w:t>: How Historians Can Use Legal Anthropology’, in</w:t>
      </w:r>
      <w:r w:rsidRPr="00675E35">
        <w:rPr>
          <w:rStyle w:val="s2"/>
          <w:i/>
          <w:iCs/>
          <w:color w:val="000000"/>
        </w:rPr>
        <w:t xml:space="preserve"> Cultures</w:t>
      </w:r>
      <w:r w:rsidRPr="00675E35">
        <w:rPr>
          <w:rStyle w:val="apple-converted-space"/>
          <w:color w:val="000000"/>
        </w:rPr>
        <w:t> </w:t>
      </w:r>
      <w:r w:rsidRPr="00675E35">
        <w:rPr>
          <w:rStyle w:val="s2"/>
          <w:i/>
          <w:iCs/>
          <w:color w:val="000000"/>
        </w:rPr>
        <w:t>of Conflict</w:t>
      </w:r>
      <w:r w:rsidRPr="00675E35">
        <w:rPr>
          <w:rStyle w:val="apple-converted-space"/>
          <w:color w:val="000000"/>
        </w:rPr>
        <w:t> </w:t>
      </w:r>
      <w:r w:rsidRPr="00675E35">
        <w:rPr>
          <w:rStyle w:val="s2"/>
          <w:i/>
          <w:iCs/>
          <w:color w:val="000000"/>
        </w:rPr>
        <w:t>Resolution in</w:t>
      </w:r>
      <w:r w:rsidRPr="00675E35">
        <w:rPr>
          <w:rStyle w:val="apple-converted-space"/>
          <w:i/>
          <w:iCs/>
          <w:color w:val="000000"/>
        </w:rPr>
        <w:t> </w:t>
      </w:r>
      <w:r w:rsidRPr="00675E35">
        <w:rPr>
          <w:rStyle w:val="s2"/>
          <w:i/>
          <w:iCs/>
          <w:color w:val="000000"/>
        </w:rPr>
        <w:t>Early Modern Europe</w:t>
      </w:r>
      <w:r w:rsidRPr="00675E35">
        <w:rPr>
          <w:rStyle w:val="s3"/>
          <w:color w:val="000000"/>
        </w:rPr>
        <w:t>, ed. Stephen Cummins and Laura</w:t>
      </w:r>
      <w:r w:rsidRPr="00675E35">
        <w:rPr>
          <w:rStyle w:val="apple-converted-space"/>
          <w:color w:val="000000"/>
        </w:rPr>
        <w:t> </w:t>
      </w:r>
      <w:proofErr w:type="spellStart"/>
      <w:r w:rsidRPr="00675E35">
        <w:rPr>
          <w:rStyle w:val="s3"/>
          <w:color w:val="000000"/>
        </w:rPr>
        <w:t>Kounine</w:t>
      </w:r>
      <w:proofErr w:type="spellEnd"/>
      <w:r w:rsidRPr="00675E35">
        <w:rPr>
          <w:rStyle w:val="apple-converted-space"/>
          <w:color w:val="000000"/>
        </w:rPr>
        <w:t> </w:t>
      </w:r>
      <w:r w:rsidRPr="00675E35">
        <w:rPr>
          <w:rStyle w:val="s3"/>
          <w:color w:val="000000"/>
        </w:rPr>
        <w:t>(Farnham, 2016), 17-50.</w:t>
      </w:r>
    </w:p>
  </w:footnote>
  <w:footnote w:id="88">
    <w:p w14:paraId="369726E2" w14:textId="77777777" w:rsidR="004E17E8" w:rsidRPr="00675E35" w:rsidRDefault="004E17E8" w:rsidP="00BA7B5E">
      <w:pPr>
        <w:rPr>
          <w:color w:val="000000"/>
          <w:sz w:val="20"/>
          <w:szCs w:val="20"/>
        </w:rPr>
      </w:pPr>
      <w:r w:rsidRPr="00675E35">
        <w:rPr>
          <w:rStyle w:val="FootnoteReference"/>
          <w:sz w:val="20"/>
          <w:szCs w:val="20"/>
        </w:rPr>
        <w:footnoteRef/>
      </w:r>
      <w:r w:rsidRPr="00675E35">
        <w:rPr>
          <w:sz w:val="20"/>
          <w:szCs w:val="20"/>
        </w:rPr>
        <w:t xml:space="preserve"> E.g., Musson, </w:t>
      </w:r>
      <w:r w:rsidRPr="00675E35">
        <w:rPr>
          <w:i/>
          <w:iCs/>
          <w:sz w:val="20"/>
          <w:szCs w:val="20"/>
        </w:rPr>
        <w:t>Law in Context</w:t>
      </w:r>
      <w:r w:rsidRPr="00675E35">
        <w:rPr>
          <w:sz w:val="20"/>
          <w:szCs w:val="20"/>
        </w:rPr>
        <w:t xml:space="preserve">; </w:t>
      </w:r>
      <w:proofErr w:type="spellStart"/>
      <w:r w:rsidRPr="00675E35">
        <w:rPr>
          <w:sz w:val="20"/>
          <w:szCs w:val="20"/>
        </w:rPr>
        <w:t>McSheffrey</w:t>
      </w:r>
      <w:proofErr w:type="spellEnd"/>
      <w:r w:rsidRPr="00675E35">
        <w:rPr>
          <w:sz w:val="20"/>
          <w:szCs w:val="20"/>
        </w:rPr>
        <w:t xml:space="preserve">, </w:t>
      </w:r>
      <w:r w:rsidRPr="00675E35">
        <w:rPr>
          <w:i/>
          <w:iCs/>
          <w:sz w:val="20"/>
          <w:szCs w:val="20"/>
        </w:rPr>
        <w:t>Marriage, Sex and Civic Culture</w:t>
      </w:r>
      <w:r w:rsidRPr="00675E35">
        <w:rPr>
          <w:sz w:val="20"/>
          <w:szCs w:val="20"/>
        </w:rPr>
        <w:t>; but cf. P</w:t>
      </w:r>
      <w:r w:rsidRPr="00675E35">
        <w:rPr>
          <w:rStyle w:val="s2"/>
          <w:color w:val="000000"/>
          <w:sz w:val="20"/>
          <w:szCs w:val="20"/>
        </w:rPr>
        <w:t xml:space="preserve">eter </w:t>
      </w:r>
      <w:proofErr w:type="spellStart"/>
      <w:r w:rsidRPr="00675E35">
        <w:rPr>
          <w:rStyle w:val="s2"/>
          <w:color w:val="000000"/>
          <w:sz w:val="20"/>
          <w:szCs w:val="20"/>
        </w:rPr>
        <w:t>Coss</w:t>
      </w:r>
      <w:proofErr w:type="spellEnd"/>
      <w:r w:rsidRPr="00675E35">
        <w:rPr>
          <w:rStyle w:val="s2"/>
          <w:color w:val="000000"/>
          <w:sz w:val="20"/>
          <w:szCs w:val="20"/>
        </w:rPr>
        <w:t xml:space="preserve">, ‘Introduction’, in </w:t>
      </w:r>
      <w:r w:rsidRPr="00675E35">
        <w:rPr>
          <w:rStyle w:val="s2"/>
          <w:i/>
          <w:iCs/>
          <w:color w:val="000000"/>
          <w:sz w:val="20"/>
          <w:szCs w:val="20"/>
        </w:rPr>
        <w:t>The Moral World of the Law</w:t>
      </w:r>
      <w:r w:rsidRPr="00675E35">
        <w:rPr>
          <w:rStyle w:val="s2"/>
          <w:color w:val="000000"/>
          <w:sz w:val="20"/>
          <w:szCs w:val="20"/>
        </w:rPr>
        <w:t>, ed. idem (Cambridge, 2000), p. 2.</w:t>
      </w:r>
    </w:p>
  </w:footnote>
  <w:footnote w:id="89">
    <w:p w14:paraId="5FBB784D" w14:textId="77777777" w:rsidR="004E17E8" w:rsidRPr="00675E35" w:rsidRDefault="004E17E8">
      <w:pPr>
        <w:pStyle w:val="FootnoteText"/>
        <w:rPr>
          <w:lang w:val="en-US"/>
        </w:rPr>
      </w:pPr>
      <w:r w:rsidRPr="00675E35">
        <w:rPr>
          <w:rStyle w:val="FootnoteReference"/>
        </w:rPr>
        <w:footnoteRef/>
      </w:r>
      <w:r w:rsidRPr="00675E35">
        <w:t xml:space="preserve"> </w:t>
      </w:r>
      <w:r w:rsidRPr="00675E35">
        <w:rPr>
          <w:rStyle w:val="s2"/>
          <w:color w:val="000000"/>
        </w:rPr>
        <w:t>Chris</w:t>
      </w:r>
      <w:r w:rsidRPr="00675E35">
        <w:rPr>
          <w:rStyle w:val="apple-converted-space"/>
          <w:color w:val="000000"/>
        </w:rPr>
        <w:t> </w:t>
      </w:r>
      <w:r w:rsidRPr="00675E35">
        <w:rPr>
          <w:rStyle w:val="s2"/>
          <w:color w:val="000000"/>
        </w:rPr>
        <w:t>Wickham,</w:t>
      </w:r>
      <w:r w:rsidRPr="00675E35">
        <w:rPr>
          <w:rStyle w:val="apple-converted-space"/>
          <w:color w:val="000000"/>
        </w:rPr>
        <w:t> </w:t>
      </w:r>
      <w:r w:rsidRPr="00675E35">
        <w:rPr>
          <w:rStyle w:val="s3"/>
          <w:i/>
          <w:iCs/>
          <w:color w:val="000000"/>
        </w:rPr>
        <w:t>Courts</w:t>
      </w:r>
      <w:r w:rsidRPr="00675E35">
        <w:rPr>
          <w:rStyle w:val="apple-converted-space"/>
          <w:i/>
          <w:iCs/>
          <w:color w:val="000000"/>
        </w:rPr>
        <w:t> </w:t>
      </w:r>
      <w:r w:rsidRPr="00675E35">
        <w:rPr>
          <w:rStyle w:val="s3"/>
          <w:i/>
          <w:iCs/>
          <w:color w:val="000000"/>
        </w:rPr>
        <w:t xml:space="preserve">and Conflict in </w:t>
      </w:r>
      <w:proofErr w:type="gramStart"/>
      <w:r w:rsidRPr="00675E35">
        <w:rPr>
          <w:rStyle w:val="s3"/>
          <w:i/>
          <w:iCs/>
          <w:color w:val="000000"/>
        </w:rPr>
        <w:t>Twelfth-Century Tuscany</w:t>
      </w:r>
      <w:proofErr w:type="gramEnd"/>
      <w:r w:rsidRPr="00675E35">
        <w:rPr>
          <w:rStyle w:val="apple-converted-space"/>
          <w:color w:val="000000"/>
        </w:rPr>
        <w:t> </w:t>
      </w:r>
      <w:r w:rsidRPr="00675E35">
        <w:rPr>
          <w:rStyle w:val="s2"/>
          <w:color w:val="000000"/>
        </w:rPr>
        <w:t xml:space="preserve">(Oxford, 2003), p. 297. A near-identical sentiment is expressed in </w:t>
      </w:r>
      <w:proofErr w:type="spellStart"/>
      <w:r w:rsidRPr="00675E35">
        <w:rPr>
          <w:color w:val="000000"/>
        </w:rPr>
        <w:t>Smail</w:t>
      </w:r>
      <w:proofErr w:type="spellEnd"/>
      <w:r w:rsidRPr="00675E35">
        <w:rPr>
          <w:color w:val="000000"/>
        </w:rPr>
        <w:t>, </w:t>
      </w:r>
      <w:r w:rsidRPr="00675E35">
        <w:rPr>
          <w:i/>
          <w:color w:val="000000"/>
        </w:rPr>
        <w:t>The Consumption of Justice</w:t>
      </w:r>
      <w:r w:rsidRPr="00675E35">
        <w:rPr>
          <w:color w:val="000000"/>
        </w:rPr>
        <w:t>, p. 132.</w:t>
      </w:r>
    </w:p>
  </w:footnote>
  <w:footnote w:id="90">
    <w:p w14:paraId="360317C3" w14:textId="77777777" w:rsidR="004E17E8" w:rsidRPr="00675E35" w:rsidRDefault="004E17E8" w:rsidP="008D2A9C">
      <w:pPr>
        <w:rPr>
          <w:sz w:val="20"/>
          <w:szCs w:val="20"/>
        </w:rPr>
      </w:pPr>
      <w:r w:rsidRPr="00675E35">
        <w:rPr>
          <w:rStyle w:val="FootnoteReference"/>
          <w:sz w:val="20"/>
          <w:szCs w:val="20"/>
        </w:rPr>
        <w:footnoteRef/>
      </w:r>
      <w:r w:rsidRPr="00675E35">
        <w:rPr>
          <w:sz w:val="20"/>
          <w:szCs w:val="20"/>
        </w:rPr>
        <w:t xml:space="preserve"> </w:t>
      </w:r>
      <w:r w:rsidRPr="00675E35">
        <w:rPr>
          <w:sz w:val="20"/>
          <w:szCs w:val="20"/>
          <w:lang w:val="en-US"/>
        </w:rPr>
        <w:t xml:space="preserve">Has anyone written about this more clearly or more cleverly than Gabrielle </w:t>
      </w:r>
      <w:r w:rsidRPr="00675E35">
        <w:rPr>
          <w:color w:val="000000"/>
          <w:sz w:val="20"/>
          <w:szCs w:val="20"/>
        </w:rPr>
        <w:t>Spiegel, ‘History, Historicism, and the Social Logic of the Text in the Middle Ages’,</w:t>
      </w:r>
      <w:r w:rsidRPr="00675E35">
        <w:rPr>
          <w:rStyle w:val="apple-converted-space"/>
          <w:color w:val="000000"/>
          <w:sz w:val="20"/>
          <w:szCs w:val="20"/>
        </w:rPr>
        <w:t> </w:t>
      </w:r>
      <w:r w:rsidRPr="00675E35">
        <w:rPr>
          <w:rStyle w:val="s19"/>
          <w:i/>
          <w:iCs/>
          <w:color w:val="000000"/>
          <w:sz w:val="20"/>
          <w:szCs w:val="20"/>
        </w:rPr>
        <w:t>Speculum</w:t>
      </w:r>
      <w:r w:rsidRPr="00675E35">
        <w:rPr>
          <w:color w:val="000000"/>
          <w:sz w:val="20"/>
          <w:szCs w:val="20"/>
        </w:rPr>
        <w:t>, 65:1</w:t>
      </w:r>
      <w:r w:rsidRPr="00675E35">
        <w:rPr>
          <w:rStyle w:val="apple-converted-space"/>
          <w:i/>
          <w:iCs/>
          <w:color w:val="000000"/>
          <w:sz w:val="20"/>
          <w:szCs w:val="20"/>
        </w:rPr>
        <w:t> </w:t>
      </w:r>
      <w:r w:rsidRPr="00675E35">
        <w:rPr>
          <w:color w:val="000000"/>
          <w:sz w:val="20"/>
          <w:szCs w:val="20"/>
        </w:rPr>
        <w:t>(1990), 59-86?</w:t>
      </w:r>
    </w:p>
  </w:footnote>
  <w:footnote w:id="91">
    <w:p w14:paraId="2FB35BFF" w14:textId="77777777" w:rsidR="004E17E8" w:rsidRPr="00675E35" w:rsidRDefault="004E17E8">
      <w:pPr>
        <w:pStyle w:val="FootnoteText"/>
        <w:rPr>
          <w:lang w:val="en-US"/>
        </w:rPr>
      </w:pPr>
      <w:r w:rsidRPr="00675E35">
        <w:rPr>
          <w:rStyle w:val="FootnoteReference"/>
        </w:rPr>
        <w:footnoteRef/>
      </w:r>
      <w:r w:rsidRPr="00675E35">
        <w:t xml:space="preserve"> </w:t>
      </w:r>
      <w:r w:rsidRPr="00675E35">
        <w:rPr>
          <w:lang w:val="en-US"/>
        </w:rPr>
        <w:t xml:space="preserve">This is, of course, to gesture towards the concept of cultural hegemony most famously posed by Antonio Gramsci, and developed by Stephen </w:t>
      </w:r>
      <w:proofErr w:type="spellStart"/>
      <w:r w:rsidRPr="00675E35">
        <w:rPr>
          <w:lang w:val="en-US"/>
        </w:rPr>
        <w:t>Lukes</w:t>
      </w:r>
      <w:proofErr w:type="spellEnd"/>
      <w:r w:rsidRPr="00675E35">
        <w:rPr>
          <w:lang w:val="en-US"/>
        </w:rPr>
        <w:t xml:space="preserve">: a good summary can be found in Simon Gunn, ‘From Hegemony to Governmentality: Changing Conceptions of Power in Social History’, </w:t>
      </w:r>
      <w:r w:rsidRPr="00675E35">
        <w:rPr>
          <w:i/>
          <w:iCs/>
          <w:lang w:val="en-US"/>
        </w:rPr>
        <w:t>Journal of Social History</w:t>
      </w:r>
      <w:r w:rsidRPr="00675E35">
        <w:rPr>
          <w:lang w:val="en-US"/>
        </w:rPr>
        <w:t>, 30:3 (2006), 705-720.</w:t>
      </w:r>
    </w:p>
  </w:footnote>
  <w:footnote w:id="92">
    <w:p w14:paraId="0EDD1C68" w14:textId="77777777" w:rsidR="004E17E8" w:rsidRPr="00675E35" w:rsidRDefault="004E17E8">
      <w:pPr>
        <w:pStyle w:val="FootnoteText"/>
        <w:rPr>
          <w:lang w:val="en-US"/>
        </w:rPr>
      </w:pPr>
      <w:r w:rsidRPr="00675E35">
        <w:rPr>
          <w:rStyle w:val="FootnoteReference"/>
        </w:rPr>
        <w:footnoteRef/>
      </w:r>
      <w:r w:rsidRPr="00675E35">
        <w:t xml:space="preserve"> </w:t>
      </w:r>
      <w:r w:rsidRPr="00675E35">
        <w:rPr>
          <w:lang w:val="en-US"/>
        </w:rPr>
        <w:t xml:space="preserve">Forrest, </w:t>
      </w:r>
      <w:r w:rsidRPr="00675E35">
        <w:rPr>
          <w:i/>
          <w:iCs/>
          <w:lang w:val="en-US"/>
        </w:rPr>
        <w:t>Trustworthy Men</w:t>
      </w:r>
      <w:r w:rsidRPr="00675E35">
        <w:rPr>
          <w:lang w:val="en-US"/>
        </w:rPr>
        <w:t xml:space="preserve">, pp. 1-7; </w:t>
      </w:r>
      <w:r w:rsidRPr="00675E35">
        <w:rPr>
          <w:rStyle w:val="s2"/>
          <w:color w:val="000000"/>
        </w:rPr>
        <w:t>Valentin</w:t>
      </w:r>
      <w:r w:rsidRPr="00675E35">
        <w:rPr>
          <w:rStyle w:val="apple-converted-space"/>
          <w:color w:val="000000"/>
        </w:rPr>
        <w:t> </w:t>
      </w:r>
      <w:proofErr w:type="spellStart"/>
      <w:r w:rsidRPr="00675E35">
        <w:rPr>
          <w:rStyle w:val="s2"/>
          <w:color w:val="000000"/>
        </w:rPr>
        <w:t>Groebner</w:t>
      </w:r>
      <w:proofErr w:type="spellEnd"/>
      <w:r w:rsidRPr="00675E35">
        <w:rPr>
          <w:rStyle w:val="s2"/>
          <w:color w:val="000000"/>
        </w:rPr>
        <w:t>,</w:t>
      </w:r>
      <w:r w:rsidRPr="00675E35">
        <w:rPr>
          <w:rStyle w:val="apple-converted-space"/>
          <w:color w:val="000000"/>
        </w:rPr>
        <w:t> </w:t>
      </w:r>
      <w:r w:rsidRPr="00675E35">
        <w:rPr>
          <w:rStyle w:val="s3"/>
          <w:i/>
          <w:iCs/>
          <w:color w:val="000000"/>
        </w:rPr>
        <w:t>Who Are You? Identification, Deception, and Surveillance in Early Modern Europe</w:t>
      </w:r>
      <w:r w:rsidRPr="00675E35">
        <w:rPr>
          <w:rStyle w:val="s2"/>
          <w:color w:val="000000"/>
        </w:rPr>
        <w:t xml:space="preserve">, transl. Mark </w:t>
      </w:r>
      <w:proofErr w:type="spellStart"/>
      <w:r w:rsidRPr="00675E35">
        <w:rPr>
          <w:rStyle w:val="s2"/>
          <w:color w:val="000000"/>
        </w:rPr>
        <w:t>Kyburz</w:t>
      </w:r>
      <w:proofErr w:type="spellEnd"/>
      <w:r w:rsidRPr="00675E35">
        <w:rPr>
          <w:rStyle w:val="s2"/>
          <w:color w:val="000000"/>
        </w:rPr>
        <w:t xml:space="preserve"> and John Peck (New York, 2007).</w:t>
      </w:r>
    </w:p>
  </w:footnote>
  <w:footnote w:id="93">
    <w:p w14:paraId="04BEB2A0" w14:textId="63C6DB51" w:rsidR="004E17E8" w:rsidRDefault="004E17E8">
      <w:pPr>
        <w:pStyle w:val="FootnoteText"/>
      </w:pPr>
      <w:r>
        <w:rPr>
          <w:rStyle w:val="FootnoteReference"/>
        </w:rPr>
        <w:footnoteRef/>
      </w:r>
      <w:r>
        <w:t xml:space="preserve"> Michael Warner, </w:t>
      </w:r>
      <w:r>
        <w:rPr>
          <w:b/>
        </w:rPr>
        <w:t xml:space="preserve">‘Publics and </w:t>
      </w:r>
      <w:proofErr w:type="spellStart"/>
      <w:r>
        <w:rPr>
          <w:b/>
        </w:rPr>
        <w:t>Counterpublics</w:t>
      </w:r>
      <w:proofErr w:type="spellEnd"/>
      <w:r>
        <w:rPr>
          <w:b/>
        </w:rPr>
        <w:t xml:space="preserve">’, </w:t>
      </w:r>
      <w:r>
        <w:rPr>
          <w:b/>
          <w:i/>
        </w:rPr>
        <w:t>Quarterly Journal of Speech</w:t>
      </w:r>
      <w:r>
        <w:rPr>
          <w:b/>
        </w:rPr>
        <w:t>, 88:4 (2002), 413-425.</w:t>
      </w:r>
    </w:p>
  </w:footnote>
  <w:footnote w:id="94">
    <w:p w14:paraId="475A6054" w14:textId="051159C9" w:rsidR="004E17E8" w:rsidRPr="00C530BB" w:rsidRDefault="004E17E8">
      <w:pPr>
        <w:pStyle w:val="FootnoteText"/>
      </w:pPr>
      <w:r>
        <w:rPr>
          <w:rStyle w:val="FootnoteReference"/>
        </w:rPr>
        <w:footnoteRef/>
      </w:r>
      <w:r>
        <w:t xml:space="preserve"> Moves in this direction have been made by Carol Symes, </w:t>
      </w:r>
      <w:r>
        <w:rPr>
          <w:i/>
          <w:iCs/>
        </w:rPr>
        <w:t>A Common Stage: Theatre and Public Life in Medieval Arras</w:t>
      </w:r>
      <w:r>
        <w:t>. Ithaca and London, 2008.</w:t>
      </w:r>
    </w:p>
  </w:footnote>
  <w:footnote w:id="95">
    <w:p w14:paraId="2EF42769" w14:textId="2101F778" w:rsidR="004E17E8" w:rsidRPr="00F35B6A" w:rsidRDefault="004E17E8">
      <w:pPr>
        <w:pStyle w:val="FootnoteText"/>
        <w:rPr>
          <w:i/>
          <w:iCs/>
        </w:rPr>
      </w:pPr>
      <w:r>
        <w:rPr>
          <w:rStyle w:val="FootnoteReference"/>
        </w:rPr>
        <w:footnoteRef/>
      </w:r>
      <w:r>
        <w:t xml:space="preserve"> See John Watts, ‘The Pressure of the Public on Later-Medieval Politics’, in </w:t>
      </w:r>
      <w:r>
        <w:rPr>
          <w:i/>
          <w:iCs/>
        </w:rPr>
        <w:t>The Fifteenth Century IV</w:t>
      </w:r>
      <w:r>
        <w:t>, ed. Linda Clark and Christine Carpenter. Woodbridge, 2004.</w:t>
      </w:r>
    </w:p>
  </w:footnote>
  <w:footnote w:id="96">
    <w:p w14:paraId="5397824B" w14:textId="77777777" w:rsidR="004E17E8" w:rsidRPr="00675E35" w:rsidRDefault="004E17E8">
      <w:pPr>
        <w:pStyle w:val="FootnoteText"/>
        <w:rPr>
          <w:lang w:val="en-US"/>
        </w:rPr>
      </w:pPr>
      <w:r w:rsidRPr="00675E35">
        <w:rPr>
          <w:rStyle w:val="FootnoteReference"/>
        </w:rPr>
        <w:footnoteRef/>
      </w:r>
      <w:r w:rsidRPr="00675E35">
        <w:t xml:space="preserve"> </w:t>
      </w:r>
      <w:r w:rsidRPr="00675E35">
        <w:rPr>
          <w:lang w:val="en-US"/>
        </w:rPr>
        <w:t xml:space="preserve">Arnold, ‘Voicing Dissent’, p. 31. He is talking chiefly (but not only) about what we would call religious dissent, but I have left the quote </w:t>
      </w:r>
      <w:proofErr w:type="spellStart"/>
      <w:r w:rsidRPr="00675E35">
        <w:rPr>
          <w:lang w:val="en-US"/>
        </w:rPr>
        <w:t>uninterpolated</w:t>
      </w:r>
      <w:proofErr w:type="spellEnd"/>
      <w:r w:rsidRPr="00675E35">
        <w:rPr>
          <w:lang w:val="en-US"/>
        </w:rPr>
        <w:t xml:space="preserve"> because I want to bring out the other resonances here.</w:t>
      </w:r>
    </w:p>
  </w:footnote>
  <w:footnote w:id="97">
    <w:p w14:paraId="766E6025" w14:textId="4FAFC19C" w:rsidR="004E17E8" w:rsidRPr="00675E35" w:rsidRDefault="004E17E8" w:rsidP="005C722A">
      <w:pPr>
        <w:rPr>
          <w:sz w:val="20"/>
          <w:szCs w:val="20"/>
        </w:rPr>
      </w:pPr>
      <w:r w:rsidRPr="00675E35">
        <w:rPr>
          <w:rStyle w:val="FootnoteReference"/>
          <w:sz w:val="20"/>
          <w:szCs w:val="20"/>
        </w:rPr>
        <w:footnoteRef/>
      </w:r>
      <w:r w:rsidRPr="00675E35">
        <w:rPr>
          <w:sz w:val="20"/>
          <w:szCs w:val="20"/>
        </w:rPr>
        <w:t xml:space="preserve"> On (sometimes scatological) scorn towards legal officials, see Ian Forrest, ‘The Summoner’, in </w:t>
      </w:r>
      <w:r w:rsidRPr="00675E35">
        <w:rPr>
          <w:i/>
          <w:sz w:val="20"/>
          <w:szCs w:val="20"/>
        </w:rPr>
        <w:t>Historians on Chaucer: The ‘General Prologue’ to the Canterbury Tales</w:t>
      </w:r>
      <w:r w:rsidRPr="00675E35">
        <w:rPr>
          <w:sz w:val="20"/>
          <w:szCs w:val="20"/>
        </w:rPr>
        <w:t xml:space="preserve">, ed. Stephen Rigby and Alastair </w:t>
      </w:r>
      <w:proofErr w:type="spellStart"/>
      <w:r w:rsidRPr="00675E35">
        <w:rPr>
          <w:sz w:val="20"/>
          <w:szCs w:val="20"/>
        </w:rPr>
        <w:t>Minnis</w:t>
      </w:r>
      <w:proofErr w:type="spellEnd"/>
      <w:r w:rsidRPr="00675E35">
        <w:rPr>
          <w:sz w:val="20"/>
          <w:szCs w:val="20"/>
        </w:rPr>
        <w:t xml:space="preserve"> (Oxford, 2014); on scepticism about the possibility of justice, see </w:t>
      </w:r>
      <w:r w:rsidRPr="00675E35">
        <w:rPr>
          <w:rStyle w:val="s2"/>
          <w:color w:val="000000"/>
          <w:sz w:val="20"/>
          <w:szCs w:val="20"/>
        </w:rPr>
        <w:t>Christine</w:t>
      </w:r>
      <w:r w:rsidRPr="00675E35">
        <w:rPr>
          <w:rStyle w:val="apple-converted-space"/>
          <w:color w:val="000000"/>
          <w:sz w:val="20"/>
          <w:szCs w:val="20"/>
        </w:rPr>
        <w:t> </w:t>
      </w:r>
      <w:r w:rsidRPr="00675E35">
        <w:rPr>
          <w:rStyle w:val="s2"/>
          <w:color w:val="000000"/>
          <w:sz w:val="20"/>
          <w:szCs w:val="20"/>
        </w:rPr>
        <w:t>Carpenter, ‘Law, Justice and Landowners in Late Medieval England’,</w:t>
      </w:r>
      <w:r w:rsidRPr="00675E35">
        <w:rPr>
          <w:rStyle w:val="apple-converted-space"/>
          <w:color w:val="000000"/>
          <w:sz w:val="20"/>
          <w:szCs w:val="20"/>
        </w:rPr>
        <w:t> </w:t>
      </w:r>
      <w:r w:rsidRPr="00675E35">
        <w:rPr>
          <w:rStyle w:val="s3"/>
          <w:i/>
          <w:iCs/>
          <w:color w:val="000000"/>
          <w:sz w:val="20"/>
          <w:szCs w:val="20"/>
        </w:rPr>
        <w:t>Law</w:t>
      </w:r>
      <w:r w:rsidRPr="00675E35">
        <w:rPr>
          <w:rStyle w:val="apple-converted-space"/>
          <w:i/>
          <w:iCs/>
          <w:color w:val="000000"/>
          <w:sz w:val="20"/>
          <w:szCs w:val="20"/>
        </w:rPr>
        <w:t> </w:t>
      </w:r>
      <w:r w:rsidRPr="00675E35">
        <w:rPr>
          <w:rStyle w:val="s3"/>
          <w:i/>
          <w:iCs/>
          <w:color w:val="000000"/>
          <w:sz w:val="20"/>
          <w:szCs w:val="20"/>
        </w:rPr>
        <w:t>and History Review</w:t>
      </w:r>
      <w:r w:rsidRPr="00675E35">
        <w:rPr>
          <w:rStyle w:val="s2"/>
          <w:color w:val="000000"/>
          <w:sz w:val="20"/>
          <w:szCs w:val="20"/>
        </w:rPr>
        <w:t xml:space="preserve">, 1:2 (1983), 205-237; </w:t>
      </w:r>
      <w:r w:rsidRPr="00675E35">
        <w:rPr>
          <w:sz w:val="20"/>
          <w:szCs w:val="20"/>
        </w:rPr>
        <w:t xml:space="preserve">on the Great Rumour, see </w:t>
      </w:r>
      <w:proofErr w:type="spellStart"/>
      <w:r w:rsidRPr="00675E35">
        <w:rPr>
          <w:sz w:val="20"/>
          <w:szCs w:val="20"/>
          <w:lang w:val="en-US"/>
        </w:rPr>
        <w:t>Rosamund</w:t>
      </w:r>
      <w:proofErr w:type="spellEnd"/>
      <w:r w:rsidRPr="00675E35">
        <w:rPr>
          <w:sz w:val="20"/>
          <w:szCs w:val="20"/>
          <w:lang w:val="en-US"/>
        </w:rPr>
        <w:t xml:space="preserve"> Faith, ‘</w:t>
      </w:r>
      <w:r w:rsidRPr="00675E35">
        <w:rPr>
          <w:rStyle w:val="s4"/>
          <w:color w:val="000000"/>
          <w:sz w:val="20"/>
          <w:szCs w:val="20"/>
        </w:rPr>
        <w:t>The ‘Great</w:t>
      </w:r>
      <w:r w:rsidRPr="00675E35">
        <w:rPr>
          <w:rStyle w:val="apple-converted-space"/>
          <w:color w:val="000000"/>
          <w:sz w:val="20"/>
          <w:szCs w:val="20"/>
        </w:rPr>
        <w:t> </w:t>
      </w:r>
      <w:r w:rsidRPr="00675E35">
        <w:rPr>
          <w:rStyle w:val="s4"/>
          <w:color w:val="000000"/>
          <w:sz w:val="20"/>
          <w:szCs w:val="20"/>
        </w:rPr>
        <w:t xml:space="preserve">Rumour’ of 1377 and Peasant Ideology’, in </w:t>
      </w:r>
      <w:r w:rsidRPr="00675E35">
        <w:rPr>
          <w:rStyle w:val="s13"/>
          <w:i/>
          <w:iCs/>
          <w:color w:val="000000"/>
          <w:sz w:val="20"/>
          <w:szCs w:val="20"/>
        </w:rPr>
        <w:t>The English Rising of 1381</w:t>
      </w:r>
      <w:r w:rsidRPr="00675E35">
        <w:rPr>
          <w:rStyle w:val="s4"/>
          <w:color w:val="000000"/>
          <w:sz w:val="20"/>
          <w:szCs w:val="20"/>
        </w:rPr>
        <w:t>, ed. R. H. Hilton and T. H. Aston</w:t>
      </w:r>
      <w:r>
        <w:rPr>
          <w:rStyle w:val="s4"/>
          <w:color w:val="000000"/>
          <w:sz w:val="20"/>
          <w:szCs w:val="20"/>
        </w:rPr>
        <w:t xml:space="preserve">. </w:t>
      </w:r>
      <w:r w:rsidRPr="00675E35">
        <w:rPr>
          <w:rStyle w:val="s4"/>
          <w:color w:val="000000"/>
          <w:sz w:val="20"/>
          <w:szCs w:val="20"/>
        </w:rPr>
        <w:t>Cambridge, 1986, 43-73.</w:t>
      </w:r>
    </w:p>
  </w:footnote>
  <w:footnote w:id="98">
    <w:p w14:paraId="036B50AC" w14:textId="77777777" w:rsidR="004E17E8" w:rsidRPr="00675E35" w:rsidRDefault="004E17E8">
      <w:pPr>
        <w:pStyle w:val="FootnoteText"/>
        <w:rPr>
          <w:lang w:val="en-US"/>
        </w:rPr>
      </w:pPr>
      <w:r w:rsidRPr="00675E35">
        <w:rPr>
          <w:rStyle w:val="FootnoteReference"/>
        </w:rPr>
        <w:footnoteRef/>
      </w:r>
      <w:r w:rsidRPr="00675E35">
        <w:t xml:space="preserve"> </w:t>
      </w:r>
      <w:r w:rsidRPr="00675E35">
        <w:rPr>
          <w:lang w:val="en-US"/>
        </w:rPr>
        <w:t xml:space="preserve">As discussed in </w:t>
      </w:r>
      <w:proofErr w:type="spellStart"/>
      <w:r w:rsidRPr="00675E35">
        <w:rPr>
          <w:lang w:val="en-US"/>
        </w:rPr>
        <w:t>Scase</w:t>
      </w:r>
      <w:proofErr w:type="spellEnd"/>
      <w:r w:rsidRPr="00675E35">
        <w:rPr>
          <w:lang w:val="en-US"/>
        </w:rPr>
        <w:t xml:space="preserve">, </w:t>
      </w:r>
      <w:r w:rsidRPr="00675E35">
        <w:rPr>
          <w:i/>
          <w:iCs/>
          <w:lang w:val="en-US"/>
        </w:rPr>
        <w:t>Literature and Complaint</w:t>
      </w:r>
      <w:r w:rsidRPr="00675E35">
        <w:rPr>
          <w:lang w:val="en-US"/>
        </w:rPr>
        <w:t>, pp. 83-136.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1A36"/>
    <w:multiLevelType w:val="hybridMultilevel"/>
    <w:tmpl w:val="77FC86E8"/>
    <w:lvl w:ilvl="0" w:tplc="76FAD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978BF"/>
    <w:multiLevelType w:val="hybridMultilevel"/>
    <w:tmpl w:val="68E8F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664AE4"/>
    <w:multiLevelType w:val="hybridMultilevel"/>
    <w:tmpl w:val="DF08D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26"/>
    <w:rsid w:val="00001CE7"/>
    <w:rsid w:val="00003F08"/>
    <w:rsid w:val="00006F96"/>
    <w:rsid w:val="00007F47"/>
    <w:rsid w:val="00011750"/>
    <w:rsid w:val="0001224C"/>
    <w:rsid w:val="00012489"/>
    <w:rsid w:val="00012CEE"/>
    <w:rsid w:val="00013443"/>
    <w:rsid w:val="00013AAF"/>
    <w:rsid w:val="00013AD6"/>
    <w:rsid w:val="00013D18"/>
    <w:rsid w:val="00014198"/>
    <w:rsid w:val="00014736"/>
    <w:rsid w:val="00014B9D"/>
    <w:rsid w:val="0001544C"/>
    <w:rsid w:val="00016DBC"/>
    <w:rsid w:val="00017C3F"/>
    <w:rsid w:val="00020C72"/>
    <w:rsid w:val="00022258"/>
    <w:rsid w:val="00023B18"/>
    <w:rsid w:val="00026750"/>
    <w:rsid w:val="00026907"/>
    <w:rsid w:val="000300C2"/>
    <w:rsid w:val="00032863"/>
    <w:rsid w:val="0003420F"/>
    <w:rsid w:val="00034749"/>
    <w:rsid w:val="0003678A"/>
    <w:rsid w:val="00036E01"/>
    <w:rsid w:val="00037D86"/>
    <w:rsid w:val="00040A43"/>
    <w:rsid w:val="000411AF"/>
    <w:rsid w:val="0004230A"/>
    <w:rsid w:val="00044011"/>
    <w:rsid w:val="00044DFB"/>
    <w:rsid w:val="000456EB"/>
    <w:rsid w:val="00046E12"/>
    <w:rsid w:val="00051B5C"/>
    <w:rsid w:val="00052D9E"/>
    <w:rsid w:val="00057AA2"/>
    <w:rsid w:val="000638EC"/>
    <w:rsid w:val="00063981"/>
    <w:rsid w:val="000644F2"/>
    <w:rsid w:val="0006773B"/>
    <w:rsid w:val="00070E26"/>
    <w:rsid w:val="00071515"/>
    <w:rsid w:val="000747B4"/>
    <w:rsid w:val="0007667D"/>
    <w:rsid w:val="00076A59"/>
    <w:rsid w:val="00085F56"/>
    <w:rsid w:val="0009045B"/>
    <w:rsid w:val="0009228D"/>
    <w:rsid w:val="00092ADC"/>
    <w:rsid w:val="000939D0"/>
    <w:rsid w:val="00094778"/>
    <w:rsid w:val="00094795"/>
    <w:rsid w:val="000957DE"/>
    <w:rsid w:val="000961B0"/>
    <w:rsid w:val="0009643C"/>
    <w:rsid w:val="000A2DEA"/>
    <w:rsid w:val="000A5089"/>
    <w:rsid w:val="000A5738"/>
    <w:rsid w:val="000A5845"/>
    <w:rsid w:val="000A5B77"/>
    <w:rsid w:val="000A67EE"/>
    <w:rsid w:val="000A6C2C"/>
    <w:rsid w:val="000A71AB"/>
    <w:rsid w:val="000B0860"/>
    <w:rsid w:val="000B0BB0"/>
    <w:rsid w:val="000B4096"/>
    <w:rsid w:val="000B54A9"/>
    <w:rsid w:val="000B6084"/>
    <w:rsid w:val="000C1900"/>
    <w:rsid w:val="000C2420"/>
    <w:rsid w:val="000C31FB"/>
    <w:rsid w:val="000C5B1B"/>
    <w:rsid w:val="000D2900"/>
    <w:rsid w:val="000D2A7F"/>
    <w:rsid w:val="000D5F6C"/>
    <w:rsid w:val="000D7114"/>
    <w:rsid w:val="000D7F7E"/>
    <w:rsid w:val="000E1F5A"/>
    <w:rsid w:val="000E2583"/>
    <w:rsid w:val="000E2A4B"/>
    <w:rsid w:val="000E2AA9"/>
    <w:rsid w:val="000E63E2"/>
    <w:rsid w:val="000E6B59"/>
    <w:rsid w:val="000E7BB9"/>
    <w:rsid w:val="000F297D"/>
    <w:rsid w:val="000F3729"/>
    <w:rsid w:val="000F42AE"/>
    <w:rsid w:val="001005D7"/>
    <w:rsid w:val="00101289"/>
    <w:rsid w:val="00103E58"/>
    <w:rsid w:val="00104104"/>
    <w:rsid w:val="00104A1E"/>
    <w:rsid w:val="00104BB5"/>
    <w:rsid w:val="001064D4"/>
    <w:rsid w:val="001076FA"/>
    <w:rsid w:val="001114D8"/>
    <w:rsid w:val="00111EC5"/>
    <w:rsid w:val="0011341E"/>
    <w:rsid w:val="00113D95"/>
    <w:rsid w:val="00117BD5"/>
    <w:rsid w:val="00121C26"/>
    <w:rsid w:val="0012257F"/>
    <w:rsid w:val="001244D2"/>
    <w:rsid w:val="00125DB8"/>
    <w:rsid w:val="00127A0E"/>
    <w:rsid w:val="00127E12"/>
    <w:rsid w:val="0013035F"/>
    <w:rsid w:val="00130B82"/>
    <w:rsid w:val="0013142F"/>
    <w:rsid w:val="00132601"/>
    <w:rsid w:val="001337C8"/>
    <w:rsid w:val="00134A3D"/>
    <w:rsid w:val="00135548"/>
    <w:rsid w:val="0013588B"/>
    <w:rsid w:val="00135E9E"/>
    <w:rsid w:val="001407E3"/>
    <w:rsid w:val="0014168B"/>
    <w:rsid w:val="00143E76"/>
    <w:rsid w:val="0014587E"/>
    <w:rsid w:val="00146385"/>
    <w:rsid w:val="0015010E"/>
    <w:rsid w:val="00151D9E"/>
    <w:rsid w:val="00153A94"/>
    <w:rsid w:val="001550B0"/>
    <w:rsid w:val="00160114"/>
    <w:rsid w:val="00162C4D"/>
    <w:rsid w:val="001636CC"/>
    <w:rsid w:val="00165410"/>
    <w:rsid w:val="001657A1"/>
    <w:rsid w:val="00166981"/>
    <w:rsid w:val="001671E9"/>
    <w:rsid w:val="00170B62"/>
    <w:rsid w:val="00171410"/>
    <w:rsid w:val="00171F26"/>
    <w:rsid w:val="0017235B"/>
    <w:rsid w:val="00173BCE"/>
    <w:rsid w:val="00176A84"/>
    <w:rsid w:val="00177088"/>
    <w:rsid w:val="00177144"/>
    <w:rsid w:val="001814D0"/>
    <w:rsid w:val="00181715"/>
    <w:rsid w:val="00181FED"/>
    <w:rsid w:val="0018259C"/>
    <w:rsid w:val="0018270C"/>
    <w:rsid w:val="001830E5"/>
    <w:rsid w:val="0018467F"/>
    <w:rsid w:val="001914A5"/>
    <w:rsid w:val="001921BE"/>
    <w:rsid w:val="001921D5"/>
    <w:rsid w:val="00192665"/>
    <w:rsid w:val="00193228"/>
    <w:rsid w:val="001937F1"/>
    <w:rsid w:val="0019485E"/>
    <w:rsid w:val="00194875"/>
    <w:rsid w:val="001979A8"/>
    <w:rsid w:val="001A05AB"/>
    <w:rsid w:val="001A0CAC"/>
    <w:rsid w:val="001A1812"/>
    <w:rsid w:val="001A2C8E"/>
    <w:rsid w:val="001B0DC5"/>
    <w:rsid w:val="001B0E84"/>
    <w:rsid w:val="001B3F3F"/>
    <w:rsid w:val="001B5D7D"/>
    <w:rsid w:val="001C04B2"/>
    <w:rsid w:val="001C227B"/>
    <w:rsid w:val="001C6B15"/>
    <w:rsid w:val="001C74F3"/>
    <w:rsid w:val="001C7E72"/>
    <w:rsid w:val="001D027C"/>
    <w:rsid w:val="001D600F"/>
    <w:rsid w:val="001D63BF"/>
    <w:rsid w:val="001D723B"/>
    <w:rsid w:val="001E0AE7"/>
    <w:rsid w:val="001E0D36"/>
    <w:rsid w:val="001E2544"/>
    <w:rsid w:val="001E45F8"/>
    <w:rsid w:val="001E4D3E"/>
    <w:rsid w:val="001E576C"/>
    <w:rsid w:val="001E5904"/>
    <w:rsid w:val="001F018C"/>
    <w:rsid w:val="001F0DD1"/>
    <w:rsid w:val="001F3E4F"/>
    <w:rsid w:val="001F4068"/>
    <w:rsid w:val="001F5668"/>
    <w:rsid w:val="001F572E"/>
    <w:rsid w:val="001F57DC"/>
    <w:rsid w:val="001F7652"/>
    <w:rsid w:val="00200197"/>
    <w:rsid w:val="00200C59"/>
    <w:rsid w:val="002057FC"/>
    <w:rsid w:val="002069E2"/>
    <w:rsid w:val="002077E3"/>
    <w:rsid w:val="0021028E"/>
    <w:rsid w:val="00210681"/>
    <w:rsid w:val="00210A37"/>
    <w:rsid w:val="002120AE"/>
    <w:rsid w:val="00212B43"/>
    <w:rsid w:val="00212C9C"/>
    <w:rsid w:val="00215804"/>
    <w:rsid w:val="00215C5A"/>
    <w:rsid w:val="00215CFF"/>
    <w:rsid w:val="00216107"/>
    <w:rsid w:val="00216DD7"/>
    <w:rsid w:val="00220B67"/>
    <w:rsid w:val="00220CC5"/>
    <w:rsid w:val="00224328"/>
    <w:rsid w:val="002250A1"/>
    <w:rsid w:val="00225A7C"/>
    <w:rsid w:val="0022633D"/>
    <w:rsid w:val="00226FC0"/>
    <w:rsid w:val="00227330"/>
    <w:rsid w:val="00227A31"/>
    <w:rsid w:val="0023032B"/>
    <w:rsid w:val="00230CB0"/>
    <w:rsid w:val="00230F5A"/>
    <w:rsid w:val="00232136"/>
    <w:rsid w:val="00233346"/>
    <w:rsid w:val="0023588C"/>
    <w:rsid w:val="00237300"/>
    <w:rsid w:val="00237989"/>
    <w:rsid w:val="00240C5E"/>
    <w:rsid w:val="002427A7"/>
    <w:rsid w:val="00250339"/>
    <w:rsid w:val="00251FB3"/>
    <w:rsid w:val="00253F3E"/>
    <w:rsid w:val="00254847"/>
    <w:rsid w:val="0025620E"/>
    <w:rsid w:val="00256BAD"/>
    <w:rsid w:val="002577D1"/>
    <w:rsid w:val="00261C33"/>
    <w:rsid w:val="00262B9C"/>
    <w:rsid w:val="0026647B"/>
    <w:rsid w:val="002674CC"/>
    <w:rsid w:val="0027462B"/>
    <w:rsid w:val="00275E04"/>
    <w:rsid w:val="00277532"/>
    <w:rsid w:val="00283B43"/>
    <w:rsid w:val="00284495"/>
    <w:rsid w:val="00285199"/>
    <w:rsid w:val="00292006"/>
    <w:rsid w:val="002924DD"/>
    <w:rsid w:val="00292A55"/>
    <w:rsid w:val="00294BF7"/>
    <w:rsid w:val="00295B1E"/>
    <w:rsid w:val="00296977"/>
    <w:rsid w:val="0029741F"/>
    <w:rsid w:val="00297889"/>
    <w:rsid w:val="002A3E51"/>
    <w:rsid w:val="002A77A6"/>
    <w:rsid w:val="002B2023"/>
    <w:rsid w:val="002B34E6"/>
    <w:rsid w:val="002C0824"/>
    <w:rsid w:val="002C121C"/>
    <w:rsid w:val="002C5014"/>
    <w:rsid w:val="002C546E"/>
    <w:rsid w:val="002C65CD"/>
    <w:rsid w:val="002C772D"/>
    <w:rsid w:val="002C7F07"/>
    <w:rsid w:val="002D061F"/>
    <w:rsid w:val="002D1269"/>
    <w:rsid w:val="002D4017"/>
    <w:rsid w:val="002D6150"/>
    <w:rsid w:val="002D77FB"/>
    <w:rsid w:val="002E0DD1"/>
    <w:rsid w:val="002E19D4"/>
    <w:rsid w:val="002E2D3E"/>
    <w:rsid w:val="002E394A"/>
    <w:rsid w:val="002E453C"/>
    <w:rsid w:val="002F12F0"/>
    <w:rsid w:val="002F41D0"/>
    <w:rsid w:val="002F7F0C"/>
    <w:rsid w:val="0030032A"/>
    <w:rsid w:val="003008E4"/>
    <w:rsid w:val="0030715F"/>
    <w:rsid w:val="00314B8A"/>
    <w:rsid w:val="00315F68"/>
    <w:rsid w:val="003166DE"/>
    <w:rsid w:val="00316B85"/>
    <w:rsid w:val="00317D0E"/>
    <w:rsid w:val="00325117"/>
    <w:rsid w:val="003279B1"/>
    <w:rsid w:val="00327FD0"/>
    <w:rsid w:val="00330915"/>
    <w:rsid w:val="003311AE"/>
    <w:rsid w:val="00331A5B"/>
    <w:rsid w:val="0033270B"/>
    <w:rsid w:val="0033336C"/>
    <w:rsid w:val="00333F9A"/>
    <w:rsid w:val="00337E23"/>
    <w:rsid w:val="00337EDE"/>
    <w:rsid w:val="00340105"/>
    <w:rsid w:val="003408F5"/>
    <w:rsid w:val="0034120A"/>
    <w:rsid w:val="00343326"/>
    <w:rsid w:val="00343687"/>
    <w:rsid w:val="00344518"/>
    <w:rsid w:val="00344C52"/>
    <w:rsid w:val="0034533C"/>
    <w:rsid w:val="00347C39"/>
    <w:rsid w:val="00350D93"/>
    <w:rsid w:val="00352973"/>
    <w:rsid w:val="003568B2"/>
    <w:rsid w:val="00357AB1"/>
    <w:rsid w:val="00360B21"/>
    <w:rsid w:val="003622CE"/>
    <w:rsid w:val="003629D6"/>
    <w:rsid w:val="0036351B"/>
    <w:rsid w:val="00364DEA"/>
    <w:rsid w:val="00366CE8"/>
    <w:rsid w:val="00367499"/>
    <w:rsid w:val="00367787"/>
    <w:rsid w:val="003677DE"/>
    <w:rsid w:val="00367DD6"/>
    <w:rsid w:val="00367EC3"/>
    <w:rsid w:val="00371A9D"/>
    <w:rsid w:val="003729E3"/>
    <w:rsid w:val="003768E8"/>
    <w:rsid w:val="00380337"/>
    <w:rsid w:val="00380891"/>
    <w:rsid w:val="00380A0A"/>
    <w:rsid w:val="00382B62"/>
    <w:rsid w:val="00385CB1"/>
    <w:rsid w:val="00390ADC"/>
    <w:rsid w:val="00393B5F"/>
    <w:rsid w:val="003962C9"/>
    <w:rsid w:val="003964E6"/>
    <w:rsid w:val="00396683"/>
    <w:rsid w:val="00397BB9"/>
    <w:rsid w:val="003A17F8"/>
    <w:rsid w:val="003A3326"/>
    <w:rsid w:val="003A3793"/>
    <w:rsid w:val="003A3989"/>
    <w:rsid w:val="003A3EC8"/>
    <w:rsid w:val="003A754A"/>
    <w:rsid w:val="003B1A07"/>
    <w:rsid w:val="003B30B6"/>
    <w:rsid w:val="003B34AB"/>
    <w:rsid w:val="003B4238"/>
    <w:rsid w:val="003C0859"/>
    <w:rsid w:val="003C231E"/>
    <w:rsid w:val="003C5015"/>
    <w:rsid w:val="003C6884"/>
    <w:rsid w:val="003C6B96"/>
    <w:rsid w:val="003C7951"/>
    <w:rsid w:val="003C7AD4"/>
    <w:rsid w:val="003D02D8"/>
    <w:rsid w:val="003D0A39"/>
    <w:rsid w:val="003D0A87"/>
    <w:rsid w:val="003D3D20"/>
    <w:rsid w:val="003D4687"/>
    <w:rsid w:val="003D72F4"/>
    <w:rsid w:val="003E0F5D"/>
    <w:rsid w:val="003E1958"/>
    <w:rsid w:val="003E3CB7"/>
    <w:rsid w:val="003F070A"/>
    <w:rsid w:val="003F11E0"/>
    <w:rsid w:val="003F1225"/>
    <w:rsid w:val="003F1484"/>
    <w:rsid w:val="003F1698"/>
    <w:rsid w:val="003F16FF"/>
    <w:rsid w:val="003F53F3"/>
    <w:rsid w:val="003F5BAA"/>
    <w:rsid w:val="00400A54"/>
    <w:rsid w:val="00402762"/>
    <w:rsid w:val="00403246"/>
    <w:rsid w:val="00406600"/>
    <w:rsid w:val="00410909"/>
    <w:rsid w:val="004111A4"/>
    <w:rsid w:val="0041297F"/>
    <w:rsid w:val="00414BCB"/>
    <w:rsid w:val="00414D83"/>
    <w:rsid w:val="00415B0A"/>
    <w:rsid w:val="00417395"/>
    <w:rsid w:val="00420381"/>
    <w:rsid w:val="0042182C"/>
    <w:rsid w:val="00427CEF"/>
    <w:rsid w:val="00427DCE"/>
    <w:rsid w:val="00430870"/>
    <w:rsid w:val="00431367"/>
    <w:rsid w:val="004324D7"/>
    <w:rsid w:val="00433024"/>
    <w:rsid w:val="004330A2"/>
    <w:rsid w:val="00434235"/>
    <w:rsid w:val="00434502"/>
    <w:rsid w:val="00435D6E"/>
    <w:rsid w:val="00436E88"/>
    <w:rsid w:val="00444781"/>
    <w:rsid w:val="0044506E"/>
    <w:rsid w:val="004467A5"/>
    <w:rsid w:val="004502CB"/>
    <w:rsid w:val="00452A43"/>
    <w:rsid w:val="00452B01"/>
    <w:rsid w:val="00454994"/>
    <w:rsid w:val="00456C5F"/>
    <w:rsid w:val="00457112"/>
    <w:rsid w:val="004608A1"/>
    <w:rsid w:val="00460C42"/>
    <w:rsid w:val="00461BBF"/>
    <w:rsid w:val="00462050"/>
    <w:rsid w:val="00465633"/>
    <w:rsid w:val="00467299"/>
    <w:rsid w:val="00473337"/>
    <w:rsid w:val="00474A0F"/>
    <w:rsid w:val="00475043"/>
    <w:rsid w:val="004776DB"/>
    <w:rsid w:val="00482B5A"/>
    <w:rsid w:val="00483DCC"/>
    <w:rsid w:val="00484086"/>
    <w:rsid w:val="0048482F"/>
    <w:rsid w:val="004849DA"/>
    <w:rsid w:val="00485394"/>
    <w:rsid w:val="00485A4C"/>
    <w:rsid w:val="004867C8"/>
    <w:rsid w:val="00490720"/>
    <w:rsid w:val="00490C04"/>
    <w:rsid w:val="004915D6"/>
    <w:rsid w:val="00492E7A"/>
    <w:rsid w:val="00494622"/>
    <w:rsid w:val="004957ED"/>
    <w:rsid w:val="004A0188"/>
    <w:rsid w:val="004A0302"/>
    <w:rsid w:val="004A0305"/>
    <w:rsid w:val="004A2E19"/>
    <w:rsid w:val="004A4D66"/>
    <w:rsid w:val="004A57BB"/>
    <w:rsid w:val="004A68B0"/>
    <w:rsid w:val="004A7728"/>
    <w:rsid w:val="004B0928"/>
    <w:rsid w:val="004B0C69"/>
    <w:rsid w:val="004B2917"/>
    <w:rsid w:val="004B3379"/>
    <w:rsid w:val="004B68EE"/>
    <w:rsid w:val="004B7523"/>
    <w:rsid w:val="004B7C21"/>
    <w:rsid w:val="004B7C42"/>
    <w:rsid w:val="004C0AFE"/>
    <w:rsid w:val="004C0B37"/>
    <w:rsid w:val="004C3BB4"/>
    <w:rsid w:val="004C45B2"/>
    <w:rsid w:val="004C49CA"/>
    <w:rsid w:val="004C6349"/>
    <w:rsid w:val="004C6422"/>
    <w:rsid w:val="004C6D0C"/>
    <w:rsid w:val="004D2C71"/>
    <w:rsid w:val="004D2F83"/>
    <w:rsid w:val="004D3711"/>
    <w:rsid w:val="004D4421"/>
    <w:rsid w:val="004D5CBB"/>
    <w:rsid w:val="004D6C25"/>
    <w:rsid w:val="004E0C34"/>
    <w:rsid w:val="004E1539"/>
    <w:rsid w:val="004E17E8"/>
    <w:rsid w:val="004E3286"/>
    <w:rsid w:val="004E581C"/>
    <w:rsid w:val="004E5BB0"/>
    <w:rsid w:val="004E62A3"/>
    <w:rsid w:val="004F2948"/>
    <w:rsid w:val="004F349E"/>
    <w:rsid w:val="004F42BE"/>
    <w:rsid w:val="004F4C95"/>
    <w:rsid w:val="004F5060"/>
    <w:rsid w:val="004F58B0"/>
    <w:rsid w:val="004F5CA0"/>
    <w:rsid w:val="0050009E"/>
    <w:rsid w:val="00500954"/>
    <w:rsid w:val="00503D56"/>
    <w:rsid w:val="00504C1E"/>
    <w:rsid w:val="00506650"/>
    <w:rsid w:val="00510CD0"/>
    <w:rsid w:val="00511872"/>
    <w:rsid w:val="00514091"/>
    <w:rsid w:val="005204E9"/>
    <w:rsid w:val="00522954"/>
    <w:rsid w:val="00522A54"/>
    <w:rsid w:val="0052345C"/>
    <w:rsid w:val="0052353D"/>
    <w:rsid w:val="00523A6A"/>
    <w:rsid w:val="005244EC"/>
    <w:rsid w:val="00526A2D"/>
    <w:rsid w:val="00530BF1"/>
    <w:rsid w:val="005310B7"/>
    <w:rsid w:val="00531DDA"/>
    <w:rsid w:val="00532B25"/>
    <w:rsid w:val="00534AC8"/>
    <w:rsid w:val="005371E7"/>
    <w:rsid w:val="00540623"/>
    <w:rsid w:val="0054189A"/>
    <w:rsid w:val="00542E9E"/>
    <w:rsid w:val="0054343A"/>
    <w:rsid w:val="00543CC8"/>
    <w:rsid w:val="00546FD0"/>
    <w:rsid w:val="00547BEA"/>
    <w:rsid w:val="00550D9B"/>
    <w:rsid w:val="00551319"/>
    <w:rsid w:val="00552465"/>
    <w:rsid w:val="00552609"/>
    <w:rsid w:val="00553A32"/>
    <w:rsid w:val="00553F23"/>
    <w:rsid w:val="00556B43"/>
    <w:rsid w:val="005576C9"/>
    <w:rsid w:val="00557CF7"/>
    <w:rsid w:val="0056080A"/>
    <w:rsid w:val="005608C2"/>
    <w:rsid w:val="00561982"/>
    <w:rsid w:val="0056236B"/>
    <w:rsid w:val="0056284C"/>
    <w:rsid w:val="0056343E"/>
    <w:rsid w:val="00564041"/>
    <w:rsid w:val="00564411"/>
    <w:rsid w:val="0057241D"/>
    <w:rsid w:val="00574441"/>
    <w:rsid w:val="005770E0"/>
    <w:rsid w:val="00581669"/>
    <w:rsid w:val="00582074"/>
    <w:rsid w:val="00583652"/>
    <w:rsid w:val="00583DA8"/>
    <w:rsid w:val="0058468F"/>
    <w:rsid w:val="00587240"/>
    <w:rsid w:val="00587862"/>
    <w:rsid w:val="005912E4"/>
    <w:rsid w:val="00593283"/>
    <w:rsid w:val="00594954"/>
    <w:rsid w:val="005957AD"/>
    <w:rsid w:val="00596F72"/>
    <w:rsid w:val="00597026"/>
    <w:rsid w:val="00597D28"/>
    <w:rsid w:val="005A0E9F"/>
    <w:rsid w:val="005A38FA"/>
    <w:rsid w:val="005A6747"/>
    <w:rsid w:val="005B1B33"/>
    <w:rsid w:val="005B317A"/>
    <w:rsid w:val="005B3740"/>
    <w:rsid w:val="005B3DEB"/>
    <w:rsid w:val="005B7C28"/>
    <w:rsid w:val="005C5062"/>
    <w:rsid w:val="005C56A5"/>
    <w:rsid w:val="005C722A"/>
    <w:rsid w:val="005D07F0"/>
    <w:rsid w:val="005D2C98"/>
    <w:rsid w:val="005D6038"/>
    <w:rsid w:val="005D6187"/>
    <w:rsid w:val="005E0AD6"/>
    <w:rsid w:val="005E0CF7"/>
    <w:rsid w:val="005E17F2"/>
    <w:rsid w:val="005E2429"/>
    <w:rsid w:val="005E2A11"/>
    <w:rsid w:val="005E3686"/>
    <w:rsid w:val="005E7A16"/>
    <w:rsid w:val="005E7E9B"/>
    <w:rsid w:val="005F1141"/>
    <w:rsid w:val="005F172A"/>
    <w:rsid w:val="005F2808"/>
    <w:rsid w:val="005F2B02"/>
    <w:rsid w:val="005F41E1"/>
    <w:rsid w:val="005F52C3"/>
    <w:rsid w:val="005F57FD"/>
    <w:rsid w:val="005F77CE"/>
    <w:rsid w:val="00600223"/>
    <w:rsid w:val="006012BA"/>
    <w:rsid w:val="00603ACA"/>
    <w:rsid w:val="00604A7A"/>
    <w:rsid w:val="00606782"/>
    <w:rsid w:val="00610AA5"/>
    <w:rsid w:val="006113A1"/>
    <w:rsid w:val="00611AE8"/>
    <w:rsid w:val="0061280E"/>
    <w:rsid w:val="00614BB0"/>
    <w:rsid w:val="006157E9"/>
    <w:rsid w:val="00616083"/>
    <w:rsid w:val="00621F6C"/>
    <w:rsid w:val="00626619"/>
    <w:rsid w:val="00626678"/>
    <w:rsid w:val="006270AE"/>
    <w:rsid w:val="0062789D"/>
    <w:rsid w:val="00627AFE"/>
    <w:rsid w:val="00627D59"/>
    <w:rsid w:val="00630E9F"/>
    <w:rsid w:val="00632500"/>
    <w:rsid w:val="00633111"/>
    <w:rsid w:val="00634C17"/>
    <w:rsid w:val="006365FC"/>
    <w:rsid w:val="00637764"/>
    <w:rsid w:val="00641B13"/>
    <w:rsid w:val="00643656"/>
    <w:rsid w:val="006436D4"/>
    <w:rsid w:val="00643D08"/>
    <w:rsid w:val="00646806"/>
    <w:rsid w:val="00646DE2"/>
    <w:rsid w:val="00647996"/>
    <w:rsid w:val="00647ACD"/>
    <w:rsid w:val="00647B9B"/>
    <w:rsid w:val="00647C2B"/>
    <w:rsid w:val="006510B2"/>
    <w:rsid w:val="006510E0"/>
    <w:rsid w:val="00651799"/>
    <w:rsid w:val="00651ABB"/>
    <w:rsid w:val="00652077"/>
    <w:rsid w:val="006520E6"/>
    <w:rsid w:val="006523DC"/>
    <w:rsid w:val="006524D1"/>
    <w:rsid w:val="00652E7D"/>
    <w:rsid w:val="00654344"/>
    <w:rsid w:val="00655399"/>
    <w:rsid w:val="00655F2A"/>
    <w:rsid w:val="00660109"/>
    <w:rsid w:val="00663C13"/>
    <w:rsid w:val="0066408C"/>
    <w:rsid w:val="00664817"/>
    <w:rsid w:val="00664DDE"/>
    <w:rsid w:val="00666939"/>
    <w:rsid w:val="00666C4B"/>
    <w:rsid w:val="00670FD8"/>
    <w:rsid w:val="00672F26"/>
    <w:rsid w:val="0067418B"/>
    <w:rsid w:val="006741F7"/>
    <w:rsid w:val="00674CC8"/>
    <w:rsid w:val="00675E35"/>
    <w:rsid w:val="00682EF5"/>
    <w:rsid w:val="00684E23"/>
    <w:rsid w:val="00685C90"/>
    <w:rsid w:val="00685DA1"/>
    <w:rsid w:val="006921C7"/>
    <w:rsid w:val="00694C2C"/>
    <w:rsid w:val="00696323"/>
    <w:rsid w:val="00696657"/>
    <w:rsid w:val="006A0829"/>
    <w:rsid w:val="006A27A2"/>
    <w:rsid w:val="006A6097"/>
    <w:rsid w:val="006A6BBB"/>
    <w:rsid w:val="006A6F0B"/>
    <w:rsid w:val="006B2CBF"/>
    <w:rsid w:val="006B5EDF"/>
    <w:rsid w:val="006B6EA5"/>
    <w:rsid w:val="006C1653"/>
    <w:rsid w:val="006C198A"/>
    <w:rsid w:val="006C2B3B"/>
    <w:rsid w:val="006C3CDC"/>
    <w:rsid w:val="006C3F4A"/>
    <w:rsid w:val="006C50A1"/>
    <w:rsid w:val="006C5A65"/>
    <w:rsid w:val="006D0B7C"/>
    <w:rsid w:val="006D0F01"/>
    <w:rsid w:val="006D0F27"/>
    <w:rsid w:val="006D136A"/>
    <w:rsid w:val="006D483A"/>
    <w:rsid w:val="006D7E9E"/>
    <w:rsid w:val="006E09F6"/>
    <w:rsid w:val="006E13DA"/>
    <w:rsid w:val="006E42B8"/>
    <w:rsid w:val="006E6338"/>
    <w:rsid w:val="006F245F"/>
    <w:rsid w:val="006F2848"/>
    <w:rsid w:val="006F40C9"/>
    <w:rsid w:val="006F58BA"/>
    <w:rsid w:val="006F5945"/>
    <w:rsid w:val="006F5C88"/>
    <w:rsid w:val="006F6095"/>
    <w:rsid w:val="006F69A8"/>
    <w:rsid w:val="007018A9"/>
    <w:rsid w:val="00701BC5"/>
    <w:rsid w:val="00703BE8"/>
    <w:rsid w:val="007063CB"/>
    <w:rsid w:val="0070671D"/>
    <w:rsid w:val="00706A9C"/>
    <w:rsid w:val="00714657"/>
    <w:rsid w:val="00714FEB"/>
    <w:rsid w:val="0072168A"/>
    <w:rsid w:val="00721749"/>
    <w:rsid w:val="00722A6A"/>
    <w:rsid w:val="00722DF5"/>
    <w:rsid w:val="00723C41"/>
    <w:rsid w:val="007275A4"/>
    <w:rsid w:val="0073022E"/>
    <w:rsid w:val="00731257"/>
    <w:rsid w:val="0073282C"/>
    <w:rsid w:val="007357F9"/>
    <w:rsid w:val="007373AF"/>
    <w:rsid w:val="0073752E"/>
    <w:rsid w:val="0074067C"/>
    <w:rsid w:val="00741131"/>
    <w:rsid w:val="007430CF"/>
    <w:rsid w:val="0074532A"/>
    <w:rsid w:val="00750BD8"/>
    <w:rsid w:val="00753D9F"/>
    <w:rsid w:val="007549DA"/>
    <w:rsid w:val="0075546F"/>
    <w:rsid w:val="00756D9E"/>
    <w:rsid w:val="00757585"/>
    <w:rsid w:val="00760E70"/>
    <w:rsid w:val="00761395"/>
    <w:rsid w:val="00761C85"/>
    <w:rsid w:val="00762853"/>
    <w:rsid w:val="007639F8"/>
    <w:rsid w:val="007641BC"/>
    <w:rsid w:val="007645C1"/>
    <w:rsid w:val="00764EF8"/>
    <w:rsid w:val="00767D36"/>
    <w:rsid w:val="007725E3"/>
    <w:rsid w:val="0077311F"/>
    <w:rsid w:val="00775917"/>
    <w:rsid w:val="007778CB"/>
    <w:rsid w:val="00780012"/>
    <w:rsid w:val="007810A9"/>
    <w:rsid w:val="007836D6"/>
    <w:rsid w:val="00786892"/>
    <w:rsid w:val="00787BED"/>
    <w:rsid w:val="00790E9D"/>
    <w:rsid w:val="00790EDA"/>
    <w:rsid w:val="00790F59"/>
    <w:rsid w:val="007927C7"/>
    <w:rsid w:val="00793163"/>
    <w:rsid w:val="007945A9"/>
    <w:rsid w:val="007963B3"/>
    <w:rsid w:val="007A0841"/>
    <w:rsid w:val="007A17F0"/>
    <w:rsid w:val="007A30AD"/>
    <w:rsid w:val="007A4784"/>
    <w:rsid w:val="007A508D"/>
    <w:rsid w:val="007A5761"/>
    <w:rsid w:val="007A6231"/>
    <w:rsid w:val="007A67E1"/>
    <w:rsid w:val="007A67F7"/>
    <w:rsid w:val="007B02A5"/>
    <w:rsid w:val="007B0A6A"/>
    <w:rsid w:val="007B1234"/>
    <w:rsid w:val="007B3633"/>
    <w:rsid w:val="007B4779"/>
    <w:rsid w:val="007B6A46"/>
    <w:rsid w:val="007C004F"/>
    <w:rsid w:val="007C1711"/>
    <w:rsid w:val="007C3F0D"/>
    <w:rsid w:val="007C6604"/>
    <w:rsid w:val="007C69D5"/>
    <w:rsid w:val="007D0E43"/>
    <w:rsid w:val="007D1198"/>
    <w:rsid w:val="007D2BFE"/>
    <w:rsid w:val="007D47DB"/>
    <w:rsid w:val="007D5E99"/>
    <w:rsid w:val="007D6040"/>
    <w:rsid w:val="007E116C"/>
    <w:rsid w:val="007E2CC7"/>
    <w:rsid w:val="007E2D8A"/>
    <w:rsid w:val="007E2E5D"/>
    <w:rsid w:val="007E480A"/>
    <w:rsid w:val="007E72EF"/>
    <w:rsid w:val="007F0601"/>
    <w:rsid w:val="007F17D5"/>
    <w:rsid w:val="007F2129"/>
    <w:rsid w:val="00801C08"/>
    <w:rsid w:val="0080376A"/>
    <w:rsid w:val="008066F8"/>
    <w:rsid w:val="0081116C"/>
    <w:rsid w:val="008111E6"/>
    <w:rsid w:val="008134CD"/>
    <w:rsid w:val="00820D34"/>
    <w:rsid w:val="00821DF1"/>
    <w:rsid w:val="00822143"/>
    <w:rsid w:val="00823D4D"/>
    <w:rsid w:val="00824584"/>
    <w:rsid w:val="0082532B"/>
    <w:rsid w:val="008257E5"/>
    <w:rsid w:val="008261E5"/>
    <w:rsid w:val="00830007"/>
    <w:rsid w:val="008308E5"/>
    <w:rsid w:val="00830BC5"/>
    <w:rsid w:val="0083198D"/>
    <w:rsid w:val="00834428"/>
    <w:rsid w:val="0083556D"/>
    <w:rsid w:val="00835BE7"/>
    <w:rsid w:val="00836A8C"/>
    <w:rsid w:val="008371B2"/>
    <w:rsid w:val="008402E6"/>
    <w:rsid w:val="0084445C"/>
    <w:rsid w:val="00845455"/>
    <w:rsid w:val="0084714F"/>
    <w:rsid w:val="00850754"/>
    <w:rsid w:val="00853D05"/>
    <w:rsid w:val="008553B4"/>
    <w:rsid w:val="00855D25"/>
    <w:rsid w:val="00855F57"/>
    <w:rsid w:val="00856006"/>
    <w:rsid w:val="00856B8E"/>
    <w:rsid w:val="00860047"/>
    <w:rsid w:val="008605C5"/>
    <w:rsid w:val="00860AC9"/>
    <w:rsid w:val="00861028"/>
    <w:rsid w:val="00861382"/>
    <w:rsid w:val="00862D14"/>
    <w:rsid w:val="00865EE7"/>
    <w:rsid w:val="008701CC"/>
    <w:rsid w:val="008714A4"/>
    <w:rsid w:val="00871A51"/>
    <w:rsid w:val="00875696"/>
    <w:rsid w:val="00876105"/>
    <w:rsid w:val="00876650"/>
    <w:rsid w:val="008800CD"/>
    <w:rsid w:val="00880B9C"/>
    <w:rsid w:val="00882404"/>
    <w:rsid w:val="00882D56"/>
    <w:rsid w:val="00887400"/>
    <w:rsid w:val="008874DC"/>
    <w:rsid w:val="008908F3"/>
    <w:rsid w:val="00890F50"/>
    <w:rsid w:val="008912D9"/>
    <w:rsid w:val="008914D7"/>
    <w:rsid w:val="00891DAB"/>
    <w:rsid w:val="00892E5F"/>
    <w:rsid w:val="00895053"/>
    <w:rsid w:val="00895850"/>
    <w:rsid w:val="00897859"/>
    <w:rsid w:val="008A149F"/>
    <w:rsid w:val="008A1CD4"/>
    <w:rsid w:val="008A25FF"/>
    <w:rsid w:val="008A3DD9"/>
    <w:rsid w:val="008A4269"/>
    <w:rsid w:val="008A5A4E"/>
    <w:rsid w:val="008A6D1B"/>
    <w:rsid w:val="008A75BA"/>
    <w:rsid w:val="008A771C"/>
    <w:rsid w:val="008A7A96"/>
    <w:rsid w:val="008B04A4"/>
    <w:rsid w:val="008B079B"/>
    <w:rsid w:val="008B0F58"/>
    <w:rsid w:val="008B1608"/>
    <w:rsid w:val="008B1763"/>
    <w:rsid w:val="008B6205"/>
    <w:rsid w:val="008B7E8C"/>
    <w:rsid w:val="008C26BB"/>
    <w:rsid w:val="008D12F4"/>
    <w:rsid w:val="008D1F58"/>
    <w:rsid w:val="008D20F8"/>
    <w:rsid w:val="008D2A9C"/>
    <w:rsid w:val="008D2AE3"/>
    <w:rsid w:val="008D345B"/>
    <w:rsid w:val="008D42ED"/>
    <w:rsid w:val="008D43C9"/>
    <w:rsid w:val="008D4C93"/>
    <w:rsid w:val="008D74FD"/>
    <w:rsid w:val="008D7EEA"/>
    <w:rsid w:val="008E07C0"/>
    <w:rsid w:val="008E1A2D"/>
    <w:rsid w:val="008E1FBC"/>
    <w:rsid w:val="008E3943"/>
    <w:rsid w:val="008E7904"/>
    <w:rsid w:val="008E7F11"/>
    <w:rsid w:val="008F2B27"/>
    <w:rsid w:val="008F3884"/>
    <w:rsid w:val="008F5C4A"/>
    <w:rsid w:val="008F6592"/>
    <w:rsid w:val="008F6B99"/>
    <w:rsid w:val="008F6DE9"/>
    <w:rsid w:val="008F7C58"/>
    <w:rsid w:val="00901834"/>
    <w:rsid w:val="009048F7"/>
    <w:rsid w:val="00906B6D"/>
    <w:rsid w:val="00907D58"/>
    <w:rsid w:val="00910909"/>
    <w:rsid w:val="00912EF9"/>
    <w:rsid w:val="00913E43"/>
    <w:rsid w:val="009150A4"/>
    <w:rsid w:val="00920B7F"/>
    <w:rsid w:val="00923832"/>
    <w:rsid w:val="00925EA7"/>
    <w:rsid w:val="0093140A"/>
    <w:rsid w:val="00933B75"/>
    <w:rsid w:val="00934F8E"/>
    <w:rsid w:val="00935813"/>
    <w:rsid w:val="00936048"/>
    <w:rsid w:val="009364E2"/>
    <w:rsid w:val="009365EB"/>
    <w:rsid w:val="00936FAF"/>
    <w:rsid w:val="00940973"/>
    <w:rsid w:val="00944AA0"/>
    <w:rsid w:val="009462C8"/>
    <w:rsid w:val="00950904"/>
    <w:rsid w:val="009514FD"/>
    <w:rsid w:val="0095673D"/>
    <w:rsid w:val="009575E6"/>
    <w:rsid w:val="009607C2"/>
    <w:rsid w:val="00960EFA"/>
    <w:rsid w:val="00963CC5"/>
    <w:rsid w:val="00964958"/>
    <w:rsid w:val="0096497B"/>
    <w:rsid w:val="00964ABB"/>
    <w:rsid w:val="00964B52"/>
    <w:rsid w:val="009655FD"/>
    <w:rsid w:val="00965A01"/>
    <w:rsid w:val="00965E2F"/>
    <w:rsid w:val="009665ED"/>
    <w:rsid w:val="00966EFB"/>
    <w:rsid w:val="009721AA"/>
    <w:rsid w:val="009730C6"/>
    <w:rsid w:val="00975D40"/>
    <w:rsid w:val="00977061"/>
    <w:rsid w:val="00977546"/>
    <w:rsid w:val="00982D62"/>
    <w:rsid w:val="009830A9"/>
    <w:rsid w:val="00983413"/>
    <w:rsid w:val="0098575D"/>
    <w:rsid w:val="00985A23"/>
    <w:rsid w:val="009904DB"/>
    <w:rsid w:val="0099101B"/>
    <w:rsid w:val="00991CE5"/>
    <w:rsid w:val="009922B6"/>
    <w:rsid w:val="00993027"/>
    <w:rsid w:val="0099476D"/>
    <w:rsid w:val="009965F8"/>
    <w:rsid w:val="009A44B6"/>
    <w:rsid w:val="009A4AD8"/>
    <w:rsid w:val="009A7D2F"/>
    <w:rsid w:val="009B00F8"/>
    <w:rsid w:val="009B01BE"/>
    <w:rsid w:val="009B0BA7"/>
    <w:rsid w:val="009B1AAB"/>
    <w:rsid w:val="009B2293"/>
    <w:rsid w:val="009B68EA"/>
    <w:rsid w:val="009C1298"/>
    <w:rsid w:val="009C13BA"/>
    <w:rsid w:val="009C17FA"/>
    <w:rsid w:val="009C2987"/>
    <w:rsid w:val="009C3F02"/>
    <w:rsid w:val="009C730A"/>
    <w:rsid w:val="009D5451"/>
    <w:rsid w:val="009D642C"/>
    <w:rsid w:val="009D6824"/>
    <w:rsid w:val="009E02D1"/>
    <w:rsid w:val="009E0BFE"/>
    <w:rsid w:val="009E34A0"/>
    <w:rsid w:val="009E3700"/>
    <w:rsid w:val="009E4E7B"/>
    <w:rsid w:val="009E58D0"/>
    <w:rsid w:val="009F0559"/>
    <w:rsid w:val="009F0D82"/>
    <w:rsid w:val="009F2CAB"/>
    <w:rsid w:val="009F3DC5"/>
    <w:rsid w:val="009F426E"/>
    <w:rsid w:val="009F4EC4"/>
    <w:rsid w:val="009F5DC3"/>
    <w:rsid w:val="00A00D30"/>
    <w:rsid w:val="00A01C13"/>
    <w:rsid w:val="00A01E68"/>
    <w:rsid w:val="00A04D84"/>
    <w:rsid w:val="00A055B1"/>
    <w:rsid w:val="00A05AB7"/>
    <w:rsid w:val="00A069A8"/>
    <w:rsid w:val="00A137CF"/>
    <w:rsid w:val="00A143ED"/>
    <w:rsid w:val="00A177FE"/>
    <w:rsid w:val="00A2003F"/>
    <w:rsid w:val="00A20420"/>
    <w:rsid w:val="00A22246"/>
    <w:rsid w:val="00A22C9F"/>
    <w:rsid w:val="00A23353"/>
    <w:rsid w:val="00A26AD8"/>
    <w:rsid w:val="00A30477"/>
    <w:rsid w:val="00A32229"/>
    <w:rsid w:val="00A3312F"/>
    <w:rsid w:val="00A3342F"/>
    <w:rsid w:val="00A33A14"/>
    <w:rsid w:val="00A33E8D"/>
    <w:rsid w:val="00A3408D"/>
    <w:rsid w:val="00A34E58"/>
    <w:rsid w:val="00A35D3D"/>
    <w:rsid w:val="00A40136"/>
    <w:rsid w:val="00A40BDD"/>
    <w:rsid w:val="00A4319F"/>
    <w:rsid w:val="00A459E7"/>
    <w:rsid w:val="00A45B60"/>
    <w:rsid w:val="00A46B13"/>
    <w:rsid w:val="00A50379"/>
    <w:rsid w:val="00A50836"/>
    <w:rsid w:val="00A51FCB"/>
    <w:rsid w:val="00A537F6"/>
    <w:rsid w:val="00A561B4"/>
    <w:rsid w:val="00A565EF"/>
    <w:rsid w:val="00A56739"/>
    <w:rsid w:val="00A605E9"/>
    <w:rsid w:val="00A607F1"/>
    <w:rsid w:val="00A60BAF"/>
    <w:rsid w:val="00A61192"/>
    <w:rsid w:val="00A612EA"/>
    <w:rsid w:val="00A61312"/>
    <w:rsid w:val="00A637AA"/>
    <w:rsid w:val="00A645CB"/>
    <w:rsid w:val="00A64845"/>
    <w:rsid w:val="00A64BBE"/>
    <w:rsid w:val="00A66A26"/>
    <w:rsid w:val="00A674D4"/>
    <w:rsid w:val="00A702FD"/>
    <w:rsid w:val="00A735CF"/>
    <w:rsid w:val="00A749C7"/>
    <w:rsid w:val="00A75305"/>
    <w:rsid w:val="00A7562D"/>
    <w:rsid w:val="00A75FFB"/>
    <w:rsid w:val="00A76006"/>
    <w:rsid w:val="00A7625D"/>
    <w:rsid w:val="00A762FF"/>
    <w:rsid w:val="00A767AB"/>
    <w:rsid w:val="00A77F35"/>
    <w:rsid w:val="00A805C5"/>
    <w:rsid w:val="00A81AFD"/>
    <w:rsid w:val="00A829E1"/>
    <w:rsid w:val="00A82C97"/>
    <w:rsid w:val="00A83A3F"/>
    <w:rsid w:val="00A84B6B"/>
    <w:rsid w:val="00A87179"/>
    <w:rsid w:val="00A875C3"/>
    <w:rsid w:val="00A93ACC"/>
    <w:rsid w:val="00A94C21"/>
    <w:rsid w:val="00A96934"/>
    <w:rsid w:val="00AA04DE"/>
    <w:rsid w:val="00AA07BD"/>
    <w:rsid w:val="00AA1D85"/>
    <w:rsid w:val="00AA2DCE"/>
    <w:rsid w:val="00AA59EA"/>
    <w:rsid w:val="00AA7561"/>
    <w:rsid w:val="00AA79E7"/>
    <w:rsid w:val="00AB0827"/>
    <w:rsid w:val="00AB1A18"/>
    <w:rsid w:val="00AB3ED1"/>
    <w:rsid w:val="00AB6421"/>
    <w:rsid w:val="00AC0955"/>
    <w:rsid w:val="00AC2928"/>
    <w:rsid w:val="00AC3B6C"/>
    <w:rsid w:val="00AC47CC"/>
    <w:rsid w:val="00AC63DD"/>
    <w:rsid w:val="00AD16F9"/>
    <w:rsid w:val="00AD2114"/>
    <w:rsid w:val="00AD3C7B"/>
    <w:rsid w:val="00AD729C"/>
    <w:rsid w:val="00AD7CDC"/>
    <w:rsid w:val="00AE2472"/>
    <w:rsid w:val="00AF0A83"/>
    <w:rsid w:val="00AF1793"/>
    <w:rsid w:val="00AF3D7D"/>
    <w:rsid w:val="00AF6272"/>
    <w:rsid w:val="00AF7B78"/>
    <w:rsid w:val="00B0364F"/>
    <w:rsid w:val="00B070E4"/>
    <w:rsid w:val="00B10D2A"/>
    <w:rsid w:val="00B1148A"/>
    <w:rsid w:val="00B11917"/>
    <w:rsid w:val="00B124E3"/>
    <w:rsid w:val="00B12826"/>
    <w:rsid w:val="00B12E66"/>
    <w:rsid w:val="00B12FB2"/>
    <w:rsid w:val="00B148E9"/>
    <w:rsid w:val="00B16B47"/>
    <w:rsid w:val="00B17400"/>
    <w:rsid w:val="00B21EFC"/>
    <w:rsid w:val="00B23DE6"/>
    <w:rsid w:val="00B26059"/>
    <w:rsid w:val="00B262DC"/>
    <w:rsid w:val="00B26DDC"/>
    <w:rsid w:val="00B32008"/>
    <w:rsid w:val="00B36EF0"/>
    <w:rsid w:val="00B406D2"/>
    <w:rsid w:val="00B4145D"/>
    <w:rsid w:val="00B46E20"/>
    <w:rsid w:val="00B47382"/>
    <w:rsid w:val="00B47A28"/>
    <w:rsid w:val="00B531DC"/>
    <w:rsid w:val="00B5404A"/>
    <w:rsid w:val="00B60205"/>
    <w:rsid w:val="00B62C82"/>
    <w:rsid w:val="00B64107"/>
    <w:rsid w:val="00B64671"/>
    <w:rsid w:val="00B65C30"/>
    <w:rsid w:val="00B6618E"/>
    <w:rsid w:val="00B6634B"/>
    <w:rsid w:val="00B71232"/>
    <w:rsid w:val="00B7218B"/>
    <w:rsid w:val="00B72353"/>
    <w:rsid w:val="00B72A1E"/>
    <w:rsid w:val="00B7467F"/>
    <w:rsid w:val="00B74C64"/>
    <w:rsid w:val="00B76563"/>
    <w:rsid w:val="00B77E7B"/>
    <w:rsid w:val="00B80293"/>
    <w:rsid w:val="00B8144B"/>
    <w:rsid w:val="00B8182C"/>
    <w:rsid w:val="00B83C1B"/>
    <w:rsid w:val="00B844EC"/>
    <w:rsid w:val="00B8545C"/>
    <w:rsid w:val="00B85A1C"/>
    <w:rsid w:val="00B8757F"/>
    <w:rsid w:val="00B96D1E"/>
    <w:rsid w:val="00BA0F35"/>
    <w:rsid w:val="00BA13FB"/>
    <w:rsid w:val="00BA1BBA"/>
    <w:rsid w:val="00BA21A6"/>
    <w:rsid w:val="00BA4D70"/>
    <w:rsid w:val="00BA4D7C"/>
    <w:rsid w:val="00BA5642"/>
    <w:rsid w:val="00BA6E65"/>
    <w:rsid w:val="00BA7B5E"/>
    <w:rsid w:val="00BB0F33"/>
    <w:rsid w:val="00BB0FF1"/>
    <w:rsid w:val="00BB33C1"/>
    <w:rsid w:val="00BB390A"/>
    <w:rsid w:val="00BB4BCF"/>
    <w:rsid w:val="00BB68D4"/>
    <w:rsid w:val="00BB7440"/>
    <w:rsid w:val="00BC2B70"/>
    <w:rsid w:val="00BC34F3"/>
    <w:rsid w:val="00BC387C"/>
    <w:rsid w:val="00BC3E82"/>
    <w:rsid w:val="00BC4681"/>
    <w:rsid w:val="00BC4EE7"/>
    <w:rsid w:val="00BC6BA5"/>
    <w:rsid w:val="00BC79AB"/>
    <w:rsid w:val="00BD08BC"/>
    <w:rsid w:val="00BD0D78"/>
    <w:rsid w:val="00BD14AE"/>
    <w:rsid w:val="00BD349D"/>
    <w:rsid w:val="00BD415D"/>
    <w:rsid w:val="00BD62CD"/>
    <w:rsid w:val="00BD66BD"/>
    <w:rsid w:val="00BE109A"/>
    <w:rsid w:val="00BE195C"/>
    <w:rsid w:val="00BE1CBE"/>
    <w:rsid w:val="00BE3018"/>
    <w:rsid w:val="00BE6C28"/>
    <w:rsid w:val="00BE7109"/>
    <w:rsid w:val="00BE7B51"/>
    <w:rsid w:val="00BF1354"/>
    <w:rsid w:val="00BF182A"/>
    <w:rsid w:val="00BF2025"/>
    <w:rsid w:val="00BF509B"/>
    <w:rsid w:val="00BF6BE3"/>
    <w:rsid w:val="00BF6F4D"/>
    <w:rsid w:val="00C002D0"/>
    <w:rsid w:val="00C00961"/>
    <w:rsid w:val="00C01F85"/>
    <w:rsid w:val="00C02344"/>
    <w:rsid w:val="00C0320B"/>
    <w:rsid w:val="00C0513D"/>
    <w:rsid w:val="00C06BD7"/>
    <w:rsid w:val="00C07058"/>
    <w:rsid w:val="00C079AF"/>
    <w:rsid w:val="00C1182F"/>
    <w:rsid w:val="00C143AA"/>
    <w:rsid w:val="00C17823"/>
    <w:rsid w:val="00C20D57"/>
    <w:rsid w:val="00C216FC"/>
    <w:rsid w:val="00C21AAC"/>
    <w:rsid w:val="00C2251D"/>
    <w:rsid w:val="00C22BB3"/>
    <w:rsid w:val="00C25D6C"/>
    <w:rsid w:val="00C305D4"/>
    <w:rsid w:val="00C31307"/>
    <w:rsid w:val="00C31C60"/>
    <w:rsid w:val="00C3412A"/>
    <w:rsid w:val="00C4090F"/>
    <w:rsid w:val="00C4300C"/>
    <w:rsid w:val="00C465A7"/>
    <w:rsid w:val="00C519F1"/>
    <w:rsid w:val="00C5219D"/>
    <w:rsid w:val="00C52A6D"/>
    <w:rsid w:val="00C52CFD"/>
    <w:rsid w:val="00C530BB"/>
    <w:rsid w:val="00C54262"/>
    <w:rsid w:val="00C55A72"/>
    <w:rsid w:val="00C55B60"/>
    <w:rsid w:val="00C578C5"/>
    <w:rsid w:val="00C57CF1"/>
    <w:rsid w:val="00C64070"/>
    <w:rsid w:val="00C64CC4"/>
    <w:rsid w:val="00C665EF"/>
    <w:rsid w:val="00C67C91"/>
    <w:rsid w:val="00C71802"/>
    <w:rsid w:val="00C72F14"/>
    <w:rsid w:val="00C73EE8"/>
    <w:rsid w:val="00C744E2"/>
    <w:rsid w:val="00C74A9B"/>
    <w:rsid w:val="00C76320"/>
    <w:rsid w:val="00C772B5"/>
    <w:rsid w:val="00C80013"/>
    <w:rsid w:val="00C81F6B"/>
    <w:rsid w:val="00C82C69"/>
    <w:rsid w:val="00C86DB7"/>
    <w:rsid w:val="00C90F18"/>
    <w:rsid w:val="00C92AE1"/>
    <w:rsid w:val="00C934FE"/>
    <w:rsid w:val="00C96199"/>
    <w:rsid w:val="00C9644D"/>
    <w:rsid w:val="00C9650F"/>
    <w:rsid w:val="00C96907"/>
    <w:rsid w:val="00C969EF"/>
    <w:rsid w:val="00C96BC2"/>
    <w:rsid w:val="00C96C20"/>
    <w:rsid w:val="00CA015F"/>
    <w:rsid w:val="00CA14D1"/>
    <w:rsid w:val="00CA20B1"/>
    <w:rsid w:val="00CA4FDB"/>
    <w:rsid w:val="00CB1431"/>
    <w:rsid w:val="00CB2202"/>
    <w:rsid w:val="00CB4BBD"/>
    <w:rsid w:val="00CB4E57"/>
    <w:rsid w:val="00CB63C5"/>
    <w:rsid w:val="00CB6ED4"/>
    <w:rsid w:val="00CC3148"/>
    <w:rsid w:val="00CC3DAE"/>
    <w:rsid w:val="00CC557C"/>
    <w:rsid w:val="00CC7607"/>
    <w:rsid w:val="00CC784F"/>
    <w:rsid w:val="00CD13EF"/>
    <w:rsid w:val="00CD18B7"/>
    <w:rsid w:val="00CD2939"/>
    <w:rsid w:val="00CD3D89"/>
    <w:rsid w:val="00CD43C6"/>
    <w:rsid w:val="00CD5143"/>
    <w:rsid w:val="00CD592B"/>
    <w:rsid w:val="00CD6B8C"/>
    <w:rsid w:val="00CE1B76"/>
    <w:rsid w:val="00CE317B"/>
    <w:rsid w:val="00CE339B"/>
    <w:rsid w:val="00CE3B15"/>
    <w:rsid w:val="00CE5A11"/>
    <w:rsid w:val="00CE7E0D"/>
    <w:rsid w:val="00CF2A6C"/>
    <w:rsid w:val="00CF4D1D"/>
    <w:rsid w:val="00CF4EB2"/>
    <w:rsid w:val="00CF71C5"/>
    <w:rsid w:val="00CF7B52"/>
    <w:rsid w:val="00CF7EA3"/>
    <w:rsid w:val="00D00812"/>
    <w:rsid w:val="00D01115"/>
    <w:rsid w:val="00D02201"/>
    <w:rsid w:val="00D02921"/>
    <w:rsid w:val="00D03D95"/>
    <w:rsid w:val="00D04B71"/>
    <w:rsid w:val="00D05F6A"/>
    <w:rsid w:val="00D10939"/>
    <w:rsid w:val="00D10DCD"/>
    <w:rsid w:val="00D11485"/>
    <w:rsid w:val="00D11822"/>
    <w:rsid w:val="00D12A1F"/>
    <w:rsid w:val="00D13F14"/>
    <w:rsid w:val="00D16318"/>
    <w:rsid w:val="00D1643B"/>
    <w:rsid w:val="00D164D2"/>
    <w:rsid w:val="00D2096E"/>
    <w:rsid w:val="00D2103C"/>
    <w:rsid w:val="00D21C0D"/>
    <w:rsid w:val="00D2439C"/>
    <w:rsid w:val="00D2513D"/>
    <w:rsid w:val="00D2537B"/>
    <w:rsid w:val="00D25D4A"/>
    <w:rsid w:val="00D2661F"/>
    <w:rsid w:val="00D301F3"/>
    <w:rsid w:val="00D30EDD"/>
    <w:rsid w:val="00D33195"/>
    <w:rsid w:val="00D33436"/>
    <w:rsid w:val="00D3701B"/>
    <w:rsid w:val="00D37D23"/>
    <w:rsid w:val="00D4139A"/>
    <w:rsid w:val="00D42A99"/>
    <w:rsid w:val="00D43064"/>
    <w:rsid w:val="00D464A2"/>
    <w:rsid w:val="00D46DE6"/>
    <w:rsid w:val="00D4792C"/>
    <w:rsid w:val="00D503C5"/>
    <w:rsid w:val="00D512D0"/>
    <w:rsid w:val="00D51B6F"/>
    <w:rsid w:val="00D5442C"/>
    <w:rsid w:val="00D57E4A"/>
    <w:rsid w:val="00D60111"/>
    <w:rsid w:val="00D603D2"/>
    <w:rsid w:val="00D60FF2"/>
    <w:rsid w:val="00D61E06"/>
    <w:rsid w:val="00D62E91"/>
    <w:rsid w:val="00D63663"/>
    <w:rsid w:val="00D65A98"/>
    <w:rsid w:val="00D65B8E"/>
    <w:rsid w:val="00D663F6"/>
    <w:rsid w:val="00D72202"/>
    <w:rsid w:val="00D727F1"/>
    <w:rsid w:val="00D7323C"/>
    <w:rsid w:val="00D7412C"/>
    <w:rsid w:val="00D74E00"/>
    <w:rsid w:val="00D76DAF"/>
    <w:rsid w:val="00D822AB"/>
    <w:rsid w:val="00D822B3"/>
    <w:rsid w:val="00D83412"/>
    <w:rsid w:val="00D83AE0"/>
    <w:rsid w:val="00D843CC"/>
    <w:rsid w:val="00D845DF"/>
    <w:rsid w:val="00D872E8"/>
    <w:rsid w:val="00D874F3"/>
    <w:rsid w:val="00D87BD5"/>
    <w:rsid w:val="00D90D50"/>
    <w:rsid w:val="00D91A64"/>
    <w:rsid w:val="00D921A8"/>
    <w:rsid w:val="00D94213"/>
    <w:rsid w:val="00D97169"/>
    <w:rsid w:val="00D971BF"/>
    <w:rsid w:val="00DA00A8"/>
    <w:rsid w:val="00DA03C3"/>
    <w:rsid w:val="00DA1ED8"/>
    <w:rsid w:val="00DA2B57"/>
    <w:rsid w:val="00DA5860"/>
    <w:rsid w:val="00DA6370"/>
    <w:rsid w:val="00DA68A4"/>
    <w:rsid w:val="00DA72E5"/>
    <w:rsid w:val="00DB0030"/>
    <w:rsid w:val="00DB0CD4"/>
    <w:rsid w:val="00DB0E95"/>
    <w:rsid w:val="00DB22A0"/>
    <w:rsid w:val="00DB37B6"/>
    <w:rsid w:val="00DB5F46"/>
    <w:rsid w:val="00DB7B2B"/>
    <w:rsid w:val="00DB7E29"/>
    <w:rsid w:val="00DC280F"/>
    <w:rsid w:val="00DC7C3B"/>
    <w:rsid w:val="00DD08D5"/>
    <w:rsid w:val="00DD0C04"/>
    <w:rsid w:val="00DD2A23"/>
    <w:rsid w:val="00DD2B1F"/>
    <w:rsid w:val="00DD4B27"/>
    <w:rsid w:val="00DD5CD4"/>
    <w:rsid w:val="00DD6212"/>
    <w:rsid w:val="00DD6324"/>
    <w:rsid w:val="00DD780D"/>
    <w:rsid w:val="00DE02D5"/>
    <w:rsid w:val="00DE2895"/>
    <w:rsid w:val="00DE4A98"/>
    <w:rsid w:val="00DE5C95"/>
    <w:rsid w:val="00DE6FB5"/>
    <w:rsid w:val="00DF47BB"/>
    <w:rsid w:val="00E0166A"/>
    <w:rsid w:val="00E01B7B"/>
    <w:rsid w:val="00E02A9A"/>
    <w:rsid w:val="00E04A38"/>
    <w:rsid w:val="00E05135"/>
    <w:rsid w:val="00E1090B"/>
    <w:rsid w:val="00E13838"/>
    <w:rsid w:val="00E1384D"/>
    <w:rsid w:val="00E142A9"/>
    <w:rsid w:val="00E16082"/>
    <w:rsid w:val="00E16371"/>
    <w:rsid w:val="00E177E3"/>
    <w:rsid w:val="00E2217F"/>
    <w:rsid w:val="00E2398D"/>
    <w:rsid w:val="00E23FDC"/>
    <w:rsid w:val="00E24C20"/>
    <w:rsid w:val="00E25774"/>
    <w:rsid w:val="00E26401"/>
    <w:rsid w:val="00E26A96"/>
    <w:rsid w:val="00E27746"/>
    <w:rsid w:val="00E306B2"/>
    <w:rsid w:val="00E314BF"/>
    <w:rsid w:val="00E3170B"/>
    <w:rsid w:val="00E31D04"/>
    <w:rsid w:val="00E32724"/>
    <w:rsid w:val="00E35934"/>
    <w:rsid w:val="00E3631F"/>
    <w:rsid w:val="00E36E15"/>
    <w:rsid w:val="00E36E2E"/>
    <w:rsid w:val="00E43134"/>
    <w:rsid w:val="00E43965"/>
    <w:rsid w:val="00E455F2"/>
    <w:rsid w:val="00E46273"/>
    <w:rsid w:val="00E476A8"/>
    <w:rsid w:val="00E5205F"/>
    <w:rsid w:val="00E53A42"/>
    <w:rsid w:val="00E53F75"/>
    <w:rsid w:val="00E553CD"/>
    <w:rsid w:val="00E55892"/>
    <w:rsid w:val="00E55F49"/>
    <w:rsid w:val="00E601AA"/>
    <w:rsid w:val="00E62967"/>
    <w:rsid w:val="00E637F3"/>
    <w:rsid w:val="00E65300"/>
    <w:rsid w:val="00E663F7"/>
    <w:rsid w:val="00E727A3"/>
    <w:rsid w:val="00E72AC9"/>
    <w:rsid w:val="00E74133"/>
    <w:rsid w:val="00E7590C"/>
    <w:rsid w:val="00E7638C"/>
    <w:rsid w:val="00E7641B"/>
    <w:rsid w:val="00E8117A"/>
    <w:rsid w:val="00E81BA9"/>
    <w:rsid w:val="00E81BAC"/>
    <w:rsid w:val="00E85BAB"/>
    <w:rsid w:val="00E92181"/>
    <w:rsid w:val="00E92343"/>
    <w:rsid w:val="00E936C3"/>
    <w:rsid w:val="00E9448D"/>
    <w:rsid w:val="00E9556D"/>
    <w:rsid w:val="00E96BD7"/>
    <w:rsid w:val="00E96F00"/>
    <w:rsid w:val="00EA04F7"/>
    <w:rsid w:val="00EA1286"/>
    <w:rsid w:val="00EA32B1"/>
    <w:rsid w:val="00EA3BEC"/>
    <w:rsid w:val="00EA45D1"/>
    <w:rsid w:val="00EB0252"/>
    <w:rsid w:val="00EB10A4"/>
    <w:rsid w:val="00EB347C"/>
    <w:rsid w:val="00EB348D"/>
    <w:rsid w:val="00EB3860"/>
    <w:rsid w:val="00EB594C"/>
    <w:rsid w:val="00EB6FAD"/>
    <w:rsid w:val="00EC0323"/>
    <w:rsid w:val="00EC08BE"/>
    <w:rsid w:val="00EC0D8F"/>
    <w:rsid w:val="00EC1AD2"/>
    <w:rsid w:val="00EC31C6"/>
    <w:rsid w:val="00ED091C"/>
    <w:rsid w:val="00ED1A6A"/>
    <w:rsid w:val="00ED1ABC"/>
    <w:rsid w:val="00ED1EBD"/>
    <w:rsid w:val="00ED24CF"/>
    <w:rsid w:val="00ED3D57"/>
    <w:rsid w:val="00ED40DA"/>
    <w:rsid w:val="00ED449F"/>
    <w:rsid w:val="00ED57F8"/>
    <w:rsid w:val="00ED6AB0"/>
    <w:rsid w:val="00ED73D8"/>
    <w:rsid w:val="00EE0BFC"/>
    <w:rsid w:val="00EE218A"/>
    <w:rsid w:val="00EE2D0B"/>
    <w:rsid w:val="00EE5888"/>
    <w:rsid w:val="00EF2D72"/>
    <w:rsid w:val="00EF33D0"/>
    <w:rsid w:val="00EF5781"/>
    <w:rsid w:val="00F007E1"/>
    <w:rsid w:val="00F04E28"/>
    <w:rsid w:val="00F05C15"/>
    <w:rsid w:val="00F111F8"/>
    <w:rsid w:val="00F11BBE"/>
    <w:rsid w:val="00F12290"/>
    <w:rsid w:val="00F12428"/>
    <w:rsid w:val="00F12A34"/>
    <w:rsid w:val="00F13E21"/>
    <w:rsid w:val="00F16792"/>
    <w:rsid w:val="00F21221"/>
    <w:rsid w:val="00F2310F"/>
    <w:rsid w:val="00F24436"/>
    <w:rsid w:val="00F244BE"/>
    <w:rsid w:val="00F24897"/>
    <w:rsid w:val="00F26438"/>
    <w:rsid w:val="00F26AA9"/>
    <w:rsid w:val="00F2785A"/>
    <w:rsid w:val="00F3056E"/>
    <w:rsid w:val="00F30B79"/>
    <w:rsid w:val="00F3199A"/>
    <w:rsid w:val="00F33430"/>
    <w:rsid w:val="00F3382D"/>
    <w:rsid w:val="00F33B9A"/>
    <w:rsid w:val="00F35B6A"/>
    <w:rsid w:val="00F37E1A"/>
    <w:rsid w:val="00F414BC"/>
    <w:rsid w:val="00F43AB8"/>
    <w:rsid w:val="00F440A1"/>
    <w:rsid w:val="00F46D02"/>
    <w:rsid w:val="00F514AF"/>
    <w:rsid w:val="00F51579"/>
    <w:rsid w:val="00F5167C"/>
    <w:rsid w:val="00F519C5"/>
    <w:rsid w:val="00F51FE7"/>
    <w:rsid w:val="00F51FF3"/>
    <w:rsid w:val="00F52234"/>
    <w:rsid w:val="00F532CD"/>
    <w:rsid w:val="00F541FD"/>
    <w:rsid w:val="00F55684"/>
    <w:rsid w:val="00F55AAD"/>
    <w:rsid w:val="00F55F51"/>
    <w:rsid w:val="00F56962"/>
    <w:rsid w:val="00F57E3A"/>
    <w:rsid w:val="00F60BE1"/>
    <w:rsid w:val="00F62BF6"/>
    <w:rsid w:val="00F64B30"/>
    <w:rsid w:val="00F65FA8"/>
    <w:rsid w:val="00F66ED2"/>
    <w:rsid w:val="00F77765"/>
    <w:rsid w:val="00F80650"/>
    <w:rsid w:val="00F82384"/>
    <w:rsid w:val="00F827E0"/>
    <w:rsid w:val="00F8302A"/>
    <w:rsid w:val="00F83804"/>
    <w:rsid w:val="00F90FA3"/>
    <w:rsid w:val="00F9263B"/>
    <w:rsid w:val="00F933A3"/>
    <w:rsid w:val="00F96EDE"/>
    <w:rsid w:val="00F97A02"/>
    <w:rsid w:val="00FA010F"/>
    <w:rsid w:val="00FA0455"/>
    <w:rsid w:val="00FA0623"/>
    <w:rsid w:val="00FA0BF6"/>
    <w:rsid w:val="00FA11EA"/>
    <w:rsid w:val="00FA6C9F"/>
    <w:rsid w:val="00FB1B28"/>
    <w:rsid w:val="00FB25CA"/>
    <w:rsid w:val="00FB32DD"/>
    <w:rsid w:val="00FB4F25"/>
    <w:rsid w:val="00FC2898"/>
    <w:rsid w:val="00FC335A"/>
    <w:rsid w:val="00FC3D90"/>
    <w:rsid w:val="00FC4433"/>
    <w:rsid w:val="00FD1A90"/>
    <w:rsid w:val="00FD1C33"/>
    <w:rsid w:val="00FD2D28"/>
    <w:rsid w:val="00FD3276"/>
    <w:rsid w:val="00FD51FF"/>
    <w:rsid w:val="00FD65B0"/>
    <w:rsid w:val="00FD668B"/>
    <w:rsid w:val="00FD7B3F"/>
    <w:rsid w:val="00FE1572"/>
    <w:rsid w:val="00FE2058"/>
    <w:rsid w:val="00FE2C70"/>
    <w:rsid w:val="00FE4181"/>
    <w:rsid w:val="00FE4D0B"/>
    <w:rsid w:val="00FE5826"/>
    <w:rsid w:val="00FE7C3A"/>
    <w:rsid w:val="00FF05C5"/>
    <w:rsid w:val="00FF0A52"/>
    <w:rsid w:val="00FF55CF"/>
    <w:rsid w:val="00FF6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DEB8"/>
  <w14:defaultImageDpi w14:val="32767"/>
  <w15:chartTrackingRefBased/>
  <w15:docId w15:val="{3400ACED-96A4-3F42-8140-BA30BB57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C722A"/>
    <w:rPr>
      <w:rFonts w:eastAsia="Times New Roman" w:cs="Times New Roman"/>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171F26"/>
    <w:rPr>
      <w:sz w:val="20"/>
      <w:szCs w:val="20"/>
      <w:lang w:eastAsia="en-US"/>
    </w:rPr>
  </w:style>
  <w:style w:type="character" w:customStyle="1" w:styleId="FootnoteTextChar">
    <w:name w:val="Footnote Text Char"/>
    <w:basedOn w:val="DefaultParagraphFont"/>
    <w:link w:val="FootnoteText"/>
    <w:rsid w:val="00171F26"/>
    <w:rPr>
      <w:rFonts w:eastAsia="Times New Roman" w:cs="Times New Roman"/>
      <w:sz w:val="20"/>
      <w:szCs w:val="20"/>
    </w:rPr>
  </w:style>
  <w:style w:type="character" w:styleId="FootnoteReference">
    <w:name w:val="footnote reference"/>
    <w:basedOn w:val="DefaultParagraphFont"/>
    <w:uiPriority w:val="99"/>
    <w:unhideWhenUsed/>
    <w:rsid w:val="00171F26"/>
    <w:rPr>
      <w:vertAlign w:val="superscript"/>
    </w:rPr>
  </w:style>
  <w:style w:type="character" w:customStyle="1" w:styleId="apple-converted-space">
    <w:name w:val="apple-converted-space"/>
    <w:basedOn w:val="DefaultParagraphFont"/>
    <w:rsid w:val="00171F26"/>
  </w:style>
  <w:style w:type="character" w:customStyle="1" w:styleId="s2">
    <w:name w:val="s2"/>
    <w:basedOn w:val="DefaultParagraphFont"/>
    <w:rsid w:val="00171F26"/>
  </w:style>
  <w:style w:type="character" w:customStyle="1" w:styleId="s3">
    <w:name w:val="s3"/>
    <w:basedOn w:val="DefaultParagraphFont"/>
    <w:rsid w:val="00171F26"/>
  </w:style>
  <w:style w:type="character" w:customStyle="1" w:styleId="s4">
    <w:name w:val="s4"/>
    <w:basedOn w:val="DefaultParagraphFont"/>
    <w:rsid w:val="00285199"/>
  </w:style>
  <w:style w:type="paragraph" w:styleId="ListParagraph">
    <w:name w:val="List Paragraph"/>
    <w:basedOn w:val="Normal"/>
    <w:uiPriority w:val="34"/>
    <w:qFormat/>
    <w:rsid w:val="00F24436"/>
    <w:pPr>
      <w:ind w:left="720"/>
      <w:contextualSpacing/>
    </w:pPr>
    <w:rPr>
      <w:lang w:eastAsia="en-US"/>
    </w:rPr>
  </w:style>
  <w:style w:type="paragraph" w:styleId="Header">
    <w:name w:val="header"/>
    <w:basedOn w:val="Normal"/>
    <w:link w:val="HeaderChar"/>
    <w:uiPriority w:val="99"/>
    <w:unhideWhenUsed/>
    <w:rsid w:val="00A05AB7"/>
    <w:pPr>
      <w:tabs>
        <w:tab w:val="center" w:pos="4513"/>
        <w:tab w:val="right" w:pos="9026"/>
      </w:tabs>
    </w:pPr>
    <w:rPr>
      <w:lang w:eastAsia="en-US"/>
    </w:rPr>
  </w:style>
  <w:style w:type="character" w:customStyle="1" w:styleId="HeaderChar">
    <w:name w:val="Header Char"/>
    <w:basedOn w:val="DefaultParagraphFont"/>
    <w:link w:val="Header"/>
    <w:uiPriority w:val="99"/>
    <w:rsid w:val="00A05AB7"/>
    <w:rPr>
      <w:rFonts w:eastAsia="Times New Roman" w:cs="Times New Roman"/>
      <w:sz w:val="24"/>
    </w:rPr>
  </w:style>
  <w:style w:type="paragraph" w:styleId="Footer">
    <w:name w:val="footer"/>
    <w:basedOn w:val="Normal"/>
    <w:link w:val="FooterChar"/>
    <w:uiPriority w:val="99"/>
    <w:unhideWhenUsed/>
    <w:rsid w:val="00A05AB7"/>
    <w:pPr>
      <w:tabs>
        <w:tab w:val="center" w:pos="4513"/>
        <w:tab w:val="right" w:pos="9026"/>
      </w:tabs>
    </w:pPr>
    <w:rPr>
      <w:lang w:eastAsia="en-US"/>
    </w:rPr>
  </w:style>
  <w:style w:type="character" w:customStyle="1" w:styleId="FooterChar">
    <w:name w:val="Footer Char"/>
    <w:basedOn w:val="DefaultParagraphFont"/>
    <w:link w:val="Footer"/>
    <w:uiPriority w:val="99"/>
    <w:rsid w:val="00A05AB7"/>
    <w:rPr>
      <w:rFonts w:eastAsia="Times New Roman" w:cs="Times New Roman"/>
      <w:sz w:val="24"/>
    </w:rPr>
  </w:style>
  <w:style w:type="character" w:styleId="PageNumber">
    <w:name w:val="page number"/>
    <w:basedOn w:val="DefaultParagraphFont"/>
    <w:uiPriority w:val="99"/>
    <w:semiHidden/>
    <w:unhideWhenUsed/>
    <w:rsid w:val="00A05AB7"/>
  </w:style>
  <w:style w:type="paragraph" w:customStyle="1" w:styleId="Body">
    <w:name w:val="Body"/>
    <w:rsid w:val="00834428"/>
    <w:pPr>
      <w:pBdr>
        <w:top w:val="nil"/>
        <w:left w:val="nil"/>
        <w:bottom w:val="nil"/>
        <w:right w:val="nil"/>
        <w:between w:val="nil"/>
        <w:bar w:val="nil"/>
      </w:pBdr>
    </w:pPr>
    <w:rPr>
      <w:rFonts w:ascii="Helvetica" w:eastAsia="Arial Unicode MS" w:hAnsi="Arial Unicode MS" w:cs="Arial Unicode MS"/>
      <w:color w:val="000000"/>
      <w:szCs w:val="22"/>
      <w:bdr w:val="nil"/>
      <w:lang w:val="en-US"/>
    </w:rPr>
  </w:style>
  <w:style w:type="paragraph" w:styleId="NormalWeb">
    <w:name w:val="Normal (Web)"/>
    <w:basedOn w:val="Normal"/>
    <w:uiPriority w:val="99"/>
    <w:unhideWhenUsed/>
    <w:rsid w:val="00057AA2"/>
    <w:pPr>
      <w:spacing w:before="100" w:beforeAutospacing="1" w:after="100" w:afterAutospacing="1"/>
    </w:pPr>
  </w:style>
  <w:style w:type="character" w:styleId="Emphasis">
    <w:name w:val="Emphasis"/>
    <w:basedOn w:val="DefaultParagraphFont"/>
    <w:uiPriority w:val="20"/>
    <w:qFormat/>
    <w:rsid w:val="009922B6"/>
    <w:rPr>
      <w:i/>
      <w:iCs/>
    </w:rPr>
  </w:style>
  <w:style w:type="paragraph" w:styleId="BalloonText">
    <w:name w:val="Balloon Text"/>
    <w:basedOn w:val="Normal"/>
    <w:link w:val="BalloonTextChar"/>
    <w:uiPriority w:val="99"/>
    <w:semiHidden/>
    <w:unhideWhenUsed/>
    <w:rsid w:val="00B32008"/>
    <w:rPr>
      <w:sz w:val="18"/>
      <w:szCs w:val="18"/>
      <w:lang w:eastAsia="en-US"/>
    </w:rPr>
  </w:style>
  <w:style w:type="character" w:customStyle="1" w:styleId="BalloonTextChar">
    <w:name w:val="Balloon Text Char"/>
    <w:basedOn w:val="DefaultParagraphFont"/>
    <w:link w:val="BalloonText"/>
    <w:uiPriority w:val="99"/>
    <w:semiHidden/>
    <w:rsid w:val="00B32008"/>
    <w:rPr>
      <w:rFonts w:eastAsia="Times New Roman" w:cs="Times New Roman"/>
      <w:sz w:val="18"/>
      <w:szCs w:val="18"/>
    </w:rPr>
  </w:style>
  <w:style w:type="character" w:customStyle="1" w:styleId="s19">
    <w:name w:val="s19"/>
    <w:basedOn w:val="DefaultParagraphFont"/>
    <w:rsid w:val="008D2A9C"/>
  </w:style>
  <w:style w:type="character" w:customStyle="1" w:styleId="s13">
    <w:name w:val="s13"/>
    <w:basedOn w:val="DefaultParagraphFont"/>
    <w:rsid w:val="005C7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8945">
      <w:bodyDiv w:val="1"/>
      <w:marLeft w:val="0"/>
      <w:marRight w:val="0"/>
      <w:marTop w:val="0"/>
      <w:marBottom w:val="0"/>
      <w:divBdr>
        <w:top w:val="none" w:sz="0" w:space="0" w:color="auto"/>
        <w:left w:val="none" w:sz="0" w:space="0" w:color="auto"/>
        <w:bottom w:val="none" w:sz="0" w:space="0" w:color="auto"/>
        <w:right w:val="none" w:sz="0" w:space="0" w:color="auto"/>
      </w:divBdr>
    </w:div>
    <w:div w:id="21370743">
      <w:bodyDiv w:val="1"/>
      <w:marLeft w:val="0"/>
      <w:marRight w:val="0"/>
      <w:marTop w:val="0"/>
      <w:marBottom w:val="0"/>
      <w:divBdr>
        <w:top w:val="none" w:sz="0" w:space="0" w:color="auto"/>
        <w:left w:val="none" w:sz="0" w:space="0" w:color="auto"/>
        <w:bottom w:val="none" w:sz="0" w:space="0" w:color="auto"/>
        <w:right w:val="none" w:sz="0" w:space="0" w:color="auto"/>
      </w:divBdr>
      <w:divsChild>
        <w:div w:id="830024220">
          <w:marLeft w:val="0"/>
          <w:marRight w:val="0"/>
          <w:marTop w:val="0"/>
          <w:marBottom w:val="0"/>
          <w:divBdr>
            <w:top w:val="none" w:sz="0" w:space="0" w:color="auto"/>
            <w:left w:val="none" w:sz="0" w:space="0" w:color="auto"/>
            <w:bottom w:val="none" w:sz="0" w:space="0" w:color="auto"/>
            <w:right w:val="none" w:sz="0" w:space="0" w:color="auto"/>
          </w:divBdr>
          <w:divsChild>
            <w:div w:id="1489711402">
              <w:marLeft w:val="0"/>
              <w:marRight w:val="0"/>
              <w:marTop w:val="0"/>
              <w:marBottom w:val="0"/>
              <w:divBdr>
                <w:top w:val="none" w:sz="0" w:space="0" w:color="auto"/>
                <w:left w:val="none" w:sz="0" w:space="0" w:color="auto"/>
                <w:bottom w:val="none" w:sz="0" w:space="0" w:color="auto"/>
                <w:right w:val="none" w:sz="0" w:space="0" w:color="auto"/>
              </w:divBdr>
              <w:divsChild>
                <w:div w:id="165467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6395">
      <w:bodyDiv w:val="1"/>
      <w:marLeft w:val="0"/>
      <w:marRight w:val="0"/>
      <w:marTop w:val="0"/>
      <w:marBottom w:val="0"/>
      <w:divBdr>
        <w:top w:val="none" w:sz="0" w:space="0" w:color="auto"/>
        <w:left w:val="none" w:sz="0" w:space="0" w:color="auto"/>
        <w:bottom w:val="none" w:sz="0" w:space="0" w:color="auto"/>
        <w:right w:val="none" w:sz="0" w:space="0" w:color="auto"/>
      </w:divBdr>
    </w:div>
    <w:div w:id="100613138">
      <w:bodyDiv w:val="1"/>
      <w:marLeft w:val="0"/>
      <w:marRight w:val="0"/>
      <w:marTop w:val="0"/>
      <w:marBottom w:val="0"/>
      <w:divBdr>
        <w:top w:val="none" w:sz="0" w:space="0" w:color="auto"/>
        <w:left w:val="none" w:sz="0" w:space="0" w:color="auto"/>
        <w:bottom w:val="none" w:sz="0" w:space="0" w:color="auto"/>
        <w:right w:val="none" w:sz="0" w:space="0" w:color="auto"/>
      </w:divBdr>
    </w:div>
    <w:div w:id="193344548">
      <w:bodyDiv w:val="1"/>
      <w:marLeft w:val="0"/>
      <w:marRight w:val="0"/>
      <w:marTop w:val="0"/>
      <w:marBottom w:val="0"/>
      <w:divBdr>
        <w:top w:val="none" w:sz="0" w:space="0" w:color="auto"/>
        <w:left w:val="none" w:sz="0" w:space="0" w:color="auto"/>
        <w:bottom w:val="none" w:sz="0" w:space="0" w:color="auto"/>
        <w:right w:val="none" w:sz="0" w:space="0" w:color="auto"/>
      </w:divBdr>
    </w:div>
    <w:div w:id="202913668">
      <w:bodyDiv w:val="1"/>
      <w:marLeft w:val="0"/>
      <w:marRight w:val="0"/>
      <w:marTop w:val="0"/>
      <w:marBottom w:val="0"/>
      <w:divBdr>
        <w:top w:val="none" w:sz="0" w:space="0" w:color="auto"/>
        <w:left w:val="none" w:sz="0" w:space="0" w:color="auto"/>
        <w:bottom w:val="none" w:sz="0" w:space="0" w:color="auto"/>
        <w:right w:val="none" w:sz="0" w:space="0" w:color="auto"/>
      </w:divBdr>
    </w:div>
    <w:div w:id="224534880">
      <w:bodyDiv w:val="1"/>
      <w:marLeft w:val="0"/>
      <w:marRight w:val="0"/>
      <w:marTop w:val="0"/>
      <w:marBottom w:val="0"/>
      <w:divBdr>
        <w:top w:val="none" w:sz="0" w:space="0" w:color="auto"/>
        <w:left w:val="none" w:sz="0" w:space="0" w:color="auto"/>
        <w:bottom w:val="none" w:sz="0" w:space="0" w:color="auto"/>
        <w:right w:val="none" w:sz="0" w:space="0" w:color="auto"/>
      </w:divBdr>
      <w:divsChild>
        <w:div w:id="658965041">
          <w:marLeft w:val="0"/>
          <w:marRight w:val="0"/>
          <w:marTop w:val="0"/>
          <w:marBottom w:val="0"/>
          <w:divBdr>
            <w:top w:val="none" w:sz="0" w:space="0" w:color="auto"/>
            <w:left w:val="none" w:sz="0" w:space="0" w:color="auto"/>
            <w:bottom w:val="none" w:sz="0" w:space="0" w:color="auto"/>
            <w:right w:val="none" w:sz="0" w:space="0" w:color="auto"/>
          </w:divBdr>
          <w:divsChild>
            <w:div w:id="2024553697">
              <w:marLeft w:val="0"/>
              <w:marRight w:val="0"/>
              <w:marTop w:val="0"/>
              <w:marBottom w:val="0"/>
              <w:divBdr>
                <w:top w:val="none" w:sz="0" w:space="0" w:color="auto"/>
                <w:left w:val="none" w:sz="0" w:space="0" w:color="auto"/>
                <w:bottom w:val="none" w:sz="0" w:space="0" w:color="auto"/>
                <w:right w:val="none" w:sz="0" w:space="0" w:color="auto"/>
              </w:divBdr>
              <w:divsChild>
                <w:div w:id="1248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040329">
      <w:bodyDiv w:val="1"/>
      <w:marLeft w:val="0"/>
      <w:marRight w:val="0"/>
      <w:marTop w:val="0"/>
      <w:marBottom w:val="0"/>
      <w:divBdr>
        <w:top w:val="none" w:sz="0" w:space="0" w:color="auto"/>
        <w:left w:val="none" w:sz="0" w:space="0" w:color="auto"/>
        <w:bottom w:val="none" w:sz="0" w:space="0" w:color="auto"/>
        <w:right w:val="none" w:sz="0" w:space="0" w:color="auto"/>
      </w:divBdr>
    </w:div>
    <w:div w:id="308095614">
      <w:bodyDiv w:val="1"/>
      <w:marLeft w:val="0"/>
      <w:marRight w:val="0"/>
      <w:marTop w:val="0"/>
      <w:marBottom w:val="0"/>
      <w:divBdr>
        <w:top w:val="none" w:sz="0" w:space="0" w:color="auto"/>
        <w:left w:val="none" w:sz="0" w:space="0" w:color="auto"/>
        <w:bottom w:val="none" w:sz="0" w:space="0" w:color="auto"/>
        <w:right w:val="none" w:sz="0" w:space="0" w:color="auto"/>
      </w:divBdr>
    </w:div>
    <w:div w:id="347948599">
      <w:bodyDiv w:val="1"/>
      <w:marLeft w:val="0"/>
      <w:marRight w:val="0"/>
      <w:marTop w:val="0"/>
      <w:marBottom w:val="0"/>
      <w:divBdr>
        <w:top w:val="none" w:sz="0" w:space="0" w:color="auto"/>
        <w:left w:val="none" w:sz="0" w:space="0" w:color="auto"/>
        <w:bottom w:val="none" w:sz="0" w:space="0" w:color="auto"/>
        <w:right w:val="none" w:sz="0" w:space="0" w:color="auto"/>
      </w:divBdr>
      <w:divsChild>
        <w:div w:id="1286156165">
          <w:marLeft w:val="0"/>
          <w:marRight w:val="0"/>
          <w:marTop w:val="0"/>
          <w:marBottom w:val="0"/>
          <w:divBdr>
            <w:top w:val="none" w:sz="0" w:space="0" w:color="auto"/>
            <w:left w:val="none" w:sz="0" w:space="0" w:color="auto"/>
            <w:bottom w:val="none" w:sz="0" w:space="0" w:color="auto"/>
            <w:right w:val="none" w:sz="0" w:space="0" w:color="auto"/>
          </w:divBdr>
          <w:divsChild>
            <w:div w:id="1373186490">
              <w:marLeft w:val="0"/>
              <w:marRight w:val="0"/>
              <w:marTop w:val="0"/>
              <w:marBottom w:val="0"/>
              <w:divBdr>
                <w:top w:val="none" w:sz="0" w:space="0" w:color="auto"/>
                <w:left w:val="none" w:sz="0" w:space="0" w:color="auto"/>
                <w:bottom w:val="none" w:sz="0" w:space="0" w:color="auto"/>
                <w:right w:val="none" w:sz="0" w:space="0" w:color="auto"/>
              </w:divBdr>
              <w:divsChild>
                <w:div w:id="101149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6205">
      <w:bodyDiv w:val="1"/>
      <w:marLeft w:val="0"/>
      <w:marRight w:val="0"/>
      <w:marTop w:val="0"/>
      <w:marBottom w:val="0"/>
      <w:divBdr>
        <w:top w:val="none" w:sz="0" w:space="0" w:color="auto"/>
        <w:left w:val="none" w:sz="0" w:space="0" w:color="auto"/>
        <w:bottom w:val="none" w:sz="0" w:space="0" w:color="auto"/>
        <w:right w:val="none" w:sz="0" w:space="0" w:color="auto"/>
      </w:divBdr>
    </w:div>
    <w:div w:id="439880200">
      <w:bodyDiv w:val="1"/>
      <w:marLeft w:val="0"/>
      <w:marRight w:val="0"/>
      <w:marTop w:val="0"/>
      <w:marBottom w:val="0"/>
      <w:divBdr>
        <w:top w:val="none" w:sz="0" w:space="0" w:color="auto"/>
        <w:left w:val="none" w:sz="0" w:space="0" w:color="auto"/>
        <w:bottom w:val="none" w:sz="0" w:space="0" w:color="auto"/>
        <w:right w:val="none" w:sz="0" w:space="0" w:color="auto"/>
      </w:divBdr>
    </w:div>
    <w:div w:id="460880952">
      <w:bodyDiv w:val="1"/>
      <w:marLeft w:val="0"/>
      <w:marRight w:val="0"/>
      <w:marTop w:val="0"/>
      <w:marBottom w:val="0"/>
      <w:divBdr>
        <w:top w:val="none" w:sz="0" w:space="0" w:color="auto"/>
        <w:left w:val="none" w:sz="0" w:space="0" w:color="auto"/>
        <w:bottom w:val="none" w:sz="0" w:space="0" w:color="auto"/>
        <w:right w:val="none" w:sz="0" w:space="0" w:color="auto"/>
      </w:divBdr>
    </w:div>
    <w:div w:id="485098075">
      <w:bodyDiv w:val="1"/>
      <w:marLeft w:val="0"/>
      <w:marRight w:val="0"/>
      <w:marTop w:val="0"/>
      <w:marBottom w:val="0"/>
      <w:divBdr>
        <w:top w:val="none" w:sz="0" w:space="0" w:color="auto"/>
        <w:left w:val="none" w:sz="0" w:space="0" w:color="auto"/>
        <w:bottom w:val="none" w:sz="0" w:space="0" w:color="auto"/>
        <w:right w:val="none" w:sz="0" w:space="0" w:color="auto"/>
      </w:divBdr>
    </w:div>
    <w:div w:id="549192783">
      <w:bodyDiv w:val="1"/>
      <w:marLeft w:val="0"/>
      <w:marRight w:val="0"/>
      <w:marTop w:val="0"/>
      <w:marBottom w:val="0"/>
      <w:divBdr>
        <w:top w:val="none" w:sz="0" w:space="0" w:color="auto"/>
        <w:left w:val="none" w:sz="0" w:space="0" w:color="auto"/>
        <w:bottom w:val="none" w:sz="0" w:space="0" w:color="auto"/>
        <w:right w:val="none" w:sz="0" w:space="0" w:color="auto"/>
      </w:divBdr>
    </w:div>
    <w:div w:id="624624561">
      <w:bodyDiv w:val="1"/>
      <w:marLeft w:val="0"/>
      <w:marRight w:val="0"/>
      <w:marTop w:val="0"/>
      <w:marBottom w:val="0"/>
      <w:divBdr>
        <w:top w:val="none" w:sz="0" w:space="0" w:color="auto"/>
        <w:left w:val="none" w:sz="0" w:space="0" w:color="auto"/>
        <w:bottom w:val="none" w:sz="0" w:space="0" w:color="auto"/>
        <w:right w:val="none" w:sz="0" w:space="0" w:color="auto"/>
      </w:divBdr>
    </w:div>
    <w:div w:id="675156061">
      <w:bodyDiv w:val="1"/>
      <w:marLeft w:val="0"/>
      <w:marRight w:val="0"/>
      <w:marTop w:val="0"/>
      <w:marBottom w:val="0"/>
      <w:divBdr>
        <w:top w:val="none" w:sz="0" w:space="0" w:color="auto"/>
        <w:left w:val="none" w:sz="0" w:space="0" w:color="auto"/>
        <w:bottom w:val="none" w:sz="0" w:space="0" w:color="auto"/>
        <w:right w:val="none" w:sz="0" w:space="0" w:color="auto"/>
      </w:divBdr>
    </w:div>
    <w:div w:id="684021784">
      <w:bodyDiv w:val="1"/>
      <w:marLeft w:val="0"/>
      <w:marRight w:val="0"/>
      <w:marTop w:val="0"/>
      <w:marBottom w:val="0"/>
      <w:divBdr>
        <w:top w:val="none" w:sz="0" w:space="0" w:color="auto"/>
        <w:left w:val="none" w:sz="0" w:space="0" w:color="auto"/>
        <w:bottom w:val="none" w:sz="0" w:space="0" w:color="auto"/>
        <w:right w:val="none" w:sz="0" w:space="0" w:color="auto"/>
      </w:divBdr>
    </w:div>
    <w:div w:id="687293768">
      <w:bodyDiv w:val="1"/>
      <w:marLeft w:val="0"/>
      <w:marRight w:val="0"/>
      <w:marTop w:val="0"/>
      <w:marBottom w:val="0"/>
      <w:divBdr>
        <w:top w:val="none" w:sz="0" w:space="0" w:color="auto"/>
        <w:left w:val="none" w:sz="0" w:space="0" w:color="auto"/>
        <w:bottom w:val="none" w:sz="0" w:space="0" w:color="auto"/>
        <w:right w:val="none" w:sz="0" w:space="0" w:color="auto"/>
      </w:divBdr>
    </w:div>
    <w:div w:id="729813080">
      <w:bodyDiv w:val="1"/>
      <w:marLeft w:val="0"/>
      <w:marRight w:val="0"/>
      <w:marTop w:val="0"/>
      <w:marBottom w:val="0"/>
      <w:divBdr>
        <w:top w:val="none" w:sz="0" w:space="0" w:color="auto"/>
        <w:left w:val="none" w:sz="0" w:space="0" w:color="auto"/>
        <w:bottom w:val="none" w:sz="0" w:space="0" w:color="auto"/>
        <w:right w:val="none" w:sz="0" w:space="0" w:color="auto"/>
      </w:divBdr>
    </w:div>
    <w:div w:id="777873878">
      <w:bodyDiv w:val="1"/>
      <w:marLeft w:val="0"/>
      <w:marRight w:val="0"/>
      <w:marTop w:val="0"/>
      <w:marBottom w:val="0"/>
      <w:divBdr>
        <w:top w:val="none" w:sz="0" w:space="0" w:color="auto"/>
        <w:left w:val="none" w:sz="0" w:space="0" w:color="auto"/>
        <w:bottom w:val="none" w:sz="0" w:space="0" w:color="auto"/>
        <w:right w:val="none" w:sz="0" w:space="0" w:color="auto"/>
      </w:divBdr>
    </w:div>
    <w:div w:id="798500305">
      <w:bodyDiv w:val="1"/>
      <w:marLeft w:val="0"/>
      <w:marRight w:val="0"/>
      <w:marTop w:val="0"/>
      <w:marBottom w:val="0"/>
      <w:divBdr>
        <w:top w:val="none" w:sz="0" w:space="0" w:color="auto"/>
        <w:left w:val="none" w:sz="0" w:space="0" w:color="auto"/>
        <w:bottom w:val="none" w:sz="0" w:space="0" w:color="auto"/>
        <w:right w:val="none" w:sz="0" w:space="0" w:color="auto"/>
      </w:divBdr>
    </w:div>
    <w:div w:id="804466752">
      <w:bodyDiv w:val="1"/>
      <w:marLeft w:val="0"/>
      <w:marRight w:val="0"/>
      <w:marTop w:val="0"/>
      <w:marBottom w:val="0"/>
      <w:divBdr>
        <w:top w:val="none" w:sz="0" w:space="0" w:color="auto"/>
        <w:left w:val="none" w:sz="0" w:space="0" w:color="auto"/>
        <w:bottom w:val="none" w:sz="0" w:space="0" w:color="auto"/>
        <w:right w:val="none" w:sz="0" w:space="0" w:color="auto"/>
      </w:divBdr>
    </w:div>
    <w:div w:id="856506795">
      <w:bodyDiv w:val="1"/>
      <w:marLeft w:val="0"/>
      <w:marRight w:val="0"/>
      <w:marTop w:val="0"/>
      <w:marBottom w:val="0"/>
      <w:divBdr>
        <w:top w:val="none" w:sz="0" w:space="0" w:color="auto"/>
        <w:left w:val="none" w:sz="0" w:space="0" w:color="auto"/>
        <w:bottom w:val="none" w:sz="0" w:space="0" w:color="auto"/>
        <w:right w:val="none" w:sz="0" w:space="0" w:color="auto"/>
      </w:divBdr>
    </w:div>
    <w:div w:id="970479341">
      <w:bodyDiv w:val="1"/>
      <w:marLeft w:val="0"/>
      <w:marRight w:val="0"/>
      <w:marTop w:val="0"/>
      <w:marBottom w:val="0"/>
      <w:divBdr>
        <w:top w:val="none" w:sz="0" w:space="0" w:color="auto"/>
        <w:left w:val="none" w:sz="0" w:space="0" w:color="auto"/>
        <w:bottom w:val="none" w:sz="0" w:space="0" w:color="auto"/>
        <w:right w:val="none" w:sz="0" w:space="0" w:color="auto"/>
      </w:divBdr>
    </w:div>
    <w:div w:id="972096177">
      <w:bodyDiv w:val="1"/>
      <w:marLeft w:val="0"/>
      <w:marRight w:val="0"/>
      <w:marTop w:val="0"/>
      <w:marBottom w:val="0"/>
      <w:divBdr>
        <w:top w:val="none" w:sz="0" w:space="0" w:color="auto"/>
        <w:left w:val="none" w:sz="0" w:space="0" w:color="auto"/>
        <w:bottom w:val="none" w:sz="0" w:space="0" w:color="auto"/>
        <w:right w:val="none" w:sz="0" w:space="0" w:color="auto"/>
      </w:divBdr>
    </w:div>
    <w:div w:id="979070597">
      <w:bodyDiv w:val="1"/>
      <w:marLeft w:val="0"/>
      <w:marRight w:val="0"/>
      <w:marTop w:val="0"/>
      <w:marBottom w:val="0"/>
      <w:divBdr>
        <w:top w:val="none" w:sz="0" w:space="0" w:color="auto"/>
        <w:left w:val="none" w:sz="0" w:space="0" w:color="auto"/>
        <w:bottom w:val="none" w:sz="0" w:space="0" w:color="auto"/>
        <w:right w:val="none" w:sz="0" w:space="0" w:color="auto"/>
      </w:divBdr>
    </w:div>
    <w:div w:id="1007712395">
      <w:bodyDiv w:val="1"/>
      <w:marLeft w:val="0"/>
      <w:marRight w:val="0"/>
      <w:marTop w:val="0"/>
      <w:marBottom w:val="0"/>
      <w:divBdr>
        <w:top w:val="none" w:sz="0" w:space="0" w:color="auto"/>
        <w:left w:val="none" w:sz="0" w:space="0" w:color="auto"/>
        <w:bottom w:val="none" w:sz="0" w:space="0" w:color="auto"/>
        <w:right w:val="none" w:sz="0" w:space="0" w:color="auto"/>
      </w:divBdr>
    </w:div>
    <w:div w:id="1026054340">
      <w:bodyDiv w:val="1"/>
      <w:marLeft w:val="0"/>
      <w:marRight w:val="0"/>
      <w:marTop w:val="0"/>
      <w:marBottom w:val="0"/>
      <w:divBdr>
        <w:top w:val="none" w:sz="0" w:space="0" w:color="auto"/>
        <w:left w:val="none" w:sz="0" w:space="0" w:color="auto"/>
        <w:bottom w:val="none" w:sz="0" w:space="0" w:color="auto"/>
        <w:right w:val="none" w:sz="0" w:space="0" w:color="auto"/>
      </w:divBdr>
    </w:div>
    <w:div w:id="1064108178">
      <w:bodyDiv w:val="1"/>
      <w:marLeft w:val="0"/>
      <w:marRight w:val="0"/>
      <w:marTop w:val="0"/>
      <w:marBottom w:val="0"/>
      <w:divBdr>
        <w:top w:val="none" w:sz="0" w:space="0" w:color="auto"/>
        <w:left w:val="none" w:sz="0" w:space="0" w:color="auto"/>
        <w:bottom w:val="none" w:sz="0" w:space="0" w:color="auto"/>
        <w:right w:val="none" w:sz="0" w:space="0" w:color="auto"/>
      </w:divBdr>
    </w:div>
    <w:div w:id="1147354768">
      <w:bodyDiv w:val="1"/>
      <w:marLeft w:val="0"/>
      <w:marRight w:val="0"/>
      <w:marTop w:val="0"/>
      <w:marBottom w:val="0"/>
      <w:divBdr>
        <w:top w:val="none" w:sz="0" w:space="0" w:color="auto"/>
        <w:left w:val="none" w:sz="0" w:space="0" w:color="auto"/>
        <w:bottom w:val="none" w:sz="0" w:space="0" w:color="auto"/>
        <w:right w:val="none" w:sz="0" w:space="0" w:color="auto"/>
      </w:divBdr>
    </w:div>
    <w:div w:id="1180660242">
      <w:bodyDiv w:val="1"/>
      <w:marLeft w:val="0"/>
      <w:marRight w:val="0"/>
      <w:marTop w:val="0"/>
      <w:marBottom w:val="0"/>
      <w:divBdr>
        <w:top w:val="none" w:sz="0" w:space="0" w:color="auto"/>
        <w:left w:val="none" w:sz="0" w:space="0" w:color="auto"/>
        <w:bottom w:val="none" w:sz="0" w:space="0" w:color="auto"/>
        <w:right w:val="none" w:sz="0" w:space="0" w:color="auto"/>
      </w:divBdr>
    </w:div>
    <w:div w:id="1192840345">
      <w:bodyDiv w:val="1"/>
      <w:marLeft w:val="0"/>
      <w:marRight w:val="0"/>
      <w:marTop w:val="0"/>
      <w:marBottom w:val="0"/>
      <w:divBdr>
        <w:top w:val="none" w:sz="0" w:space="0" w:color="auto"/>
        <w:left w:val="none" w:sz="0" w:space="0" w:color="auto"/>
        <w:bottom w:val="none" w:sz="0" w:space="0" w:color="auto"/>
        <w:right w:val="none" w:sz="0" w:space="0" w:color="auto"/>
      </w:divBdr>
    </w:div>
    <w:div w:id="1213732758">
      <w:bodyDiv w:val="1"/>
      <w:marLeft w:val="0"/>
      <w:marRight w:val="0"/>
      <w:marTop w:val="0"/>
      <w:marBottom w:val="0"/>
      <w:divBdr>
        <w:top w:val="none" w:sz="0" w:space="0" w:color="auto"/>
        <w:left w:val="none" w:sz="0" w:space="0" w:color="auto"/>
        <w:bottom w:val="none" w:sz="0" w:space="0" w:color="auto"/>
        <w:right w:val="none" w:sz="0" w:space="0" w:color="auto"/>
      </w:divBdr>
    </w:div>
    <w:div w:id="1255822766">
      <w:bodyDiv w:val="1"/>
      <w:marLeft w:val="0"/>
      <w:marRight w:val="0"/>
      <w:marTop w:val="0"/>
      <w:marBottom w:val="0"/>
      <w:divBdr>
        <w:top w:val="none" w:sz="0" w:space="0" w:color="auto"/>
        <w:left w:val="none" w:sz="0" w:space="0" w:color="auto"/>
        <w:bottom w:val="none" w:sz="0" w:space="0" w:color="auto"/>
        <w:right w:val="none" w:sz="0" w:space="0" w:color="auto"/>
      </w:divBdr>
    </w:div>
    <w:div w:id="1287544534">
      <w:bodyDiv w:val="1"/>
      <w:marLeft w:val="0"/>
      <w:marRight w:val="0"/>
      <w:marTop w:val="0"/>
      <w:marBottom w:val="0"/>
      <w:divBdr>
        <w:top w:val="none" w:sz="0" w:space="0" w:color="auto"/>
        <w:left w:val="none" w:sz="0" w:space="0" w:color="auto"/>
        <w:bottom w:val="none" w:sz="0" w:space="0" w:color="auto"/>
        <w:right w:val="none" w:sz="0" w:space="0" w:color="auto"/>
      </w:divBdr>
    </w:div>
    <w:div w:id="1396080241">
      <w:bodyDiv w:val="1"/>
      <w:marLeft w:val="0"/>
      <w:marRight w:val="0"/>
      <w:marTop w:val="0"/>
      <w:marBottom w:val="0"/>
      <w:divBdr>
        <w:top w:val="none" w:sz="0" w:space="0" w:color="auto"/>
        <w:left w:val="none" w:sz="0" w:space="0" w:color="auto"/>
        <w:bottom w:val="none" w:sz="0" w:space="0" w:color="auto"/>
        <w:right w:val="none" w:sz="0" w:space="0" w:color="auto"/>
      </w:divBdr>
      <w:divsChild>
        <w:div w:id="1863475809">
          <w:marLeft w:val="0"/>
          <w:marRight w:val="0"/>
          <w:marTop w:val="0"/>
          <w:marBottom w:val="0"/>
          <w:divBdr>
            <w:top w:val="none" w:sz="0" w:space="0" w:color="auto"/>
            <w:left w:val="none" w:sz="0" w:space="0" w:color="auto"/>
            <w:bottom w:val="none" w:sz="0" w:space="0" w:color="auto"/>
            <w:right w:val="none" w:sz="0" w:space="0" w:color="auto"/>
          </w:divBdr>
          <w:divsChild>
            <w:div w:id="293566882">
              <w:marLeft w:val="0"/>
              <w:marRight w:val="0"/>
              <w:marTop w:val="0"/>
              <w:marBottom w:val="0"/>
              <w:divBdr>
                <w:top w:val="none" w:sz="0" w:space="0" w:color="auto"/>
                <w:left w:val="none" w:sz="0" w:space="0" w:color="auto"/>
                <w:bottom w:val="none" w:sz="0" w:space="0" w:color="auto"/>
                <w:right w:val="none" w:sz="0" w:space="0" w:color="auto"/>
              </w:divBdr>
              <w:divsChild>
                <w:div w:id="125169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508361">
      <w:bodyDiv w:val="1"/>
      <w:marLeft w:val="0"/>
      <w:marRight w:val="0"/>
      <w:marTop w:val="0"/>
      <w:marBottom w:val="0"/>
      <w:divBdr>
        <w:top w:val="none" w:sz="0" w:space="0" w:color="auto"/>
        <w:left w:val="none" w:sz="0" w:space="0" w:color="auto"/>
        <w:bottom w:val="none" w:sz="0" w:space="0" w:color="auto"/>
        <w:right w:val="none" w:sz="0" w:space="0" w:color="auto"/>
      </w:divBdr>
    </w:div>
    <w:div w:id="1497500499">
      <w:bodyDiv w:val="1"/>
      <w:marLeft w:val="0"/>
      <w:marRight w:val="0"/>
      <w:marTop w:val="0"/>
      <w:marBottom w:val="0"/>
      <w:divBdr>
        <w:top w:val="none" w:sz="0" w:space="0" w:color="auto"/>
        <w:left w:val="none" w:sz="0" w:space="0" w:color="auto"/>
        <w:bottom w:val="none" w:sz="0" w:space="0" w:color="auto"/>
        <w:right w:val="none" w:sz="0" w:space="0" w:color="auto"/>
      </w:divBdr>
    </w:div>
    <w:div w:id="1536380204">
      <w:bodyDiv w:val="1"/>
      <w:marLeft w:val="0"/>
      <w:marRight w:val="0"/>
      <w:marTop w:val="0"/>
      <w:marBottom w:val="0"/>
      <w:divBdr>
        <w:top w:val="none" w:sz="0" w:space="0" w:color="auto"/>
        <w:left w:val="none" w:sz="0" w:space="0" w:color="auto"/>
        <w:bottom w:val="none" w:sz="0" w:space="0" w:color="auto"/>
        <w:right w:val="none" w:sz="0" w:space="0" w:color="auto"/>
      </w:divBdr>
    </w:div>
    <w:div w:id="1557278992">
      <w:bodyDiv w:val="1"/>
      <w:marLeft w:val="0"/>
      <w:marRight w:val="0"/>
      <w:marTop w:val="0"/>
      <w:marBottom w:val="0"/>
      <w:divBdr>
        <w:top w:val="none" w:sz="0" w:space="0" w:color="auto"/>
        <w:left w:val="none" w:sz="0" w:space="0" w:color="auto"/>
        <w:bottom w:val="none" w:sz="0" w:space="0" w:color="auto"/>
        <w:right w:val="none" w:sz="0" w:space="0" w:color="auto"/>
      </w:divBdr>
    </w:div>
    <w:div w:id="1566990537">
      <w:bodyDiv w:val="1"/>
      <w:marLeft w:val="0"/>
      <w:marRight w:val="0"/>
      <w:marTop w:val="0"/>
      <w:marBottom w:val="0"/>
      <w:divBdr>
        <w:top w:val="none" w:sz="0" w:space="0" w:color="auto"/>
        <w:left w:val="none" w:sz="0" w:space="0" w:color="auto"/>
        <w:bottom w:val="none" w:sz="0" w:space="0" w:color="auto"/>
        <w:right w:val="none" w:sz="0" w:space="0" w:color="auto"/>
      </w:divBdr>
    </w:div>
    <w:div w:id="1586380992">
      <w:bodyDiv w:val="1"/>
      <w:marLeft w:val="0"/>
      <w:marRight w:val="0"/>
      <w:marTop w:val="0"/>
      <w:marBottom w:val="0"/>
      <w:divBdr>
        <w:top w:val="none" w:sz="0" w:space="0" w:color="auto"/>
        <w:left w:val="none" w:sz="0" w:space="0" w:color="auto"/>
        <w:bottom w:val="none" w:sz="0" w:space="0" w:color="auto"/>
        <w:right w:val="none" w:sz="0" w:space="0" w:color="auto"/>
      </w:divBdr>
    </w:div>
    <w:div w:id="1606232369">
      <w:bodyDiv w:val="1"/>
      <w:marLeft w:val="0"/>
      <w:marRight w:val="0"/>
      <w:marTop w:val="0"/>
      <w:marBottom w:val="0"/>
      <w:divBdr>
        <w:top w:val="none" w:sz="0" w:space="0" w:color="auto"/>
        <w:left w:val="none" w:sz="0" w:space="0" w:color="auto"/>
        <w:bottom w:val="none" w:sz="0" w:space="0" w:color="auto"/>
        <w:right w:val="none" w:sz="0" w:space="0" w:color="auto"/>
      </w:divBdr>
    </w:div>
    <w:div w:id="1611087076">
      <w:bodyDiv w:val="1"/>
      <w:marLeft w:val="0"/>
      <w:marRight w:val="0"/>
      <w:marTop w:val="0"/>
      <w:marBottom w:val="0"/>
      <w:divBdr>
        <w:top w:val="none" w:sz="0" w:space="0" w:color="auto"/>
        <w:left w:val="none" w:sz="0" w:space="0" w:color="auto"/>
        <w:bottom w:val="none" w:sz="0" w:space="0" w:color="auto"/>
        <w:right w:val="none" w:sz="0" w:space="0" w:color="auto"/>
      </w:divBdr>
    </w:div>
    <w:div w:id="1646813965">
      <w:bodyDiv w:val="1"/>
      <w:marLeft w:val="0"/>
      <w:marRight w:val="0"/>
      <w:marTop w:val="0"/>
      <w:marBottom w:val="0"/>
      <w:divBdr>
        <w:top w:val="none" w:sz="0" w:space="0" w:color="auto"/>
        <w:left w:val="none" w:sz="0" w:space="0" w:color="auto"/>
        <w:bottom w:val="none" w:sz="0" w:space="0" w:color="auto"/>
        <w:right w:val="none" w:sz="0" w:space="0" w:color="auto"/>
      </w:divBdr>
    </w:div>
    <w:div w:id="1715420464">
      <w:bodyDiv w:val="1"/>
      <w:marLeft w:val="0"/>
      <w:marRight w:val="0"/>
      <w:marTop w:val="0"/>
      <w:marBottom w:val="0"/>
      <w:divBdr>
        <w:top w:val="none" w:sz="0" w:space="0" w:color="auto"/>
        <w:left w:val="none" w:sz="0" w:space="0" w:color="auto"/>
        <w:bottom w:val="none" w:sz="0" w:space="0" w:color="auto"/>
        <w:right w:val="none" w:sz="0" w:space="0" w:color="auto"/>
      </w:divBdr>
    </w:div>
    <w:div w:id="1733766921">
      <w:bodyDiv w:val="1"/>
      <w:marLeft w:val="0"/>
      <w:marRight w:val="0"/>
      <w:marTop w:val="0"/>
      <w:marBottom w:val="0"/>
      <w:divBdr>
        <w:top w:val="none" w:sz="0" w:space="0" w:color="auto"/>
        <w:left w:val="none" w:sz="0" w:space="0" w:color="auto"/>
        <w:bottom w:val="none" w:sz="0" w:space="0" w:color="auto"/>
        <w:right w:val="none" w:sz="0" w:space="0" w:color="auto"/>
      </w:divBdr>
    </w:div>
    <w:div w:id="1784378057">
      <w:bodyDiv w:val="1"/>
      <w:marLeft w:val="0"/>
      <w:marRight w:val="0"/>
      <w:marTop w:val="0"/>
      <w:marBottom w:val="0"/>
      <w:divBdr>
        <w:top w:val="none" w:sz="0" w:space="0" w:color="auto"/>
        <w:left w:val="none" w:sz="0" w:space="0" w:color="auto"/>
        <w:bottom w:val="none" w:sz="0" w:space="0" w:color="auto"/>
        <w:right w:val="none" w:sz="0" w:space="0" w:color="auto"/>
      </w:divBdr>
      <w:divsChild>
        <w:div w:id="2069918951">
          <w:marLeft w:val="0"/>
          <w:marRight w:val="0"/>
          <w:marTop w:val="0"/>
          <w:marBottom w:val="0"/>
          <w:divBdr>
            <w:top w:val="none" w:sz="0" w:space="0" w:color="auto"/>
            <w:left w:val="none" w:sz="0" w:space="0" w:color="auto"/>
            <w:bottom w:val="none" w:sz="0" w:space="0" w:color="auto"/>
            <w:right w:val="none" w:sz="0" w:space="0" w:color="auto"/>
          </w:divBdr>
          <w:divsChild>
            <w:div w:id="692071303">
              <w:marLeft w:val="0"/>
              <w:marRight w:val="0"/>
              <w:marTop w:val="0"/>
              <w:marBottom w:val="0"/>
              <w:divBdr>
                <w:top w:val="none" w:sz="0" w:space="0" w:color="auto"/>
                <w:left w:val="none" w:sz="0" w:space="0" w:color="auto"/>
                <w:bottom w:val="none" w:sz="0" w:space="0" w:color="auto"/>
                <w:right w:val="none" w:sz="0" w:space="0" w:color="auto"/>
              </w:divBdr>
              <w:divsChild>
                <w:div w:id="178310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37956">
      <w:bodyDiv w:val="1"/>
      <w:marLeft w:val="0"/>
      <w:marRight w:val="0"/>
      <w:marTop w:val="0"/>
      <w:marBottom w:val="0"/>
      <w:divBdr>
        <w:top w:val="none" w:sz="0" w:space="0" w:color="auto"/>
        <w:left w:val="none" w:sz="0" w:space="0" w:color="auto"/>
        <w:bottom w:val="none" w:sz="0" w:space="0" w:color="auto"/>
        <w:right w:val="none" w:sz="0" w:space="0" w:color="auto"/>
      </w:divBdr>
    </w:div>
    <w:div w:id="1838112005">
      <w:bodyDiv w:val="1"/>
      <w:marLeft w:val="0"/>
      <w:marRight w:val="0"/>
      <w:marTop w:val="0"/>
      <w:marBottom w:val="0"/>
      <w:divBdr>
        <w:top w:val="none" w:sz="0" w:space="0" w:color="auto"/>
        <w:left w:val="none" w:sz="0" w:space="0" w:color="auto"/>
        <w:bottom w:val="none" w:sz="0" w:space="0" w:color="auto"/>
        <w:right w:val="none" w:sz="0" w:space="0" w:color="auto"/>
      </w:divBdr>
    </w:div>
    <w:div w:id="1839999335">
      <w:bodyDiv w:val="1"/>
      <w:marLeft w:val="0"/>
      <w:marRight w:val="0"/>
      <w:marTop w:val="0"/>
      <w:marBottom w:val="0"/>
      <w:divBdr>
        <w:top w:val="none" w:sz="0" w:space="0" w:color="auto"/>
        <w:left w:val="none" w:sz="0" w:space="0" w:color="auto"/>
        <w:bottom w:val="none" w:sz="0" w:space="0" w:color="auto"/>
        <w:right w:val="none" w:sz="0" w:space="0" w:color="auto"/>
      </w:divBdr>
    </w:div>
    <w:div w:id="1904752420">
      <w:bodyDiv w:val="1"/>
      <w:marLeft w:val="0"/>
      <w:marRight w:val="0"/>
      <w:marTop w:val="0"/>
      <w:marBottom w:val="0"/>
      <w:divBdr>
        <w:top w:val="none" w:sz="0" w:space="0" w:color="auto"/>
        <w:left w:val="none" w:sz="0" w:space="0" w:color="auto"/>
        <w:bottom w:val="none" w:sz="0" w:space="0" w:color="auto"/>
        <w:right w:val="none" w:sz="0" w:space="0" w:color="auto"/>
      </w:divBdr>
    </w:div>
    <w:div w:id="1976595776">
      <w:bodyDiv w:val="1"/>
      <w:marLeft w:val="0"/>
      <w:marRight w:val="0"/>
      <w:marTop w:val="0"/>
      <w:marBottom w:val="0"/>
      <w:divBdr>
        <w:top w:val="none" w:sz="0" w:space="0" w:color="auto"/>
        <w:left w:val="none" w:sz="0" w:space="0" w:color="auto"/>
        <w:bottom w:val="none" w:sz="0" w:space="0" w:color="auto"/>
        <w:right w:val="none" w:sz="0" w:space="0" w:color="auto"/>
      </w:divBdr>
    </w:div>
    <w:div w:id="2029789202">
      <w:bodyDiv w:val="1"/>
      <w:marLeft w:val="0"/>
      <w:marRight w:val="0"/>
      <w:marTop w:val="0"/>
      <w:marBottom w:val="0"/>
      <w:divBdr>
        <w:top w:val="none" w:sz="0" w:space="0" w:color="auto"/>
        <w:left w:val="none" w:sz="0" w:space="0" w:color="auto"/>
        <w:bottom w:val="none" w:sz="0" w:space="0" w:color="auto"/>
        <w:right w:val="none" w:sz="0" w:space="0" w:color="auto"/>
      </w:divBdr>
    </w:div>
    <w:div w:id="2111731021">
      <w:bodyDiv w:val="1"/>
      <w:marLeft w:val="0"/>
      <w:marRight w:val="0"/>
      <w:marTop w:val="0"/>
      <w:marBottom w:val="0"/>
      <w:divBdr>
        <w:top w:val="none" w:sz="0" w:space="0" w:color="auto"/>
        <w:left w:val="none" w:sz="0" w:space="0" w:color="auto"/>
        <w:bottom w:val="none" w:sz="0" w:space="0" w:color="auto"/>
        <w:right w:val="none" w:sz="0" w:space="0" w:color="auto"/>
      </w:divBdr>
    </w:div>
    <w:div w:id="213381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7146</Words>
  <Characters>40735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Johnson</dc:creator>
  <cp:keywords/>
  <dc:description/>
  <cp:lastModifiedBy>Tom Johnson</cp:lastModifiedBy>
  <cp:revision>2</cp:revision>
  <dcterms:created xsi:type="dcterms:W3CDTF">2020-08-14T08:33:00Z</dcterms:created>
  <dcterms:modified xsi:type="dcterms:W3CDTF">2020-08-14T08:33:00Z</dcterms:modified>
</cp:coreProperties>
</file>