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17594" w14:textId="77777777" w:rsidR="00804C19" w:rsidRDefault="00943A7F" w:rsidP="00500EB1">
      <w:pPr>
        <w:spacing w:line="360" w:lineRule="auto"/>
        <w:ind w:left="-397" w:right="-397"/>
        <w:jc w:val="both"/>
        <w:rPr>
          <w:b/>
          <w:color w:val="000000" w:themeColor="text1"/>
        </w:rPr>
      </w:pPr>
      <w:r w:rsidRPr="00943A7F">
        <w:rPr>
          <w:b/>
          <w:color w:val="000000" w:themeColor="text1"/>
        </w:rPr>
        <w:t>WELFARE-AS-FREEDOM, THE HUMAN ECONOMY AND VARIETIES OF CAPITALIST STATE</w:t>
      </w:r>
    </w:p>
    <w:p w14:paraId="08E8AF45" w14:textId="77777777" w:rsidR="00943A7F" w:rsidRPr="00943A7F" w:rsidRDefault="00943A7F" w:rsidP="00500EB1">
      <w:pPr>
        <w:spacing w:line="360" w:lineRule="auto"/>
        <w:ind w:left="-397" w:right="-397"/>
        <w:jc w:val="both"/>
        <w:rPr>
          <w:b/>
          <w:color w:val="000000" w:themeColor="text1"/>
        </w:rPr>
      </w:pPr>
    </w:p>
    <w:p w14:paraId="6198B152" w14:textId="77777777" w:rsidR="00500EB1" w:rsidRPr="00943A7F" w:rsidRDefault="00943A7F" w:rsidP="00943A7F">
      <w:pPr>
        <w:spacing w:line="360" w:lineRule="auto"/>
        <w:ind w:left="-397" w:right="-397"/>
        <w:jc w:val="both"/>
        <w:rPr>
          <w:b/>
        </w:rPr>
      </w:pPr>
      <w:r w:rsidRPr="00943A7F">
        <w:rPr>
          <w:b/>
        </w:rPr>
        <w:t>Louise Haagh, University of York, UK</w:t>
      </w:r>
    </w:p>
    <w:p w14:paraId="39D78D07" w14:textId="77777777" w:rsidR="00943A7F" w:rsidRDefault="00943A7F" w:rsidP="00500EB1">
      <w:pPr>
        <w:spacing w:line="360" w:lineRule="auto"/>
        <w:ind w:left="-397" w:right="-397"/>
        <w:jc w:val="both"/>
        <w:rPr>
          <w:b/>
        </w:rPr>
      </w:pPr>
    </w:p>
    <w:p w14:paraId="1D4A1126" w14:textId="60B3D5AA" w:rsidR="00804C19" w:rsidRDefault="00500EB1" w:rsidP="00943A7F">
      <w:pPr>
        <w:spacing w:line="360" w:lineRule="auto"/>
        <w:ind w:left="-397" w:right="-397"/>
        <w:jc w:val="both"/>
        <w:rPr>
          <w:color w:val="000000" w:themeColor="text1"/>
        </w:rPr>
      </w:pPr>
      <w:r w:rsidRPr="00500EB1">
        <w:rPr>
          <w:b/>
        </w:rPr>
        <w:t>Abstract</w:t>
      </w:r>
      <w:r w:rsidR="00943A7F">
        <w:rPr>
          <w:b/>
        </w:rPr>
        <w:t xml:space="preserve">: </w:t>
      </w:r>
      <w:r w:rsidR="00DD52C9" w:rsidRPr="00E90267">
        <w:rPr>
          <w:color w:val="000000" w:themeColor="text1"/>
        </w:rPr>
        <w:t xml:space="preserve">This </w:t>
      </w:r>
      <w:r w:rsidR="00943A7F" w:rsidRPr="00E90267">
        <w:rPr>
          <w:color w:val="000000" w:themeColor="text1"/>
        </w:rPr>
        <w:t xml:space="preserve">contribution </w:t>
      </w:r>
      <w:r w:rsidR="005A47F5" w:rsidRPr="00E90267">
        <w:rPr>
          <w:color w:val="000000" w:themeColor="text1"/>
        </w:rPr>
        <w:t>advocate</w:t>
      </w:r>
      <w:r w:rsidR="0027598C" w:rsidRPr="00E90267">
        <w:rPr>
          <w:color w:val="000000" w:themeColor="text1"/>
        </w:rPr>
        <w:t>s</w:t>
      </w:r>
      <w:r w:rsidR="005A47F5" w:rsidRPr="00E90267">
        <w:rPr>
          <w:color w:val="000000" w:themeColor="text1"/>
        </w:rPr>
        <w:t xml:space="preserve"> a </w:t>
      </w:r>
      <w:r w:rsidR="00827C4C" w:rsidRPr="00E90267">
        <w:rPr>
          <w:color w:val="000000" w:themeColor="text1"/>
        </w:rPr>
        <w:t xml:space="preserve">political economy </w:t>
      </w:r>
      <w:r w:rsidR="005A47F5" w:rsidRPr="00E90267">
        <w:rPr>
          <w:color w:val="000000" w:themeColor="text1"/>
        </w:rPr>
        <w:t>perspective on systems of well-being</w:t>
      </w:r>
      <w:r w:rsidR="00ED4568" w:rsidRPr="00E90267">
        <w:rPr>
          <w:color w:val="000000" w:themeColor="text1"/>
        </w:rPr>
        <w:t>.</w:t>
      </w:r>
      <w:r w:rsidR="005A47F5" w:rsidRPr="00E90267">
        <w:rPr>
          <w:color w:val="000000" w:themeColor="text1"/>
        </w:rPr>
        <w:t xml:space="preserve"> </w:t>
      </w:r>
      <w:r w:rsidR="00A73D21">
        <w:rPr>
          <w:color w:val="000000" w:themeColor="text1"/>
        </w:rPr>
        <w:t>I argue</w:t>
      </w:r>
      <w:r w:rsidR="00326F85" w:rsidRPr="00E90267">
        <w:rPr>
          <w:color w:val="000000" w:themeColor="text1"/>
        </w:rPr>
        <w:t xml:space="preserve"> </w:t>
      </w:r>
      <w:r w:rsidR="00ED4568" w:rsidRPr="00E90267">
        <w:rPr>
          <w:color w:val="000000" w:themeColor="text1"/>
        </w:rPr>
        <w:t>deeper regulatory features of human econo</w:t>
      </w:r>
      <w:r w:rsidR="00A73D21">
        <w:rPr>
          <w:color w:val="000000" w:themeColor="text1"/>
        </w:rPr>
        <w:t>my give</w:t>
      </w:r>
      <w:r w:rsidR="00326F85" w:rsidRPr="00E90267">
        <w:rPr>
          <w:color w:val="000000" w:themeColor="text1"/>
        </w:rPr>
        <w:t xml:space="preserve"> </w:t>
      </w:r>
      <w:r w:rsidR="00A73D21">
        <w:rPr>
          <w:color w:val="000000" w:themeColor="text1"/>
        </w:rPr>
        <w:t xml:space="preserve">rise </w:t>
      </w:r>
      <w:r w:rsidR="00326F85" w:rsidRPr="00E90267">
        <w:rPr>
          <w:color w:val="000000" w:themeColor="text1"/>
        </w:rPr>
        <w:t>to</w:t>
      </w:r>
      <w:r w:rsidR="00ED4568" w:rsidRPr="00E90267">
        <w:rPr>
          <w:color w:val="000000" w:themeColor="text1"/>
        </w:rPr>
        <w:t xml:space="preserve"> common institution</w:t>
      </w:r>
      <w:r w:rsidR="008B3F00">
        <w:rPr>
          <w:color w:val="000000" w:themeColor="text1"/>
        </w:rPr>
        <w:t>s</w:t>
      </w:r>
      <w:r w:rsidR="00ED4568" w:rsidRPr="00E90267">
        <w:rPr>
          <w:color w:val="000000" w:themeColor="text1"/>
        </w:rPr>
        <w:t xml:space="preserve"> in areas such as education, </w:t>
      </w:r>
      <w:r w:rsidR="00A73D21">
        <w:rPr>
          <w:color w:val="000000" w:themeColor="text1"/>
        </w:rPr>
        <w:t>work and care, and that</w:t>
      </w:r>
      <w:r w:rsidR="00326F85" w:rsidRPr="00E90267">
        <w:rPr>
          <w:color w:val="000000" w:themeColor="text1"/>
        </w:rPr>
        <w:t xml:space="preserve"> t</w:t>
      </w:r>
      <w:r w:rsidR="00ED4568" w:rsidRPr="00E90267">
        <w:rPr>
          <w:color w:val="000000" w:themeColor="text1"/>
        </w:rPr>
        <w:t>he const</w:t>
      </w:r>
      <w:r w:rsidR="00A73D21">
        <w:rPr>
          <w:color w:val="000000" w:themeColor="text1"/>
        </w:rPr>
        <w:t xml:space="preserve">raints this imposes on </w:t>
      </w:r>
      <w:r w:rsidR="00ED4568" w:rsidRPr="00E90267">
        <w:rPr>
          <w:color w:val="000000" w:themeColor="text1"/>
        </w:rPr>
        <w:t xml:space="preserve">governance explains how </w:t>
      </w:r>
      <w:r w:rsidR="00E90267" w:rsidRPr="00E90267">
        <w:rPr>
          <w:color w:val="000000" w:themeColor="text1"/>
        </w:rPr>
        <w:t xml:space="preserve">a more egalitarian form of </w:t>
      </w:r>
      <w:r w:rsidR="00ED4568" w:rsidRPr="00E90267">
        <w:rPr>
          <w:color w:val="000000" w:themeColor="text1"/>
        </w:rPr>
        <w:t>public sector development is a key factor in gender equality, control of core human activities</w:t>
      </w:r>
      <w:r w:rsidR="004F1703">
        <w:rPr>
          <w:color w:val="000000" w:themeColor="text1"/>
        </w:rPr>
        <w:t>,</w:t>
      </w:r>
      <w:r w:rsidR="00ED4568" w:rsidRPr="00E90267">
        <w:rPr>
          <w:color w:val="000000" w:themeColor="text1"/>
        </w:rPr>
        <w:t xml:space="preserve"> and</w:t>
      </w:r>
      <w:r w:rsidR="00570403">
        <w:rPr>
          <w:color w:val="000000" w:themeColor="text1"/>
        </w:rPr>
        <w:t xml:space="preserve"> </w:t>
      </w:r>
      <w:r w:rsidR="00ED4568" w:rsidRPr="00E90267">
        <w:rPr>
          <w:color w:val="000000" w:themeColor="text1"/>
        </w:rPr>
        <w:t>forms</w:t>
      </w:r>
      <w:r w:rsidR="00570403">
        <w:rPr>
          <w:color w:val="000000" w:themeColor="text1"/>
        </w:rPr>
        <w:t xml:space="preserve"> of time</w:t>
      </w:r>
      <w:r w:rsidR="00ED4568" w:rsidRPr="00E90267">
        <w:rPr>
          <w:color w:val="000000" w:themeColor="text1"/>
        </w:rPr>
        <w:t xml:space="preserve">. </w:t>
      </w:r>
      <w:r w:rsidR="00E90267" w:rsidRPr="00E90267">
        <w:rPr>
          <w:color w:val="000000" w:themeColor="text1"/>
        </w:rPr>
        <w:t xml:space="preserve">A systems </w:t>
      </w:r>
      <w:r w:rsidR="00570403">
        <w:rPr>
          <w:color w:val="000000" w:themeColor="text1"/>
        </w:rPr>
        <w:t>approach to</w:t>
      </w:r>
      <w:r w:rsidR="00E90267" w:rsidRPr="00E90267">
        <w:rPr>
          <w:color w:val="000000" w:themeColor="text1"/>
        </w:rPr>
        <w:t xml:space="preserve"> well-being critically engages freedom-focussed</w:t>
      </w:r>
      <w:r w:rsidR="00326F85" w:rsidRPr="00E90267">
        <w:rPr>
          <w:color w:val="000000" w:themeColor="text1"/>
        </w:rPr>
        <w:t xml:space="preserve"> perspectives </w:t>
      </w:r>
      <w:r w:rsidR="00E90267" w:rsidRPr="00E90267">
        <w:rPr>
          <w:color w:val="000000" w:themeColor="text1"/>
        </w:rPr>
        <w:t>on welfare and</w:t>
      </w:r>
      <w:r w:rsidR="00326F85" w:rsidRPr="00E90267">
        <w:rPr>
          <w:color w:val="000000" w:themeColor="text1"/>
        </w:rPr>
        <w:t xml:space="preserve"> </w:t>
      </w:r>
      <w:r w:rsidR="008D25A7" w:rsidRPr="00E90267">
        <w:rPr>
          <w:color w:val="000000" w:themeColor="text1"/>
        </w:rPr>
        <w:t xml:space="preserve">the proposal for </w:t>
      </w:r>
      <w:r w:rsidR="00E90267" w:rsidRPr="00E90267">
        <w:rPr>
          <w:color w:val="000000" w:themeColor="text1"/>
        </w:rPr>
        <w:t>a Universal Basic Income (UBI)</w:t>
      </w:r>
      <w:r w:rsidR="00484EDA">
        <w:rPr>
          <w:color w:val="000000" w:themeColor="text1"/>
        </w:rPr>
        <w:t>,</w:t>
      </w:r>
      <w:r w:rsidR="00E90267" w:rsidRPr="00E90267">
        <w:rPr>
          <w:color w:val="000000" w:themeColor="text1"/>
        </w:rPr>
        <w:t xml:space="preserve"> which has received </w:t>
      </w:r>
      <w:r w:rsidR="008D25A7" w:rsidRPr="00E90267">
        <w:rPr>
          <w:color w:val="000000" w:themeColor="text1"/>
        </w:rPr>
        <w:t xml:space="preserve">public traction since 2016. </w:t>
      </w:r>
      <w:r w:rsidR="005A47F5" w:rsidRPr="00E90267">
        <w:rPr>
          <w:color w:val="000000" w:themeColor="text1"/>
        </w:rPr>
        <w:t>Identifying the systemic foundations for wellbeing as control within core human activities and social rel</w:t>
      </w:r>
      <w:r w:rsidR="00326F85" w:rsidRPr="00E90267">
        <w:rPr>
          <w:color w:val="000000" w:themeColor="text1"/>
        </w:rPr>
        <w:t xml:space="preserve">ations suggests </w:t>
      </w:r>
      <w:r w:rsidR="00ED4568" w:rsidRPr="00E90267">
        <w:rPr>
          <w:color w:val="000000" w:themeColor="text1"/>
        </w:rPr>
        <w:t xml:space="preserve">UBI </w:t>
      </w:r>
      <w:r w:rsidR="005A47F5" w:rsidRPr="00E90267">
        <w:rPr>
          <w:color w:val="000000" w:themeColor="text1"/>
        </w:rPr>
        <w:t>shou</w:t>
      </w:r>
      <w:r w:rsidR="00326F85" w:rsidRPr="00E90267">
        <w:rPr>
          <w:color w:val="000000" w:themeColor="text1"/>
        </w:rPr>
        <w:t xml:space="preserve">ld be seen as an </w:t>
      </w:r>
      <w:r w:rsidR="005A47F5" w:rsidRPr="00E90267">
        <w:rPr>
          <w:color w:val="000000" w:themeColor="text1"/>
        </w:rPr>
        <w:t xml:space="preserve">important </w:t>
      </w:r>
      <w:r w:rsidR="00326F85" w:rsidRPr="00E90267">
        <w:rPr>
          <w:color w:val="000000" w:themeColor="text1"/>
        </w:rPr>
        <w:t xml:space="preserve">but insufficient </w:t>
      </w:r>
      <w:r w:rsidR="005A47F5" w:rsidRPr="00E90267">
        <w:rPr>
          <w:color w:val="000000" w:themeColor="text1"/>
        </w:rPr>
        <w:t>element of systems of well-being.</w:t>
      </w:r>
      <w:r w:rsidR="000776B0" w:rsidRPr="00E90267">
        <w:rPr>
          <w:color w:val="000000" w:themeColor="text1"/>
        </w:rPr>
        <w:t xml:space="preserve"> </w:t>
      </w:r>
      <w:r w:rsidRPr="00E90267">
        <w:rPr>
          <w:color w:val="000000" w:themeColor="text1"/>
        </w:rPr>
        <w:t>To depict patterns of continuity and change</w:t>
      </w:r>
      <w:r w:rsidR="00827C4C" w:rsidRPr="00E90267">
        <w:rPr>
          <w:color w:val="000000" w:themeColor="text1"/>
        </w:rPr>
        <w:t xml:space="preserve">, </w:t>
      </w:r>
      <w:r w:rsidRPr="00E90267">
        <w:rPr>
          <w:color w:val="000000" w:themeColor="text1"/>
        </w:rPr>
        <w:t>th</w:t>
      </w:r>
      <w:r w:rsidR="00484EDA">
        <w:rPr>
          <w:color w:val="000000" w:themeColor="text1"/>
        </w:rPr>
        <w:t xml:space="preserve">is chapter </w:t>
      </w:r>
      <w:r w:rsidRPr="00E90267">
        <w:rPr>
          <w:color w:val="000000" w:themeColor="text1"/>
        </w:rPr>
        <w:t>compares a se</w:t>
      </w:r>
      <w:r w:rsidR="005A47F5" w:rsidRPr="00E90267">
        <w:rPr>
          <w:color w:val="000000" w:themeColor="text1"/>
        </w:rPr>
        <w:t>t of OECD cross-country data, w</w:t>
      </w:r>
      <w:r w:rsidR="00ED4568" w:rsidRPr="00E90267">
        <w:rPr>
          <w:color w:val="000000" w:themeColor="text1"/>
        </w:rPr>
        <w:t xml:space="preserve">ith </w:t>
      </w:r>
      <w:r w:rsidR="005A47F5" w:rsidRPr="00E90267">
        <w:rPr>
          <w:color w:val="000000" w:themeColor="text1"/>
        </w:rPr>
        <w:t xml:space="preserve">particular </w:t>
      </w:r>
      <w:r w:rsidRPr="00E90267">
        <w:rPr>
          <w:color w:val="000000" w:themeColor="text1"/>
        </w:rPr>
        <w:t>attention to</w:t>
      </w:r>
      <w:r w:rsidR="00ED4568" w:rsidRPr="00E90267">
        <w:rPr>
          <w:color w:val="000000" w:themeColor="text1"/>
        </w:rPr>
        <w:t xml:space="preserve"> </w:t>
      </w:r>
      <w:r w:rsidRPr="00E90267">
        <w:rPr>
          <w:color w:val="000000" w:themeColor="text1"/>
        </w:rPr>
        <w:t>hierarchical-competitive and developmental-horizontal Anglo-liberal and Nordic trajectories.</w:t>
      </w:r>
      <w:r w:rsidRPr="00597DC6">
        <w:rPr>
          <w:color w:val="000000" w:themeColor="text1"/>
        </w:rPr>
        <w:t xml:space="preserve"> </w:t>
      </w:r>
    </w:p>
    <w:p w14:paraId="3D809CD9" w14:textId="77777777" w:rsidR="00943A7F" w:rsidRDefault="00943A7F" w:rsidP="00C93189">
      <w:pPr>
        <w:spacing w:line="360" w:lineRule="auto"/>
        <w:ind w:right="-397"/>
        <w:jc w:val="both"/>
        <w:rPr>
          <w:color w:val="000000" w:themeColor="text1"/>
        </w:rPr>
      </w:pPr>
    </w:p>
    <w:p w14:paraId="0A0DF399" w14:textId="6E18C082" w:rsidR="00943A7F" w:rsidRDefault="00943A7F" w:rsidP="00943A7F">
      <w:pPr>
        <w:ind w:left="-284"/>
        <w:jc w:val="both"/>
        <w:rPr>
          <w:rFonts w:cs="Times New Roman"/>
        </w:rPr>
      </w:pPr>
      <w:r w:rsidRPr="00802BC2">
        <w:rPr>
          <w:rFonts w:cs="Times New Roman"/>
          <w:b/>
        </w:rPr>
        <w:t>Keywords</w:t>
      </w:r>
      <w:r w:rsidRPr="00802BC2">
        <w:rPr>
          <w:rFonts w:cs="Times New Roman"/>
        </w:rPr>
        <w:t xml:space="preserve">: </w:t>
      </w:r>
      <w:r w:rsidR="00E6012C">
        <w:rPr>
          <w:rFonts w:cs="Times New Roman"/>
        </w:rPr>
        <w:t>Control of time, systems of well-being, institutionalist political economy, universal basic income, welfare states</w:t>
      </w:r>
    </w:p>
    <w:p w14:paraId="5446E1FD" w14:textId="77777777" w:rsidR="00943A7F" w:rsidRPr="00802BC2" w:rsidRDefault="00943A7F" w:rsidP="00943A7F">
      <w:pPr>
        <w:ind w:left="-284"/>
        <w:jc w:val="both"/>
        <w:rPr>
          <w:rFonts w:cs="Times New Roman"/>
        </w:rPr>
      </w:pPr>
      <w:r w:rsidRPr="00802BC2">
        <w:rPr>
          <w:rFonts w:cs="Times New Roman"/>
        </w:rPr>
        <w:t xml:space="preserve"> </w:t>
      </w:r>
    </w:p>
    <w:p w14:paraId="3E588399" w14:textId="77777777" w:rsidR="006C069F" w:rsidRDefault="00943A7F" w:rsidP="00943A7F">
      <w:pPr>
        <w:ind w:left="-284"/>
        <w:jc w:val="both"/>
        <w:rPr>
          <w:rFonts w:cs="Times New Roman"/>
          <w:lang w:val="pt-BR"/>
        </w:rPr>
      </w:pPr>
      <w:r w:rsidRPr="00802BC2">
        <w:rPr>
          <w:rFonts w:cs="Times New Roman"/>
          <w:b/>
          <w:lang w:val="pt-BR"/>
        </w:rPr>
        <w:t xml:space="preserve">JEL </w:t>
      </w:r>
      <w:proofErr w:type="spellStart"/>
      <w:r w:rsidRPr="00802BC2">
        <w:rPr>
          <w:rFonts w:cs="Times New Roman"/>
          <w:b/>
          <w:lang w:val="pt-BR"/>
        </w:rPr>
        <w:t>Classification</w:t>
      </w:r>
      <w:proofErr w:type="spellEnd"/>
      <w:r w:rsidRPr="00802BC2">
        <w:rPr>
          <w:rFonts w:cs="Times New Roman"/>
          <w:lang w:val="pt-BR"/>
        </w:rPr>
        <w:t>:</w:t>
      </w:r>
      <w:r w:rsidR="006C069F">
        <w:rPr>
          <w:rFonts w:cs="Times New Roman"/>
          <w:lang w:val="pt-BR"/>
        </w:rPr>
        <w:t xml:space="preserve"> B, I, P (</w:t>
      </w:r>
      <w:proofErr w:type="spellStart"/>
      <w:r w:rsidR="006C069F">
        <w:rPr>
          <w:rFonts w:cs="Times New Roman"/>
          <w:lang w:val="pt-BR"/>
        </w:rPr>
        <w:t>History</w:t>
      </w:r>
      <w:proofErr w:type="spellEnd"/>
      <w:r w:rsidR="006C069F">
        <w:rPr>
          <w:rFonts w:cs="Times New Roman"/>
          <w:lang w:val="pt-BR"/>
        </w:rPr>
        <w:t xml:space="preserve"> </w:t>
      </w:r>
      <w:proofErr w:type="spellStart"/>
      <w:r w:rsidR="006C069F">
        <w:rPr>
          <w:rFonts w:cs="Times New Roman"/>
          <w:lang w:val="pt-BR"/>
        </w:rPr>
        <w:t>of</w:t>
      </w:r>
      <w:proofErr w:type="spellEnd"/>
      <w:r w:rsidR="006C069F">
        <w:rPr>
          <w:rFonts w:cs="Times New Roman"/>
          <w:lang w:val="pt-BR"/>
        </w:rPr>
        <w:t xml:space="preserve"> </w:t>
      </w:r>
      <w:proofErr w:type="spellStart"/>
      <w:r w:rsidR="006C069F">
        <w:rPr>
          <w:rFonts w:cs="Times New Roman"/>
          <w:lang w:val="pt-BR"/>
        </w:rPr>
        <w:t>Eocnomic</w:t>
      </w:r>
      <w:proofErr w:type="spellEnd"/>
      <w:r w:rsidR="006C069F">
        <w:rPr>
          <w:rFonts w:cs="Times New Roman"/>
          <w:lang w:val="pt-BR"/>
        </w:rPr>
        <w:t xml:space="preserve"> </w:t>
      </w:r>
      <w:proofErr w:type="spellStart"/>
      <w:r w:rsidR="006C069F">
        <w:rPr>
          <w:rFonts w:cs="Times New Roman"/>
          <w:lang w:val="pt-BR"/>
        </w:rPr>
        <w:t>Throught</w:t>
      </w:r>
      <w:proofErr w:type="spellEnd"/>
      <w:r w:rsidR="006C069F">
        <w:rPr>
          <w:rFonts w:cs="Times New Roman"/>
          <w:lang w:val="pt-BR"/>
        </w:rPr>
        <w:t xml:space="preserve">, </w:t>
      </w:r>
      <w:proofErr w:type="spellStart"/>
      <w:r w:rsidR="006C069F">
        <w:rPr>
          <w:rFonts w:cs="Times New Roman"/>
          <w:lang w:val="pt-BR"/>
        </w:rPr>
        <w:t>Methodology</w:t>
      </w:r>
      <w:proofErr w:type="spellEnd"/>
      <w:r w:rsidR="006C069F">
        <w:rPr>
          <w:rFonts w:cs="Times New Roman"/>
          <w:lang w:val="pt-BR"/>
        </w:rPr>
        <w:t xml:space="preserve">, </w:t>
      </w:r>
      <w:proofErr w:type="spellStart"/>
      <w:r w:rsidR="006C069F">
        <w:rPr>
          <w:rFonts w:cs="Times New Roman"/>
          <w:lang w:val="pt-BR"/>
        </w:rPr>
        <w:t>and</w:t>
      </w:r>
      <w:proofErr w:type="spellEnd"/>
      <w:r w:rsidR="006C069F">
        <w:rPr>
          <w:rFonts w:cs="Times New Roman"/>
          <w:lang w:val="pt-BR"/>
        </w:rPr>
        <w:t xml:space="preserve"> </w:t>
      </w:r>
      <w:proofErr w:type="spellStart"/>
      <w:r w:rsidR="006C069F">
        <w:rPr>
          <w:rFonts w:cs="Times New Roman"/>
          <w:lang w:val="pt-BR"/>
        </w:rPr>
        <w:t>Heterodox</w:t>
      </w:r>
      <w:proofErr w:type="spellEnd"/>
      <w:r w:rsidR="006C069F">
        <w:rPr>
          <w:rFonts w:cs="Times New Roman"/>
          <w:lang w:val="pt-BR"/>
        </w:rPr>
        <w:t xml:space="preserve"> Approaches; Health </w:t>
      </w:r>
      <w:proofErr w:type="spellStart"/>
      <w:r w:rsidR="006C069F">
        <w:rPr>
          <w:rFonts w:cs="Times New Roman"/>
          <w:lang w:val="pt-BR"/>
        </w:rPr>
        <w:t>Education</w:t>
      </w:r>
      <w:proofErr w:type="spellEnd"/>
      <w:r w:rsidR="006C069F">
        <w:rPr>
          <w:rFonts w:cs="Times New Roman"/>
          <w:lang w:val="pt-BR"/>
        </w:rPr>
        <w:t xml:space="preserve"> </w:t>
      </w:r>
      <w:proofErr w:type="spellStart"/>
      <w:r w:rsidR="006C069F">
        <w:rPr>
          <w:rFonts w:cs="Times New Roman"/>
          <w:lang w:val="pt-BR"/>
        </w:rPr>
        <w:t>and</w:t>
      </w:r>
      <w:proofErr w:type="spellEnd"/>
      <w:r w:rsidR="006C069F">
        <w:rPr>
          <w:rFonts w:cs="Times New Roman"/>
          <w:lang w:val="pt-BR"/>
        </w:rPr>
        <w:t xml:space="preserve"> </w:t>
      </w:r>
      <w:proofErr w:type="spellStart"/>
      <w:r w:rsidR="006C069F">
        <w:rPr>
          <w:rFonts w:cs="Times New Roman"/>
          <w:lang w:val="pt-BR"/>
        </w:rPr>
        <w:t>Well-Being</w:t>
      </w:r>
      <w:proofErr w:type="spellEnd"/>
      <w:r w:rsidR="006C069F">
        <w:rPr>
          <w:rFonts w:cs="Times New Roman"/>
          <w:lang w:val="pt-BR"/>
        </w:rPr>
        <w:t xml:space="preserve">; </w:t>
      </w:r>
      <w:proofErr w:type="spellStart"/>
      <w:r w:rsidR="006C069F">
        <w:rPr>
          <w:rFonts w:cs="Times New Roman"/>
          <w:lang w:val="pt-BR"/>
        </w:rPr>
        <w:t>Economic</w:t>
      </w:r>
      <w:proofErr w:type="spellEnd"/>
      <w:r w:rsidR="006C069F">
        <w:rPr>
          <w:rFonts w:cs="Times New Roman"/>
          <w:lang w:val="pt-BR"/>
        </w:rPr>
        <w:t xml:space="preserve"> Systems)</w:t>
      </w:r>
    </w:p>
    <w:p w14:paraId="64BD5281" w14:textId="77777777" w:rsidR="00943A7F" w:rsidRPr="00943A7F" w:rsidRDefault="00943A7F" w:rsidP="0069343A">
      <w:pPr>
        <w:spacing w:line="360" w:lineRule="auto"/>
        <w:ind w:right="-397"/>
        <w:jc w:val="both"/>
        <w:rPr>
          <w:b/>
          <w:color w:val="000000" w:themeColor="text1"/>
        </w:rPr>
      </w:pPr>
    </w:p>
    <w:p w14:paraId="4E131B78" w14:textId="77777777" w:rsidR="00500EB1" w:rsidRDefault="00500EB1" w:rsidP="00943A7F">
      <w:pPr>
        <w:pStyle w:val="ListParagraph"/>
        <w:numPr>
          <w:ilvl w:val="0"/>
          <w:numId w:val="22"/>
        </w:numPr>
        <w:spacing w:line="360" w:lineRule="auto"/>
        <w:ind w:right="-397"/>
        <w:jc w:val="both"/>
        <w:rPr>
          <w:b/>
          <w:color w:val="000000" w:themeColor="text1"/>
        </w:rPr>
      </w:pPr>
      <w:r w:rsidRPr="00943A7F">
        <w:rPr>
          <w:b/>
          <w:color w:val="000000" w:themeColor="text1"/>
        </w:rPr>
        <w:t>Introduction</w:t>
      </w:r>
    </w:p>
    <w:p w14:paraId="4E11A70E" w14:textId="77777777" w:rsidR="007165D2" w:rsidRPr="007165D2" w:rsidRDefault="007165D2" w:rsidP="007165D2">
      <w:pPr>
        <w:spacing w:line="360" w:lineRule="auto"/>
        <w:ind w:right="-397"/>
        <w:jc w:val="both"/>
        <w:rPr>
          <w:b/>
          <w:color w:val="000000" w:themeColor="text1"/>
        </w:rPr>
      </w:pPr>
    </w:p>
    <w:p w14:paraId="1642A379" w14:textId="16185ECC" w:rsidR="007165D2" w:rsidRDefault="001D6264" w:rsidP="007165D2">
      <w:pPr>
        <w:spacing w:line="360" w:lineRule="auto"/>
        <w:ind w:left="-397" w:right="-397"/>
        <w:jc w:val="both"/>
        <w:rPr>
          <w:color w:val="000000" w:themeColor="text1"/>
        </w:rPr>
      </w:pPr>
      <w:r>
        <w:rPr>
          <w:color w:val="000000" w:themeColor="text1"/>
        </w:rPr>
        <w:t>W</w:t>
      </w:r>
      <w:r w:rsidR="007165D2" w:rsidRPr="00326F85">
        <w:rPr>
          <w:color w:val="000000" w:themeColor="text1"/>
        </w:rPr>
        <w:t>elfare studies ha</w:t>
      </w:r>
      <w:r>
        <w:rPr>
          <w:color w:val="000000" w:themeColor="text1"/>
        </w:rPr>
        <w:t xml:space="preserve">ve </w:t>
      </w:r>
      <w:r w:rsidR="007165D2" w:rsidRPr="00326F85">
        <w:rPr>
          <w:color w:val="000000" w:themeColor="text1"/>
        </w:rPr>
        <w:t xml:space="preserve">been enriched in recent decades by critical normative perspectives that </w:t>
      </w:r>
      <w:r w:rsidR="007165D2">
        <w:rPr>
          <w:color w:val="000000" w:themeColor="text1"/>
        </w:rPr>
        <w:t>argue for a freedom-focussed design of welfare institutions</w:t>
      </w:r>
      <w:r w:rsidR="007165D2" w:rsidRPr="00326F85">
        <w:rPr>
          <w:color w:val="000000" w:themeColor="text1"/>
        </w:rPr>
        <w:t xml:space="preserve">. </w:t>
      </w:r>
      <w:r w:rsidR="007165D2">
        <w:rPr>
          <w:color w:val="000000" w:themeColor="text1"/>
        </w:rPr>
        <w:t xml:space="preserve">A key objective of the </w:t>
      </w:r>
      <w:r>
        <w:rPr>
          <w:color w:val="000000" w:themeColor="text1"/>
        </w:rPr>
        <w:t>Welfare-As-Freedom (</w:t>
      </w:r>
      <w:r w:rsidR="007165D2">
        <w:rPr>
          <w:color w:val="000000" w:themeColor="text1"/>
        </w:rPr>
        <w:t>WAF</w:t>
      </w:r>
      <w:r>
        <w:rPr>
          <w:color w:val="000000" w:themeColor="text1"/>
        </w:rPr>
        <w:t>)</w:t>
      </w:r>
      <w:r w:rsidR="007165D2">
        <w:rPr>
          <w:color w:val="000000" w:themeColor="text1"/>
        </w:rPr>
        <w:t xml:space="preserve"> </w:t>
      </w:r>
      <w:r w:rsidR="008B3F00">
        <w:rPr>
          <w:color w:val="000000" w:themeColor="text1"/>
        </w:rPr>
        <w:t xml:space="preserve">literature </w:t>
      </w:r>
      <w:r w:rsidR="007165D2">
        <w:rPr>
          <w:color w:val="000000" w:themeColor="text1"/>
        </w:rPr>
        <w:t>has been to forefront personal choice within economic and social organisation. Whilst agreeing with this obj</w:t>
      </w:r>
      <w:r w:rsidR="00AD7EFF">
        <w:rPr>
          <w:color w:val="000000" w:themeColor="text1"/>
        </w:rPr>
        <w:t xml:space="preserve">ective, I argue </w:t>
      </w:r>
      <w:r w:rsidR="00BF374F">
        <w:rPr>
          <w:color w:val="000000" w:themeColor="text1"/>
        </w:rPr>
        <w:t>that a too singular perspective on individual governance</w:t>
      </w:r>
      <w:r w:rsidR="007165D2">
        <w:rPr>
          <w:color w:val="000000" w:themeColor="text1"/>
        </w:rPr>
        <w:t xml:space="preserve"> can set the reality of institutional constraints on personal control too much aside</w:t>
      </w:r>
      <w:r w:rsidR="002121EA">
        <w:rPr>
          <w:color w:val="000000" w:themeColor="text1"/>
        </w:rPr>
        <w:t>.</w:t>
      </w:r>
      <w:r w:rsidR="007165D2">
        <w:rPr>
          <w:color w:val="000000" w:themeColor="text1"/>
        </w:rPr>
        <w:t xml:space="preserve"> </w:t>
      </w:r>
      <w:proofErr w:type="gramStart"/>
      <w:r w:rsidR="00174D25">
        <w:rPr>
          <w:color w:val="000000" w:themeColor="text1"/>
        </w:rPr>
        <w:t>Also</w:t>
      </w:r>
      <w:proofErr w:type="gramEnd"/>
      <w:r w:rsidR="00174D25">
        <w:rPr>
          <w:color w:val="000000" w:themeColor="text1"/>
        </w:rPr>
        <w:t xml:space="preserve"> w</w:t>
      </w:r>
      <w:r w:rsidR="007165D2">
        <w:rPr>
          <w:color w:val="000000" w:themeColor="text1"/>
        </w:rPr>
        <w:t xml:space="preserve">hilst the WAF literature has tended to focus on reshaping </w:t>
      </w:r>
      <w:r w:rsidR="0077581E">
        <w:rPr>
          <w:color w:val="000000" w:themeColor="text1"/>
        </w:rPr>
        <w:t>post-war</w:t>
      </w:r>
      <w:r w:rsidR="007165D2">
        <w:rPr>
          <w:color w:val="000000" w:themeColor="text1"/>
        </w:rPr>
        <w:t xml:space="preserve"> welfare institutions towards a more simple pre-distributive form, I use freedom-orientation as an opportunity to re-assess the foundation and functions of welfare systems from a </w:t>
      </w:r>
      <w:r w:rsidR="00AD7EFF">
        <w:rPr>
          <w:color w:val="000000" w:themeColor="text1"/>
        </w:rPr>
        <w:t xml:space="preserve">multi-level institutional and </w:t>
      </w:r>
      <w:r w:rsidR="007165D2">
        <w:rPr>
          <w:color w:val="000000" w:themeColor="text1"/>
        </w:rPr>
        <w:t xml:space="preserve">well-being perspective. </w:t>
      </w:r>
      <w:r w:rsidR="00C144F1">
        <w:rPr>
          <w:color w:val="000000" w:themeColor="text1"/>
        </w:rPr>
        <w:t xml:space="preserve">Indeed, </w:t>
      </w:r>
      <w:r w:rsidR="00BF374F">
        <w:rPr>
          <w:color w:val="000000" w:themeColor="text1"/>
        </w:rPr>
        <w:t xml:space="preserve">I argue </w:t>
      </w:r>
      <w:r w:rsidR="0077581E">
        <w:rPr>
          <w:color w:val="000000" w:themeColor="text1"/>
        </w:rPr>
        <w:t xml:space="preserve">that </w:t>
      </w:r>
      <w:r w:rsidR="00BF374F">
        <w:rPr>
          <w:color w:val="000000" w:themeColor="text1"/>
        </w:rPr>
        <w:t>a</w:t>
      </w:r>
      <w:r w:rsidR="007165D2">
        <w:rPr>
          <w:color w:val="000000" w:themeColor="text1"/>
        </w:rPr>
        <w:t xml:space="preserve"> focus on life style choice gives an unrealistic representation of the scope for personal </w:t>
      </w:r>
      <w:proofErr w:type="gramStart"/>
      <w:r w:rsidR="007165D2">
        <w:rPr>
          <w:color w:val="000000" w:themeColor="text1"/>
        </w:rPr>
        <w:t>control, and</w:t>
      </w:r>
      <w:proofErr w:type="gramEnd"/>
      <w:r w:rsidR="007165D2">
        <w:rPr>
          <w:color w:val="000000" w:themeColor="text1"/>
        </w:rPr>
        <w:t xml:space="preserve"> overdraws the connection between choice and well-being. Instead</w:t>
      </w:r>
      <w:r w:rsidR="003E3224">
        <w:rPr>
          <w:color w:val="000000" w:themeColor="text1"/>
        </w:rPr>
        <w:t>,</w:t>
      </w:r>
      <w:r w:rsidR="007165D2">
        <w:rPr>
          <w:color w:val="000000" w:themeColor="text1"/>
        </w:rPr>
        <w:t xml:space="preserve"> acknowledging the reality of </w:t>
      </w:r>
      <w:r w:rsidR="007165D2">
        <w:rPr>
          <w:color w:val="000000" w:themeColor="text1"/>
        </w:rPr>
        <w:lastRenderedPageBreak/>
        <w:t xml:space="preserve">institutions leads to a focus on their design from the perspective of impacts </w:t>
      </w:r>
      <w:r w:rsidR="00A73D21">
        <w:rPr>
          <w:color w:val="000000" w:themeColor="text1"/>
        </w:rPr>
        <w:t xml:space="preserve">on states of </w:t>
      </w:r>
      <w:r w:rsidR="007165D2">
        <w:rPr>
          <w:color w:val="000000" w:themeColor="text1"/>
        </w:rPr>
        <w:t>well-being, which filter the real extent and quality of choices people enjoy.</w:t>
      </w:r>
    </w:p>
    <w:p w14:paraId="15861534" w14:textId="77777777" w:rsidR="007165D2" w:rsidRDefault="007165D2" w:rsidP="007165D2">
      <w:pPr>
        <w:spacing w:line="360" w:lineRule="auto"/>
        <w:ind w:left="-397" w:right="-397"/>
        <w:jc w:val="both"/>
        <w:rPr>
          <w:color w:val="000000" w:themeColor="text1"/>
        </w:rPr>
      </w:pPr>
    </w:p>
    <w:p w14:paraId="53E820DD" w14:textId="76B037FC" w:rsidR="00597DC6" w:rsidRPr="001E1A3B" w:rsidRDefault="007165D2" w:rsidP="001E1A3B">
      <w:pPr>
        <w:spacing w:line="360" w:lineRule="auto"/>
        <w:ind w:left="-397" w:right="-397"/>
        <w:jc w:val="both"/>
        <w:rPr>
          <w:color w:val="000000" w:themeColor="text1"/>
        </w:rPr>
      </w:pPr>
      <w:r>
        <w:rPr>
          <w:color w:val="000000" w:themeColor="text1"/>
        </w:rPr>
        <w:t>F</w:t>
      </w:r>
      <w:r w:rsidRPr="00326F85">
        <w:rPr>
          <w:color w:val="000000" w:themeColor="text1"/>
        </w:rPr>
        <w:t>ocus</w:t>
      </w:r>
      <w:r>
        <w:rPr>
          <w:color w:val="000000" w:themeColor="text1"/>
        </w:rPr>
        <w:t>sing on the framing of</w:t>
      </w:r>
      <w:r w:rsidRPr="00326F85">
        <w:rPr>
          <w:color w:val="000000" w:themeColor="text1"/>
        </w:rPr>
        <w:t xml:space="preserve"> everyday activities and social relations</w:t>
      </w:r>
      <w:r>
        <w:rPr>
          <w:color w:val="000000" w:themeColor="text1"/>
        </w:rPr>
        <w:t xml:space="preserve"> </w:t>
      </w:r>
      <w:r w:rsidRPr="00326F85">
        <w:rPr>
          <w:color w:val="000000" w:themeColor="text1"/>
        </w:rPr>
        <w:t>offer</w:t>
      </w:r>
      <w:r>
        <w:rPr>
          <w:color w:val="000000" w:themeColor="text1"/>
        </w:rPr>
        <w:t>s</w:t>
      </w:r>
      <w:r w:rsidRPr="00326F85">
        <w:rPr>
          <w:color w:val="000000" w:themeColor="text1"/>
        </w:rPr>
        <w:t xml:space="preserve"> </w:t>
      </w:r>
      <w:r>
        <w:rPr>
          <w:color w:val="000000" w:themeColor="text1"/>
        </w:rPr>
        <w:t>an avenue</w:t>
      </w:r>
      <w:r w:rsidRPr="00326F85">
        <w:rPr>
          <w:color w:val="000000" w:themeColor="text1"/>
        </w:rPr>
        <w:t xml:space="preserve"> for redrawing both the characterisation and explanation of key differences between familiar welfare state </w:t>
      </w:r>
      <w:proofErr w:type="gramStart"/>
      <w:r w:rsidRPr="00326F85">
        <w:rPr>
          <w:color w:val="000000" w:themeColor="text1"/>
        </w:rPr>
        <w:t xml:space="preserve">varieties, </w:t>
      </w:r>
      <w:r>
        <w:rPr>
          <w:color w:val="000000" w:themeColor="text1"/>
        </w:rPr>
        <w:t>and</w:t>
      </w:r>
      <w:proofErr w:type="gramEnd"/>
      <w:r>
        <w:rPr>
          <w:color w:val="000000" w:themeColor="text1"/>
        </w:rPr>
        <w:t xml:space="preserve"> </w:t>
      </w:r>
      <w:r w:rsidRPr="00326F85">
        <w:rPr>
          <w:color w:val="000000" w:themeColor="text1"/>
        </w:rPr>
        <w:t>clearing up prevailing mi</w:t>
      </w:r>
      <w:r w:rsidR="00A73D21">
        <w:rPr>
          <w:color w:val="000000" w:themeColor="text1"/>
        </w:rPr>
        <w:t>sconceptions about them</w:t>
      </w:r>
      <w:r w:rsidRPr="00326F85">
        <w:rPr>
          <w:color w:val="000000" w:themeColor="text1"/>
        </w:rPr>
        <w:t xml:space="preserve">.  </w:t>
      </w:r>
      <w:r w:rsidR="007A125F">
        <w:rPr>
          <w:color w:val="000000" w:themeColor="text1"/>
        </w:rPr>
        <w:t>Along with much standard economic anal</w:t>
      </w:r>
      <w:r w:rsidR="00AD7EFF">
        <w:rPr>
          <w:color w:val="000000" w:themeColor="text1"/>
        </w:rPr>
        <w:t>ysis, WAF scholars</w:t>
      </w:r>
      <w:r w:rsidR="001E1A3B">
        <w:rPr>
          <w:color w:val="000000" w:themeColor="text1"/>
        </w:rPr>
        <w:t xml:space="preserve"> tend to</w:t>
      </w:r>
      <w:r w:rsidR="007A125F">
        <w:rPr>
          <w:color w:val="000000" w:themeColor="text1"/>
        </w:rPr>
        <w:t xml:space="preserve"> assum</w:t>
      </w:r>
      <w:r w:rsidR="00AD7EFF">
        <w:rPr>
          <w:color w:val="000000" w:themeColor="text1"/>
        </w:rPr>
        <w:t>e</w:t>
      </w:r>
      <w:r w:rsidR="007A125F">
        <w:rPr>
          <w:color w:val="000000" w:themeColor="text1"/>
        </w:rPr>
        <w:t xml:space="preserve"> more encompassing welfare states exert more direct control over persons because social organisation is formalised, whereas greater personal and political freedom require more simple forms of social protection and less regulation.</w:t>
      </w:r>
      <w:r w:rsidR="001E1A3B">
        <w:rPr>
          <w:color w:val="000000" w:themeColor="text1"/>
        </w:rPr>
        <w:t xml:space="preserve"> </w:t>
      </w:r>
      <w:r w:rsidR="00804C19" w:rsidRPr="00C0301D">
        <w:rPr>
          <w:color w:val="000000" w:themeColor="text1"/>
        </w:rPr>
        <w:t>Taking</w:t>
      </w:r>
      <w:r w:rsidR="001E1A3B">
        <w:rPr>
          <w:color w:val="000000" w:themeColor="text1"/>
        </w:rPr>
        <w:t xml:space="preserve"> a different direction, I argue</w:t>
      </w:r>
      <w:r w:rsidR="00AD7EFF">
        <w:rPr>
          <w:color w:val="000000" w:themeColor="text1"/>
        </w:rPr>
        <w:t xml:space="preserve"> that </w:t>
      </w:r>
      <w:r w:rsidR="00804C19" w:rsidRPr="006707EA">
        <w:rPr>
          <w:color w:val="000000" w:themeColor="text1"/>
        </w:rPr>
        <w:t>examining developmental dimensio</w:t>
      </w:r>
      <w:r w:rsidR="00546CB1">
        <w:rPr>
          <w:color w:val="000000" w:themeColor="text1"/>
        </w:rPr>
        <w:t xml:space="preserve">ns of freedom </w:t>
      </w:r>
      <w:r w:rsidR="007A125F">
        <w:rPr>
          <w:color w:val="000000" w:themeColor="text1"/>
        </w:rPr>
        <w:t xml:space="preserve">that can be linked with states of well-being </w:t>
      </w:r>
      <w:r w:rsidR="00546CB1">
        <w:rPr>
          <w:color w:val="000000" w:themeColor="text1"/>
        </w:rPr>
        <w:t>is</w:t>
      </w:r>
      <w:r w:rsidR="00804C19" w:rsidRPr="006707EA">
        <w:rPr>
          <w:color w:val="000000" w:themeColor="text1"/>
        </w:rPr>
        <w:t xml:space="preserve"> </w:t>
      </w:r>
      <w:r w:rsidR="00675340">
        <w:rPr>
          <w:color w:val="000000" w:themeColor="text1"/>
        </w:rPr>
        <w:t xml:space="preserve">the </w:t>
      </w:r>
      <w:r w:rsidR="00804C19" w:rsidRPr="006707EA">
        <w:rPr>
          <w:color w:val="000000" w:themeColor="text1"/>
        </w:rPr>
        <w:t>basis for a more broadly informative characterisation of welfare state evolution and function.</w:t>
      </w:r>
      <w:r w:rsidR="007A125F">
        <w:rPr>
          <w:color w:val="000000" w:themeColor="text1"/>
        </w:rPr>
        <w:t xml:space="preserve"> B</w:t>
      </w:r>
      <w:r w:rsidR="00FF3077">
        <w:rPr>
          <w:color w:val="000000" w:themeColor="text1"/>
        </w:rPr>
        <w:t xml:space="preserve">uilding on </w:t>
      </w:r>
      <w:r w:rsidR="007A125F">
        <w:rPr>
          <w:color w:val="000000" w:themeColor="text1"/>
        </w:rPr>
        <w:t xml:space="preserve">insights from the </w:t>
      </w:r>
      <w:r w:rsidR="00804C19" w:rsidRPr="006707EA">
        <w:rPr>
          <w:color w:val="000000" w:themeColor="text1"/>
        </w:rPr>
        <w:t xml:space="preserve">human development </w:t>
      </w:r>
      <w:r w:rsidR="007A125F">
        <w:rPr>
          <w:color w:val="000000" w:themeColor="text1"/>
        </w:rPr>
        <w:t>approach (HDA</w:t>
      </w:r>
      <w:r w:rsidR="00804C19" w:rsidRPr="006707EA">
        <w:rPr>
          <w:color w:val="000000" w:themeColor="text1"/>
        </w:rPr>
        <w:t>)</w:t>
      </w:r>
      <w:r w:rsidR="00AF1337">
        <w:rPr>
          <w:color w:val="000000" w:themeColor="text1"/>
        </w:rPr>
        <w:t>, institutionalist political economy,</w:t>
      </w:r>
      <w:r w:rsidR="00804C19" w:rsidRPr="006707EA">
        <w:rPr>
          <w:color w:val="000000" w:themeColor="text1"/>
        </w:rPr>
        <w:t xml:space="preserve"> </w:t>
      </w:r>
      <w:r w:rsidR="007A125F">
        <w:rPr>
          <w:color w:val="000000" w:themeColor="text1"/>
        </w:rPr>
        <w:t xml:space="preserve">and </w:t>
      </w:r>
      <w:r w:rsidR="00804C19" w:rsidRPr="006707EA">
        <w:rPr>
          <w:color w:val="000000" w:themeColor="text1"/>
        </w:rPr>
        <w:t>the systems varieties literature (SVL)</w:t>
      </w:r>
      <w:r w:rsidR="00602F7C">
        <w:rPr>
          <w:color w:val="000000" w:themeColor="text1"/>
        </w:rPr>
        <w:t>,</w:t>
      </w:r>
      <w:r w:rsidR="00A76BE2" w:rsidRPr="006707EA">
        <w:rPr>
          <w:color w:val="000000" w:themeColor="text1"/>
        </w:rPr>
        <w:t xml:space="preserve"> </w:t>
      </w:r>
      <w:r w:rsidR="00597DC6" w:rsidRPr="006707EA">
        <w:rPr>
          <w:color w:val="000000" w:themeColor="text1"/>
        </w:rPr>
        <w:t xml:space="preserve">I </w:t>
      </w:r>
      <w:r w:rsidR="00C93189">
        <w:rPr>
          <w:color w:val="000000" w:themeColor="text1"/>
        </w:rPr>
        <w:t xml:space="preserve">develop a systems approach to well-being, and </w:t>
      </w:r>
      <w:r w:rsidR="00597DC6" w:rsidRPr="006707EA">
        <w:rPr>
          <w:color w:val="000000" w:themeColor="text1"/>
        </w:rPr>
        <w:t>identify w</w:t>
      </w:r>
      <w:r w:rsidR="00FF3077">
        <w:rPr>
          <w:color w:val="000000" w:themeColor="text1"/>
        </w:rPr>
        <w:t>ays the</w:t>
      </w:r>
      <w:r w:rsidR="00597DC6" w:rsidRPr="006707EA">
        <w:rPr>
          <w:color w:val="000000" w:themeColor="text1"/>
        </w:rPr>
        <w:t xml:space="preserve"> form of public sector development </w:t>
      </w:r>
      <w:r w:rsidR="00597DC6">
        <w:rPr>
          <w:color w:val="000000" w:themeColor="text1"/>
        </w:rPr>
        <w:t xml:space="preserve">is </w:t>
      </w:r>
      <w:r w:rsidR="00597DC6" w:rsidRPr="006707EA">
        <w:rPr>
          <w:color w:val="000000" w:themeColor="text1"/>
        </w:rPr>
        <w:t xml:space="preserve">a factor </w:t>
      </w:r>
      <w:r w:rsidR="00B46235">
        <w:rPr>
          <w:color w:val="000000" w:themeColor="text1"/>
        </w:rPr>
        <w:t xml:space="preserve">in both </w:t>
      </w:r>
      <w:r w:rsidR="00597DC6" w:rsidRPr="006707EA">
        <w:rPr>
          <w:color w:val="000000" w:themeColor="text1"/>
        </w:rPr>
        <w:t>system function (c</w:t>
      </w:r>
      <w:r w:rsidR="00FF3077">
        <w:rPr>
          <w:color w:val="000000" w:themeColor="text1"/>
        </w:rPr>
        <w:t>oherence) and social foundations for well-being</w:t>
      </w:r>
      <w:r w:rsidR="00597DC6" w:rsidRPr="006707EA">
        <w:rPr>
          <w:color w:val="000000" w:themeColor="text1"/>
        </w:rPr>
        <w:t xml:space="preserve"> (transcendence). </w:t>
      </w:r>
      <w:r w:rsidR="00D614F0">
        <w:rPr>
          <w:color w:val="000000" w:themeColor="text1"/>
        </w:rPr>
        <w:t>More s</w:t>
      </w:r>
      <w:r w:rsidR="00FF3077">
        <w:rPr>
          <w:color w:val="000000" w:themeColor="text1"/>
        </w:rPr>
        <w:t>pecifically</w:t>
      </w:r>
      <w:r w:rsidR="00A73D21">
        <w:rPr>
          <w:color w:val="000000" w:themeColor="text1"/>
        </w:rPr>
        <w:t>,</w:t>
      </w:r>
      <w:r w:rsidR="00AF1337">
        <w:rPr>
          <w:color w:val="000000" w:themeColor="text1"/>
        </w:rPr>
        <w:t xml:space="preserve"> I deepen the focus of these</w:t>
      </w:r>
      <w:r w:rsidR="00FF3077">
        <w:rPr>
          <w:color w:val="000000" w:themeColor="text1"/>
        </w:rPr>
        <w:t xml:space="preserve"> literatures with reference to the impact</w:t>
      </w:r>
      <w:r w:rsidR="00602F7C">
        <w:rPr>
          <w:color w:val="000000" w:themeColor="text1"/>
        </w:rPr>
        <w:t>,</w:t>
      </w:r>
      <w:r w:rsidR="00FF3077">
        <w:rPr>
          <w:color w:val="000000" w:themeColor="text1"/>
        </w:rPr>
        <w:t xml:space="preserve"> </w:t>
      </w:r>
      <w:r w:rsidR="006C069F">
        <w:rPr>
          <w:color w:val="000000" w:themeColor="text1"/>
        </w:rPr>
        <w:t>which</w:t>
      </w:r>
      <w:r w:rsidR="00FF3077">
        <w:rPr>
          <w:color w:val="000000" w:themeColor="text1"/>
        </w:rPr>
        <w:t xml:space="preserve"> what I call the human economy (HE) exerts on governance, by setting out the shape of key cooperative problems.</w:t>
      </w:r>
      <w:r w:rsidR="00FF3077" w:rsidRPr="00FF3077">
        <w:rPr>
          <w:color w:val="000000" w:themeColor="text1"/>
        </w:rPr>
        <w:t xml:space="preserve"> </w:t>
      </w:r>
    </w:p>
    <w:p w14:paraId="0B41A83D" w14:textId="77777777" w:rsidR="001E1A3B" w:rsidRDefault="001E1A3B" w:rsidP="006C069F">
      <w:pPr>
        <w:spacing w:line="360" w:lineRule="auto"/>
        <w:ind w:left="-397" w:right="-397"/>
        <w:jc w:val="both"/>
        <w:rPr>
          <w:color w:val="000000" w:themeColor="text1"/>
        </w:rPr>
      </w:pPr>
    </w:p>
    <w:p w14:paraId="70DFD97D" w14:textId="3654DEA4" w:rsidR="00832066" w:rsidRDefault="00832066" w:rsidP="00A73D21">
      <w:pPr>
        <w:spacing w:line="360" w:lineRule="auto"/>
        <w:ind w:left="-397" w:right="-397"/>
        <w:jc w:val="both"/>
        <w:rPr>
          <w:color w:val="000000" w:themeColor="text1"/>
        </w:rPr>
      </w:pPr>
      <w:r>
        <w:rPr>
          <w:color w:val="000000" w:themeColor="text1"/>
        </w:rPr>
        <w:t xml:space="preserve">I argue key forms of control of time and social relations </w:t>
      </w:r>
      <w:r w:rsidRPr="00EF228F">
        <w:rPr>
          <w:color w:val="000000" w:themeColor="text1"/>
        </w:rPr>
        <w:t>have a basis in complex mutual effects between institutions that arise from the way hum</w:t>
      </w:r>
      <w:r>
        <w:rPr>
          <w:color w:val="000000" w:themeColor="text1"/>
        </w:rPr>
        <w:t xml:space="preserve">an activities are patterned, so that the more or less egalitarian and developmental </w:t>
      </w:r>
      <w:r w:rsidRPr="00EF228F">
        <w:rPr>
          <w:color w:val="000000" w:themeColor="text1"/>
        </w:rPr>
        <w:t>bases on which relations are structured</w:t>
      </w:r>
      <w:r>
        <w:rPr>
          <w:color w:val="000000" w:themeColor="text1"/>
        </w:rPr>
        <w:t>,</w:t>
      </w:r>
      <w:r w:rsidRPr="00EF228F">
        <w:rPr>
          <w:color w:val="000000" w:themeColor="text1"/>
        </w:rPr>
        <w:t xml:space="preserve"> shape</w:t>
      </w:r>
      <w:r>
        <w:rPr>
          <w:color w:val="000000" w:themeColor="text1"/>
        </w:rPr>
        <w:t xml:space="preserve">s </w:t>
      </w:r>
      <w:r w:rsidRPr="00EF228F">
        <w:rPr>
          <w:color w:val="000000" w:themeColor="text1"/>
        </w:rPr>
        <w:t xml:space="preserve">links between institutions. </w:t>
      </w:r>
      <w:r>
        <w:rPr>
          <w:color w:val="000000" w:themeColor="text1"/>
        </w:rPr>
        <w:t xml:space="preserve">We have reason to assume that in </w:t>
      </w:r>
      <w:r w:rsidRPr="00357DB2">
        <w:rPr>
          <w:color w:val="000000" w:themeColor="text1"/>
        </w:rPr>
        <w:t>societies in wh</w:t>
      </w:r>
      <w:r w:rsidR="00AF1337">
        <w:rPr>
          <w:color w:val="000000" w:themeColor="text1"/>
        </w:rPr>
        <w:t xml:space="preserve">ich formal </w:t>
      </w:r>
      <w:r w:rsidRPr="00357DB2">
        <w:rPr>
          <w:color w:val="000000" w:themeColor="text1"/>
        </w:rPr>
        <w:t xml:space="preserve">cooperation </w:t>
      </w:r>
      <w:r w:rsidR="00AF1337">
        <w:rPr>
          <w:color w:val="000000" w:themeColor="text1"/>
        </w:rPr>
        <w:t xml:space="preserve">around core human activities </w:t>
      </w:r>
      <w:r w:rsidR="00BE3FE3">
        <w:rPr>
          <w:color w:val="000000" w:themeColor="text1"/>
        </w:rPr>
        <w:t>is</w:t>
      </w:r>
      <w:r w:rsidRPr="00357DB2">
        <w:rPr>
          <w:color w:val="000000" w:themeColor="text1"/>
        </w:rPr>
        <w:t xml:space="preserve"> more developed at the level of systems</w:t>
      </w:r>
      <w:r>
        <w:rPr>
          <w:color w:val="000000" w:themeColor="text1"/>
        </w:rPr>
        <w:t>,</w:t>
      </w:r>
      <w:r w:rsidRPr="00357DB2">
        <w:rPr>
          <w:color w:val="000000" w:themeColor="text1"/>
        </w:rPr>
        <w:t xml:space="preserve"> </w:t>
      </w:r>
      <w:r>
        <w:rPr>
          <w:color w:val="000000" w:themeColor="text1"/>
        </w:rPr>
        <w:t xml:space="preserve">the form of </w:t>
      </w:r>
      <w:r w:rsidRPr="00357DB2">
        <w:rPr>
          <w:color w:val="000000" w:themeColor="text1"/>
        </w:rPr>
        <w:t xml:space="preserve">institutions </w:t>
      </w:r>
      <w:r>
        <w:rPr>
          <w:color w:val="000000" w:themeColor="text1"/>
        </w:rPr>
        <w:t xml:space="preserve">is more likely to involve an orientation </w:t>
      </w:r>
      <w:r w:rsidRPr="00357DB2">
        <w:rPr>
          <w:color w:val="000000" w:themeColor="text1"/>
        </w:rPr>
        <w:t>to p</w:t>
      </w:r>
      <w:r>
        <w:rPr>
          <w:color w:val="000000" w:themeColor="text1"/>
        </w:rPr>
        <w:t>romote developmental forms of contr</w:t>
      </w:r>
      <w:r w:rsidR="003E3224">
        <w:rPr>
          <w:color w:val="000000" w:themeColor="text1"/>
        </w:rPr>
        <w:t>ol (HE responsiveness). In turn</w:t>
      </w:r>
      <w:r>
        <w:rPr>
          <w:color w:val="000000" w:themeColor="text1"/>
        </w:rPr>
        <w:t>, important historical factors in HE responsiveness include the level of social equality underpinning modern state formation, combined with the degree of embedding of social cooperation in public sector development.</w:t>
      </w:r>
    </w:p>
    <w:p w14:paraId="56A78C7E" w14:textId="77777777" w:rsidR="00804C19" w:rsidRPr="00D15DC6" w:rsidRDefault="00804C19" w:rsidP="00B87760">
      <w:pPr>
        <w:spacing w:line="360" w:lineRule="auto"/>
        <w:ind w:right="-397"/>
        <w:jc w:val="both"/>
        <w:rPr>
          <w:color w:val="000000" w:themeColor="text1"/>
        </w:rPr>
      </w:pPr>
    </w:p>
    <w:p w14:paraId="5A2B4128" w14:textId="70EE01A8" w:rsidR="003903A3" w:rsidRDefault="00804C19" w:rsidP="00327C34">
      <w:pPr>
        <w:spacing w:line="360" w:lineRule="auto"/>
        <w:ind w:left="-397" w:right="-397"/>
        <w:jc w:val="both"/>
      </w:pPr>
      <w:r w:rsidRPr="00D15DC6">
        <w:rPr>
          <w:color w:val="000000" w:themeColor="text1"/>
        </w:rPr>
        <w:t>On this basis</w:t>
      </w:r>
      <w:r w:rsidR="00C93189">
        <w:rPr>
          <w:color w:val="000000" w:themeColor="text1"/>
        </w:rPr>
        <w:t>,</w:t>
      </w:r>
      <w:r w:rsidRPr="00D15DC6">
        <w:rPr>
          <w:color w:val="000000" w:themeColor="text1"/>
        </w:rPr>
        <w:t xml:space="preserve"> this </w:t>
      </w:r>
      <w:r w:rsidR="00957664">
        <w:rPr>
          <w:color w:val="000000" w:themeColor="text1"/>
        </w:rPr>
        <w:t xml:space="preserve">contribution </w:t>
      </w:r>
      <w:r w:rsidRPr="00D15DC6">
        <w:rPr>
          <w:color w:val="000000" w:themeColor="text1"/>
        </w:rPr>
        <w:t xml:space="preserve">proceeds as follows. I </w:t>
      </w:r>
      <w:r w:rsidRPr="00887B27">
        <w:rPr>
          <w:color w:val="000000" w:themeColor="text1"/>
        </w:rPr>
        <w:t xml:space="preserve">first </w:t>
      </w:r>
      <w:r w:rsidR="00832066">
        <w:rPr>
          <w:color w:val="000000" w:themeColor="text1"/>
        </w:rPr>
        <w:t xml:space="preserve">discuss how my approach challenges </w:t>
      </w:r>
      <w:r w:rsidRPr="00887B27">
        <w:rPr>
          <w:color w:val="000000" w:themeColor="text1"/>
        </w:rPr>
        <w:t>freedom-focussed inquiry</w:t>
      </w:r>
      <w:r w:rsidR="00832066">
        <w:rPr>
          <w:color w:val="000000" w:themeColor="text1"/>
        </w:rPr>
        <w:t xml:space="preserve"> at a methodological level</w:t>
      </w:r>
      <w:r w:rsidRPr="00887B27">
        <w:rPr>
          <w:color w:val="000000" w:themeColor="text1"/>
        </w:rPr>
        <w:t xml:space="preserve">. Responding, next, I consider how an independent view of the nature of the human economy aids understanding of </w:t>
      </w:r>
      <w:r w:rsidRPr="00A269A3">
        <w:rPr>
          <w:color w:val="000000" w:themeColor="text1"/>
        </w:rPr>
        <w:t xml:space="preserve">developmental aspects of freedom and of </w:t>
      </w:r>
      <w:r w:rsidR="00832066">
        <w:rPr>
          <w:color w:val="000000" w:themeColor="text1"/>
        </w:rPr>
        <w:t>the role of embedding of cooperation</w:t>
      </w:r>
      <w:r w:rsidRPr="00A269A3">
        <w:rPr>
          <w:color w:val="000000" w:themeColor="text1"/>
        </w:rPr>
        <w:t xml:space="preserve"> in institutional development. Third,</w:t>
      </w:r>
      <w:r w:rsidR="000776B0" w:rsidRPr="00A269A3">
        <w:rPr>
          <w:color w:val="000000" w:themeColor="text1"/>
        </w:rPr>
        <w:t xml:space="preserve"> </w:t>
      </w:r>
      <w:r w:rsidRPr="00A269A3">
        <w:rPr>
          <w:color w:val="000000" w:themeColor="text1"/>
        </w:rPr>
        <w:t>I discuss in more detail how systemic support of human development and related freedoms can be examined in terms of public sector development and systems of public finance in advanced capitalist states, focussing especially on the cooperative structure of public finance, developmental policies, and systems of education, care</w:t>
      </w:r>
      <w:r w:rsidR="00A074DC">
        <w:rPr>
          <w:color w:val="000000" w:themeColor="text1"/>
        </w:rPr>
        <w:t>,</w:t>
      </w:r>
      <w:r w:rsidRPr="00A269A3">
        <w:rPr>
          <w:color w:val="000000" w:themeColor="text1"/>
        </w:rPr>
        <w:t xml:space="preserve"> and </w:t>
      </w:r>
      <w:r w:rsidRPr="00A269A3">
        <w:rPr>
          <w:color w:val="000000" w:themeColor="text1"/>
        </w:rPr>
        <w:lastRenderedPageBreak/>
        <w:t>th</w:t>
      </w:r>
      <w:r w:rsidR="00AF1337">
        <w:rPr>
          <w:color w:val="000000" w:themeColor="text1"/>
        </w:rPr>
        <w:t>e incorporation of women. Fourth</w:t>
      </w:r>
      <w:r w:rsidRPr="00A269A3">
        <w:rPr>
          <w:color w:val="000000" w:themeColor="text1"/>
        </w:rPr>
        <w:t xml:space="preserve">, I compare OECD capitalist states along these lines, </w:t>
      </w:r>
      <w:proofErr w:type="gramStart"/>
      <w:r w:rsidRPr="00A269A3">
        <w:rPr>
          <w:color w:val="000000" w:themeColor="text1"/>
        </w:rPr>
        <w:t>honing</w:t>
      </w:r>
      <w:r w:rsidR="00AF1337">
        <w:rPr>
          <w:color w:val="000000" w:themeColor="text1"/>
        </w:rPr>
        <w:t xml:space="preserve"> in</w:t>
      </w:r>
      <w:proofErr w:type="gramEnd"/>
      <w:r w:rsidR="00AF1337">
        <w:rPr>
          <w:color w:val="000000" w:themeColor="text1"/>
        </w:rPr>
        <w:t xml:space="preserve"> on the UK and Denmark. Fifth</w:t>
      </w:r>
      <w:r w:rsidR="008D25A7" w:rsidRPr="00A269A3">
        <w:rPr>
          <w:color w:val="000000" w:themeColor="text1"/>
        </w:rPr>
        <w:t>,</w:t>
      </w:r>
      <w:r w:rsidRPr="00A269A3">
        <w:rPr>
          <w:color w:val="000000" w:themeColor="text1"/>
        </w:rPr>
        <w:t xml:space="preserve"> I set this discussion in relation to specific aspects of HE responsiveness and control of time. </w:t>
      </w:r>
      <w:r w:rsidR="00AF1337">
        <w:rPr>
          <w:color w:val="000000" w:themeColor="text1"/>
        </w:rPr>
        <w:t>Sixth</w:t>
      </w:r>
      <w:r w:rsidR="008D25A7" w:rsidRPr="00A269A3">
        <w:rPr>
          <w:color w:val="000000" w:themeColor="text1"/>
        </w:rPr>
        <w:t xml:space="preserve">, I discuss implications for contextual and polemical features of the case for UBI as a response to rising insecurity and support of personal control under globalisation. </w:t>
      </w:r>
      <w:r w:rsidR="00957664" w:rsidRPr="00A269A3">
        <w:rPr>
          <w:color w:val="000000" w:themeColor="text1"/>
        </w:rPr>
        <w:t>Last,</w:t>
      </w:r>
      <w:r w:rsidRPr="00A269A3">
        <w:rPr>
          <w:color w:val="000000" w:themeColor="text1"/>
        </w:rPr>
        <w:t xml:space="preserve"> I </w:t>
      </w:r>
      <w:r w:rsidR="00957664">
        <w:rPr>
          <w:color w:val="000000" w:themeColor="text1"/>
        </w:rPr>
        <w:t xml:space="preserve">summarise and </w:t>
      </w:r>
      <w:r w:rsidRPr="00A269A3">
        <w:rPr>
          <w:color w:val="000000" w:themeColor="text1"/>
        </w:rPr>
        <w:t xml:space="preserve">conclude. </w:t>
      </w:r>
    </w:p>
    <w:p w14:paraId="486F7BAA" w14:textId="77777777" w:rsidR="002E2A52" w:rsidRDefault="002E2A52" w:rsidP="00B87760">
      <w:pPr>
        <w:spacing w:line="360" w:lineRule="auto"/>
        <w:ind w:right="-397"/>
        <w:jc w:val="both"/>
        <w:rPr>
          <w:color w:val="000000" w:themeColor="text1"/>
        </w:rPr>
      </w:pPr>
    </w:p>
    <w:p w14:paraId="77E80451" w14:textId="77777777" w:rsidR="00CD32FD" w:rsidRDefault="00957664" w:rsidP="00B87760">
      <w:pPr>
        <w:spacing w:line="360" w:lineRule="auto"/>
        <w:ind w:left="-397" w:right="-397"/>
        <w:jc w:val="both"/>
        <w:rPr>
          <w:color w:val="000000" w:themeColor="text1"/>
        </w:rPr>
      </w:pPr>
      <w:r w:rsidRPr="003E3224">
        <w:rPr>
          <w:b/>
          <w:color w:val="000000" w:themeColor="text1"/>
        </w:rPr>
        <w:t>2</w:t>
      </w:r>
      <w:r w:rsidR="00CD32FD" w:rsidRPr="003E3224">
        <w:rPr>
          <w:b/>
          <w:color w:val="000000" w:themeColor="text1"/>
        </w:rPr>
        <w:t>.</w:t>
      </w:r>
      <w:r w:rsidR="00CD32FD">
        <w:rPr>
          <w:color w:val="000000" w:themeColor="text1"/>
        </w:rPr>
        <w:t xml:space="preserve"> </w:t>
      </w:r>
      <w:r w:rsidR="00CD32FD" w:rsidRPr="0086583E">
        <w:rPr>
          <w:b/>
          <w:color w:val="000000" w:themeColor="text1"/>
        </w:rPr>
        <w:t>Comparative Capitalism and Human Development</w:t>
      </w:r>
    </w:p>
    <w:p w14:paraId="1AFA9648" w14:textId="77777777" w:rsidR="00CD32FD" w:rsidRDefault="00CD32FD" w:rsidP="00B87760">
      <w:pPr>
        <w:spacing w:line="360" w:lineRule="auto"/>
        <w:ind w:right="-397"/>
        <w:jc w:val="both"/>
        <w:rPr>
          <w:color w:val="000000" w:themeColor="text1"/>
        </w:rPr>
      </w:pPr>
    </w:p>
    <w:p w14:paraId="1A640F91" w14:textId="77777777" w:rsidR="003E3224" w:rsidRPr="00327C34" w:rsidRDefault="003E3224" w:rsidP="003E3224">
      <w:pPr>
        <w:pStyle w:val="ListParagraph"/>
        <w:spacing w:line="360" w:lineRule="auto"/>
        <w:ind w:left="-397" w:right="-397"/>
        <w:jc w:val="both"/>
        <w:rPr>
          <w:b/>
          <w:color w:val="000000" w:themeColor="text1"/>
        </w:rPr>
      </w:pPr>
      <w:r w:rsidRPr="00327C34">
        <w:rPr>
          <w:b/>
          <w:color w:val="000000" w:themeColor="text1"/>
        </w:rPr>
        <w:t xml:space="preserve">2.1 Welfare as freedom and liberal neutrality </w:t>
      </w:r>
    </w:p>
    <w:p w14:paraId="0BB5E520" w14:textId="77777777" w:rsidR="003E3224" w:rsidRDefault="003E3224" w:rsidP="003E3224">
      <w:pPr>
        <w:spacing w:line="360" w:lineRule="auto"/>
        <w:ind w:right="-397"/>
        <w:jc w:val="both"/>
      </w:pPr>
    </w:p>
    <w:p w14:paraId="5C23BFFC" w14:textId="34A88F6A" w:rsidR="0052265D" w:rsidRDefault="00CD32FD" w:rsidP="00B87760">
      <w:pPr>
        <w:spacing w:line="360" w:lineRule="auto"/>
        <w:ind w:left="-397" w:right="-397"/>
        <w:jc w:val="both"/>
      </w:pPr>
      <w:r>
        <w:t xml:space="preserve">An emerging </w:t>
      </w:r>
      <w:r w:rsidR="009C4898">
        <w:t xml:space="preserve">WAF </w:t>
      </w:r>
      <w:r w:rsidR="006C069F">
        <w:t>literature</w:t>
      </w:r>
      <w:r w:rsidRPr="00A879E9">
        <w:t xml:space="preserve">, deriving from </w:t>
      </w:r>
      <w:r w:rsidR="009C4898">
        <w:t>L</w:t>
      </w:r>
      <w:r w:rsidR="009A3FEE" w:rsidRPr="00A879E9">
        <w:t xml:space="preserve">iberal </w:t>
      </w:r>
      <w:r w:rsidR="009C4898">
        <w:t>E</w:t>
      </w:r>
      <w:r w:rsidR="009A3FEE" w:rsidRPr="00A879E9">
        <w:t xml:space="preserve">galitarian </w:t>
      </w:r>
      <w:r w:rsidR="009C4898">
        <w:t>T</w:t>
      </w:r>
      <w:r w:rsidR="009A3FEE" w:rsidRPr="00A879E9">
        <w:t xml:space="preserve">hought (LET) </w:t>
      </w:r>
      <w:r w:rsidR="009A3FEE">
        <w:t xml:space="preserve">and </w:t>
      </w:r>
      <w:r w:rsidRPr="00A879E9">
        <w:t xml:space="preserve">the </w:t>
      </w:r>
      <w:r w:rsidR="00CF7F7B">
        <w:t>H</w:t>
      </w:r>
      <w:r w:rsidRPr="00A879E9">
        <w:t xml:space="preserve">uman </w:t>
      </w:r>
      <w:r w:rsidR="00CF7F7B">
        <w:t>D</w:t>
      </w:r>
      <w:r w:rsidR="009A3FEE">
        <w:t xml:space="preserve">evelopment </w:t>
      </w:r>
      <w:r w:rsidR="00CF7F7B">
        <w:t>L</w:t>
      </w:r>
      <w:r w:rsidR="009A3FEE">
        <w:t xml:space="preserve">iterature (HDL), </w:t>
      </w:r>
      <w:r w:rsidRPr="00A879E9">
        <w:t>challenges the study of welfare states</w:t>
      </w:r>
      <w:r w:rsidR="00A73D21">
        <w:t xml:space="preserve">. This </w:t>
      </w:r>
      <w:r w:rsidR="00BD4492">
        <w:t>literature</w:t>
      </w:r>
      <w:r w:rsidRPr="00A879E9">
        <w:t xml:space="preserve"> draw</w:t>
      </w:r>
      <w:r w:rsidR="00832066">
        <w:t>s</w:t>
      </w:r>
      <w:r w:rsidRPr="00A879E9">
        <w:t xml:space="preserve"> attention to everyday forms of control of our lives -</w:t>
      </w:r>
      <w:r>
        <w:t xml:space="preserve"> e.g. of activiti</w:t>
      </w:r>
      <w:r w:rsidR="00E333DC">
        <w:t xml:space="preserve">es like leisure, work and care </w:t>
      </w:r>
      <w:r>
        <w:t xml:space="preserve">(van </w:t>
      </w:r>
      <w:proofErr w:type="spellStart"/>
      <w:r>
        <w:t>Parijs</w:t>
      </w:r>
      <w:proofErr w:type="spellEnd"/>
      <w:r w:rsidR="00F07407">
        <w:t>,</w:t>
      </w:r>
      <w:r>
        <w:t xml:space="preserve"> 1995</w:t>
      </w:r>
      <w:r w:rsidR="00F07407">
        <w:t xml:space="preserve">; </w:t>
      </w:r>
      <w:proofErr w:type="spellStart"/>
      <w:r>
        <w:t>Goodin</w:t>
      </w:r>
      <w:proofErr w:type="spellEnd"/>
      <w:r w:rsidR="00F07407">
        <w:t>,</w:t>
      </w:r>
      <w:r>
        <w:t xml:space="preserve"> 2001,2008; Standing</w:t>
      </w:r>
      <w:r w:rsidR="00F07407">
        <w:t>,</w:t>
      </w:r>
      <w:r>
        <w:t xml:space="preserve"> 2002)</w:t>
      </w:r>
      <w:r w:rsidR="00BD4492">
        <w:t>, and</w:t>
      </w:r>
      <w:r w:rsidR="00F07407">
        <w:t xml:space="preserve"> </w:t>
      </w:r>
      <w:r>
        <w:t>human reasons for acting, being and doing (Sen</w:t>
      </w:r>
      <w:r w:rsidR="00F07407">
        <w:t>,</w:t>
      </w:r>
      <w:r>
        <w:t xml:space="preserve"> 1998</w:t>
      </w:r>
      <w:r w:rsidR="00F07407">
        <w:t xml:space="preserve">; </w:t>
      </w:r>
      <w:r>
        <w:t>Nussbaum</w:t>
      </w:r>
      <w:r w:rsidR="00F07407">
        <w:t>,</w:t>
      </w:r>
      <w:r>
        <w:t xml:space="preserve"> 2006</w:t>
      </w:r>
      <w:r w:rsidR="00F07407">
        <w:t xml:space="preserve">; </w:t>
      </w:r>
      <w:proofErr w:type="spellStart"/>
      <w:r>
        <w:t>Alkire</w:t>
      </w:r>
      <w:proofErr w:type="spellEnd"/>
      <w:r w:rsidR="00F07407">
        <w:t>,</w:t>
      </w:r>
      <w:r>
        <w:t xml:space="preserve"> 2002).</w:t>
      </w:r>
      <w:r w:rsidR="00143111">
        <w:t xml:space="preserve"> Whilst t</w:t>
      </w:r>
      <w:r>
        <w:t>his pro</w:t>
      </w:r>
      <w:r w:rsidR="00C93189">
        <w:t xml:space="preserve">mises to provide a constructive </w:t>
      </w:r>
      <w:r>
        <w:t xml:space="preserve">input into policy debate by revealing </w:t>
      </w:r>
      <w:r w:rsidR="00A73D21">
        <w:t>the value of individuals</w:t>
      </w:r>
      <w:r w:rsidR="00FB17EF">
        <w:t>’</w:t>
      </w:r>
      <w:r w:rsidR="00A73D21">
        <w:t xml:space="preserve"> </w:t>
      </w:r>
      <w:r>
        <w:t xml:space="preserve">real or active ends (‘real’ freedom, van </w:t>
      </w:r>
      <w:proofErr w:type="spellStart"/>
      <w:r>
        <w:t>Parijs</w:t>
      </w:r>
      <w:proofErr w:type="spellEnd"/>
      <w:r>
        <w:t xml:space="preserve"> – henceforth VP, 1995</w:t>
      </w:r>
      <w:r w:rsidR="00B46235">
        <w:t>)</w:t>
      </w:r>
      <w:r w:rsidR="00A73D21">
        <w:rPr>
          <w:sz w:val="18"/>
          <w:szCs w:val="18"/>
        </w:rPr>
        <w:t>,</w:t>
      </w:r>
      <w:r w:rsidRPr="00B40B25">
        <w:rPr>
          <w:sz w:val="18"/>
          <w:szCs w:val="18"/>
        </w:rPr>
        <w:t xml:space="preserve"> </w:t>
      </w:r>
      <w:r w:rsidR="00A73D21">
        <w:t>the WAF</w:t>
      </w:r>
      <w:r w:rsidRPr="007E4A2F">
        <w:t xml:space="preserve"> has tended to overlook the extent to which opportunity for </w:t>
      </w:r>
      <w:r w:rsidR="0052265D" w:rsidRPr="0052265D">
        <w:rPr>
          <w:i/>
        </w:rPr>
        <w:t xml:space="preserve">valuable </w:t>
      </w:r>
      <w:r w:rsidRPr="0052265D">
        <w:rPr>
          <w:i/>
        </w:rPr>
        <w:t>developmental</w:t>
      </w:r>
      <w:r w:rsidRPr="007E4A2F">
        <w:t xml:space="preserve"> forms of freedom is socially patterned. </w:t>
      </w:r>
    </w:p>
    <w:p w14:paraId="62890BB3" w14:textId="77777777" w:rsidR="00CD32FD" w:rsidRDefault="00CD32FD" w:rsidP="003E3224">
      <w:pPr>
        <w:spacing w:line="360" w:lineRule="auto"/>
        <w:ind w:right="-397"/>
        <w:jc w:val="both"/>
        <w:rPr>
          <w:color w:val="222A35" w:themeColor="text2" w:themeShade="80"/>
        </w:rPr>
      </w:pPr>
    </w:p>
    <w:p w14:paraId="3E92B41C" w14:textId="10E8B1CA" w:rsidR="00B87760" w:rsidRPr="00103536" w:rsidRDefault="00CD32FD" w:rsidP="00B46235">
      <w:pPr>
        <w:spacing w:line="360" w:lineRule="auto"/>
        <w:ind w:left="-397" w:right="-397"/>
        <w:jc w:val="both"/>
        <w:rPr>
          <w:color w:val="000000" w:themeColor="text1"/>
        </w:rPr>
      </w:pPr>
      <w:r w:rsidRPr="00EF228F">
        <w:rPr>
          <w:color w:val="000000" w:themeColor="text1"/>
        </w:rPr>
        <w:t xml:space="preserve">First, my account challenges libertarian-inspired approaches in </w:t>
      </w:r>
      <w:r w:rsidRPr="00A879E9">
        <w:rPr>
          <w:color w:val="000000" w:themeColor="text1"/>
        </w:rPr>
        <w:t xml:space="preserve">LET (LALET) that prioritise transactional aspects of control of life style </w:t>
      </w:r>
      <w:r w:rsidR="00B46235">
        <w:rPr>
          <w:color w:val="000000" w:themeColor="text1"/>
        </w:rPr>
        <w:t xml:space="preserve">and </w:t>
      </w:r>
      <w:proofErr w:type="spellStart"/>
      <w:r w:rsidR="00FB17EF">
        <w:rPr>
          <w:color w:val="000000" w:themeColor="text1"/>
        </w:rPr>
        <w:t>pre</w:t>
      </w:r>
      <w:r w:rsidR="00CF7F7B">
        <w:rPr>
          <w:color w:val="000000" w:themeColor="text1"/>
        </w:rPr>
        <w:t>distributive</w:t>
      </w:r>
      <w:proofErr w:type="spellEnd"/>
      <w:r w:rsidR="00B46235">
        <w:rPr>
          <w:color w:val="000000" w:themeColor="text1"/>
        </w:rPr>
        <w:t xml:space="preserve"> justice on assuming that regulatory approaches to social and institutional development</w:t>
      </w:r>
      <w:r w:rsidRPr="00A879E9">
        <w:rPr>
          <w:color w:val="000000" w:themeColor="text1"/>
        </w:rPr>
        <w:t xml:space="preserve"> deval</w:t>
      </w:r>
      <w:r w:rsidR="00B46235">
        <w:rPr>
          <w:color w:val="000000" w:themeColor="text1"/>
        </w:rPr>
        <w:t>ue</w:t>
      </w:r>
      <w:r w:rsidRPr="00A879E9">
        <w:rPr>
          <w:color w:val="000000" w:themeColor="text1"/>
        </w:rPr>
        <w:t xml:space="preserve"> freedom. Prioritising the frame around production has been</w:t>
      </w:r>
      <w:r w:rsidRPr="00EF228F">
        <w:rPr>
          <w:color w:val="000000" w:themeColor="text1"/>
        </w:rPr>
        <w:t xml:space="preserve"> Anglo-liberal practice, e.g. as Beveridge (1942, </w:t>
      </w:r>
      <w:r w:rsidR="00CF7F7B">
        <w:rPr>
          <w:color w:val="000000" w:themeColor="text1"/>
        </w:rPr>
        <w:t xml:space="preserve">p. </w:t>
      </w:r>
      <w:r w:rsidRPr="00EF228F">
        <w:rPr>
          <w:color w:val="000000" w:themeColor="text1"/>
        </w:rPr>
        <w:t xml:space="preserve">121), architect of the British welfare state, aimed welfare </w:t>
      </w:r>
      <w:r w:rsidR="0086201A">
        <w:rPr>
          <w:color w:val="000000" w:themeColor="text1"/>
        </w:rPr>
        <w:t>at supporting the poor.  E</w:t>
      </w:r>
      <w:r w:rsidRPr="00EF228F">
        <w:rPr>
          <w:rFonts w:eastAsia="Times New Roman" w:cs="Times New Roman"/>
          <w:color w:val="000000" w:themeColor="text1"/>
        </w:rPr>
        <w:t xml:space="preserve">ven as parts of Rawls’ </w:t>
      </w:r>
      <w:r w:rsidR="0086201A">
        <w:rPr>
          <w:rFonts w:eastAsia="Times New Roman" w:cs="Times New Roman"/>
          <w:color w:val="000000" w:themeColor="text1"/>
        </w:rPr>
        <w:t xml:space="preserve">later </w:t>
      </w:r>
      <w:r w:rsidRPr="00EF228F">
        <w:rPr>
          <w:rFonts w:eastAsia="Times New Roman" w:cs="Times New Roman"/>
          <w:color w:val="000000" w:themeColor="text1"/>
        </w:rPr>
        <w:t xml:space="preserve">(1971, </w:t>
      </w:r>
      <w:r w:rsidR="005F317B">
        <w:rPr>
          <w:rFonts w:eastAsia="Times New Roman" w:cs="Times New Roman"/>
          <w:color w:val="000000" w:themeColor="text1"/>
        </w:rPr>
        <w:t xml:space="preserve">p. </w:t>
      </w:r>
      <w:r w:rsidRPr="00EF228F">
        <w:rPr>
          <w:rFonts w:eastAsia="Times New Roman" w:cs="Times New Roman"/>
          <w:color w:val="000000" w:themeColor="text1"/>
        </w:rPr>
        <w:t xml:space="preserve">376, </w:t>
      </w:r>
      <w:r w:rsidR="005F317B">
        <w:rPr>
          <w:rFonts w:eastAsia="Times New Roman" w:cs="Times New Roman"/>
          <w:color w:val="000000" w:themeColor="text1"/>
        </w:rPr>
        <w:t xml:space="preserve">pp. </w:t>
      </w:r>
      <w:r w:rsidRPr="00EF228F">
        <w:rPr>
          <w:rFonts w:eastAsia="Times New Roman" w:cs="Times New Roman"/>
          <w:color w:val="000000" w:themeColor="text1"/>
        </w:rPr>
        <w:t>409-</w:t>
      </w:r>
      <w:r w:rsidR="005F317B">
        <w:rPr>
          <w:rFonts w:eastAsia="Times New Roman" w:cs="Times New Roman"/>
          <w:color w:val="000000" w:themeColor="text1"/>
        </w:rPr>
        <w:t>4</w:t>
      </w:r>
      <w:r w:rsidRPr="00EF228F">
        <w:rPr>
          <w:rFonts w:eastAsia="Times New Roman" w:cs="Times New Roman"/>
          <w:color w:val="000000" w:themeColor="text1"/>
        </w:rPr>
        <w:t xml:space="preserve">17) influential work extolled the role of fellowship, </w:t>
      </w:r>
      <w:r w:rsidRPr="00EF228F">
        <w:rPr>
          <w:color w:val="000000" w:themeColor="text1"/>
        </w:rPr>
        <w:t xml:space="preserve">in heed of Nozick’s (1974, </w:t>
      </w:r>
      <w:r w:rsidR="005F317B">
        <w:rPr>
          <w:color w:val="000000" w:themeColor="text1"/>
        </w:rPr>
        <w:t xml:space="preserve">pp. </w:t>
      </w:r>
      <w:r w:rsidRPr="00EF228F">
        <w:rPr>
          <w:color w:val="000000" w:themeColor="text1"/>
        </w:rPr>
        <w:t>183-97) critique of society,</w:t>
      </w:r>
      <w:r w:rsidRPr="00EF228F">
        <w:rPr>
          <w:rFonts w:eastAsia="Times New Roman" w:cs="Times New Roman"/>
          <w:color w:val="000000" w:themeColor="text1"/>
        </w:rPr>
        <w:t xml:space="preserve"> approaches in LALET have tended to link persons’ control of the structure of their lives with their direct control of resources (Dworkin</w:t>
      </w:r>
      <w:r w:rsidR="005F317B">
        <w:rPr>
          <w:rFonts w:eastAsia="Times New Roman" w:cs="Times New Roman"/>
          <w:color w:val="000000" w:themeColor="text1"/>
        </w:rPr>
        <w:t>,</w:t>
      </w:r>
      <w:r w:rsidRPr="00EF228F">
        <w:rPr>
          <w:rFonts w:eastAsia="Times New Roman" w:cs="Times New Roman"/>
          <w:color w:val="000000" w:themeColor="text1"/>
        </w:rPr>
        <w:t xml:space="preserve"> 1981; </w:t>
      </w:r>
      <w:r w:rsidR="00C84B9C">
        <w:rPr>
          <w:rFonts w:eastAsia="Times New Roman" w:cs="Times New Roman"/>
          <w:color w:val="000000" w:themeColor="text1"/>
        </w:rPr>
        <w:t xml:space="preserve">van </w:t>
      </w:r>
      <w:proofErr w:type="spellStart"/>
      <w:r w:rsidR="00C84B9C">
        <w:rPr>
          <w:rFonts w:eastAsia="Times New Roman" w:cs="Times New Roman"/>
          <w:color w:val="000000" w:themeColor="text1"/>
        </w:rPr>
        <w:t>Parijsm</w:t>
      </w:r>
      <w:proofErr w:type="spellEnd"/>
      <w:r w:rsidR="005F317B">
        <w:rPr>
          <w:rFonts w:eastAsia="Times New Roman" w:cs="Times New Roman"/>
          <w:color w:val="000000" w:themeColor="text1"/>
        </w:rPr>
        <w:t>,</w:t>
      </w:r>
      <w:r w:rsidR="00C84B9C">
        <w:rPr>
          <w:rFonts w:eastAsia="Times New Roman" w:cs="Times New Roman"/>
          <w:color w:val="000000" w:themeColor="text1"/>
        </w:rPr>
        <w:t xml:space="preserve"> 1995; discussed in</w:t>
      </w:r>
      <w:r w:rsidRPr="00EF228F">
        <w:rPr>
          <w:rFonts w:eastAsia="Times New Roman" w:cs="Times New Roman"/>
          <w:color w:val="000000" w:themeColor="text1"/>
        </w:rPr>
        <w:t xml:space="preserve"> Williams</w:t>
      </w:r>
      <w:r w:rsidR="005F317B">
        <w:rPr>
          <w:rFonts w:eastAsia="Times New Roman" w:cs="Times New Roman"/>
          <w:color w:val="000000" w:themeColor="text1"/>
        </w:rPr>
        <w:t>,</w:t>
      </w:r>
      <w:r w:rsidRPr="00EF228F">
        <w:rPr>
          <w:rFonts w:eastAsia="Times New Roman" w:cs="Times New Roman"/>
          <w:color w:val="000000" w:themeColor="text1"/>
        </w:rPr>
        <w:t xml:space="preserve"> 2008,</w:t>
      </w:r>
      <w:r w:rsidR="005F317B">
        <w:rPr>
          <w:rFonts w:eastAsia="Times New Roman" w:cs="Times New Roman"/>
          <w:color w:val="000000" w:themeColor="text1"/>
        </w:rPr>
        <w:t xml:space="preserve"> pp. </w:t>
      </w:r>
      <w:r w:rsidRPr="00EF228F">
        <w:rPr>
          <w:rFonts w:eastAsia="Times New Roman" w:cs="Times New Roman"/>
          <w:color w:val="000000" w:themeColor="text1"/>
        </w:rPr>
        <w:t>499-500).  Informed by a shared ideal of neutrality concerning institutions’ form, differences have centred on the principle that should re</w:t>
      </w:r>
      <w:r w:rsidR="00B46235">
        <w:rPr>
          <w:rFonts w:eastAsia="Times New Roman" w:cs="Times New Roman"/>
          <w:color w:val="000000" w:themeColor="text1"/>
        </w:rPr>
        <w:t>gulate the distributive frame. I</w:t>
      </w:r>
      <w:r w:rsidRPr="00EF228F">
        <w:rPr>
          <w:rFonts w:eastAsia="Times New Roman" w:cs="Times New Roman"/>
          <w:color w:val="000000" w:themeColor="text1"/>
        </w:rPr>
        <w:t xml:space="preserve">n Rawls (1971, </w:t>
      </w:r>
      <w:r w:rsidR="005F317B">
        <w:rPr>
          <w:rFonts w:eastAsia="Times New Roman" w:cs="Times New Roman"/>
          <w:color w:val="000000" w:themeColor="text1"/>
        </w:rPr>
        <w:t xml:space="preserve">pp. </w:t>
      </w:r>
      <w:r w:rsidRPr="00EF228F">
        <w:rPr>
          <w:rFonts w:eastAsia="Times New Roman" w:cs="Times New Roman"/>
          <w:color w:val="000000" w:themeColor="text1"/>
        </w:rPr>
        <w:t xml:space="preserve">65-72) </w:t>
      </w:r>
      <w:r w:rsidR="00A73D21">
        <w:rPr>
          <w:rFonts w:eastAsia="Times New Roman" w:cs="Times New Roman"/>
          <w:color w:val="000000" w:themeColor="text1"/>
        </w:rPr>
        <w:t xml:space="preserve">this entails </w:t>
      </w:r>
      <w:r w:rsidR="009A3FEE">
        <w:rPr>
          <w:rFonts w:eastAsia="Times New Roman" w:cs="Times New Roman"/>
          <w:color w:val="000000" w:themeColor="text1"/>
        </w:rPr>
        <w:t>favouring the least well-off; i</w:t>
      </w:r>
      <w:r w:rsidRPr="00EF228F">
        <w:rPr>
          <w:rFonts w:eastAsia="Times New Roman" w:cs="Times New Roman"/>
          <w:color w:val="000000" w:themeColor="text1"/>
        </w:rPr>
        <w:t xml:space="preserve">n Dworkin (1981, </w:t>
      </w:r>
      <w:r w:rsidR="005F317B">
        <w:rPr>
          <w:rFonts w:eastAsia="Times New Roman" w:cs="Times New Roman"/>
          <w:color w:val="000000" w:themeColor="text1"/>
        </w:rPr>
        <w:t xml:space="preserve">pp. </w:t>
      </w:r>
      <w:r w:rsidRPr="00EF228F">
        <w:rPr>
          <w:rFonts w:eastAsia="Times New Roman" w:cs="Times New Roman"/>
          <w:color w:val="000000" w:themeColor="text1"/>
        </w:rPr>
        <w:t>304-5)</w:t>
      </w:r>
      <w:r w:rsidR="009A3FEE">
        <w:rPr>
          <w:rFonts w:eastAsia="Times New Roman" w:cs="Times New Roman"/>
          <w:color w:val="000000" w:themeColor="text1"/>
        </w:rPr>
        <w:t xml:space="preserve"> promotion </w:t>
      </w:r>
      <w:proofErr w:type="gramStart"/>
      <w:r w:rsidR="009A3FEE">
        <w:rPr>
          <w:rFonts w:eastAsia="Times New Roman" w:cs="Times New Roman"/>
          <w:color w:val="000000" w:themeColor="text1"/>
        </w:rPr>
        <w:t xml:space="preserve">of </w:t>
      </w:r>
      <w:r w:rsidRPr="00EF228F">
        <w:rPr>
          <w:rFonts w:eastAsia="Times New Roman" w:cs="Times New Roman"/>
          <w:color w:val="000000" w:themeColor="text1"/>
        </w:rPr>
        <w:t xml:space="preserve"> equal</w:t>
      </w:r>
      <w:proofErr w:type="gramEnd"/>
      <w:r w:rsidRPr="00EF228F">
        <w:rPr>
          <w:rFonts w:eastAsia="Times New Roman" w:cs="Times New Roman"/>
          <w:color w:val="000000" w:themeColor="text1"/>
        </w:rPr>
        <w:t xml:space="preserve"> resources or preference-led </w:t>
      </w:r>
      <w:r w:rsidR="009A3FEE">
        <w:rPr>
          <w:rFonts w:eastAsia="Times New Roman" w:cs="Times New Roman"/>
          <w:color w:val="000000" w:themeColor="text1"/>
        </w:rPr>
        <w:t>insurance (</w:t>
      </w:r>
      <w:r w:rsidR="004F1703">
        <w:rPr>
          <w:rFonts w:eastAsia="Times New Roman" w:cs="Times New Roman"/>
          <w:color w:val="000000" w:themeColor="text1"/>
        </w:rPr>
        <w:t xml:space="preserve">Dworkin, </w:t>
      </w:r>
      <w:r w:rsidR="009A3FEE">
        <w:rPr>
          <w:rFonts w:eastAsia="Times New Roman" w:cs="Times New Roman"/>
          <w:color w:val="000000" w:themeColor="text1"/>
        </w:rPr>
        <w:t xml:space="preserve">2000, </w:t>
      </w:r>
      <w:r w:rsidR="005F317B">
        <w:rPr>
          <w:rFonts w:eastAsia="Times New Roman" w:cs="Times New Roman"/>
          <w:color w:val="000000" w:themeColor="text1"/>
        </w:rPr>
        <w:t xml:space="preserve">pp. </w:t>
      </w:r>
      <w:r w:rsidR="009A3FEE">
        <w:rPr>
          <w:rFonts w:eastAsia="Times New Roman" w:cs="Times New Roman"/>
          <w:color w:val="000000" w:themeColor="text1"/>
        </w:rPr>
        <w:t xml:space="preserve">70-71, </w:t>
      </w:r>
      <w:r w:rsidR="005F317B">
        <w:rPr>
          <w:rFonts w:eastAsia="Times New Roman" w:cs="Times New Roman"/>
          <w:color w:val="000000" w:themeColor="text1"/>
        </w:rPr>
        <w:t xml:space="preserve">pp. </w:t>
      </w:r>
      <w:r w:rsidR="009A3FEE">
        <w:rPr>
          <w:rFonts w:eastAsia="Times New Roman" w:cs="Times New Roman"/>
          <w:color w:val="000000" w:themeColor="text1"/>
        </w:rPr>
        <w:t>331-40);</w:t>
      </w:r>
      <w:r w:rsidRPr="00EF228F">
        <w:rPr>
          <w:rFonts w:eastAsia="Times New Roman" w:cs="Times New Roman"/>
          <w:color w:val="000000" w:themeColor="text1"/>
        </w:rPr>
        <w:t xml:space="preserve"> and in VP (1995, </w:t>
      </w:r>
      <w:r w:rsidR="005F317B">
        <w:rPr>
          <w:rFonts w:eastAsia="Times New Roman" w:cs="Times New Roman"/>
          <w:color w:val="000000" w:themeColor="text1"/>
        </w:rPr>
        <w:t xml:space="preserve"> p. </w:t>
      </w:r>
      <w:r w:rsidRPr="00EF228F">
        <w:rPr>
          <w:rFonts w:eastAsia="Times New Roman" w:cs="Times New Roman"/>
          <w:color w:val="000000" w:themeColor="text1"/>
        </w:rPr>
        <w:t>245, n.18, following Meade</w:t>
      </w:r>
      <w:r w:rsidR="00AC2E58">
        <w:rPr>
          <w:rFonts w:eastAsia="Times New Roman" w:cs="Times New Roman"/>
          <w:color w:val="000000" w:themeColor="text1"/>
        </w:rPr>
        <w:t xml:space="preserve">, </w:t>
      </w:r>
      <w:r w:rsidRPr="00EF228F">
        <w:rPr>
          <w:rFonts w:eastAsia="Times New Roman" w:cs="Times New Roman"/>
          <w:color w:val="000000" w:themeColor="text1"/>
        </w:rPr>
        <w:t xml:space="preserve">1964, </w:t>
      </w:r>
      <w:r w:rsidR="005F317B">
        <w:rPr>
          <w:rFonts w:eastAsia="Times New Roman" w:cs="Times New Roman"/>
          <w:color w:val="000000" w:themeColor="text1"/>
        </w:rPr>
        <w:t xml:space="preserve">p. </w:t>
      </w:r>
      <w:r w:rsidRPr="00EF228F">
        <w:rPr>
          <w:rFonts w:eastAsia="Times New Roman" w:cs="Times New Roman"/>
          <w:color w:val="000000" w:themeColor="text1"/>
        </w:rPr>
        <w:t xml:space="preserve">1989) </w:t>
      </w:r>
      <w:r w:rsidR="009A3FEE">
        <w:rPr>
          <w:rFonts w:eastAsia="Times New Roman" w:cs="Times New Roman"/>
          <w:color w:val="000000" w:themeColor="text1"/>
        </w:rPr>
        <w:t xml:space="preserve">emphasis on </w:t>
      </w:r>
      <w:r w:rsidRPr="00EF228F">
        <w:rPr>
          <w:rFonts w:eastAsia="Times New Roman" w:cs="Times New Roman"/>
          <w:color w:val="000000" w:themeColor="text1"/>
        </w:rPr>
        <w:t>life time basic security, as distinct from (eschewing) more complex organisation and common services.</w:t>
      </w:r>
      <w:r w:rsidR="00B87760" w:rsidRPr="00EF228F">
        <w:rPr>
          <w:color w:val="000000" w:themeColor="text1"/>
        </w:rPr>
        <w:t xml:space="preserve"> I</w:t>
      </w:r>
      <w:r w:rsidR="00B87760">
        <w:rPr>
          <w:color w:val="000000" w:themeColor="text1"/>
        </w:rPr>
        <w:t>n short, LALET is</w:t>
      </w:r>
      <w:r w:rsidR="00B87760" w:rsidRPr="00EF228F">
        <w:rPr>
          <w:color w:val="000000" w:themeColor="text1"/>
        </w:rPr>
        <w:t xml:space="preserve"> given to underestimate </w:t>
      </w:r>
      <w:r w:rsidR="00B87760" w:rsidRPr="00EF228F">
        <w:rPr>
          <w:rFonts w:eastAsia="Times New Roman" w:cs="Times New Roman"/>
          <w:color w:val="000000" w:themeColor="text1"/>
        </w:rPr>
        <w:t>the collective nature of economic development to make the case for individual property or ‘</w:t>
      </w:r>
      <w:proofErr w:type="spellStart"/>
      <w:r w:rsidR="008B3F00">
        <w:rPr>
          <w:rFonts w:eastAsia="Times New Roman" w:cs="Times New Roman"/>
          <w:color w:val="000000" w:themeColor="text1"/>
        </w:rPr>
        <w:t>pre</w:t>
      </w:r>
      <w:r w:rsidR="004E1FD4" w:rsidRPr="00EF228F">
        <w:rPr>
          <w:rFonts w:eastAsia="Times New Roman" w:cs="Times New Roman"/>
          <w:color w:val="000000" w:themeColor="text1"/>
        </w:rPr>
        <w:t>distribution</w:t>
      </w:r>
      <w:proofErr w:type="spellEnd"/>
      <w:r w:rsidR="00B87760" w:rsidRPr="00EF228F">
        <w:rPr>
          <w:rFonts w:eastAsia="Times New Roman" w:cs="Times New Roman"/>
          <w:color w:val="000000" w:themeColor="text1"/>
        </w:rPr>
        <w:t>’</w:t>
      </w:r>
      <w:r w:rsidR="00A269A3">
        <w:rPr>
          <w:rFonts w:eastAsia="Times New Roman" w:cs="Times New Roman"/>
          <w:color w:val="000000" w:themeColor="text1"/>
        </w:rPr>
        <w:t xml:space="preserve"> </w:t>
      </w:r>
      <w:r w:rsidR="00A269A3">
        <w:rPr>
          <w:rFonts w:eastAsia="Times New Roman" w:cs="Times New Roman"/>
          <w:color w:val="000000" w:themeColor="text1"/>
        </w:rPr>
        <w:lastRenderedPageBreak/>
        <w:t>(</w:t>
      </w:r>
      <w:r w:rsidR="008B3F00">
        <w:rPr>
          <w:rFonts w:eastAsia="Times New Roman" w:cs="Times New Roman"/>
          <w:color w:val="000000" w:themeColor="text1"/>
        </w:rPr>
        <w:t>P</w:t>
      </w:r>
      <w:r w:rsidR="00A269A3">
        <w:rPr>
          <w:rFonts w:eastAsia="Times New Roman" w:cs="Times New Roman"/>
          <w:color w:val="000000" w:themeColor="text1"/>
        </w:rPr>
        <w:t>D)</w:t>
      </w:r>
      <w:r w:rsidR="009A3FEE">
        <w:rPr>
          <w:rFonts w:eastAsia="Times New Roman" w:cs="Times New Roman"/>
          <w:color w:val="000000" w:themeColor="text1"/>
        </w:rPr>
        <w:t>; a position often bolstered by</w:t>
      </w:r>
      <w:r w:rsidR="00B87760" w:rsidRPr="00EF228F">
        <w:rPr>
          <w:rFonts w:eastAsia="Times New Roman" w:cs="Times New Roman"/>
          <w:color w:val="000000" w:themeColor="text1"/>
        </w:rPr>
        <w:t xml:space="preserve"> the </w:t>
      </w:r>
      <w:r w:rsidR="00B87760" w:rsidRPr="00EF228F">
        <w:rPr>
          <w:color w:val="000000" w:themeColor="text1"/>
        </w:rPr>
        <w:t>idea (in Meade</w:t>
      </w:r>
      <w:r w:rsidR="00AC2E58">
        <w:rPr>
          <w:color w:val="000000" w:themeColor="text1"/>
        </w:rPr>
        <w:t>,</w:t>
      </w:r>
      <w:r w:rsidR="00B87760" w:rsidRPr="00EF228F">
        <w:rPr>
          <w:color w:val="000000" w:themeColor="text1"/>
        </w:rPr>
        <w:t xml:space="preserve"> 1964, </w:t>
      </w:r>
      <w:r w:rsidR="00AC2E58">
        <w:rPr>
          <w:color w:val="000000" w:themeColor="text1"/>
        </w:rPr>
        <w:t xml:space="preserve">pp. </w:t>
      </w:r>
      <w:r w:rsidR="00B87760" w:rsidRPr="00EF228F">
        <w:rPr>
          <w:color w:val="000000" w:themeColor="text1"/>
        </w:rPr>
        <w:t>25-6; and recently, The Economist</w:t>
      </w:r>
      <w:r w:rsidR="00AC2E58">
        <w:rPr>
          <w:color w:val="000000" w:themeColor="text1"/>
        </w:rPr>
        <w:t>,</w:t>
      </w:r>
      <w:r w:rsidR="00B87760" w:rsidRPr="00EF228F">
        <w:rPr>
          <w:color w:val="000000" w:themeColor="text1"/>
        </w:rPr>
        <w:t xml:space="preserve"> 2014, November) that automation spells an end to the social nature of production. </w:t>
      </w:r>
      <w:r w:rsidR="00B87760">
        <w:rPr>
          <w:rFonts w:eastAsia="Times New Roman" w:cs="Times New Roman"/>
          <w:color w:val="000000" w:themeColor="text1"/>
        </w:rPr>
        <w:t>T</w:t>
      </w:r>
      <w:r w:rsidR="00B87760" w:rsidRPr="00EF228F">
        <w:rPr>
          <w:rFonts w:eastAsia="Times New Roman" w:cs="Times New Roman"/>
          <w:color w:val="000000" w:themeColor="text1"/>
        </w:rPr>
        <w:t>his points to the salience of feminist critiques of how these approaches (empirically) ignore the reality of social relations (Anderson 1999,</w:t>
      </w:r>
      <w:r w:rsidR="00AC2E58">
        <w:rPr>
          <w:rFonts w:eastAsia="Times New Roman" w:cs="Times New Roman"/>
          <w:color w:val="000000" w:themeColor="text1"/>
        </w:rPr>
        <w:t xml:space="preserve"> pp. </w:t>
      </w:r>
      <w:r w:rsidR="00B87760" w:rsidRPr="00EF228F">
        <w:rPr>
          <w:rFonts w:eastAsia="Times New Roman" w:cs="Times New Roman"/>
          <w:color w:val="000000" w:themeColor="text1"/>
        </w:rPr>
        <w:t xml:space="preserve">297-300, </w:t>
      </w:r>
      <w:r w:rsidR="00AC2E58">
        <w:rPr>
          <w:rFonts w:eastAsia="Times New Roman" w:cs="Times New Roman"/>
          <w:color w:val="000000" w:themeColor="text1"/>
        </w:rPr>
        <w:t xml:space="preserve">p. </w:t>
      </w:r>
      <w:r w:rsidR="00B87760">
        <w:rPr>
          <w:rFonts w:eastAsia="Times New Roman" w:cs="Times New Roman"/>
          <w:color w:val="000000" w:themeColor="text1"/>
        </w:rPr>
        <w:t>311; Young</w:t>
      </w:r>
      <w:r w:rsidR="00AC2E58">
        <w:rPr>
          <w:rFonts w:eastAsia="Times New Roman" w:cs="Times New Roman"/>
          <w:color w:val="000000" w:themeColor="text1"/>
        </w:rPr>
        <w:t>,</w:t>
      </w:r>
      <w:r w:rsidR="00B87760">
        <w:rPr>
          <w:rFonts w:eastAsia="Times New Roman" w:cs="Times New Roman"/>
          <w:color w:val="000000" w:themeColor="text1"/>
        </w:rPr>
        <w:t xml:space="preserve"> 1990, </w:t>
      </w:r>
      <w:r w:rsidR="00AC2E58">
        <w:rPr>
          <w:rFonts w:eastAsia="Times New Roman" w:cs="Times New Roman"/>
          <w:color w:val="000000" w:themeColor="text1"/>
        </w:rPr>
        <w:t xml:space="preserve">pp. </w:t>
      </w:r>
      <w:r w:rsidR="00B87760">
        <w:rPr>
          <w:rFonts w:eastAsia="Times New Roman" w:cs="Times New Roman"/>
          <w:color w:val="000000" w:themeColor="text1"/>
        </w:rPr>
        <w:t xml:space="preserve">29-33, </w:t>
      </w:r>
      <w:r w:rsidR="00C82A93">
        <w:rPr>
          <w:rFonts w:eastAsia="Times New Roman" w:cs="Times New Roman"/>
          <w:color w:val="000000" w:themeColor="text1"/>
        </w:rPr>
        <w:t xml:space="preserve">pp. </w:t>
      </w:r>
      <w:r w:rsidR="00FE2AEF">
        <w:rPr>
          <w:rFonts w:eastAsia="Times New Roman" w:cs="Times New Roman"/>
          <w:color w:val="000000" w:themeColor="text1"/>
        </w:rPr>
        <w:t>120-1</w:t>
      </w:r>
      <w:r w:rsidR="00B87760">
        <w:rPr>
          <w:rFonts w:eastAsia="Times New Roman" w:cs="Times New Roman"/>
          <w:color w:val="000000" w:themeColor="text1"/>
        </w:rPr>
        <w:t>)</w:t>
      </w:r>
      <w:r w:rsidR="00B87760" w:rsidRPr="00EF228F">
        <w:rPr>
          <w:rFonts w:eastAsia="Times New Roman" w:cs="Times New Roman"/>
          <w:color w:val="000000" w:themeColor="text1"/>
        </w:rPr>
        <w:t xml:space="preserve"> </w:t>
      </w:r>
      <w:r w:rsidR="00B87760">
        <w:rPr>
          <w:rFonts w:eastAsia="Times New Roman" w:cs="Times New Roman"/>
          <w:color w:val="000000" w:themeColor="text1"/>
        </w:rPr>
        <w:t>and gender bias of neo-classical economies (Elson</w:t>
      </w:r>
      <w:r w:rsidR="00C82A93">
        <w:rPr>
          <w:rFonts w:eastAsia="Times New Roman" w:cs="Times New Roman"/>
          <w:color w:val="000000" w:themeColor="text1"/>
        </w:rPr>
        <w:t>,</w:t>
      </w:r>
      <w:r w:rsidR="00B87760">
        <w:rPr>
          <w:rFonts w:eastAsia="Times New Roman" w:cs="Times New Roman"/>
          <w:color w:val="000000" w:themeColor="text1"/>
        </w:rPr>
        <w:t xml:space="preserve"> 2014, </w:t>
      </w:r>
      <w:r w:rsidR="00C82A93">
        <w:rPr>
          <w:rFonts w:eastAsia="Times New Roman" w:cs="Times New Roman"/>
          <w:color w:val="000000" w:themeColor="text1"/>
        </w:rPr>
        <w:t xml:space="preserve">p. </w:t>
      </w:r>
      <w:r w:rsidR="00B87760">
        <w:rPr>
          <w:rFonts w:eastAsia="Times New Roman" w:cs="Times New Roman"/>
          <w:color w:val="000000" w:themeColor="text1"/>
        </w:rPr>
        <w:t>191; Pearson</w:t>
      </w:r>
      <w:r w:rsidR="00C82A93">
        <w:rPr>
          <w:rFonts w:eastAsia="Times New Roman" w:cs="Times New Roman"/>
          <w:color w:val="000000" w:themeColor="text1"/>
        </w:rPr>
        <w:t>,</w:t>
      </w:r>
      <w:r w:rsidR="00B87760">
        <w:rPr>
          <w:rFonts w:eastAsia="Times New Roman" w:cs="Times New Roman"/>
          <w:color w:val="000000" w:themeColor="text1"/>
        </w:rPr>
        <w:t xml:space="preserve"> 2014) </w:t>
      </w:r>
      <w:r w:rsidR="00B87760" w:rsidRPr="00EF228F">
        <w:rPr>
          <w:rFonts w:eastAsia="Times New Roman" w:cs="Times New Roman"/>
          <w:color w:val="000000" w:themeColor="text1"/>
        </w:rPr>
        <w:t>in favour of a focus on pers</w:t>
      </w:r>
      <w:r w:rsidR="00B87760">
        <w:rPr>
          <w:rFonts w:eastAsia="Times New Roman" w:cs="Times New Roman"/>
          <w:color w:val="000000" w:themeColor="text1"/>
        </w:rPr>
        <w:t>onal control and choice</w:t>
      </w:r>
      <w:r w:rsidR="00B87760" w:rsidRPr="00EF228F">
        <w:rPr>
          <w:rFonts w:eastAsia="Times New Roman" w:cs="Times New Roman"/>
          <w:color w:val="000000" w:themeColor="text1"/>
        </w:rPr>
        <w:t>. However, further to this</w:t>
      </w:r>
      <w:r w:rsidR="00B87760">
        <w:rPr>
          <w:rFonts w:eastAsia="Times New Roman" w:cs="Times New Roman"/>
          <w:color w:val="000000" w:themeColor="text1"/>
        </w:rPr>
        <w:t>,</w:t>
      </w:r>
      <w:r w:rsidR="00B87760" w:rsidRPr="00EF228F">
        <w:rPr>
          <w:rFonts w:eastAsia="Times New Roman" w:cs="Times New Roman"/>
          <w:color w:val="000000" w:themeColor="text1"/>
        </w:rPr>
        <w:t xml:space="preserve"> I explore how examining the relation between institutions and personal control entails placing feminists' insights within a broader idea of how a human economy shapes common institutions and informs cooperative interests that humans in general have. </w:t>
      </w:r>
    </w:p>
    <w:p w14:paraId="1D146719" w14:textId="77777777" w:rsidR="00B87760" w:rsidRDefault="00B87760" w:rsidP="00B87760">
      <w:pPr>
        <w:spacing w:line="360" w:lineRule="auto"/>
        <w:ind w:right="-397"/>
        <w:jc w:val="both"/>
        <w:rPr>
          <w:rFonts w:eastAsia="Times New Roman" w:cs="Times New Roman"/>
          <w:color w:val="1F497D"/>
        </w:rPr>
      </w:pPr>
    </w:p>
    <w:p w14:paraId="32C3E427" w14:textId="28C3594A" w:rsidR="00B87760" w:rsidRPr="00C31D0F" w:rsidRDefault="00B87760" w:rsidP="00B87760">
      <w:pPr>
        <w:spacing w:line="360" w:lineRule="auto"/>
        <w:ind w:left="-397" w:right="-397"/>
        <w:jc w:val="both"/>
        <w:rPr>
          <w:color w:val="000000" w:themeColor="text1"/>
        </w:rPr>
      </w:pPr>
      <w:r w:rsidRPr="00EF228F">
        <w:rPr>
          <w:rFonts w:eastAsia="Times New Roman" w:cs="Times New Roman"/>
          <w:color w:val="000000" w:themeColor="text1"/>
        </w:rPr>
        <w:t xml:space="preserve">Dworkin’s </w:t>
      </w:r>
      <w:r w:rsidR="00C82A93">
        <w:rPr>
          <w:rFonts w:eastAsia="Times New Roman" w:cs="Times New Roman"/>
          <w:color w:val="000000" w:themeColor="text1"/>
        </w:rPr>
        <w:t xml:space="preserve">(2000, pp. 258-260) </w:t>
      </w:r>
      <w:r w:rsidRPr="00EF228F">
        <w:rPr>
          <w:rFonts w:eastAsia="Times New Roman" w:cs="Times New Roman"/>
          <w:color w:val="000000" w:themeColor="text1"/>
        </w:rPr>
        <w:t xml:space="preserve">reasoning concerning ways true freedom (ethical integrity) relies on a person herself defining what constitutes her life’s limits or challenges illustrates the problem at hand. </w:t>
      </w:r>
      <w:r w:rsidRPr="00EF228F">
        <w:rPr>
          <w:color w:val="000000" w:themeColor="text1"/>
        </w:rPr>
        <w:t>Generic HE features, e.g. our orientation to learn, life-cycle biology and dependence on social ties, do not appear in this account; but their attributes (talent, physical powers, friendships and associations (</w:t>
      </w:r>
      <w:r w:rsidR="00C82A93">
        <w:rPr>
          <w:color w:val="000000" w:themeColor="text1"/>
        </w:rPr>
        <w:t xml:space="preserve">Dworkin, op. cit., p. </w:t>
      </w:r>
      <w:r w:rsidRPr="00EF228F">
        <w:rPr>
          <w:color w:val="000000" w:themeColor="text1"/>
        </w:rPr>
        <w:t xml:space="preserve">260) are listed </w:t>
      </w:r>
      <w:r w:rsidRPr="001174CE">
        <w:rPr>
          <w:color w:val="000000" w:themeColor="text1"/>
        </w:rPr>
        <w:t xml:space="preserve">on a par with specific social arrangements (wealth, technology, culture, being American, </w:t>
      </w:r>
      <w:r w:rsidR="00C82A93">
        <w:rPr>
          <w:color w:val="000000" w:themeColor="text1"/>
        </w:rPr>
        <w:t xml:space="preserve">pp. </w:t>
      </w:r>
      <w:r w:rsidR="00C93189">
        <w:rPr>
          <w:color w:val="000000" w:themeColor="text1"/>
        </w:rPr>
        <w:t>260-1). T</w:t>
      </w:r>
      <w:r w:rsidRPr="001174CE">
        <w:rPr>
          <w:color w:val="000000" w:themeColor="text1"/>
        </w:rPr>
        <w:t xml:space="preserve">he way Dworkin </w:t>
      </w:r>
      <w:r w:rsidR="00C82A93">
        <w:rPr>
          <w:color w:val="000000" w:themeColor="text1"/>
        </w:rPr>
        <w:t xml:space="preserve">(2000) </w:t>
      </w:r>
      <w:r w:rsidR="00A074DC">
        <w:rPr>
          <w:color w:val="000000" w:themeColor="text1"/>
        </w:rPr>
        <w:t xml:space="preserve">thereby </w:t>
      </w:r>
      <w:r w:rsidRPr="001174CE">
        <w:rPr>
          <w:color w:val="000000" w:themeColor="text1"/>
        </w:rPr>
        <w:t xml:space="preserve">fails to </w:t>
      </w:r>
      <w:r w:rsidRPr="001174CE">
        <w:rPr>
          <w:rFonts w:eastAsia="Times New Roman" w:cs="Times New Roman"/>
          <w:color w:val="000000" w:themeColor="text1"/>
        </w:rPr>
        <w:t>distinguish integrity (life style) challenges</w:t>
      </w:r>
      <w:r w:rsidR="00570403">
        <w:rPr>
          <w:rFonts w:eastAsia="Times New Roman" w:cs="Times New Roman"/>
          <w:color w:val="000000" w:themeColor="text1"/>
        </w:rPr>
        <w:t xml:space="preserve"> that are</w:t>
      </w:r>
      <w:r w:rsidRPr="001174CE">
        <w:rPr>
          <w:rFonts w:eastAsia="Times New Roman" w:cs="Times New Roman"/>
          <w:color w:val="000000" w:themeColor="text1"/>
        </w:rPr>
        <w:t xml:space="preserve"> linked with deeper developmental constraints</w:t>
      </w:r>
      <w:r w:rsidR="003C39D9">
        <w:rPr>
          <w:rFonts w:eastAsia="Times New Roman" w:cs="Times New Roman"/>
          <w:color w:val="000000" w:themeColor="text1"/>
        </w:rPr>
        <w:t>,</w:t>
      </w:r>
      <w:r w:rsidRPr="001174CE">
        <w:rPr>
          <w:rFonts w:eastAsia="Times New Roman" w:cs="Times New Roman"/>
          <w:color w:val="000000" w:themeColor="text1"/>
        </w:rPr>
        <w:t xml:space="preserve"> reveals how prioritising social neutrality narrows the problems of freedom and just institutions to how to adjust for </w:t>
      </w:r>
      <w:r w:rsidR="00A074DC">
        <w:rPr>
          <w:rFonts w:eastAsia="Times New Roman" w:cs="Times New Roman"/>
          <w:color w:val="000000" w:themeColor="text1"/>
        </w:rPr>
        <w:t xml:space="preserve">particular </w:t>
      </w:r>
      <w:r w:rsidRPr="001174CE">
        <w:rPr>
          <w:rFonts w:eastAsia="Times New Roman" w:cs="Times New Roman"/>
          <w:color w:val="000000" w:themeColor="text1"/>
        </w:rPr>
        <w:t>innate handicaps and talents (</w:t>
      </w:r>
      <w:r w:rsidR="00C82A93">
        <w:rPr>
          <w:rFonts w:eastAsia="Times New Roman" w:cs="Times New Roman"/>
          <w:color w:val="000000" w:themeColor="text1"/>
        </w:rPr>
        <w:t xml:space="preserve">see, also, </w:t>
      </w:r>
      <w:r w:rsidRPr="001174CE">
        <w:rPr>
          <w:rFonts w:eastAsia="Times New Roman" w:cs="Times New Roman"/>
          <w:color w:val="000000" w:themeColor="text1"/>
        </w:rPr>
        <w:t>Dworkin</w:t>
      </w:r>
      <w:r w:rsidR="00C82A93">
        <w:rPr>
          <w:rFonts w:eastAsia="Times New Roman" w:cs="Times New Roman"/>
          <w:color w:val="000000" w:themeColor="text1"/>
        </w:rPr>
        <w:t>,</w:t>
      </w:r>
      <w:r w:rsidRPr="001174CE">
        <w:rPr>
          <w:rFonts w:eastAsia="Times New Roman" w:cs="Times New Roman"/>
          <w:color w:val="000000" w:themeColor="text1"/>
        </w:rPr>
        <w:t xml:space="preserve"> 1981</w:t>
      </w:r>
      <w:r w:rsidR="00C82A93">
        <w:rPr>
          <w:rFonts w:eastAsia="Times New Roman" w:cs="Times New Roman"/>
          <w:color w:val="000000" w:themeColor="text1"/>
        </w:rPr>
        <w:t xml:space="preserve">; </w:t>
      </w:r>
      <w:r w:rsidR="00131191">
        <w:rPr>
          <w:rFonts w:eastAsia="Times New Roman" w:cs="Times New Roman"/>
          <w:color w:val="000000" w:themeColor="text1"/>
        </w:rPr>
        <w:t>VP,</w:t>
      </w:r>
      <w:r w:rsidR="00DD44B0">
        <w:rPr>
          <w:rFonts w:eastAsia="Times New Roman" w:cs="Times New Roman"/>
          <w:color w:val="000000" w:themeColor="text1"/>
        </w:rPr>
        <w:t xml:space="preserve"> pp. </w:t>
      </w:r>
      <w:r w:rsidRPr="001174CE">
        <w:rPr>
          <w:rFonts w:eastAsia="Times New Roman" w:cs="Times New Roman"/>
          <w:color w:val="000000" w:themeColor="text1"/>
        </w:rPr>
        <w:t xml:space="preserve">68-70, </w:t>
      </w:r>
      <w:r w:rsidR="00DD44B0">
        <w:rPr>
          <w:rFonts w:eastAsia="Times New Roman" w:cs="Times New Roman"/>
          <w:color w:val="000000" w:themeColor="text1"/>
        </w:rPr>
        <w:t xml:space="preserve">p. </w:t>
      </w:r>
      <w:r w:rsidRPr="001174CE">
        <w:rPr>
          <w:rFonts w:eastAsia="Times New Roman" w:cs="Times New Roman"/>
          <w:color w:val="000000" w:themeColor="text1"/>
        </w:rPr>
        <w:t>241,</w:t>
      </w:r>
      <w:r w:rsidR="00DD44B0">
        <w:rPr>
          <w:rFonts w:eastAsia="Times New Roman" w:cs="Times New Roman"/>
          <w:color w:val="000000" w:themeColor="text1"/>
        </w:rPr>
        <w:t xml:space="preserve"> </w:t>
      </w:r>
      <w:r w:rsidRPr="001174CE">
        <w:rPr>
          <w:rFonts w:eastAsia="Times New Roman" w:cs="Times New Roman"/>
          <w:color w:val="000000" w:themeColor="text1"/>
        </w:rPr>
        <w:t>n</w:t>
      </w:r>
      <w:r w:rsidR="00DD44B0">
        <w:rPr>
          <w:rFonts w:eastAsia="Times New Roman" w:cs="Times New Roman"/>
          <w:color w:val="000000" w:themeColor="text1"/>
        </w:rPr>
        <w:t xml:space="preserve">. </w:t>
      </w:r>
      <w:r>
        <w:rPr>
          <w:rFonts w:eastAsia="Times New Roman" w:cs="Times New Roman"/>
          <w:color w:val="000000" w:themeColor="text1"/>
        </w:rPr>
        <w:t>49)</w:t>
      </w:r>
      <w:r w:rsidR="000E3646">
        <w:rPr>
          <w:rFonts w:eastAsia="Times New Roman" w:cs="Times New Roman"/>
          <w:color w:val="000000" w:themeColor="text1"/>
        </w:rPr>
        <w:t>. In turn, this</w:t>
      </w:r>
      <w:r w:rsidRPr="001174CE">
        <w:rPr>
          <w:rFonts w:eastAsia="Times New Roman" w:cs="Times New Roman"/>
          <w:color w:val="000000" w:themeColor="text1"/>
        </w:rPr>
        <w:t xml:space="preserve"> obscures how opportunity for autonomy in the generic form of developing mental powers ('choosing for one's own reasons'</w:t>
      </w:r>
      <w:r w:rsidR="00B72222">
        <w:rPr>
          <w:rFonts w:eastAsia="Times New Roman" w:cs="Times New Roman"/>
          <w:color w:val="000000" w:themeColor="text1"/>
        </w:rPr>
        <w:t>,</w:t>
      </w:r>
      <w:r w:rsidRPr="001174CE">
        <w:rPr>
          <w:rFonts w:eastAsia="Times New Roman" w:cs="Times New Roman"/>
          <w:color w:val="000000" w:themeColor="text1"/>
        </w:rPr>
        <w:t xml:space="preserve"> Dworkin, 1988, </w:t>
      </w:r>
      <w:r w:rsidR="00B72222">
        <w:rPr>
          <w:rFonts w:eastAsia="Times New Roman" w:cs="Times New Roman"/>
          <w:color w:val="000000" w:themeColor="text1"/>
        </w:rPr>
        <w:t xml:space="preserve">pp. </w:t>
      </w:r>
      <w:r w:rsidRPr="001174CE">
        <w:rPr>
          <w:rFonts w:eastAsia="Times New Roman" w:cs="Times New Roman"/>
          <w:color w:val="000000" w:themeColor="text1"/>
        </w:rPr>
        <w:t>13-18, n</w:t>
      </w:r>
      <w:r w:rsidR="00B72222">
        <w:rPr>
          <w:rFonts w:eastAsia="Times New Roman" w:cs="Times New Roman"/>
          <w:color w:val="000000" w:themeColor="text1"/>
        </w:rPr>
        <w:t xml:space="preserve">. </w:t>
      </w:r>
      <w:r w:rsidRPr="001174CE">
        <w:rPr>
          <w:rFonts w:eastAsia="Times New Roman" w:cs="Times New Roman"/>
          <w:color w:val="000000" w:themeColor="text1"/>
        </w:rPr>
        <w:t>19-20) is a</w:t>
      </w:r>
      <w:r w:rsidRPr="00EF228F">
        <w:rPr>
          <w:rFonts w:eastAsia="Times New Roman" w:cs="Times New Roman"/>
          <w:color w:val="000000" w:themeColor="text1"/>
        </w:rPr>
        <w:t xml:space="preserve"> basis for discoveri</w:t>
      </w:r>
      <w:r>
        <w:rPr>
          <w:rFonts w:eastAsia="Times New Roman" w:cs="Times New Roman"/>
          <w:color w:val="000000" w:themeColor="text1"/>
        </w:rPr>
        <w:t>ng an</w:t>
      </w:r>
      <w:r w:rsidR="009A3FEE">
        <w:rPr>
          <w:rFonts w:eastAsia="Times New Roman" w:cs="Times New Roman"/>
          <w:color w:val="000000" w:themeColor="text1"/>
        </w:rPr>
        <w:t>d developing talents</w:t>
      </w:r>
      <w:r w:rsidR="00A074DC">
        <w:rPr>
          <w:rFonts w:eastAsia="Times New Roman" w:cs="Times New Roman"/>
          <w:color w:val="000000" w:themeColor="text1"/>
        </w:rPr>
        <w:t xml:space="preserve"> in everyone</w:t>
      </w:r>
      <w:r w:rsidR="009A3FEE">
        <w:rPr>
          <w:rFonts w:eastAsia="Times New Roman" w:cs="Times New Roman"/>
          <w:color w:val="000000" w:themeColor="text1"/>
        </w:rPr>
        <w:t xml:space="preserve">. </w:t>
      </w:r>
      <w:r w:rsidR="00694B15">
        <w:rPr>
          <w:rFonts w:eastAsia="Times New Roman" w:cs="Times New Roman"/>
          <w:color w:val="000000" w:themeColor="text1"/>
        </w:rPr>
        <w:t>T</w:t>
      </w:r>
      <w:r w:rsidRPr="00EF228F">
        <w:rPr>
          <w:rFonts w:eastAsia="Times New Roman" w:cs="Times New Roman"/>
          <w:color w:val="000000" w:themeColor="text1"/>
        </w:rPr>
        <w:t>he structure of this opportunity</w:t>
      </w:r>
      <w:r>
        <w:rPr>
          <w:rFonts w:eastAsia="Times New Roman" w:cs="Times New Roman"/>
          <w:color w:val="000000" w:themeColor="text1"/>
        </w:rPr>
        <w:t xml:space="preserve"> </w:t>
      </w:r>
      <w:r w:rsidR="00694B15">
        <w:rPr>
          <w:rFonts w:eastAsia="Times New Roman" w:cs="Times New Roman"/>
          <w:color w:val="000000" w:themeColor="text1"/>
        </w:rPr>
        <w:t xml:space="preserve">not only is </w:t>
      </w:r>
      <w:r w:rsidRPr="00EF228F">
        <w:rPr>
          <w:rFonts w:eastAsia="Times New Roman" w:cs="Times New Roman"/>
          <w:color w:val="000000" w:themeColor="text1"/>
        </w:rPr>
        <w:t>informed by wider coo</w:t>
      </w:r>
      <w:r>
        <w:rPr>
          <w:rFonts w:eastAsia="Times New Roman" w:cs="Times New Roman"/>
          <w:color w:val="000000" w:themeColor="text1"/>
        </w:rPr>
        <w:t>pera</w:t>
      </w:r>
      <w:r w:rsidR="009A3FEE">
        <w:rPr>
          <w:rFonts w:eastAsia="Times New Roman" w:cs="Times New Roman"/>
          <w:color w:val="000000" w:themeColor="text1"/>
        </w:rPr>
        <w:t>tive practices</w:t>
      </w:r>
      <w:r w:rsidR="00EE1B11">
        <w:rPr>
          <w:rFonts w:eastAsia="Times New Roman" w:cs="Times New Roman"/>
          <w:color w:val="000000" w:themeColor="text1"/>
        </w:rPr>
        <w:t xml:space="preserve">, but </w:t>
      </w:r>
      <w:r w:rsidR="009A3FEE">
        <w:rPr>
          <w:rFonts w:eastAsia="Times New Roman" w:cs="Times New Roman"/>
          <w:color w:val="000000" w:themeColor="text1"/>
        </w:rPr>
        <w:t>also arguably</w:t>
      </w:r>
      <w:r>
        <w:rPr>
          <w:rFonts w:eastAsia="Times New Roman" w:cs="Times New Roman"/>
          <w:color w:val="000000" w:themeColor="text1"/>
        </w:rPr>
        <w:t xml:space="preserve"> shapes the whole opportunity structure for all, </w:t>
      </w:r>
      <w:r w:rsidR="00694B15">
        <w:rPr>
          <w:rFonts w:eastAsia="Times New Roman" w:cs="Times New Roman"/>
          <w:color w:val="000000" w:themeColor="text1"/>
        </w:rPr>
        <w:t xml:space="preserve">for example </w:t>
      </w:r>
      <w:r>
        <w:rPr>
          <w:rFonts w:eastAsia="Times New Roman" w:cs="Times New Roman"/>
          <w:color w:val="000000" w:themeColor="text1"/>
        </w:rPr>
        <w:t>as</w:t>
      </w:r>
      <w:r w:rsidRPr="00EF228F">
        <w:rPr>
          <w:rFonts w:eastAsia="Times New Roman" w:cs="Times New Roman"/>
          <w:color w:val="000000" w:themeColor="text1"/>
        </w:rPr>
        <w:t xml:space="preserve"> in education systems, separating or not chi</w:t>
      </w:r>
      <w:r>
        <w:rPr>
          <w:rFonts w:eastAsia="Times New Roman" w:cs="Times New Roman"/>
          <w:color w:val="000000" w:themeColor="text1"/>
        </w:rPr>
        <w:t xml:space="preserve">ldren by means </w:t>
      </w:r>
      <w:r w:rsidRPr="009D2E99">
        <w:rPr>
          <w:rFonts w:eastAsia="Times New Roman" w:cs="Times New Roman"/>
          <w:color w:val="000000" w:themeColor="text1"/>
        </w:rPr>
        <w:t>or ability affects other levels of funding (e.g. of diverse occupational choices</w:t>
      </w:r>
      <w:r w:rsidR="00EE1B11">
        <w:rPr>
          <w:rFonts w:eastAsia="Times New Roman" w:cs="Times New Roman"/>
          <w:color w:val="000000" w:themeColor="text1"/>
        </w:rPr>
        <w:t>; section 4</w:t>
      </w:r>
      <w:r w:rsidRPr="009D2E99">
        <w:rPr>
          <w:rFonts w:eastAsia="Times New Roman" w:cs="Times New Roman"/>
          <w:color w:val="000000" w:themeColor="text1"/>
        </w:rPr>
        <w:t>)</w:t>
      </w:r>
      <w:r w:rsidR="00A074DC">
        <w:rPr>
          <w:rFonts w:eastAsia="Times New Roman" w:cs="Times New Roman"/>
          <w:color w:val="000000" w:themeColor="text1"/>
        </w:rPr>
        <w:t>, and the scope for allocation of talent predominating over de-selection of ability in a context of narrow competition</w:t>
      </w:r>
      <w:r w:rsidRPr="009D2E99">
        <w:rPr>
          <w:rFonts w:eastAsia="Times New Roman" w:cs="Times New Roman"/>
          <w:color w:val="000000" w:themeColor="text1"/>
        </w:rPr>
        <w:t>.</w:t>
      </w:r>
    </w:p>
    <w:p w14:paraId="20147D3E" w14:textId="77777777" w:rsidR="00B87760" w:rsidRPr="00EF228F" w:rsidRDefault="00B87760" w:rsidP="00B87760">
      <w:pPr>
        <w:spacing w:line="360" w:lineRule="auto"/>
        <w:ind w:right="-397"/>
        <w:jc w:val="both"/>
        <w:rPr>
          <w:rFonts w:eastAsia="Times New Roman" w:cs="Times New Roman"/>
          <w:color w:val="000000" w:themeColor="text1"/>
        </w:rPr>
      </w:pPr>
    </w:p>
    <w:p w14:paraId="4D157B87" w14:textId="6DF16072" w:rsidR="00B87760" w:rsidRDefault="00B87760" w:rsidP="00B87760">
      <w:pPr>
        <w:spacing w:line="360" w:lineRule="auto"/>
        <w:ind w:left="-397" w:right="-397"/>
        <w:jc w:val="both"/>
        <w:rPr>
          <w:rFonts w:eastAsia="Times New Roman" w:cs="Times New Roman"/>
          <w:color w:val="000000" w:themeColor="text1"/>
          <w:u w:val="single"/>
        </w:rPr>
      </w:pPr>
      <w:r w:rsidRPr="00EF228F">
        <w:rPr>
          <w:rFonts w:eastAsia="Times New Roman" w:cs="Times New Roman"/>
          <w:color w:val="000000" w:themeColor="text1"/>
        </w:rPr>
        <w:t>In another example, we can imagine a woman accepting the job market is much o</w:t>
      </w:r>
      <w:r>
        <w:rPr>
          <w:rFonts w:eastAsia="Times New Roman" w:cs="Times New Roman"/>
          <w:color w:val="000000" w:themeColor="text1"/>
        </w:rPr>
        <w:t xml:space="preserve">f a challenge, thus </w:t>
      </w:r>
      <w:r w:rsidRPr="00EF228F">
        <w:rPr>
          <w:rFonts w:eastAsia="Times New Roman" w:cs="Times New Roman"/>
          <w:color w:val="000000" w:themeColor="text1"/>
        </w:rPr>
        <w:t xml:space="preserve">making </w:t>
      </w:r>
      <w:r>
        <w:rPr>
          <w:rFonts w:eastAsia="Times New Roman" w:cs="Times New Roman"/>
          <w:color w:val="000000" w:themeColor="text1"/>
        </w:rPr>
        <w:t xml:space="preserve">instead </w:t>
      </w:r>
      <w:r w:rsidRPr="00EF228F">
        <w:rPr>
          <w:rFonts w:eastAsia="Times New Roman" w:cs="Times New Roman"/>
          <w:color w:val="000000" w:themeColor="text1"/>
        </w:rPr>
        <w:t xml:space="preserve">her </w:t>
      </w:r>
      <w:r>
        <w:rPr>
          <w:rFonts w:eastAsia="Times New Roman" w:cs="Times New Roman"/>
          <w:color w:val="000000" w:themeColor="text1"/>
        </w:rPr>
        <w:t xml:space="preserve">home (and her </w:t>
      </w:r>
      <w:r w:rsidRPr="00EF228F">
        <w:rPr>
          <w:rFonts w:eastAsia="Times New Roman" w:cs="Times New Roman"/>
          <w:color w:val="000000" w:themeColor="text1"/>
        </w:rPr>
        <w:t>limits</w:t>
      </w:r>
      <w:r>
        <w:rPr>
          <w:rFonts w:eastAsia="Times New Roman" w:cs="Times New Roman"/>
          <w:color w:val="000000" w:themeColor="text1"/>
        </w:rPr>
        <w:t>)</w:t>
      </w:r>
      <w:r w:rsidRPr="00EF228F">
        <w:rPr>
          <w:rFonts w:eastAsia="Times New Roman" w:cs="Times New Roman"/>
          <w:color w:val="000000" w:themeColor="text1"/>
        </w:rPr>
        <w:t xml:space="preserve"> a positive factor in her life. However, this only illustrates again how the existence of a human econ</w:t>
      </w:r>
      <w:r w:rsidR="00A269A3">
        <w:rPr>
          <w:rFonts w:eastAsia="Times New Roman" w:cs="Times New Roman"/>
          <w:color w:val="000000" w:themeColor="text1"/>
        </w:rPr>
        <w:t>omy (e.g. parenting representing</w:t>
      </w:r>
      <w:r w:rsidRPr="00EF228F">
        <w:rPr>
          <w:rFonts w:eastAsia="Times New Roman" w:cs="Times New Roman"/>
          <w:color w:val="000000" w:themeColor="text1"/>
        </w:rPr>
        <w:t xml:space="preserve"> the regularity of care) positions individuals between two logics – as not free (in this case) to make choices unless HE features are recognized. In short, a paradoxical aspect of the focus on life style is how features of the human economy that create dependence on others, directly and remotely, entail that HE choices are more socially constrained </w:t>
      </w:r>
      <w:r w:rsidRPr="00EF228F">
        <w:rPr>
          <w:rFonts w:eastAsia="Times New Roman" w:cs="Times New Roman"/>
          <w:i/>
          <w:color w:val="000000" w:themeColor="text1"/>
        </w:rPr>
        <w:t>for the same reason</w:t>
      </w:r>
      <w:r w:rsidRPr="00EF228F">
        <w:rPr>
          <w:rFonts w:eastAsia="Times New Roman" w:cs="Times New Roman"/>
          <w:color w:val="000000" w:themeColor="text1"/>
        </w:rPr>
        <w:t xml:space="preserve"> as they are of the highest integrity</w:t>
      </w:r>
      <w:r w:rsidR="000E3646">
        <w:rPr>
          <w:rFonts w:eastAsia="Times New Roman" w:cs="Times New Roman"/>
          <w:color w:val="000000" w:themeColor="text1"/>
        </w:rPr>
        <w:t xml:space="preserve"> value. </w:t>
      </w:r>
      <w:r w:rsidR="00694B15">
        <w:rPr>
          <w:rFonts w:eastAsia="Times New Roman" w:cs="Times New Roman"/>
          <w:color w:val="000000" w:themeColor="text1"/>
        </w:rPr>
        <w:t>Therefore</w:t>
      </w:r>
      <w:r w:rsidR="00B5309B">
        <w:rPr>
          <w:rFonts w:eastAsia="Times New Roman" w:cs="Times New Roman"/>
          <w:color w:val="000000" w:themeColor="text1"/>
        </w:rPr>
        <w:t xml:space="preserve">, </w:t>
      </w:r>
      <w:r w:rsidRPr="00EF228F">
        <w:rPr>
          <w:rFonts w:eastAsia="Times New Roman" w:cs="Times New Roman"/>
          <w:color w:val="000000" w:themeColor="text1"/>
        </w:rPr>
        <w:t>embedding cooperation in more complex forms of shar</w:t>
      </w:r>
      <w:r>
        <w:rPr>
          <w:rFonts w:eastAsia="Times New Roman" w:cs="Times New Roman"/>
          <w:color w:val="000000" w:themeColor="text1"/>
        </w:rPr>
        <w:t>ed security matters for freedom</w:t>
      </w:r>
      <w:r w:rsidRPr="00EF228F">
        <w:rPr>
          <w:rFonts w:eastAsia="Times New Roman" w:cs="Times New Roman"/>
          <w:color w:val="000000" w:themeColor="text1"/>
        </w:rPr>
        <w:t xml:space="preserve"> because transforming social </w:t>
      </w:r>
      <w:r w:rsidRPr="00EF228F">
        <w:rPr>
          <w:rFonts w:eastAsia="Times New Roman" w:cs="Times New Roman"/>
          <w:color w:val="000000" w:themeColor="text1"/>
        </w:rPr>
        <w:lastRenderedPageBreak/>
        <w:t xml:space="preserve">relations away from </w:t>
      </w:r>
      <w:r w:rsidRPr="00204328">
        <w:rPr>
          <w:rFonts w:eastAsia="Times New Roman" w:cs="Times New Roman"/>
          <w:color w:val="000000" w:themeColor="text1"/>
        </w:rPr>
        <w:t xml:space="preserve">patterns of domination </w:t>
      </w:r>
      <w:r w:rsidR="00C93189">
        <w:rPr>
          <w:rFonts w:eastAsia="Times New Roman" w:cs="Times New Roman"/>
          <w:color w:val="000000" w:themeColor="text1"/>
        </w:rPr>
        <w:t xml:space="preserve">or isolation </w:t>
      </w:r>
      <w:r w:rsidRPr="00204328">
        <w:rPr>
          <w:rFonts w:eastAsia="Times New Roman" w:cs="Times New Roman"/>
          <w:color w:val="000000" w:themeColor="text1"/>
        </w:rPr>
        <w:t xml:space="preserve">toward mutual regard is </w:t>
      </w:r>
      <w:r>
        <w:rPr>
          <w:rFonts w:eastAsia="Times New Roman" w:cs="Times New Roman"/>
          <w:color w:val="000000" w:themeColor="text1"/>
        </w:rPr>
        <w:t xml:space="preserve">at </w:t>
      </w:r>
      <w:r w:rsidRPr="00204328">
        <w:rPr>
          <w:rFonts w:eastAsia="Times New Roman" w:cs="Times New Roman"/>
          <w:color w:val="000000" w:themeColor="text1"/>
        </w:rPr>
        <w:t xml:space="preserve">the root of expanding core forms of personal control. </w:t>
      </w:r>
    </w:p>
    <w:p w14:paraId="4C30D93C" w14:textId="77777777" w:rsidR="00B87760" w:rsidRPr="00EF228F" w:rsidRDefault="00B87760" w:rsidP="00B87760">
      <w:pPr>
        <w:spacing w:line="360" w:lineRule="auto"/>
        <w:ind w:right="-397"/>
        <w:jc w:val="both"/>
        <w:rPr>
          <w:rFonts w:eastAsia="Times New Roman" w:cs="Times New Roman"/>
          <w:color w:val="000000" w:themeColor="text1"/>
        </w:rPr>
      </w:pPr>
    </w:p>
    <w:p w14:paraId="090AC1EB" w14:textId="578CE323" w:rsidR="00BE3FE3" w:rsidRDefault="00B87760" w:rsidP="00B87760">
      <w:pPr>
        <w:spacing w:line="360" w:lineRule="auto"/>
        <w:ind w:left="-397" w:right="-397"/>
        <w:jc w:val="both"/>
        <w:rPr>
          <w:rFonts w:eastAsia="Times New Roman" w:cs="Times New Roman"/>
          <w:color w:val="000000" w:themeColor="text1"/>
        </w:rPr>
      </w:pPr>
      <w:r w:rsidRPr="00EF228F">
        <w:rPr>
          <w:rFonts w:eastAsia="Times New Roman" w:cs="Times New Roman"/>
          <w:color w:val="000000" w:themeColor="text1"/>
        </w:rPr>
        <w:t>In this context,</w:t>
      </w:r>
      <w:r>
        <w:rPr>
          <w:rFonts w:eastAsia="Times New Roman" w:cs="Times New Roman"/>
          <w:color w:val="000000" w:themeColor="text1"/>
        </w:rPr>
        <w:t xml:space="preserve"> the key problem is then</w:t>
      </w:r>
      <w:r w:rsidRPr="00EF228F">
        <w:rPr>
          <w:rFonts w:eastAsia="Times New Roman" w:cs="Times New Roman"/>
          <w:color w:val="000000" w:themeColor="text1"/>
        </w:rPr>
        <w:t xml:space="preserve"> how</w:t>
      </w:r>
      <w:r w:rsidRPr="00EF228F">
        <w:rPr>
          <w:rFonts w:eastAsia="Times New Roman"/>
          <w:color w:val="000000" w:themeColor="text1"/>
        </w:rPr>
        <w:t xml:space="preserve"> </w:t>
      </w:r>
      <w:r w:rsidRPr="00EF228F">
        <w:rPr>
          <w:rFonts w:eastAsia="Times New Roman"/>
          <w:i/>
          <w:color w:val="000000" w:themeColor="text1"/>
        </w:rPr>
        <w:t>informational</w:t>
      </w:r>
      <w:r w:rsidRPr="00EF228F">
        <w:rPr>
          <w:rFonts w:eastAsia="Times New Roman"/>
          <w:color w:val="000000" w:themeColor="text1"/>
        </w:rPr>
        <w:t xml:space="preserve"> limits about the stuff of human development imposed by t</w:t>
      </w:r>
      <w:r w:rsidR="00C93189">
        <w:rPr>
          <w:rFonts w:eastAsia="Times New Roman"/>
          <w:color w:val="000000" w:themeColor="text1"/>
        </w:rPr>
        <w:t>he post-libertarian project produces</w:t>
      </w:r>
      <w:r w:rsidRPr="00EF228F">
        <w:rPr>
          <w:rFonts w:eastAsia="Times New Roman"/>
          <w:color w:val="000000" w:themeColor="text1"/>
        </w:rPr>
        <w:t xml:space="preserve"> oversimplified welfare proposals on ac</w:t>
      </w:r>
      <w:r w:rsidR="00C93189">
        <w:rPr>
          <w:rFonts w:eastAsia="Times New Roman"/>
          <w:color w:val="000000" w:themeColor="text1"/>
        </w:rPr>
        <w:t>count</w:t>
      </w:r>
      <w:r w:rsidR="009033DB">
        <w:rPr>
          <w:rFonts w:eastAsia="Times New Roman"/>
          <w:color w:val="000000" w:themeColor="text1"/>
        </w:rPr>
        <w:t xml:space="preserve">, </w:t>
      </w:r>
      <w:r w:rsidR="00C93189">
        <w:rPr>
          <w:rFonts w:eastAsia="Times New Roman"/>
          <w:color w:val="000000" w:themeColor="text1"/>
        </w:rPr>
        <w:t>in part</w:t>
      </w:r>
      <w:r w:rsidR="00570403">
        <w:rPr>
          <w:rFonts w:eastAsia="Times New Roman"/>
          <w:color w:val="000000" w:themeColor="text1"/>
        </w:rPr>
        <w:t xml:space="preserve">, </w:t>
      </w:r>
      <w:r w:rsidR="00C93189">
        <w:rPr>
          <w:rFonts w:eastAsia="Times New Roman"/>
          <w:color w:val="000000" w:themeColor="text1"/>
        </w:rPr>
        <w:t>of how it misinforms</w:t>
      </w:r>
      <w:r w:rsidRPr="00EF228F">
        <w:rPr>
          <w:rFonts w:eastAsia="Times New Roman"/>
          <w:color w:val="000000" w:themeColor="text1"/>
        </w:rPr>
        <w:t xml:space="preserve"> analysis of welfare states.</w:t>
      </w:r>
      <w:r w:rsidR="00BE3FE3" w:rsidRPr="00EF228F">
        <w:rPr>
          <w:rStyle w:val="FootnoteReference"/>
          <w:rFonts w:eastAsia="Times New Roman" w:cs="Times New Roman"/>
          <w:color w:val="000000" w:themeColor="text1"/>
        </w:rPr>
        <w:footnoteReference w:id="1"/>
      </w:r>
      <w:r w:rsidR="00BE3FE3" w:rsidRPr="00EF228F">
        <w:rPr>
          <w:rFonts w:eastAsia="Times New Roman" w:cs="Times New Roman"/>
          <w:color w:val="000000" w:themeColor="text1"/>
        </w:rPr>
        <w:t xml:space="preserve"> To exemplify, </w:t>
      </w:r>
      <w:r w:rsidR="00131191">
        <w:rPr>
          <w:rFonts w:eastAsia="Times New Roman" w:cs="Times New Roman"/>
          <w:color w:val="000000" w:themeColor="text1"/>
        </w:rPr>
        <w:t>VP</w:t>
      </w:r>
      <w:r w:rsidR="00BE3FE3" w:rsidRPr="00EF228F">
        <w:rPr>
          <w:rFonts w:eastAsia="Times New Roman" w:cs="Times New Roman"/>
          <w:color w:val="000000" w:themeColor="text1"/>
        </w:rPr>
        <w:t xml:space="preserve"> </w:t>
      </w:r>
      <w:r w:rsidR="00BE3FE3">
        <w:rPr>
          <w:rFonts w:eastAsia="Times New Roman" w:cs="Times New Roman"/>
          <w:color w:val="000000" w:themeColor="text1"/>
        </w:rPr>
        <w:t xml:space="preserve">(1995) </w:t>
      </w:r>
      <w:r w:rsidR="00BE3FE3" w:rsidRPr="00EF228F">
        <w:rPr>
          <w:rFonts w:eastAsia="Times New Roman" w:cs="Times New Roman"/>
          <w:color w:val="000000" w:themeColor="text1"/>
        </w:rPr>
        <w:t>pits his proposal for a universal ‘</w:t>
      </w:r>
      <w:r w:rsidR="00BE3FE3">
        <w:rPr>
          <w:rFonts w:eastAsia="Times New Roman" w:cs="Times New Roman"/>
          <w:color w:val="000000" w:themeColor="text1"/>
        </w:rPr>
        <w:t>B</w:t>
      </w:r>
      <w:r w:rsidR="00BE3FE3" w:rsidRPr="00EF228F">
        <w:rPr>
          <w:rFonts w:eastAsia="Times New Roman" w:cs="Times New Roman"/>
          <w:color w:val="000000" w:themeColor="text1"/>
        </w:rPr>
        <w:t xml:space="preserve">asic </w:t>
      </w:r>
      <w:r w:rsidR="00BE3FE3">
        <w:rPr>
          <w:rFonts w:eastAsia="Times New Roman" w:cs="Times New Roman"/>
          <w:color w:val="000000" w:themeColor="text1"/>
        </w:rPr>
        <w:t>I</w:t>
      </w:r>
      <w:r w:rsidR="00BE3FE3" w:rsidRPr="00EF228F">
        <w:rPr>
          <w:rFonts w:eastAsia="Times New Roman" w:cs="Times New Roman"/>
          <w:color w:val="000000" w:themeColor="text1"/>
        </w:rPr>
        <w:t xml:space="preserve">ncome’ (BI) for life – aimed to secure choice of alternative life styles, against </w:t>
      </w:r>
      <w:r w:rsidR="00BE3FE3">
        <w:rPr>
          <w:rFonts w:eastAsia="Times New Roman" w:cs="Times New Roman"/>
          <w:color w:val="000000" w:themeColor="text1"/>
        </w:rPr>
        <w:t>“</w:t>
      </w:r>
      <w:proofErr w:type="spellStart"/>
      <w:r w:rsidR="00BE3FE3" w:rsidRPr="00EF228F">
        <w:rPr>
          <w:rFonts w:eastAsia="Times New Roman" w:cs="Times New Roman"/>
          <w:color w:val="000000" w:themeColor="text1"/>
        </w:rPr>
        <w:t>welfarist</w:t>
      </w:r>
      <w:proofErr w:type="spellEnd"/>
      <w:r w:rsidR="00BE3FE3" w:rsidRPr="00EF228F">
        <w:rPr>
          <w:rFonts w:eastAsia="Times New Roman" w:cs="Times New Roman"/>
          <w:color w:val="000000" w:themeColor="text1"/>
        </w:rPr>
        <w:t xml:space="preserve"> or outcome-oriented</w:t>
      </w:r>
      <w:r w:rsidR="00BE3FE3">
        <w:rPr>
          <w:rFonts w:eastAsia="Times New Roman" w:cs="Times New Roman"/>
          <w:color w:val="000000" w:themeColor="text1"/>
        </w:rPr>
        <w:t>”</w:t>
      </w:r>
      <w:r w:rsidR="00BE3FE3" w:rsidRPr="00EF228F">
        <w:rPr>
          <w:rFonts w:eastAsia="Times New Roman" w:cs="Times New Roman"/>
          <w:color w:val="000000" w:themeColor="text1"/>
        </w:rPr>
        <w:t xml:space="preserve"> (n.</w:t>
      </w:r>
      <w:r w:rsidR="00BE3FE3">
        <w:rPr>
          <w:rFonts w:eastAsia="Times New Roman" w:cs="Times New Roman"/>
          <w:color w:val="000000" w:themeColor="text1"/>
        </w:rPr>
        <w:t xml:space="preserve"> </w:t>
      </w:r>
      <w:r w:rsidR="00BE3FE3" w:rsidRPr="00EF228F">
        <w:rPr>
          <w:rFonts w:eastAsia="Times New Roman" w:cs="Times New Roman"/>
          <w:color w:val="000000" w:themeColor="text1"/>
        </w:rPr>
        <w:t xml:space="preserve">30, </w:t>
      </w:r>
      <w:r w:rsidR="00BE3FE3">
        <w:rPr>
          <w:rFonts w:eastAsia="Times New Roman" w:cs="Times New Roman"/>
          <w:color w:val="000000" w:themeColor="text1"/>
        </w:rPr>
        <w:t xml:space="preserve">p. </w:t>
      </w:r>
      <w:r w:rsidR="00BE3FE3" w:rsidRPr="00EF228F">
        <w:rPr>
          <w:rFonts w:eastAsia="Times New Roman" w:cs="Times New Roman"/>
          <w:color w:val="000000" w:themeColor="text1"/>
        </w:rPr>
        <w:t>248) projects.</w:t>
      </w:r>
      <w:r w:rsidR="00BE3FE3" w:rsidRPr="00EF228F">
        <w:rPr>
          <w:rStyle w:val="FootnoteReference"/>
          <w:color w:val="000000" w:themeColor="text1"/>
        </w:rPr>
        <w:t xml:space="preserve"> </w:t>
      </w:r>
      <w:r w:rsidR="00BE3FE3">
        <w:rPr>
          <w:rFonts w:eastAsia="Times New Roman" w:cs="Times New Roman"/>
          <w:color w:val="000000" w:themeColor="text1"/>
        </w:rPr>
        <w:t xml:space="preserve">Specifically, he links </w:t>
      </w:r>
      <w:r w:rsidR="00BE3FE3" w:rsidRPr="00EF228F">
        <w:rPr>
          <w:rFonts w:eastAsia="Times New Roman" w:cs="Times New Roman"/>
          <w:color w:val="000000" w:themeColor="text1"/>
        </w:rPr>
        <w:t xml:space="preserve">the egalitarian-seeking aim of social democracy with </w:t>
      </w:r>
      <w:r w:rsidR="00BE3FE3">
        <w:rPr>
          <w:rFonts w:eastAsia="Times New Roman" w:cs="Times New Roman"/>
          <w:color w:val="000000" w:themeColor="text1"/>
        </w:rPr>
        <w:t>“</w:t>
      </w:r>
      <w:r w:rsidR="00BE3FE3" w:rsidRPr="00EF228F">
        <w:rPr>
          <w:rFonts w:eastAsia="Times New Roman" w:cs="Times New Roman"/>
          <w:color w:val="000000" w:themeColor="text1"/>
        </w:rPr>
        <w:t>the freedom to consume</w:t>
      </w:r>
      <w:r w:rsidR="00BE3FE3">
        <w:rPr>
          <w:rFonts w:eastAsia="Times New Roman" w:cs="Times New Roman"/>
          <w:color w:val="000000" w:themeColor="text1"/>
        </w:rPr>
        <w:t>” (VP, op. cit., p. 33). This indicates VP does not</w:t>
      </w:r>
      <w:r w:rsidR="00BE3FE3" w:rsidRPr="00EF228F">
        <w:rPr>
          <w:rFonts w:eastAsia="Times New Roman" w:cs="Times New Roman"/>
          <w:color w:val="000000" w:themeColor="text1"/>
        </w:rPr>
        <w:t xml:space="preserve"> recognize human development as a motive rooted in Nordic states’ public institutions </w:t>
      </w:r>
      <w:r w:rsidR="00BE3FE3" w:rsidRPr="00EF228F">
        <w:rPr>
          <w:rFonts w:eastAsia="Times New Roman"/>
          <w:color w:val="000000" w:themeColor="text1"/>
        </w:rPr>
        <w:t xml:space="preserve">and as </w:t>
      </w:r>
      <w:r w:rsidR="00570403">
        <w:rPr>
          <w:rFonts w:eastAsia="Times New Roman" w:cs="Times New Roman"/>
          <w:color w:val="000000" w:themeColor="text1"/>
        </w:rPr>
        <w:t>a</w:t>
      </w:r>
      <w:r w:rsidR="00BE3FE3" w:rsidRPr="00EF228F">
        <w:rPr>
          <w:rFonts w:eastAsia="Times New Roman" w:cs="Times New Roman"/>
          <w:color w:val="000000" w:themeColor="text1"/>
        </w:rPr>
        <w:t xml:space="preserve"> source of </w:t>
      </w:r>
      <w:r w:rsidR="00BE3FE3">
        <w:rPr>
          <w:rFonts w:eastAsia="Times New Roman" w:cs="Times New Roman"/>
          <w:color w:val="000000" w:themeColor="text1"/>
        </w:rPr>
        <w:t>the kind of</w:t>
      </w:r>
      <w:r w:rsidR="00BE3FE3" w:rsidRPr="00470269">
        <w:rPr>
          <w:rFonts w:eastAsia="Times New Roman" w:cs="Times New Roman"/>
          <w:color w:val="000000" w:themeColor="text1"/>
        </w:rPr>
        <w:t xml:space="preserve"> post-materialist values</w:t>
      </w:r>
      <w:r w:rsidR="00BE3FE3" w:rsidRPr="00470269">
        <w:rPr>
          <w:rFonts w:eastAsia="Times New Roman"/>
          <w:color w:val="000000" w:themeColor="text1"/>
        </w:rPr>
        <w:t xml:space="preserve"> </w:t>
      </w:r>
      <w:r w:rsidR="00BE3FE3">
        <w:rPr>
          <w:rFonts w:eastAsia="Times New Roman"/>
          <w:color w:val="000000" w:themeColor="text1"/>
        </w:rPr>
        <w:t xml:space="preserve">linked with voluntary activity and leisure </w:t>
      </w:r>
      <w:r w:rsidR="00BE3FE3" w:rsidRPr="00470269">
        <w:rPr>
          <w:color w:val="000000" w:themeColor="text1"/>
        </w:rPr>
        <w:t>(evidenced</w:t>
      </w:r>
      <w:r w:rsidR="00BE3FE3">
        <w:rPr>
          <w:color w:val="000000" w:themeColor="text1"/>
        </w:rPr>
        <w:t xml:space="preserve"> as strong in Nordic states</w:t>
      </w:r>
      <w:r w:rsidR="00BE3FE3" w:rsidRPr="00470269">
        <w:rPr>
          <w:color w:val="000000" w:themeColor="text1"/>
        </w:rPr>
        <w:t xml:space="preserve"> in Inglehart</w:t>
      </w:r>
      <w:r w:rsidR="00131191">
        <w:rPr>
          <w:color w:val="000000" w:themeColor="text1"/>
        </w:rPr>
        <w:t xml:space="preserve"> et. al., </w:t>
      </w:r>
      <w:r w:rsidR="00BE3FE3" w:rsidRPr="00470269">
        <w:rPr>
          <w:color w:val="000000" w:themeColor="text1"/>
        </w:rPr>
        <w:t xml:space="preserve">2001, </w:t>
      </w:r>
      <w:r w:rsidR="00BE3FE3">
        <w:rPr>
          <w:color w:val="000000" w:themeColor="text1"/>
        </w:rPr>
        <w:t xml:space="preserve">p. </w:t>
      </w:r>
      <w:r w:rsidR="00BE3FE3" w:rsidRPr="00470269">
        <w:rPr>
          <w:color w:val="000000" w:themeColor="text1"/>
        </w:rPr>
        <w:t>7,</w:t>
      </w:r>
      <w:r w:rsidR="00BE3FE3">
        <w:rPr>
          <w:color w:val="000000" w:themeColor="text1"/>
        </w:rPr>
        <w:t xml:space="preserve"> pp. 15-17) that his analysis prioritises, and he</w:t>
      </w:r>
      <w:r w:rsidR="00BE3FE3" w:rsidRPr="00470269">
        <w:rPr>
          <w:color w:val="000000" w:themeColor="text1"/>
        </w:rPr>
        <w:t xml:space="preserve"> imagines are linked with a move to individualise resource distribution.</w:t>
      </w:r>
      <w:r w:rsidR="00BE3FE3" w:rsidRPr="00470269">
        <w:rPr>
          <w:rFonts w:eastAsia="Times New Roman" w:cs="Times New Roman"/>
          <w:color w:val="000000" w:themeColor="text1"/>
        </w:rPr>
        <w:t xml:space="preserve">  </w:t>
      </w:r>
      <w:r w:rsidR="00BE3FE3">
        <w:rPr>
          <w:rFonts w:eastAsia="Times New Roman" w:cs="Times New Roman"/>
          <w:color w:val="000000" w:themeColor="text1"/>
        </w:rPr>
        <w:t>VP (1995, p. 24</w:t>
      </w:r>
      <w:r w:rsidR="00BE3FE3" w:rsidRPr="00EF228F">
        <w:rPr>
          <w:rFonts w:eastAsia="Times New Roman" w:cs="Times New Roman"/>
          <w:color w:val="000000" w:themeColor="text1"/>
        </w:rPr>
        <w:t>2) appeals to the concern (exp</w:t>
      </w:r>
      <w:r w:rsidR="00BE3FE3">
        <w:rPr>
          <w:rFonts w:eastAsia="Times New Roman" w:cs="Times New Roman"/>
          <w:color w:val="000000" w:themeColor="text1"/>
        </w:rPr>
        <w:t xml:space="preserve">ressed in Rawls’, 1988, pp. 252-3; 1993, p. 13; 2001, p. </w:t>
      </w:r>
      <w:r w:rsidR="00BE3FE3" w:rsidRPr="00EF228F">
        <w:rPr>
          <w:rFonts w:eastAsia="Times New Roman" w:cs="Times New Roman"/>
          <w:color w:val="000000" w:themeColor="text1"/>
        </w:rPr>
        <w:t>52</w:t>
      </w:r>
      <w:r w:rsidR="00BE3FE3">
        <w:rPr>
          <w:rFonts w:eastAsia="Times New Roman" w:cs="Times New Roman"/>
          <w:color w:val="000000" w:themeColor="text1"/>
        </w:rPr>
        <w:t>, p. 60</w:t>
      </w:r>
      <w:r w:rsidR="00BE3FE3" w:rsidRPr="00EF228F">
        <w:rPr>
          <w:rFonts w:eastAsia="Times New Roman" w:cs="Times New Roman"/>
          <w:color w:val="000000" w:themeColor="text1"/>
        </w:rPr>
        <w:t xml:space="preserve">) that public policy should remain neutral on matters of the good </w:t>
      </w:r>
      <w:r w:rsidR="00BE3FE3">
        <w:rPr>
          <w:rFonts w:eastAsia="Times New Roman" w:cs="Times New Roman"/>
          <w:color w:val="000000" w:themeColor="text1"/>
        </w:rPr>
        <w:t>life (anti-perfectionism, p. 28, p. 255</w:t>
      </w:r>
      <w:r w:rsidR="00BE3FE3" w:rsidRPr="00EF228F">
        <w:rPr>
          <w:rFonts w:eastAsia="Times New Roman" w:cs="Times New Roman"/>
          <w:color w:val="000000" w:themeColor="text1"/>
        </w:rPr>
        <w:t>)</w:t>
      </w:r>
      <w:r w:rsidR="00BE3FE3">
        <w:rPr>
          <w:rFonts w:eastAsia="Times New Roman" w:cs="Times New Roman"/>
          <w:color w:val="000000" w:themeColor="text1"/>
        </w:rPr>
        <w:t xml:space="preserve">. </w:t>
      </w:r>
    </w:p>
    <w:p w14:paraId="7CBE1628" w14:textId="77777777" w:rsidR="00BE3FE3" w:rsidRDefault="00BE3FE3" w:rsidP="00B87760">
      <w:pPr>
        <w:spacing w:line="360" w:lineRule="auto"/>
        <w:ind w:left="-397" w:right="-397"/>
        <w:jc w:val="both"/>
        <w:rPr>
          <w:rFonts w:eastAsia="Times New Roman" w:cs="Times New Roman"/>
          <w:color w:val="000000" w:themeColor="text1"/>
        </w:rPr>
      </w:pPr>
    </w:p>
    <w:p w14:paraId="2364E8CE" w14:textId="12DA8972" w:rsidR="00BE3FE3" w:rsidRPr="001174CE" w:rsidRDefault="00BE3FE3" w:rsidP="00B87760">
      <w:pPr>
        <w:spacing w:line="360" w:lineRule="auto"/>
        <w:ind w:left="-397" w:right="-397"/>
        <w:jc w:val="both"/>
        <w:rPr>
          <w:color w:val="000000"/>
          <w:sz w:val="16"/>
          <w:szCs w:val="16"/>
          <w:u w:val="single"/>
        </w:rPr>
      </w:pPr>
      <w:r w:rsidRPr="00EF228F">
        <w:rPr>
          <w:rFonts w:eastAsia="Times New Roman" w:cs="Times New Roman"/>
          <w:color w:val="000000" w:themeColor="text1"/>
        </w:rPr>
        <w:t xml:space="preserve">I argue that discounting developmental freedoms </w:t>
      </w:r>
      <w:r w:rsidR="00694B15">
        <w:rPr>
          <w:rFonts w:eastAsia="Times New Roman" w:cs="Times New Roman"/>
          <w:color w:val="000000" w:themeColor="text1"/>
        </w:rPr>
        <w:t xml:space="preserve">in this way </w:t>
      </w:r>
      <w:r>
        <w:rPr>
          <w:rFonts w:eastAsia="Times New Roman" w:cs="Times New Roman"/>
          <w:color w:val="000000" w:themeColor="text1"/>
        </w:rPr>
        <w:t xml:space="preserve">involves </w:t>
      </w:r>
      <w:r w:rsidRPr="00EF228F">
        <w:rPr>
          <w:rFonts w:eastAsia="Times New Roman" w:cs="Times New Roman"/>
          <w:color w:val="000000" w:themeColor="text1"/>
        </w:rPr>
        <w:t xml:space="preserve">a methodological mistake given how both VP </w:t>
      </w:r>
      <w:r>
        <w:rPr>
          <w:rFonts w:eastAsia="Times New Roman" w:cs="Times New Roman"/>
          <w:color w:val="000000" w:themeColor="text1"/>
        </w:rPr>
        <w:t xml:space="preserve">(1995) </w:t>
      </w:r>
      <w:r w:rsidRPr="00EF228F">
        <w:rPr>
          <w:rFonts w:eastAsia="Times New Roman" w:cs="Times New Roman"/>
          <w:color w:val="000000" w:themeColor="text1"/>
        </w:rPr>
        <w:t xml:space="preserve">and Rawls </w:t>
      </w:r>
      <w:r>
        <w:rPr>
          <w:rFonts w:eastAsia="Times New Roman" w:cs="Times New Roman"/>
          <w:color w:val="000000" w:themeColor="text1"/>
        </w:rPr>
        <w:t xml:space="preserve">(1988, 2001) </w:t>
      </w:r>
      <w:r w:rsidRPr="00EF228F">
        <w:rPr>
          <w:rFonts w:eastAsia="Times New Roman" w:cs="Times New Roman"/>
          <w:color w:val="000000" w:themeColor="text1"/>
        </w:rPr>
        <w:t xml:space="preserve">recognize </w:t>
      </w:r>
      <w:r w:rsidRPr="00437C33">
        <w:rPr>
          <w:rFonts w:eastAsia="Times New Roman" w:cs="Times New Roman"/>
          <w:color w:val="000000" w:themeColor="text1"/>
        </w:rPr>
        <w:t xml:space="preserve">developmental interests humans have. So, Rawls </w:t>
      </w:r>
      <w:r>
        <w:rPr>
          <w:rFonts w:eastAsia="Times New Roman" w:cs="Times New Roman"/>
          <w:color w:val="000000" w:themeColor="text1"/>
        </w:rPr>
        <w:t xml:space="preserve">(1971, p. 274) </w:t>
      </w:r>
      <w:r w:rsidRPr="00437C33">
        <w:rPr>
          <w:rFonts w:eastAsia="Times New Roman" w:cs="Times New Roman"/>
          <w:color w:val="000000" w:themeColor="text1"/>
        </w:rPr>
        <w:t xml:space="preserve">aims to protect </w:t>
      </w:r>
      <w:r w:rsidRPr="00437C33">
        <w:rPr>
          <w:rFonts w:eastAsia="Times New Roman" w:cs="Times New Roman"/>
          <w:i/>
          <w:color w:val="000000" w:themeColor="text1"/>
        </w:rPr>
        <w:t>against</w:t>
      </w:r>
      <w:r w:rsidRPr="00437C33">
        <w:rPr>
          <w:rFonts w:eastAsia="Times New Roman" w:cs="Times New Roman"/>
          <w:color w:val="000000" w:themeColor="text1"/>
        </w:rPr>
        <w:t xml:space="preserve"> the transactional outcomes of human frailty (differences of talent and energy</w:t>
      </w:r>
      <w:r w:rsidR="00570403">
        <w:rPr>
          <w:rFonts w:eastAsia="Times New Roman" w:cs="Times New Roman"/>
          <w:color w:val="000000" w:themeColor="text1"/>
        </w:rPr>
        <w:t>)</w:t>
      </w:r>
      <w:r w:rsidRPr="00437C33">
        <w:rPr>
          <w:rFonts w:eastAsia="Times New Roman" w:cs="Times New Roman"/>
          <w:color w:val="000000" w:themeColor="text1"/>
        </w:rPr>
        <w:t>, and recognizes human rationality as developmental (the Arist</w:t>
      </w:r>
      <w:r>
        <w:rPr>
          <w:rFonts w:eastAsia="Times New Roman" w:cs="Times New Roman"/>
          <w:color w:val="000000" w:themeColor="text1"/>
        </w:rPr>
        <w:t xml:space="preserve">otelian </w:t>
      </w:r>
      <w:proofErr w:type="gramStart"/>
      <w:r>
        <w:rPr>
          <w:rFonts w:eastAsia="Times New Roman" w:cs="Times New Roman"/>
          <w:color w:val="000000" w:themeColor="text1"/>
        </w:rPr>
        <w:t>principle,  pp.</w:t>
      </w:r>
      <w:proofErr w:type="gramEnd"/>
      <w:r>
        <w:rPr>
          <w:rFonts w:eastAsia="Times New Roman" w:cs="Times New Roman"/>
          <w:color w:val="000000" w:themeColor="text1"/>
        </w:rPr>
        <w:t xml:space="preserve"> 372-376). Y</w:t>
      </w:r>
      <w:r w:rsidRPr="00437C33">
        <w:rPr>
          <w:rFonts w:eastAsia="Times New Roman" w:cs="Times New Roman"/>
          <w:color w:val="000000" w:themeColor="text1"/>
        </w:rPr>
        <w:t>et with reference to the immoral nature of markets (</w:t>
      </w:r>
      <w:r>
        <w:rPr>
          <w:rFonts w:eastAsia="Times New Roman" w:cs="Times New Roman"/>
          <w:color w:val="000000" w:themeColor="text1"/>
        </w:rPr>
        <w:t xml:space="preserve">p. </w:t>
      </w:r>
      <w:r w:rsidRPr="00437C33">
        <w:rPr>
          <w:rFonts w:eastAsia="Times New Roman" w:cs="Times New Roman"/>
          <w:color w:val="000000" w:themeColor="text1"/>
        </w:rPr>
        <w:t xml:space="preserve">274), and stressing monetary incentives to train and work, </w:t>
      </w:r>
      <w:r>
        <w:rPr>
          <w:rFonts w:eastAsia="Times New Roman" w:cs="Times New Roman"/>
          <w:color w:val="000000" w:themeColor="text1"/>
        </w:rPr>
        <w:t xml:space="preserve">he </w:t>
      </w:r>
      <w:r w:rsidRPr="00437C33">
        <w:rPr>
          <w:rFonts w:eastAsia="Times New Roman" w:cs="Times New Roman"/>
          <w:color w:val="000000" w:themeColor="text1"/>
        </w:rPr>
        <w:t>abandons this developmental account in his analysis of economic relations.</w:t>
      </w:r>
      <w:r w:rsidRPr="00437C33">
        <w:rPr>
          <w:rStyle w:val="FootnoteReference"/>
          <w:color w:val="000000" w:themeColor="text1"/>
        </w:rPr>
        <w:t xml:space="preserve"> </w:t>
      </w:r>
      <w:r w:rsidRPr="00437C33">
        <w:rPr>
          <w:rFonts w:eastAsia="Times New Roman" w:cs="Times New Roman"/>
          <w:color w:val="000000" w:themeColor="text1"/>
        </w:rPr>
        <w:t xml:space="preserve">Similarly, </w:t>
      </w:r>
      <w:r w:rsidRPr="00437C33">
        <w:rPr>
          <w:rFonts w:eastAsia="Times New Roman" w:cs="Times New Roman"/>
          <w:i/>
          <w:color w:val="000000" w:themeColor="text1"/>
        </w:rPr>
        <w:t>social protection</w:t>
      </w:r>
      <w:r w:rsidRPr="00437C33">
        <w:rPr>
          <w:rFonts w:eastAsia="Times New Roman" w:cs="Times New Roman"/>
          <w:color w:val="000000" w:themeColor="text1"/>
        </w:rPr>
        <w:t xml:space="preserve"> is VP’s </w:t>
      </w:r>
      <w:r>
        <w:rPr>
          <w:rFonts w:eastAsia="Times New Roman" w:cs="Times New Roman"/>
          <w:color w:val="000000" w:themeColor="text1"/>
        </w:rPr>
        <w:t xml:space="preserve">(1995, p. 46) </w:t>
      </w:r>
      <w:r w:rsidRPr="00437C33">
        <w:rPr>
          <w:rFonts w:eastAsia="Times New Roman" w:cs="Times New Roman"/>
          <w:color w:val="000000" w:themeColor="text1"/>
        </w:rPr>
        <w:t xml:space="preserve">rationale for wanting the </w:t>
      </w:r>
      <w:r>
        <w:rPr>
          <w:rFonts w:eastAsia="Times New Roman" w:cs="Times New Roman"/>
          <w:color w:val="000000" w:themeColor="text1"/>
        </w:rPr>
        <w:t>B</w:t>
      </w:r>
      <w:r w:rsidRPr="00437C33">
        <w:rPr>
          <w:rFonts w:eastAsia="Times New Roman" w:cs="Times New Roman"/>
          <w:color w:val="000000" w:themeColor="text1"/>
        </w:rPr>
        <w:t xml:space="preserve">asic </w:t>
      </w:r>
      <w:r>
        <w:rPr>
          <w:rFonts w:eastAsia="Times New Roman" w:cs="Times New Roman"/>
          <w:color w:val="000000" w:themeColor="text1"/>
        </w:rPr>
        <w:t>I</w:t>
      </w:r>
      <w:r w:rsidRPr="00437C33">
        <w:rPr>
          <w:rFonts w:eastAsia="Times New Roman" w:cs="Times New Roman"/>
          <w:color w:val="000000" w:themeColor="text1"/>
        </w:rPr>
        <w:t xml:space="preserve">ncome (BI) grant to be paid in a regular form (as distinct from as a one-off grant). However, in depicting </w:t>
      </w:r>
      <w:r>
        <w:rPr>
          <w:rFonts w:eastAsia="Times New Roman" w:cs="Times New Roman"/>
          <w:color w:val="000000" w:themeColor="text1"/>
        </w:rPr>
        <w:t>L</w:t>
      </w:r>
      <w:r w:rsidRPr="00437C33">
        <w:rPr>
          <w:rFonts w:eastAsia="Times New Roman" w:cs="Times New Roman"/>
          <w:color w:val="000000" w:themeColor="text1"/>
        </w:rPr>
        <w:t xml:space="preserve">abour </w:t>
      </w:r>
      <w:r>
        <w:rPr>
          <w:rFonts w:eastAsia="Times New Roman" w:cs="Times New Roman"/>
          <w:color w:val="000000" w:themeColor="text1"/>
        </w:rPr>
        <w:t>M</w:t>
      </w:r>
      <w:r w:rsidRPr="00437C33">
        <w:rPr>
          <w:rFonts w:eastAsia="Times New Roman" w:cs="Times New Roman"/>
          <w:color w:val="000000" w:themeColor="text1"/>
        </w:rPr>
        <w:t>arkets (LMs) as transactions of inherent talent (VP</w:t>
      </w:r>
      <w:r>
        <w:rPr>
          <w:rFonts w:eastAsia="Times New Roman" w:cs="Times New Roman"/>
          <w:color w:val="000000" w:themeColor="text1"/>
        </w:rPr>
        <w:t xml:space="preserve">, op. cit., </w:t>
      </w:r>
      <w:r w:rsidRPr="00437C33">
        <w:rPr>
          <w:rFonts w:eastAsia="Times New Roman" w:cs="Times New Roman"/>
          <w:color w:val="000000" w:themeColor="text1"/>
        </w:rPr>
        <w:t>121), he sets aside how talent is developed</w:t>
      </w:r>
      <w:r>
        <w:rPr>
          <w:rFonts w:eastAsia="Times New Roman" w:cs="Times New Roman"/>
          <w:color w:val="000000" w:themeColor="text1"/>
        </w:rPr>
        <w:t xml:space="preserve"> in education and jobs. For example, </w:t>
      </w:r>
      <w:r w:rsidRPr="00EF228F">
        <w:rPr>
          <w:rFonts w:eastAsia="Times New Roman" w:cs="Times New Roman"/>
          <w:color w:val="000000" w:themeColor="text1"/>
        </w:rPr>
        <w:t xml:space="preserve">in linking our scope to be crazy (leisure) to our opportunity to leave jobs </w:t>
      </w:r>
      <w:r>
        <w:rPr>
          <w:rFonts w:eastAsia="Times New Roman" w:cs="Times New Roman"/>
          <w:color w:val="000000" w:themeColor="text1"/>
        </w:rPr>
        <w:t>– VP (1995) makes leisure a wholesale</w:t>
      </w:r>
      <w:r w:rsidRPr="00EF228F">
        <w:rPr>
          <w:rFonts w:eastAsia="Times New Roman" w:cs="Times New Roman"/>
          <w:color w:val="000000" w:themeColor="text1"/>
        </w:rPr>
        <w:t xml:space="preserve"> life-style choice.</w:t>
      </w:r>
      <w:r w:rsidRPr="00EF228F">
        <w:rPr>
          <w:rStyle w:val="FootnoteReference"/>
          <w:rFonts w:cs="Times New Roman"/>
          <w:color w:val="000000" w:themeColor="text1"/>
        </w:rPr>
        <w:t xml:space="preserve"> </w:t>
      </w:r>
      <w:r w:rsidR="00694B15">
        <w:rPr>
          <w:rFonts w:cs="Times New Roman"/>
          <w:color w:val="000000" w:themeColor="text1"/>
        </w:rPr>
        <w:t xml:space="preserve">Yet </w:t>
      </w:r>
      <w:r>
        <w:rPr>
          <w:rFonts w:cs="Times New Roman"/>
          <w:color w:val="000000" w:themeColor="text1"/>
        </w:rPr>
        <w:t>I argue the</w:t>
      </w:r>
      <w:r>
        <w:rPr>
          <w:rFonts w:eastAsia="Times New Roman"/>
          <w:color w:val="000000" w:themeColor="text1"/>
        </w:rPr>
        <w:t xml:space="preserve"> </w:t>
      </w:r>
      <w:r w:rsidRPr="00EF228F">
        <w:rPr>
          <w:rFonts w:eastAsia="Times New Roman" w:cs="Times New Roman"/>
          <w:color w:val="000000" w:themeColor="text1"/>
        </w:rPr>
        <w:t>patterned reality of the human economy makes the realisation and wider freed</w:t>
      </w:r>
      <w:r w:rsidRPr="00EF228F">
        <w:rPr>
          <w:rFonts w:eastAsia="Times New Roman"/>
          <w:color w:val="000000" w:themeColor="text1"/>
        </w:rPr>
        <w:t xml:space="preserve">om effects of </w:t>
      </w:r>
      <w:r>
        <w:rPr>
          <w:rFonts w:eastAsia="Times New Roman"/>
          <w:color w:val="000000" w:themeColor="text1"/>
        </w:rPr>
        <w:t>P</w:t>
      </w:r>
      <w:r w:rsidRPr="00EF228F">
        <w:rPr>
          <w:rFonts w:eastAsia="Times New Roman"/>
          <w:color w:val="000000" w:themeColor="text1"/>
        </w:rPr>
        <w:t>D policies</w:t>
      </w:r>
      <w:r w:rsidRPr="00EF228F">
        <w:rPr>
          <w:rFonts w:eastAsia="Times New Roman" w:cs="Times New Roman"/>
          <w:color w:val="000000" w:themeColor="text1"/>
        </w:rPr>
        <w:t xml:space="preserve"> highly dependent on the pattern of cooperation in general. O</w:t>
      </w:r>
      <w:r>
        <w:rPr>
          <w:rFonts w:eastAsia="Times New Roman" w:cs="Times New Roman"/>
          <w:color w:val="000000" w:themeColor="text1"/>
        </w:rPr>
        <w:t>n that basis, tendencies in WAF</w:t>
      </w:r>
      <w:r w:rsidRPr="00EF228F">
        <w:rPr>
          <w:rFonts w:eastAsia="Times New Roman" w:cs="Times New Roman"/>
          <w:color w:val="000000" w:themeColor="text1"/>
        </w:rPr>
        <w:t xml:space="preserve"> to see the informal as a source of control (e.g. of care and work in Standing</w:t>
      </w:r>
      <w:r>
        <w:rPr>
          <w:rFonts w:eastAsia="Times New Roman" w:cs="Times New Roman"/>
          <w:color w:val="000000" w:themeColor="text1"/>
        </w:rPr>
        <w:t>,</w:t>
      </w:r>
      <w:r w:rsidRPr="00EF228F">
        <w:rPr>
          <w:rFonts w:eastAsia="Times New Roman" w:cs="Times New Roman"/>
          <w:color w:val="000000" w:themeColor="text1"/>
        </w:rPr>
        <w:t xml:space="preserve"> 2002, </w:t>
      </w:r>
      <w:r>
        <w:rPr>
          <w:rFonts w:eastAsia="Times New Roman" w:cs="Times New Roman"/>
          <w:color w:val="000000" w:themeColor="text1"/>
        </w:rPr>
        <w:t xml:space="preserve">pp. </w:t>
      </w:r>
      <w:r w:rsidRPr="00EF228F">
        <w:rPr>
          <w:rFonts w:eastAsia="Times New Roman" w:cs="Times New Roman"/>
          <w:color w:val="000000" w:themeColor="text1"/>
        </w:rPr>
        <w:t>269-272), to dichotomize the formal- informal (being work-crazy or leisure-</w:t>
      </w:r>
      <w:r>
        <w:rPr>
          <w:rFonts w:eastAsia="Times New Roman" w:cs="Times New Roman"/>
          <w:color w:val="000000" w:themeColor="text1"/>
        </w:rPr>
        <w:t xml:space="preserve">lazy, VP, 1995, pp. 89-96, p. 122), to </w:t>
      </w:r>
      <w:r w:rsidRPr="00EF228F">
        <w:rPr>
          <w:rFonts w:eastAsia="Times New Roman" w:cs="Times New Roman"/>
          <w:color w:val="000000" w:themeColor="text1"/>
        </w:rPr>
        <w:t xml:space="preserve">link control with unstructured time </w:t>
      </w:r>
      <w:r w:rsidRPr="00EF228F">
        <w:rPr>
          <w:rFonts w:eastAsia="Times New Roman" w:cs="Times New Roman"/>
          <w:color w:val="000000" w:themeColor="text1"/>
        </w:rPr>
        <w:lastRenderedPageBreak/>
        <w:t>(</w:t>
      </w:r>
      <w:proofErr w:type="spellStart"/>
      <w:r w:rsidRPr="00EF228F">
        <w:rPr>
          <w:rFonts w:eastAsia="Times New Roman" w:cs="Times New Roman"/>
          <w:color w:val="000000" w:themeColor="text1"/>
        </w:rPr>
        <w:t>Goodin</w:t>
      </w:r>
      <w:proofErr w:type="spellEnd"/>
      <w:r w:rsidRPr="00EF228F">
        <w:rPr>
          <w:rFonts w:eastAsia="Times New Roman" w:cs="Times New Roman"/>
          <w:color w:val="000000" w:themeColor="text1"/>
        </w:rPr>
        <w:t xml:space="preserve">, 2001; </w:t>
      </w:r>
      <w:proofErr w:type="spellStart"/>
      <w:r>
        <w:rPr>
          <w:rFonts w:eastAsia="Times New Roman" w:cs="Times New Roman"/>
          <w:color w:val="000000" w:themeColor="text1"/>
        </w:rPr>
        <w:t>Goodin</w:t>
      </w:r>
      <w:proofErr w:type="spellEnd"/>
      <w:r>
        <w:rPr>
          <w:rFonts w:eastAsia="Times New Roman" w:cs="Times New Roman"/>
          <w:color w:val="000000" w:themeColor="text1"/>
        </w:rPr>
        <w:t xml:space="preserve"> </w:t>
      </w:r>
      <w:r w:rsidRPr="00EF228F">
        <w:rPr>
          <w:rFonts w:eastAsia="Times New Roman" w:cs="Times New Roman"/>
          <w:color w:val="000000" w:themeColor="text1"/>
        </w:rPr>
        <w:t>et al</w:t>
      </w:r>
      <w:r>
        <w:rPr>
          <w:rFonts w:eastAsia="Times New Roman" w:cs="Times New Roman"/>
          <w:color w:val="000000" w:themeColor="text1"/>
        </w:rPr>
        <w:t xml:space="preserve">., </w:t>
      </w:r>
      <w:r w:rsidRPr="00EF228F">
        <w:rPr>
          <w:rFonts w:eastAsia="Times New Roman" w:cs="Times New Roman"/>
          <w:color w:val="000000" w:themeColor="text1"/>
        </w:rPr>
        <w:t>2008)</w:t>
      </w:r>
      <w:r w:rsidR="004F2835">
        <w:rPr>
          <w:rFonts w:eastAsia="Times New Roman" w:cs="Times New Roman"/>
          <w:color w:val="000000" w:themeColor="text1"/>
        </w:rPr>
        <w:t>. O</w:t>
      </w:r>
      <w:r>
        <w:rPr>
          <w:rFonts w:eastAsia="Times New Roman" w:cs="Times New Roman"/>
          <w:color w:val="000000" w:themeColor="text1"/>
        </w:rPr>
        <w:t xml:space="preserve">r viewing protection outside the mainframe of production as a source of protection for women (VP, 2001, pp. 19-20; </w:t>
      </w:r>
      <w:proofErr w:type="spellStart"/>
      <w:r>
        <w:rPr>
          <w:rFonts w:eastAsia="Times New Roman" w:cs="Times New Roman"/>
          <w:color w:val="000000" w:themeColor="text1"/>
        </w:rPr>
        <w:t>Alstott</w:t>
      </w:r>
      <w:proofErr w:type="spellEnd"/>
      <w:r>
        <w:rPr>
          <w:rFonts w:eastAsia="Times New Roman" w:cs="Times New Roman"/>
          <w:color w:val="000000" w:themeColor="text1"/>
        </w:rPr>
        <w:t>, 2001, p. 77</w:t>
      </w:r>
      <w:r w:rsidR="00694B15">
        <w:rPr>
          <w:rFonts w:eastAsia="Times New Roman" w:cs="Times New Roman"/>
          <w:color w:val="000000" w:themeColor="text1"/>
        </w:rPr>
        <w:t xml:space="preserve">) – as </w:t>
      </w:r>
      <w:r>
        <w:rPr>
          <w:rFonts w:eastAsia="Times New Roman" w:cs="Times New Roman"/>
          <w:color w:val="000000" w:themeColor="text1"/>
        </w:rPr>
        <w:t xml:space="preserve">distinct from </w:t>
      </w:r>
      <w:r w:rsidR="00694B15">
        <w:rPr>
          <w:rFonts w:eastAsia="Times New Roman" w:cs="Times New Roman"/>
          <w:color w:val="000000" w:themeColor="text1"/>
        </w:rPr>
        <w:t xml:space="preserve">emphasizing </w:t>
      </w:r>
      <w:r>
        <w:rPr>
          <w:rFonts w:eastAsia="Times New Roman" w:cs="Times New Roman"/>
          <w:color w:val="000000" w:themeColor="text1"/>
        </w:rPr>
        <w:t xml:space="preserve">institutional sources of equal standing </w:t>
      </w:r>
      <w:r w:rsidRPr="00E333DC">
        <w:rPr>
          <w:rFonts w:eastAsia="Times New Roman" w:cs="Times New Roman"/>
          <w:i/>
          <w:color w:val="000000" w:themeColor="text1"/>
        </w:rPr>
        <w:t>of</w:t>
      </w:r>
      <w:r>
        <w:rPr>
          <w:rFonts w:eastAsia="Times New Roman" w:cs="Times New Roman"/>
          <w:color w:val="000000" w:themeColor="text1"/>
        </w:rPr>
        <w:t xml:space="preserve"> </w:t>
      </w:r>
      <w:r w:rsidRPr="00E333DC">
        <w:rPr>
          <w:rFonts w:eastAsia="Times New Roman" w:cs="Times New Roman"/>
          <w:color w:val="000000" w:themeColor="text1"/>
        </w:rPr>
        <w:t>women</w:t>
      </w:r>
      <w:r w:rsidR="00570403">
        <w:rPr>
          <w:rFonts w:eastAsia="Times New Roman" w:cs="Times New Roman"/>
          <w:color w:val="000000" w:themeColor="text1"/>
        </w:rPr>
        <w:t xml:space="preserve"> - </w:t>
      </w:r>
      <w:r>
        <w:rPr>
          <w:rFonts w:eastAsia="Times New Roman" w:cs="Times New Roman"/>
          <w:color w:val="000000" w:themeColor="text1"/>
        </w:rPr>
        <w:t xml:space="preserve">all </w:t>
      </w:r>
      <w:r w:rsidRPr="00EF228F">
        <w:rPr>
          <w:rFonts w:eastAsia="Times New Roman" w:cs="Times New Roman"/>
          <w:color w:val="000000" w:themeColor="text1"/>
        </w:rPr>
        <w:t xml:space="preserve">risk recreating the explanatory problems of Dworkin’s </w:t>
      </w:r>
      <w:r>
        <w:rPr>
          <w:rFonts w:eastAsia="Times New Roman" w:cs="Times New Roman"/>
          <w:color w:val="000000" w:themeColor="text1"/>
        </w:rPr>
        <w:t xml:space="preserve">(1981) </w:t>
      </w:r>
      <w:r w:rsidRPr="00EF228F">
        <w:rPr>
          <w:rFonts w:eastAsia="Times New Roman" w:cs="Times New Roman"/>
          <w:color w:val="000000" w:themeColor="text1"/>
        </w:rPr>
        <w:t>account.</w:t>
      </w:r>
    </w:p>
    <w:p w14:paraId="7143EC71" w14:textId="77777777" w:rsidR="00BE3FE3" w:rsidRPr="00EF228F" w:rsidRDefault="00BE3FE3" w:rsidP="00B87760">
      <w:pPr>
        <w:spacing w:line="360" w:lineRule="auto"/>
        <w:ind w:left="-397" w:right="-397"/>
        <w:jc w:val="both"/>
        <w:rPr>
          <w:rFonts w:eastAsia="Times New Roman" w:cs="Times New Roman"/>
          <w:color w:val="000000" w:themeColor="text1"/>
        </w:rPr>
      </w:pPr>
    </w:p>
    <w:p w14:paraId="55D2A170" w14:textId="67D18B75" w:rsidR="00BE3FE3" w:rsidRPr="003E3224" w:rsidRDefault="00BE3FE3" w:rsidP="00B87760">
      <w:pPr>
        <w:pStyle w:val="BISReference"/>
        <w:spacing w:line="360" w:lineRule="auto"/>
        <w:ind w:left="-397" w:right="-397" w:firstLine="0"/>
        <w:rPr>
          <w:rFonts w:ascii="Times New Roman" w:hAnsi="Times New Roman"/>
          <w:color w:val="000000" w:themeColor="text1"/>
          <w:sz w:val="24"/>
          <w:szCs w:val="24"/>
        </w:rPr>
      </w:pPr>
      <w:r w:rsidRPr="00EF228F">
        <w:rPr>
          <w:rFonts w:ascii="Times New Roman" w:hAnsi="Times New Roman"/>
          <w:color w:val="000000" w:themeColor="text1"/>
          <w:sz w:val="24"/>
          <w:szCs w:val="24"/>
        </w:rPr>
        <w:t xml:space="preserve">Another way to proceed – and bring the </w:t>
      </w:r>
      <w:r>
        <w:rPr>
          <w:rFonts w:ascii="Times New Roman" w:hAnsi="Times New Roman"/>
          <w:color w:val="000000" w:themeColor="text1"/>
          <w:sz w:val="24"/>
          <w:szCs w:val="24"/>
        </w:rPr>
        <w:t>concern in WAF</w:t>
      </w:r>
      <w:r w:rsidRPr="009D2E99">
        <w:rPr>
          <w:rFonts w:ascii="Times New Roman" w:hAnsi="Times New Roman"/>
          <w:color w:val="000000" w:themeColor="text1"/>
          <w:sz w:val="24"/>
          <w:szCs w:val="24"/>
        </w:rPr>
        <w:t xml:space="preserve"> with control of human activities to bear </w:t>
      </w:r>
      <w:r>
        <w:rPr>
          <w:rFonts w:ascii="Times New Roman" w:hAnsi="Times New Roman"/>
          <w:color w:val="000000" w:themeColor="text1"/>
          <w:sz w:val="24"/>
          <w:szCs w:val="24"/>
        </w:rPr>
        <w:t xml:space="preserve">on welfare analysis </w:t>
      </w:r>
      <w:r w:rsidRPr="009D2E99">
        <w:rPr>
          <w:rFonts w:ascii="Times New Roman" w:hAnsi="Times New Roman"/>
          <w:color w:val="000000" w:themeColor="text1"/>
          <w:sz w:val="24"/>
          <w:szCs w:val="24"/>
        </w:rPr>
        <w:t xml:space="preserve">- is to think </w:t>
      </w:r>
      <w:r>
        <w:rPr>
          <w:rFonts w:ascii="Times New Roman" w:hAnsi="Times New Roman"/>
          <w:color w:val="000000" w:themeColor="text1"/>
          <w:sz w:val="24"/>
          <w:szCs w:val="24"/>
        </w:rPr>
        <w:t xml:space="preserve">that </w:t>
      </w:r>
      <w:r w:rsidRPr="009D2E99">
        <w:rPr>
          <w:rFonts w:ascii="Times New Roman" w:hAnsi="Times New Roman"/>
          <w:color w:val="000000" w:themeColor="text1"/>
          <w:sz w:val="24"/>
          <w:szCs w:val="24"/>
        </w:rPr>
        <w:t>control of time and activities matters not on grounds of being unaffected by institutions, but in reference to developmental</w:t>
      </w:r>
      <w:r w:rsidRPr="00EF228F">
        <w:rPr>
          <w:rFonts w:ascii="Times New Roman" w:hAnsi="Times New Roman"/>
          <w:color w:val="000000" w:themeColor="text1"/>
          <w:sz w:val="24"/>
          <w:szCs w:val="24"/>
        </w:rPr>
        <w:t xml:space="preserve"> features of being human. </w:t>
      </w:r>
      <w:r w:rsidR="00694B15">
        <w:rPr>
          <w:rFonts w:ascii="Times New Roman" w:hAnsi="Times New Roman"/>
          <w:color w:val="000000" w:themeColor="text1"/>
          <w:sz w:val="24"/>
          <w:szCs w:val="24"/>
        </w:rPr>
        <w:t>In this case</w:t>
      </w:r>
      <w:r w:rsidRPr="00EF228F">
        <w:rPr>
          <w:rFonts w:ascii="Times New Roman" w:hAnsi="Times New Roman"/>
          <w:color w:val="000000" w:themeColor="text1"/>
          <w:sz w:val="24"/>
          <w:szCs w:val="24"/>
        </w:rPr>
        <w:t>, unstructured and structured time matter for reasons such as that (</w:t>
      </w:r>
      <w:r>
        <w:rPr>
          <w:rFonts w:ascii="Times New Roman" w:hAnsi="Times New Roman"/>
          <w:color w:val="000000" w:themeColor="text1"/>
          <w:sz w:val="24"/>
          <w:szCs w:val="24"/>
        </w:rPr>
        <w:t>sub-section 2.2</w:t>
      </w:r>
      <w:r w:rsidRPr="00EF228F">
        <w:rPr>
          <w:rFonts w:ascii="Times New Roman" w:hAnsi="Times New Roman"/>
          <w:color w:val="000000" w:themeColor="text1"/>
          <w:sz w:val="24"/>
          <w:szCs w:val="24"/>
        </w:rPr>
        <w:t>)</w:t>
      </w:r>
      <w:r w:rsidR="004C7863">
        <w:rPr>
          <w:rFonts w:ascii="Times New Roman" w:hAnsi="Times New Roman"/>
          <w:color w:val="000000" w:themeColor="text1"/>
          <w:sz w:val="24"/>
          <w:szCs w:val="24"/>
        </w:rPr>
        <w:t>,</w:t>
      </w:r>
      <w:r w:rsidRPr="00EF228F">
        <w:rPr>
          <w:rFonts w:ascii="Times New Roman" w:hAnsi="Times New Roman"/>
          <w:color w:val="000000" w:themeColor="text1"/>
          <w:sz w:val="24"/>
          <w:szCs w:val="24"/>
        </w:rPr>
        <w:t xml:space="preserve"> they enable h</w:t>
      </w:r>
      <w:r>
        <w:rPr>
          <w:rFonts w:ascii="Times New Roman" w:hAnsi="Times New Roman"/>
          <w:color w:val="000000" w:themeColor="text1"/>
          <w:sz w:val="24"/>
          <w:szCs w:val="24"/>
        </w:rPr>
        <w:t xml:space="preserve">uman well-being and operating. For example, at stake is </w:t>
      </w:r>
      <w:r w:rsidRPr="00EF228F">
        <w:rPr>
          <w:rFonts w:ascii="Times New Roman" w:hAnsi="Times New Roman"/>
          <w:color w:val="000000" w:themeColor="text1"/>
          <w:sz w:val="24"/>
          <w:szCs w:val="24"/>
        </w:rPr>
        <w:t>the more creative thinking arising from knowledge of (secure, regular) access to contemplative thought (slow thinking, Kahneman</w:t>
      </w:r>
      <w:r>
        <w:rPr>
          <w:rFonts w:ascii="Times New Roman" w:hAnsi="Times New Roman"/>
          <w:color w:val="000000" w:themeColor="text1"/>
          <w:sz w:val="24"/>
          <w:szCs w:val="24"/>
        </w:rPr>
        <w:t>,</w:t>
      </w:r>
      <w:r w:rsidRPr="00EF228F">
        <w:rPr>
          <w:rFonts w:ascii="Times New Roman" w:hAnsi="Times New Roman"/>
          <w:color w:val="000000" w:themeColor="text1"/>
          <w:sz w:val="24"/>
          <w:szCs w:val="24"/>
        </w:rPr>
        <w:t xml:space="preserve"> 2011, </w:t>
      </w:r>
      <w:r>
        <w:rPr>
          <w:rFonts w:ascii="Times New Roman" w:hAnsi="Times New Roman"/>
          <w:color w:val="000000" w:themeColor="text1"/>
          <w:sz w:val="24"/>
          <w:szCs w:val="24"/>
        </w:rPr>
        <w:t xml:space="preserve">p. </w:t>
      </w:r>
      <w:r w:rsidRPr="00EF228F">
        <w:rPr>
          <w:rFonts w:ascii="Times New Roman" w:hAnsi="Times New Roman"/>
          <w:color w:val="000000" w:themeColor="text1"/>
          <w:sz w:val="24"/>
          <w:szCs w:val="24"/>
        </w:rPr>
        <w:t>36), patterned learning arising from repetition and structure (Sennett</w:t>
      </w:r>
      <w:r w:rsidR="004C7863">
        <w:rPr>
          <w:rFonts w:ascii="Times New Roman" w:hAnsi="Times New Roman"/>
          <w:color w:val="000000" w:themeColor="text1"/>
          <w:sz w:val="24"/>
          <w:szCs w:val="24"/>
        </w:rPr>
        <w:t>,</w:t>
      </w:r>
      <w:r w:rsidRPr="00EF228F">
        <w:rPr>
          <w:rFonts w:ascii="Times New Roman" w:hAnsi="Times New Roman"/>
          <w:color w:val="000000" w:themeColor="text1"/>
          <w:sz w:val="24"/>
          <w:szCs w:val="24"/>
        </w:rPr>
        <w:t xml:space="preserve"> 2008</w:t>
      </w:r>
      <w:r>
        <w:rPr>
          <w:rFonts w:ascii="Times New Roman" w:hAnsi="Times New Roman"/>
          <w:color w:val="000000" w:themeColor="text1"/>
          <w:sz w:val="24"/>
          <w:szCs w:val="24"/>
        </w:rPr>
        <w:t>, pp. 19-39</w:t>
      </w:r>
      <w:r w:rsidRPr="00EF228F">
        <w:rPr>
          <w:rFonts w:ascii="Times New Roman" w:hAnsi="Times New Roman"/>
          <w:color w:val="000000" w:themeColor="text1"/>
          <w:sz w:val="24"/>
          <w:szCs w:val="24"/>
        </w:rPr>
        <w:t xml:space="preserve">), and (developmental) autonomy that stability </w:t>
      </w:r>
      <w:r>
        <w:rPr>
          <w:rFonts w:ascii="Times New Roman" w:hAnsi="Times New Roman"/>
          <w:color w:val="000000" w:themeColor="text1"/>
          <w:sz w:val="24"/>
          <w:szCs w:val="24"/>
        </w:rPr>
        <w:t xml:space="preserve">of resources </w:t>
      </w:r>
      <w:r w:rsidRPr="003E3224">
        <w:rPr>
          <w:rFonts w:ascii="Times New Roman" w:hAnsi="Times New Roman"/>
          <w:color w:val="000000" w:themeColor="text1"/>
          <w:sz w:val="24"/>
          <w:szCs w:val="24"/>
        </w:rPr>
        <w:t>and time support</w:t>
      </w:r>
      <w:r w:rsidR="00694B15">
        <w:rPr>
          <w:rFonts w:ascii="Times New Roman" w:hAnsi="Times New Roman"/>
          <w:color w:val="000000" w:themeColor="text1"/>
          <w:sz w:val="24"/>
          <w:szCs w:val="24"/>
        </w:rPr>
        <w:t xml:space="preserve"> (Haagh</w:t>
      </w:r>
      <w:r w:rsidR="004C7863">
        <w:rPr>
          <w:rFonts w:ascii="Times New Roman" w:hAnsi="Times New Roman"/>
          <w:color w:val="000000" w:themeColor="text1"/>
          <w:sz w:val="24"/>
          <w:szCs w:val="24"/>
        </w:rPr>
        <w:t>,</w:t>
      </w:r>
      <w:r w:rsidR="00694B15">
        <w:rPr>
          <w:rFonts w:ascii="Times New Roman" w:hAnsi="Times New Roman"/>
          <w:color w:val="000000" w:themeColor="text1"/>
          <w:sz w:val="24"/>
          <w:szCs w:val="24"/>
        </w:rPr>
        <w:t xml:space="preserve"> 2011b)</w:t>
      </w:r>
      <w:r w:rsidRPr="003E3224">
        <w:rPr>
          <w:rFonts w:ascii="Times New Roman" w:hAnsi="Times New Roman"/>
          <w:color w:val="000000" w:themeColor="text1"/>
          <w:sz w:val="24"/>
          <w:szCs w:val="24"/>
        </w:rPr>
        <w:t>. Regularity of both structured and unstructured time enables conciliation of control of everyday and long-term activities and relations</w:t>
      </w:r>
      <w:r>
        <w:rPr>
          <w:rFonts w:ascii="Times New Roman" w:hAnsi="Times New Roman"/>
          <w:color w:val="000000" w:themeColor="text1"/>
          <w:sz w:val="24"/>
          <w:szCs w:val="24"/>
        </w:rPr>
        <w:t xml:space="preserve"> (Haagh, 2007)</w:t>
      </w:r>
      <w:r w:rsidRPr="003E3224">
        <w:rPr>
          <w:rFonts w:ascii="Times New Roman" w:hAnsi="Times New Roman"/>
          <w:color w:val="000000" w:themeColor="text1"/>
          <w:sz w:val="24"/>
          <w:szCs w:val="24"/>
        </w:rPr>
        <w:t>, aiding self-development (intrinsic motivation) and mutual regard (Sennett</w:t>
      </w:r>
      <w:r>
        <w:rPr>
          <w:rFonts w:ascii="Times New Roman" w:hAnsi="Times New Roman"/>
          <w:color w:val="000000" w:themeColor="text1"/>
          <w:sz w:val="24"/>
          <w:szCs w:val="24"/>
        </w:rPr>
        <w:t>,</w:t>
      </w:r>
      <w:r w:rsidRPr="003E3224">
        <w:rPr>
          <w:rFonts w:ascii="Times New Roman" w:hAnsi="Times New Roman"/>
          <w:color w:val="000000" w:themeColor="text1"/>
          <w:sz w:val="24"/>
          <w:szCs w:val="24"/>
        </w:rPr>
        <w:t xml:space="preserve"> 2003, pp. 54-56, p. 63) and cooperation (Hood</w:t>
      </w:r>
      <w:r>
        <w:rPr>
          <w:rFonts w:ascii="Times New Roman" w:hAnsi="Times New Roman"/>
          <w:color w:val="000000" w:themeColor="text1"/>
          <w:sz w:val="24"/>
          <w:szCs w:val="24"/>
        </w:rPr>
        <w:t>,</w:t>
      </w:r>
      <w:r w:rsidRPr="003E3224">
        <w:rPr>
          <w:rFonts w:ascii="Times New Roman" w:hAnsi="Times New Roman"/>
          <w:color w:val="000000" w:themeColor="text1"/>
          <w:sz w:val="24"/>
          <w:szCs w:val="24"/>
        </w:rPr>
        <w:t xml:space="preserve"> 2014, pp. 203-4, pp. 267-8) in social relations. Micro-studies have found intrinsic forms of motivation linked with well-being arise in conditions in which individuals enjoy combined security (in external income security, more stable employment, shorter unemployment), with these effects being stronger for women and reinforced by but not dependent on higher </w:t>
      </w:r>
      <w:r>
        <w:rPr>
          <w:rFonts w:ascii="Times New Roman" w:hAnsi="Times New Roman"/>
          <w:color w:val="000000" w:themeColor="text1"/>
          <w:sz w:val="24"/>
          <w:szCs w:val="24"/>
        </w:rPr>
        <w:t>levels of schooling (Haagh, 2011b).</w:t>
      </w:r>
    </w:p>
    <w:p w14:paraId="0C881F3B" w14:textId="77777777" w:rsidR="00BE3FE3" w:rsidRPr="00EF228F" w:rsidRDefault="00BE3FE3" w:rsidP="00B87760">
      <w:pPr>
        <w:pStyle w:val="BISReference"/>
        <w:spacing w:line="360" w:lineRule="auto"/>
        <w:ind w:left="-397" w:right="-397" w:firstLine="0"/>
        <w:rPr>
          <w:rFonts w:ascii="Times New Roman" w:hAnsi="Times New Roman"/>
          <w:color w:val="000000" w:themeColor="text1"/>
          <w:sz w:val="24"/>
          <w:szCs w:val="24"/>
        </w:rPr>
      </w:pPr>
    </w:p>
    <w:p w14:paraId="1B9B514F" w14:textId="4589BCB5" w:rsidR="00BE3FE3" w:rsidRDefault="00BE3FE3" w:rsidP="00327C34">
      <w:pPr>
        <w:pStyle w:val="BISReference"/>
        <w:spacing w:line="360" w:lineRule="auto"/>
        <w:ind w:left="-397" w:right="-397" w:firstLine="0"/>
        <w:rPr>
          <w:color w:val="000000" w:themeColor="text1"/>
        </w:rPr>
      </w:pPr>
      <w:r>
        <w:rPr>
          <w:rFonts w:ascii="Times New Roman" w:hAnsi="Times New Roman"/>
          <w:color w:val="000000" w:themeColor="text1"/>
          <w:sz w:val="24"/>
          <w:szCs w:val="24"/>
        </w:rPr>
        <w:t>Further, in light of this</w:t>
      </w:r>
      <w:r w:rsidRPr="00EF228F">
        <w:rPr>
          <w:rFonts w:ascii="Times New Roman" w:hAnsi="Times New Roman"/>
          <w:color w:val="000000" w:themeColor="text1"/>
          <w:sz w:val="24"/>
          <w:szCs w:val="24"/>
        </w:rPr>
        <w:t>, conceiving life-style choice in terms of leisure is not flawed mainly as this promotes selfishness (Anderson</w:t>
      </w:r>
      <w:r>
        <w:rPr>
          <w:rFonts w:ascii="Times New Roman" w:hAnsi="Times New Roman"/>
          <w:color w:val="000000" w:themeColor="text1"/>
          <w:sz w:val="24"/>
          <w:szCs w:val="24"/>
        </w:rPr>
        <w:t>,</w:t>
      </w:r>
      <w:r w:rsidRPr="00EF228F">
        <w:rPr>
          <w:rFonts w:ascii="Times New Roman" w:hAnsi="Times New Roman"/>
          <w:color w:val="000000" w:themeColor="text1"/>
          <w:sz w:val="24"/>
          <w:szCs w:val="24"/>
        </w:rPr>
        <w:t xml:space="preserve"> 1999, </w:t>
      </w:r>
      <w:r>
        <w:rPr>
          <w:rFonts w:ascii="Times New Roman" w:hAnsi="Times New Roman"/>
          <w:color w:val="000000" w:themeColor="text1"/>
          <w:sz w:val="24"/>
          <w:szCs w:val="24"/>
        </w:rPr>
        <w:t xml:space="preserve">p. </w:t>
      </w:r>
      <w:r w:rsidRPr="00EF228F">
        <w:rPr>
          <w:rFonts w:ascii="Times New Roman" w:hAnsi="Times New Roman"/>
          <w:color w:val="000000" w:themeColor="text1"/>
          <w:sz w:val="24"/>
          <w:szCs w:val="24"/>
        </w:rPr>
        <w:t xml:space="preserve">299), but because of how it entails an overly simple conception of institutions, e.g. that ignores key features and linked problems of human functioning. </w:t>
      </w:r>
      <w:r>
        <w:rPr>
          <w:rFonts w:ascii="Times New Roman" w:hAnsi="Times New Roman"/>
          <w:color w:val="000000" w:themeColor="text1"/>
          <w:sz w:val="24"/>
          <w:szCs w:val="24"/>
        </w:rPr>
        <w:t>T</w:t>
      </w:r>
      <w:r w:rsidRPr="00F312A7">
        <w:rPr>
          <w:rFonts w:ascii="Times New Roman" w:hAnsi="Times New Roman"/>
          <w:color w:val="000000" w:themeColor="text1"/>
          <w:sz w:val="24"/>
          <w:szCs w:val="24"/>
        </w:rPr>
        <w:t>he nature of the mutual effect between institutions that support forms of autonomy and fo</w:t>
      </w:r>
      <w:r>
        <w:rPr>
          <w:rFonts w:ascii="Times New Roman" w:hAnsi="Times New Roman"/>
          <w:color w:val="000000" w:themeColor="text1"/>
          <w:sz w:val="24"/>
          <w:szCs w:val="24"/>
        </w:rPr>
        <w:t xml:space="preserve">rms of cooperation is </w:t>
      </w:r>
      <w:r w:rsidRPr="00F312A7">
        <w:rPr>
          <w:rFonts w:ascii="Times New Roman" w:hAnsi="Times New Roman"/>
          <w:color w:val="000000" w:themeColor="text1"/>
          <w:sz w:val="24"/>
          <w:szCs w:val="24"/>
        </w:rPr>
        <w:t xml:space="preserve">why the </w:t>
      </w:r>
      <w:r>
        <w:rPr>
          <w:rFonts w:ascii="Times New Roman" w:hAnsi="Times New Roman"/>
          <w:color w:val="000000" w:themeColor="text1"/>
          <w:sz w:val="24"/>
          <w:szCs w:val="24"/>
        </w:rPr>
        <w:t>P</w:t>
      </w:r>
      <w:r w:rsidRPr="00F312A7">
        <w:rPr>
          <w:rFonts w:ascii="Times New Roman" w:hAnsi="Times New Roman"/>
          <w:color w:val="000000" w:themeColor="text1"/>
          <w:sz w:val="24"/>
          <w:szCs w:val="24"/>
        </w:rPr>
        <w:t xml:space="preserve">D </w:t>
      </w:r>
      <w:r w:rsidRPr="00F312A7">
        <w:rPr>
          <w:rFonts w:ascii="Times New Roman" w:hAnsi="Times New Roman"/>
          <w:i/>
          <w:color w:val="000000" w:themeColor="text1"/>
          <w:sz w:val="24"/>
          <w:szCs w:val="24"/>
        </w:rPr>
        <w:t>approach</w:t>
      </w:r>
      <w:r>
        <w:rPr>
          <w:rFonts w:ascii="Times New Roman" w:hAnsi="Times New Roman"/>
          <w:color w:val="000000" w:themeColor="text1"/>
          <w:sz w:val="24"/>
          <w:szCs w:val="24"/>
        </w:rPr>
        <w:t xml:space="preserve"> as set up in LET</w:t>
      </w:r>
      <w:r w:rsidRPr="009D2E99">
        <w:rPr>
          <w:rFonts w:ascii="Times New Roman" w:hAnsi="Times New Roman"/>
          <w:color w:val="000000" w:themeColor="text1"/>
          <w:sz w:val="24"/>
          <w:szCs w:val="24"/>
        </w:rPr>
        <w:t xml:space="preserve"> creates explanatory problems.</w:t>
      </w:r>
      <w:r w:rsidRPr="009D2E99">
        <w:rPr>
          <w:rStyle w:val="FootnoteReference"/>
          <w:rFonts w:ascii="Times New Roman" w:hAnsi="Times New Roman"/>
          <w:color w:val="000000" w:themeColor="text1"/>
          <w:sz w:val="24"/>
          <w:szCs w:val="24"/>
        </w:rPr>
        <w:footnoteReference w:id="2"/>
      </w:r>
      <w:r>
        <w:rPr>
          <w:rFonts w:ascii="Times New Roman" w:hAnsi="Times New Roman"/>
          <w:color w:val="000000" w:themeColor="text1"/>
          <w:sz w:val="24"/>
          <w:szCs w:val="24"/>
        </w:rPr>
        <w:t xml:space="preserve">  A</w:t>
      </w:r>
      <w:r w:rsidRPr="00F312A7">
        <w:rPr>
          <w:rFonts w:ascii="Times New Roman" w:hAnsi="Times New Roman"/>
          <w:color w:val="000000" w:themeColor="text1"/>
          <w:sz w:val="24"/>
          <w:szCs w:val="24"/>
        </w:rPr>
        <w:t xml:space="preserve">dopting instead a broader systemic focus on control of time and activities makes it possible to construct </w:t>
      </w:r>
      <w:r>
        <w:rPr>
          <w:rFonts w:ascii="Times New Roman" w:hAnsi="Times New Roman"/>
          <w:color w:val="000000" w:themeColor="text1"/>
          <w:sz w:val="24"/>
          <w:szCs w:val="24"/>
        </w:rPr>
        <w:t>answers to the sort of</w:t>
      </w:r>
      <w:r w:rsidRPr="00F312A7">
        <w:rPr>
          <w:rFonts w:ascii="Times New Roman" w:hAnsi="Times New Roman"/>
          <w:color w:val="000000" w:themeColor="text1"/>
          <w:sz w:val="24"/>
          <w:szCs w:val="24"/>
        </w:rPr>
        <w:t xml:space="preserve"> question</w:t>
      </w:r>
      <w:r w:rsidR="00694B15">
        <w:rPr>
          <w:rFonts w:ascii="Times New Roman" w:hAnsi="Times New Roman"/>
          <w:color w:val="000000" w:themeColor="text1"/>
          <w:sz w:val="24"/>
          <w:szCs w:val="24"/>
        </w:rPr>
        <w:t xml:space="preserve"> that</w:t>
      </w:r>
      <w:r w:rsidRPr="00F312A7">
        <w:rPr>
          <w:rFonts w:ascii="Times New Roman" w:hAnsi="Times New Roman"/>
          <w:color w:val="000000" w:themeColor="text1"/>
          <w:sz w:val="24"/>
          <w:szCs w:val="24"/>
        </w:rPr>
        <w:t xml:space="preserve"> </w:t>
      </w:r>
      <w:proofErr w:type="spellStart"/>
      <w:r w:rsidRPr="00F312A7">
        <w:rPr>
          <w:rFonts w:ascii="Times New Roman" w:hAnsi="Times New Roman"/>
          <w:color w:val="000000" w:themeColor="text1"/>
          <w:sz w:val="24"/>
          <w:szCs w:val="24"/>
        </w:rPr>
        <w:t>Goodin</w:t>
      </w:r>
      <w:proofErr w:type="spellEnd"/>
      <w:r w:rsidRPr="00F312A7">
        <w:rPr>
          <w:rFonts w:ascii="Times New Roman" w:hAnsi="Times New Roman"/>
          <w:color w:val="000000" w:themeColor="text1"/>
          <w:sz w:val="24"/>
          <w:szCs w:val="24"/>
        </w:rPr>
        <w:t xml:space="preserve"> et</w:t>
      </w:r>
      <w:r w:rsidR="004C7863">
        <w:rPr>
          <w:rFonts w:ascii="Times New Roman" w:hAnsi="Times New Roman"/>
          <w:color w:val="000000" w:themeColor="text1"/>
          <w:sz w:val="24"/>
          <w:szCs w:val="24"/>
        </w:rPr>
        <w:t>.</w:t>
      </w:r>
      <w:r w:rsidRPr="00F312A7">
        <w:rPr>
          <w:rFonts w:ascii="Times New Roman" w:hAnsi="Times New Roman"/>
          <w:color w:val="000000" w:themeColor="text1"/>
          <w:sz w:val="24"/>
          <w:szCs w:val="24"/>
        </w:rPr>
        <w:t xml:space="preserve"> al</w:t>
      </w:r>
      <w:r w:rsidR="004C7863">
        <w:rPr>
          <w:rFonts w:ascii="Times New Roman" w:hAnsi="Times New Roman"/>
          <w:color w:val="000000" w:themeColor="text1"/>
          <w:sz w:val="24"/>
          <w:szCs w:val="24"/>
        </w:rPr>
        <w:t>.</w:t>
      </w:r>
      <w:r w:rsidRPr="00F312A7">
        <w:rPr>
          <w:rFonts w:ascii="Times New Roman" w:hAnsi="Times New Roman"/>
          <w:color w:val="000000" w:themeColor="text1"/>
          <w:sz w:val="24"/>
          <w:szCs w:val="24"/>
        </w:rPr>
        <w:t xml:space="preserve"> (2008,</w:t>
      </w:r>
      <w:r>
        <w:rPr>
          <w:rFonts w:ascii="Times New Roman" w:hAnsi="Times New Roman"/>
          <w:color w:val="000000" w:themeColor="text1"/>
          <w:sz w:val="24"/>
          <w:szCs w:val="24"/>
        </w:rPr>
        <w:t xml:space="preserve"> p. </w:t>
      </w:r>
      <w:r w:rsidRPr="00F312A7">
        <w:rPr>
          <w:rFonts w:ascii="Times New Roman" w:hAnsi="Times New Roman"/>
          <w:color w:val="000000" w:themeColor="text1"/>
          <w:sz w:val="24"/>
          <w:szCs w:val="24"/>
        </w:rPr>
        <w:t>14,</w:t>
      </w:r>
      <w:r>
        <w:rPr>
          <w:rFonts w:ascii="Times New Roman" w:hAnsi="Times New Roman"/>
          <w:color w:val="000000" w:themeColor="text1"/>
          <w:sz w:val="24"/>
          <w:szCs w:val="24"/>
        </w:rPr>
        <w:t xml:space="preserve"> p. </w:t>
      </w:r>
      <w:r w:rsidRPr="00F312A7">
        <w:rPr>
          <w:rFonts w:ascii="Times New Roman" w:hAnsi="Times New Roman"/>
          <w:color w:val="000000" w:themeColor="text1"/>
          <w:sz w:val="24"/>
          <w:szCs w:val="24"/>
        </w:rPr>
        <w:t xml:space="preserve">54) left open in their examination of unstructured time as to why its </w:t>
      </w:r>
      <w:r w:rsidRPr="00F312A7">
        <w:rPr>
          <w:rFonts w:ascii="Times New Roman" w:hAnsi="Times New Roman"/>
          <w:i/>
          <w:color w:val="000000" w:themeColor="text1"/>
          <w:sz w:val="24"/>
          <w:szCs w:val="24"/>
        </w:rPr>
        <w:t xml:space="preserve">extent </w:t>
      </w:r>
      <w:r w:rsidRPr="00F312A7">
        <w:rPr>
          <w:rFonts w:ascii="Times New Roman" w:hAnsi="Times New Roman"/>
          <w:color w:val="000000" w:themeColor="text1"/>
          <w:sz w:val="24"/>
          <w:szCs w:val="24"/>
        </w:rPr>
        <w:t>is higher in</w:t>
      </w:r>
      <w:r>
        <w:rPr>
          <w:rFonts w:ascii="Times New Roman" w:hAnsi="Times New Roman"/>
          <w:color w:val="000000" w:themeColor="text1"/>
          <w:sz w:val="24"/>
          <w:szCs w:val="24"/>
        </w:rPr>
        <w:t xml:space="preserve"> high-tax democracies. I argue it is not </w:t>
      </w:r>
      <w:r w:rsidRPr="00F312A7">
        <w:rPr>
          <w:rFonts w:ascii="Times New Roman" w:hAnsi="Times New Roman"/>
          <w:color w:val="000000" w:themeColor="text1"/>
          <w:sz w:val="24"/>
          <w:szCs w:val="24"/>
        </w:rPr>
        <w:t xml:space="preserve">because of tax as such but the developed formal features of cooperation </w:t>
      </w:r>
      <w:r>
        <w:rPr>
          <w:rFonts w:ascii="Times New Roman" w:hAnsi="Times New Roman"/>
          <w:color w:val="000000" w:themeColor="text1"/>
          <w:sz w:val="24"/>
          <w:szCs w:val="24"/>
        </w:rPr>
        <w:t xml:space="preserve">- including gender equality - </w:t>
      </w:r>
      <w:r w:rsidRPr="00F312A7">
        <w:rPr>
          <w:rFonts w:ascii="Times New Roman" w:hAnsi="Times New Roman"/>
          <w:color w:val="000000" w:themeColor="text1"/>
          <w:sz w:val="24"/>
          <w:szCs w:val="24"/>
        </w:rPr>
        <w:t>it</w:t>
      </w:r>
      <w:r>
        <w:rPr>
          <w:rFonts w:ascii="Times New Roman" w:hAnsi="Times New Roman"/>
          <w:color w:val="000000" w:themeColor="text1"/>
          <w:sz w:val="24"/>
          <w:szCs w:val="24"/>
        </w:rPr>
        <w:t xml:space="preserve"> indicates and supports, that a high level of tax in GDP</w:t>
      </w:r>
      <w:r w:rsidRPr="00F312A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is </w:t>
      </w:r>
      <w:r w:rsidRPr="00F312A7">
        <w:rPr>
          <w:rFonts w:ascii="Times New Roman" w:hAnsi="Times New Roman"/>
          <w:color w:val="000000" w:themeColor="text1"/>
          <w:sz w:val="24"/>
          <w:szCs w:val="24"/>
        </w:rPr>
        <w:t>a conduit for promoting developmental po</w:t>
      </w:r>
      <w:r>
        <w:rPr>
          <w:rFonts w:ascii="Times New Roman" w:hAnsi="Times New Roman"/>
          <w:color w:val="000000" w:themeColor="text1"/>
          <w:sz w:val="24"/>
          <w:szCs w:val="24"/>
        </w:rPr>
        <w:t>licies at the level of systems</w:t>
      </w:r>
      <w:r w:rsidRPr="00EF228F">
        <w:rPr>
          <w:rFonts w:ascii="Times New Roman" w:hAnsi="Times New Roman"/>
          <w:color w:val="000000" w:themeColor="text1"/>
          <w:sz w:val="24"/>
          <w:szCs w:val="24"/>
        </w:rPr>
        <w:t>.</w:t>
      </w:r>
      <w:r w:rsidRPr="006707EA">
        <w:rPr>
          <w:color w:val="000000" w:themeColor="text1"/>
        </w:rPr>
        <w:t xml:space="preserve"> </w:t>
      </w:r>
    </w:p>
    <w:p w14:paraId="308B106D" w14:textId="77777777" w:rsidR="00BE3FE3" w:rsidRPr="006707EA" w:rsidRDefault="00BE3FE3" w:rsidP="00B87760">
      <w:pPr>
        <w:spacing w:line="360" w:lineRule="auto"/>
        <w:ind w:right="-397"/>
        <w:jc w:val="both"/>
        <w:rPr>
          <w:rFonts w:eastAsia="Times New Roman" w:cs="Times New Roman"/>
          <w:color w:val="000000" w:themeColor="text1"/>
        </w:rPr>
      </w:pPr>
    </w:p>
    <w:p w14:paraId="6201FF6F" w14:textId="77777777" w:rsidR="00BE3FE3" w:rsidRPr="0086583E" w:rsidRDefault="00BE3FE3" w:rsidP="00B87760">
      <w:pPr>
        <w:spacing w:line="360" w:lineRule="auto"/>
        <w:ind w:left="-397" w:right="-397"/>
        <w:jc w:val="both"/>
        <w:rPr>
          <w:b/>
          <w:color w:val="000000" w:themeColor="text1"/>
        </w:rPr>
      </w:pPr>
      <w:r w:rsidRPr="0086583E">
        <w:rPr>
          <w:b/>
          <w:color w:val="000000" w:themeColor="text1"/>
        </w:rPr>
        <w:t>2.2 The Human Economy, Institutions and Freedom</w:t>
      </w:r>
    </w:p>
    <w:p w14:paraId="01B13D5D" w14:textId="77777777" w:rsidR="00BE3FE3" w:rsidRPr="006707EA" w:rsidRDefault="00BE3FE3" w:rsidP="00B87760">
      <w:pPr>
        <w:spacing w:line="360" w:lineRule="auto"/>
        <w:ind w:right="-397"/>
        <w:jc w:val="both"/>
        <w:rPr>
          <w:color w:val="000000" w:themeColor="text1"/>
        </w:rPr>
      </w:pPr>
    </w:p>
    <w:p w14:paraId="078BCBD1" w14:textId="3FAF11A7" w:rsidR="00BE3FE3" w:rsidRPr="006707EA" w:rsidRDefault="00BE3FE3" w:rsidP="003E3224">
      <w:pPr>
        <w:spacing w:line="360" w:lineRule="auto"/>
        <w:ind w:left="-397" w:right="-397"/>
        <w:jc w:val="both"/>
        <w:rPr>
          <w:color w:val="000000" w:themeColor="text1"/>
        </w:rPr>
      </w:pPr>
      <w:r>
        <w:rPr>
          <w:color w:val="000000" w:themeColor="text1"/>
        </w:rPr>
        <w:t>T</w:t>
      </w:r>
      <w:r w:rsidRPr="006707EA">
        <w:rPr>
          <w:color w:val="000000" w:themeColor="text1"/>
        </w:rPr>
        <w:t>he HDL provides forms of the kind of independent elaboration of human freedoms (Nussbaum</w:t>
      </w:r>
      <w:r>
        <w:rPr>
          <w:color w:val="000000" w:themeColor="text1"/>
        </w:rPr>
        <w:t>,</w:t>
      </w:r>
      <w:r w:rsidRPr="006707EA">
        <w:rPr>
          <w:color w:val="000000" w:themeColor="text1"/>
        </w:rPr>
        <w:t xml:space="preserve"> 2006</w:t>
      </w:r>
      <w:r>
        <w:rPr>
          <w:color w:val="000000" w:themeColor="text1"/>
        </w:rPr>
        <w:t xml:space="preserve">), </w:t>
      </w:r>
      <w:r w:rsidRPr="006707EA">
        <w:rPr>
          <w:color w:val="000000" w:themeColor="text1"/>
        </w:rPr>
        <w:t>reasons-for-acting</w:t>
      </w:r>
      <w:r>
        <w:rPr>
          <w:color w:val="000000" w:themeColor="text1"/>
        </w:rPr>
        <w:t xml:space="preserve"> (</w:t>
      </w:r>
      <w:proofErr w:type="spellStart"/>
      <w:r>
        <w:rPr>
          <w:color w:val="000000" w:themeColor="text1"/>
        </w:rPr>
        <w:t>A</w:t>
      </w:r>
      <w:r w:rsidRPr="006707EA">
        <w:rPr>
          <w:color w:val="000000" w:themeColor="text1"/>
        </w:rPr>
        <w:t>lkire</w:t>
      </w:r>
      <w:proofErr w:type="spellEnd"/>
      <w:r>
        <w:rPr>
          <w:color w:val="000000" w:themeColor="text1"/>
        </w:rPr>
        <w:t>,</w:t>
      </w:r>
      <w:r w:rsidRPr="006707EA">
        <w:rPr>
          <w:color w:val="000000" w:themeColor="text1"/>
        </w:rPr>
        <w:t xml:space="preserve"> 2002), and </w:t>
      </w:r>
      <w:r>
        <w:rPr>
          <w:color w:val="000000" w:themeColor="text1"/>
        </w:rPr>
        <w:t>social opportunity (Sen, 1998), that</w:t>
      </w:r>
      <w:r w:rsidRPr="006707EA">
        <w:rPr>
          <w:color w:val="000000" w:themeColor="text1"/>
        </w:rPr>
        <w:t xml:space="preserve"> I argue is called for.</w:t>
      </w:r>
      <w:r>
        <w:rPr>
          <w:color w:val="000000" w:themeColor="text1"/>
        </w:rPr>
        <w:t xml:space="preserve"> At the same time, the HDL has been characterised by an i</w:t>
      </w:r>
      <w:r w:rsidRPr="006707EA">
        <w:rPr>
          <w:color w:val="000000" w:themeColor="text1"/>
        </w:rPr>
        <w:t>ntention</w:t>
      </w:r>
      <w:r>
        <w:rPr>
          <w:color w:val="000000" w:themeColor="text1"/>
        </w:rPr>
        <w:t xml:space="preserve"> </w:t>
      </w:r>
      <w:r w:rsidRPr="006707EA">
        <w:rPr>
          <w:color w:val="000000" w:themeColor="text1"/>
        </w:rPr>
        <w:t>to leave open the field of individual and social choice (Sen</w:t>
      </w:r>
      <w:r>
        <w:rPr>
          <w:color w:val="000000" w:themeColor="text1"/>
        </w:rPr>
        <w:t>,</w:t>
      </w:r>
      <w:r w:rsidRPr="006707EA">
        <w:rPr>
          <w:color w:val="000000" w:themeColor="text1"/>
        </w:rPr>
        <w:t xml:space="preserve"> 1992, </w:t>
      </w:r>
      <w:r>
        <w:rPr>
          <w:color w:val="000000" w:themeColor="text1"/>
        </w:rPr>
        <w:t xml:space="preserve">pp. </w:t>
      </w:r>
      <w:r w:rsidRPr="006707EA">
        <w:rPr>
          <w:color w:val="000000" w:themeColor="text1"/>
        </w:rPr>
        <w:t xml:space="preserve">46-48, </w:t>
      </w:r>
      <w:r>
        <w:rPr>
          <w:color w:val="000000" w:themeColor="text1"/>
        </w:rPr>
        <w:t xml:space="preserve">p. </w:t>
      </w:r>
      <w:r w:rsidRPr="006707EA">
        <w:rPr>
          <w:color w:val="000000" w:themeColor="text1"/>
        </w:rPr>
        <w:t xml:space="preserve">53, </w:t>
      </w:r>
      <w:r>
        <w:rPr>
          <w:color w:val="000000" w:themeColor="text1"/>
        </w:rPr>
        <w:t>p. 72</w:t>
      </w:r>
      <w:r w:rsidRPr="006707EA">
        <w:rPr>
          <w:color w:val="000000" w:themeColor="text1"/>
        </w:rPr>
        <w:t>; Arneson</w:t>
      </w:r>
      <w:r>
        <w:rPr>
          <w:color w:val="000000" w:themeColor="text1"/>
        </w:rPr>
        <w:t>,</w:t>
      </w:r>
      <w:r w:rsidRPr="006707EA">
        <w:rPr>
          <w:color w:val="000000" w:themeColor="text1"/>
        </w:rPr>
        <w:t xml:space="preserve"> </w:t>
      </w:r>
      <w:r>
        <w:rPr>
          <w:color w:val="000000" w:themeColor="text1"/>
        </w:rPr>
        <w:t xml:space="preserve">2013, pp. 11-12, Anderson, 1999, pp. 331-7). This has </w:t>
      </w:r>
      <w:r w:rsidRPr="006707EA">
        <w:rPr>
          <w:color w:val="000000" w:themeColor="text1"/>
        </w:rPr>
        <w:t>meant focus on agency aspects of democracy</w:t>
      </w:r>
      <w:r>
        <w:rPr>
          <w:color w:val="000000" w:themeColor="text1"/>
        </w:rPr>
        <w:t>, including women’s agency and organisations (Nussbaum, 2000, pp. 270-290, in discussion of the state)</w:t>
      </w:r>
      <w:r w:rsidR="001A50C4">
        <w:rPr>
          <w:color w:val="000000" w:themeColor="text1"/>
        </w:rPr>
        <w:t>,</w:t>
      </w:r>
      <w:r w:rsidRPr="006707EA">
        <w:rPr>
          <w:color w:val="000000" w:themeColor="text1"/>
        </w:rPr>
        <w:t xml:space="preserve"> and basic entitlements (public health, initial schooling</w:t>
      </w:r>
      <w:r w:rsidR="001A50C4">
        <w:rPr>
          <w:color w:val="000000" w:themeColor="text1"/>
        </w:rPr>
        <w:t xml:space="preserve"> (</w:t>
      </w:r>
      <w:r>
        <w:rPr>
          <w:color w:val="000000" w:themeColor="text1"/>
        </w:rPr>
        <w:t>Sen 1998, pp. 40-46</w:t>
      </w:r>
      <w:r w:rsidRPr="006707EA">
        <w:rPr>
          <w:color w:val="000000" w:themeColor="text1"/>
        </w:rPr>
        <w:t>)</w:t>
      </w:r>
      <w:r w:rsidR="001A50C4">
        <w:rPr>
          <w:color w:val="000000" w:themeColor="text1"/>
        </w:rPr>
        <w:t>,</w:t>
      </w:r>
      <w:r w:rsidRPr="006707EA">
        <w:rPr>
          <w:color w:val="000000" w:themeColor="text1"/>
        </w:rPr>
        <w:t xml:space="preserve"> has prevailed over concern with </w:t>
      </w:r>
      <w:r>
        <w:rPr>
          <w:color w:val="000000" w:themeColor="text1"/>
        </w:rPr>
        <w:t xml:space="preserve">social regulation. </w:t>
      </w:r>
      <w:r w:rsidR="001A50C4">
        <w:rPr>
          <w:color w:val="000000" w:themeColor="text1"/>
        </w:rPr>
        <w:t>T</w:t>
      </w:r>
      <w:r>
        <w:rPr>
          <w:color w:val="000000" w:themeColor="text1"/>
        </w:rPr>
        <w:t xml:space="preserve">o </w:t>
      </w:r>
      <w:r w:rsidR="001A50C4">
        <w:rPr>
          <w:color w:val="000000" w:themeColor="text1"/>
        </w:rPr>
        <w:t xml:space="preserve">also </w:t>
      </w:r>
      <w:r>
        <w:rPr>
          <w:color w:val="000000" w:themeColor="text1"/>
        </w:rPr>
        <w:t xml:space="preserve">support an institutional analysis of human development, </w:t>
      </w:r>
      <w:r w:rsidRPr="006707EA">
        <w:rPr>
          <w:color w:val="000000" w:themeColor="text1"/>
        </w:rPr>
        <w:t>reference to the broad idea of a human economy can be made against systematic evidence of human functioning in general</w:t>
      </w:r>
      <w:r>
        <w:rPr>
          <w:color w:val="000000" w:themeColor="text1"/>
        </w:rPr>
        <w:t xml:space="preserve">. For example, </w:t>
      </w:r>
      <w:r w:rsidRPr="006707EA">
        <w:rPr>
          <w:color w:val="000000" w:themeColor="text1"/>
        </w:rPr>
        <w:t>core human economy constraints can be identified as conditions relating to developmental cognitive patterns, the biological life cycle (daily, long-term</w:t>
      </w:r>
      <w:r w:rsidR="00F432F3">
        <w:rPr>
          <w:color w:val="000000" w:themeColor="text1"/>
        </w:rPr>
        <w:t xml:space="preserve">, </w:t>
      </w:r>
      <w:r w:rsidR="00E50638">
        <w:rPr>
          <w:color w:val="000000" w:themeColor="text1"/>
        </w:rPr>
        <w:t>and r</w:t>
      </w:r>
      <w:r w:rsidRPr="006707EA">
        <w:rPr>
          <w:color w:val="000000" w:themeColor="text1"/>
        </w:rPr>
        <w:t>eproductive conditions), and social dependence (the need of care, fellowship, learning</w:t>
      </w:r>
      <w:r>
        <w:rPr>
          <w:color w:val="000000" w:themeColor="text1"/>
        </w:rPr>
        <w:t>; Haagh, 2007, 2019e). W</w:t>
      </w:r>
      <w:r w:rsidRPr="006707EA">
        <w:rPr>
          <w:color w:val="000000" w:themeColor="text1"/>
        </w:rPr>
        <w:t>ithout aiming</w:t>
      </w:r>
      <w:r>
        <w:rPr>
          <w:color w:val="000000" w:themeColor="text1"/>
        </w:rPr>
        <w:t xml:space="preserve"> to give an exhaustive account, identification of </w:t>
      </w:r>
      <w:r w:rsidRPr="006707EA">
        <w:rPr>
          <w:color w:val="000000" w:themeColor="text1"/>
        </w:rPr>
        <w:t>core HE traits is useful</w:t>
      </w:r>
      <w:r>
        <w:rPr>
          <w:color w:val="000000" w:themeColor="text1"/>
        </w:rPr>
        <w:t xml:space="preserve"> for </w:t>
      </w:r>
      <w:r w:rsidRPr="006707EA">
        <w:rPr>
          <w:color w:val="000000" w:themeColor="text1"/>
        </w:rPr>
        <w:t xml:space="preserve">understanding cooperative dynamics and </w:t>
      </w:r>
      <w:r>
        <w:rPr>
          <w:color w:val="000000" w:themeColor="text1"/>
        </w:rPr>
        <w:t xml:space="preserve">governance </w:t>
      </w:r>
      <w:r w:rsidRPr="006707EA">
        <w:rPr>
          <w:color w:val="000000" w:themeColor="text1"/>
        </w:rPr>
        <w:t>effectiveness in systems; for instance</w:t>
      </w:r>
      <w:r w:rsidR="005E31D9">
        <w:rPr>
          <w:color w:val="000000" w:themeColor="text1"/>
        </w:rPr>
        <w:t>,</w:t>
      </w:r>
      <w:r w:rsidRPr="006707EA">
        <w:rPr>
          <w:color w:val="000000" w:themeColor="text1"/>
        </w:rPr>
        <w:t xml:space="preserve"> by clarifying how different inequalit</w:t>
      </w:r>
      <w:r>
        <w:rPr>
          <w:color w:val="000000" w:themeColor="text1"/>
        </w:rPr>
        <w:t>ies are created and matter. This includes how</w:t>
      </w:r>
      <w:r w:rsidRPr="006707EA">
        <w:rPr>
          <w:color w:val="000000" w:themeColor="text1"/>
        </w:rPr>
        <w:t xml:space="preserve"> relational and resourc</w:t>
      </w:r>
      <w:r>
        <w:rPr>
          <w:color w:val="000000" w:themeColor="text1"/>
        </w:rPr>
        <w:t xml:space="preserve">e inequalities within education, gender equality in care and occupations, </w:t>
      </w:r>
      <w:r w:rsidRPr="006707EA">
        <w:rPr>
          <w:color w:val="000000" w:themeColor="text1"/>
        </w:rPr>
        <w:t xml:space="preserve">or access to basic security are linked, </w:t>
      </w:r>
      <w:r>
        <w:rPr>
          <w:color w:val="000000" w:themeColor="text1"/>
        </w:rPr>
        <w:t>and underpin welfare legitimacy, as well as</w:t>
      </w:r>
      <w:r w:rsidRPr="006707EA">
        <w:rPr>
          <w:color w:val="000000" w:themeColor="text1"/>
        </w:rPr>
        <w:t xml:space="preserve"> affect policy effectiveness and wider inequalities of income and in social relations (</w:t>
      </w:r>
      <w:r>
        <w:rPr>
          <w:color w:val="000000" w:themeColor="text1"/>
        </w:rPr>
        <w:t>sections 4 and 5)</w:t>
      </w:r>
      <w:r w:rsidRPr="006707EA">
        <w:rPr>
          <w:color w:val="000000" w:themeColor="text1"/>
        </w:rPr>
        <w:t>.</w:t>
      </w:r>
      <w:r w:rsidRPr="006707EA">
        <w:rPr>
          <w:rStyle w:val="FootnoteReference"/>
          <w:color w:val="000000" w:themeColor="text1"/>
        </w:rPr>
        <w:footnoteReference w:id="3"/>
      </w:r>
      <w:r w:rsidRPr="006707EA">
        <w:rPr>
          <w:color w:val="000000" w:themeColor="text1"/>
        </w:rPr>
        <w:t xml:space="preserve">  </w:t>
      </w:r>
    </w:p>
    <w:p w14:paraId="1916B8CB" w14:textId="77777777" w:rsidR="00BE3FE3" w:rsidRPr="006707EA" w:rsidRDefault="00BE3FE3" w:rsidP="00B87760">
      <w:pPr>
        <w:spacing w:line="360" w:lineRule="auto"/>
        <w:ind w:left="-397" w:right="-397"/>
        <w:jc w:val="both"/>
        <w:rPr>
          <w:color w:val="000000" w:themeColor="text1"/>
        </w:rPr>
      </w:pPr>
    </w:p>
    <w:p w14:paraId="17BC0022" w14:textId="2DFC7A94" w:rsidR="00BE3FE3" w:rsidRDefault="00BE3FE3" w:rsidP="009A3FEE">
      <w:pPr>
        <w:spacing w:line="360" w:lineRule="auto"/>
        <w:ind w:left="-397" w:right="-397"/>
        <w:jc w:val="both"/>
        <w:rPr>
          <w:color w:val="000000" w:themeColor="text1"/>
        </w:rPr>
      </w:pPr>
      <w:r>
        <w:rPr>
          <w:color w:val="000000" w:themeColor="text1"/>
        </w:rPr>
        <w:t xml:space="preserve">Therefore, </w:t>
      </w:r>
      <w:r w:rsidRPr="006707EA">
        <w:rPr>
          <w:color w:val="000000" w:themeColor="text1"/>
        </w:rPr>
        <w:t xml:space="preserve">developmental features of human </w:t>
      </w:r>
      <w:r w:rsidRPr="006707EA">
        <w:rPr>
          <w:i/>
          <w:color w:val="000000" w:themeColor="text1"/>
        </w:rPr>
        <w:t xml:space="preserve">cognition </w:t>
      </w:r>
      <w:r w:rsidRPr="006707EA">
        <w:rPr>
          <w:color w:val="000000" w:themeColor="text1"/>
        </w:rPr>
        <w:t xml:space="preserve">explain how human rationality and behaviour are </w:t>
      </w:r>
      <w:r>
        <w:rPr>
          <w:color w:val="000000" w:themeColor="text1"/>
        </w:rPr>
        <w:t xml:space="preserve">generally </w:t>
      </w:r>
      <w:r w:rsidRPr="006707EA">
        <w:rPr>
          <w:color w:val="000000" w:themeColor="text1"/>
        </w:rPr>
        <w:t>patterned (North</w:t>
      </w:r>
      <w:r>
        <w:rPr>
          <w:color w:val="000000" w:themeColor="text1"/>
        </w:rPr>
        <w:t>,</w:t>
      </w:r>
      <w:r w:rsidRPr="006707EA">
        <w:rPr>
          <w:color w:val="000000" w:themeColor="text1"/>
        </w:rPr>
        <w:t xml:space="preserve"> 2005</w:t>
      </w:r>
      <w:r w:rsidR="00E859F0">
        <w:rPr>
          <w:color w:val="000000" w:themeColor="text1"/>
        </w:rPr>
        <w:t xml:space="preserve">; </w:t>
      </w:r>
      <w:r w:rsidRPr="006707EA">
        <w:rPr>
          <w:color w:val="000000" w:themeColor="text1"/>
        </w:rPr>
        <w:t>Rawls</w:t>
      </w:r>
      <w:r w:rsidR="00E859F0">
        <w:rPr>
          <w:color w:val="000000" w:themeColor="text1"/>
        </w:rPr>
        <w:t xml:space="preserve">, </w:t>
      </w:r>
      <w:r>
        <w:rPr>
          <w:color w:val="000000" w:themeColor="text1"/>
        </w:rPr>
        <w:t>1971</w:t>
      </w:r>
      <w:r w:rsidR="001A50C4">
        <w:rPr>
          <w:color w:val="000000" w:themeColor="text1"/>
        </w:rPr>
        <w:t xml:space="preserve"> – his Aristotelian principle of human motivation</w:t>
      </w:r>
      <w:r>
        <w:rPr>
          <w:color w:val="000000" w:themeColor="text1"/>
        </w:rPr>
        <w:t>). It arguably helps explain how</w:t>
      </w:r>
      <w:r w:rsidRPr="009A3FEE">
        <w:rPr>
          <w:color w:val="000000" w:themeColor="text1"/>
        </w:rPr>
        <w:t xml:space="preserve"> </w:t>
      </w:r>
      <w:r>
        <w:rPr>
          <w:color w:val="000000" w:themeColor="text1"/>
        </w:rPr>
        <w:t>long-term health is responsive</w:t>
      </w:r>
      <w:r w:rsidRPr="006707EA">
        <w:rPr>
          <w:color w:val="000000" w:themeColor="text1"/>
        </w:rPr>
        <w:t xml:space="preserve"> to the creation of sustained patterns in individuals’ lives (</w:t>
      </w:r>
      <w:r>
        <w:rPr>
          <w:color w:val="000000" w:themeColor="text1"/>
        </w:rPr>
        <w:t xml:space="preserve">as documented in </w:t>
      </w:r>
      <w:r w:rsidRPr="006707EA">
        <w:rPr>
          <w:color w:val="000000" w:themeColor="text1"/>
        </w:rPr>
        <w:t>Frederickson</w:t>
      </w:r>
      <w:r>
        <w:rPr>
          <w:color w:val="000000" w:themeColor="text1"/>
        </w:rPr>
        <w:t>,</w:t>
      </w:r>
      <w:r w:rsidRPr="006707EA">
        <w:rPr>
          <w:color w:val="000000" w:themeColor="text1"/>
        </w:rPr>
        <w:t xml:space="preserve"> 2013).  Social surveys (Parke</w:t>
      </w:r>
      <w:r>
        <w:rPr>
          <w:color w:val="000000" w:themeColor="text1"/>
        </w:rPr>
        <w:t xml:space="preserve">r and </w:t>
      </w:r>
      <w:proofErr w:type="spellStart"/>
      <w:r>
        <w:rPr>
          <w:color w:val="000000" w:themeColor="text1"/>
        </w:rPr>
        <w:t>Skoufias</w:t>
      </w:r>
      <w:proofErr w:type="spellEnd"/>
      <w:r>
        <w:rPr>
          <w:color w:val="000000" w:themeColor="text1"/>
        </w:rPr>
        <w:t xml:space="preserve">, 2001; </w:t>
      </w:r>
      <w:r w:rsidRPr="003E3224">
        <w:rPr>
          <w:color w:val="000000" w:themeColor="text1"/>
        </w:rPr>
        <w:t>Haagh</w:t>
      </w:r>
      <w:r>
        <w:rPr>
          <w:color w:val="000000" w:themeColor="text1"/>
        </w:rPr>
        <w:t>,</w:t>
      </w:r>
      <w:r w:rsidRPr="003E3224">
        <w:rPr>
          <w:color w:val="000000" w:themeColor="text1"/>
        </w:rPr>
        <w:t xml:space="preserve"> 2011b)</w:t>
      </w:r>
      <w:r>
        <w:rPr>
          <w:color w:val="000000" w:themeColor="text1"/>
        </w:rPr>
        <w:t xml:space="preserve">, </w:t>
      </w:r>
      <w:r w:rsidR="008868CE">
        <w:rPr>
          <w:color w:val="000000" w:themeColor="text1"/>
        </w:rPr>
        <w:t xml:space="preserve">and </w:t>
      </w:r>
      <w:r w:rsidRPr="006707EA">
        <w:rPr>
          <w:color w:val="000000" w:themeColor="text1"/>
        </w:rPr>
        <w:t>behavioural (Kahneman</w:t>
      </w:r>
      <w:r>
        <w:rPr>
          <w:color w:val="000000" w:themeColor="text1"/>
        </w:rPr>
        <w:t>,</w:t>
      </w:r>
      <w:r w:rsidRPr="006707EA">
        <w:rPr>
          <w:color w:val="000000" w:themeColor="text1"/>
        </w:rPr>
        <w:t xml:space="preserve"> 2011) and neuro-science</w:t>
      </w:r>
      <w:r w:rsidR="00FD200A">
        <w:rPr>
          <w:color w:val="000000" w:themeColor="text1"/>
        </w:rPr>
        <w:t xml:space="preserve"> experiments </w:t>
      </w:r>
      <w:r w:rsidRPr="006707EA">
        <w:rPr>
          <w:color w:val="000000" w:themeColor="text1"/>
        </w:rPr>
        <w:t>(</w:t>
      </w:r>
      <w:r w:rsidRPr="006707EA">
        <w:rPr>
          <w:rFonts w:eastAsia="Times New Roman"/>
          <w:color w:val="000000" w:themeColor="text1"/>
        </w:rPr>
        <w:t>Smallwood</w:t>
      </w:r>
      <w:r>
        <w:rPr>
          <w:rFonts w:eastAsia="Times New Roman"/>
          <w:color w:val="000000" w:themeColor="text1"/>
        </w:rPr>
        <w:t>,</w:t>
      </w:r>
      <w:r w:rsidRPr="006707EA">
        <w:rPr>
          <w:rFonts w:eastAsia="Times New Roman"/>
          <w:color w:val="000000" w:themeColor="text1"/>
        </w:rPr>
        <w:t xml:space="preserve"> 2013</w:t>
      </w:r>
      <w:r w:rsidRPr="006707EA">
        <w:rPr>
          <w:color w:val="000000" w:themeColor="text1"/>
        </w:rPr>
        <w:t xml:space="preserve">; </w:t>
      </w:r>
      <w:r w:rsidRPr="006707EA">
        <w:rPr>
          <w:rFonts w:cs="Times New Roman"/>
          <w:color w:val="000000" w:themeColor="text1"/>
        </w:rPr>
        <w:t>Collard</w:t>
      </w:r>
      <w:r>
        <w:rPr>
          <w:rFonts w:cs="Times New Roman"/>
          <w:color w:val="000000" w:themeColor="text1"/>
        </w:rPr>
        <w:t xml:space="preserve"> and </w:t>
      </w:r>
      <w:r w:rsidRPr="006707EA">
        <w:rPr>
          <w:rFonts w:cs="Times New Roman"/>
          <w:color w:val="000000" w:themeColor="text1"/>
        </w:rPr>
        <w:t>Margulies,</w:t>
      </w:r>
      <w:r w:rsidRPr="006707EA">
        <w:rPr>
          <w:color w:val="000000" w:themeColor="text1"/>
        </w:rPr>
        <w:t xml:space="preserve"> 2014)</w:t>
      </w:r>
      <w:r w:rsidR="00FD200A">
        <w:rPr>
          <w:color w:val="000000" w:themeColor="text1"/>
        </w:rPr>
        <w:t xml:space="preserve">, </w:t>
      </w:r>
      <w:r w:rsidRPr="006707EA">
        <w:rPr>
          <w:color w:val="000000" w:themeColor="text1"/>
        </w:rPr>
        <w:t>indicate that where the form of (formal and informal) institutions enable stability as a basis for structured learning, more intrinsic forms o</w:t>
      </w:r>
      <w:r>
        <w:rPr>
          <w:color w:val="000000" w:themeColor="text1"/>
        </w:rPr>
        <w:t>f motivation result (Haagh, 2011b). P</w:t>
      </w:r>
      <w:r w:rsidRPr="006707EA">
        <w:rPr>
          <w:color w:val="000000" w:themeColor="text1"/>
        </w:rPr>
        <w:t xml:space="preserve">sychologists have identified innate needs for a time structure </w:t>
      </w:r>
      <w:r w:rsidRPr="00F30A3A">
        <w:rPr>
          <w:color w:val="000000" w:themeColor="text1"/>
        </w:rPr>
        <w:t xml:space="preserve">that fits (regularity and reproductive) constraints of the human </w:t>
      </w:r>
      <w:r w:rsidRPr="00F30A3A">
        <w:rPr>
          <w:i/>
          <w:color w:val="000000" w:themeColor="text1"/>
        </w:rPr>
        <w:t xml:space="preserve">life cycle </w:t>
      </w:r>
      <w:r w:rsidRPr="00F30A3A">
        <w:rPr>
          <w:color w:val="000000" w:themeColor="text1"/>
        </w:rPr>
        <w:t>(Cantor and Sanderson</w:t>
      </w:r>
      <w:r>
        <w:rPr>
          <w:color w:val="000000" w:themeColor="text1"/>
        </w:rPr>
        <w:t>, 2003), whereas</w:t>
      </w:r>
      <w:r w:rsidRPr="00F30A3A">
        <w:rPr>
          <w:color w:val="000000" w:themeColor="text1"/>
        </w:rPr>
        <w:t xml:space="preserve"> a</w:t>
      </w:r>
      <w:r w:rsidRPr="006707EA">
        <w:rPr>
          <w:color w:val="000000" w:themeColor="text1"/>
        </w:rPr>
        <w:t xml:space="preserve"> range of studies now exist to document how cooperation is a human desire that – when enabled in a stable form – is linked with </w:t>
      </w:r>
      <w:r w:rsidRPr="006707EA">
        <w:rPr>
          <w:color w:val="000000" w:themeColor="text1"/>
        </w:rPr>
        <w:lastRenderedPageBreak/>
        <w:t>mental and physical health (Hood</w:t>
      </w:r>
      <w:r>
        <w:rPr>
          <w:color w:val="000000" w:themeColor="text1"/>
        </w:rPr>
        <w:t>,</w:t>
      </w:r>
      <w:r w:rsidRPr="006707EA">
        <w:rPr>
          <w:color w:val="000000" w:themeColor="text1"/>
        </w:rPr>
        <w:t xml:space="preserve"> 2014, </w:t>
      </w:r>
      <w:r>
        <w:rPr>
          <w:color w:val="000000" w:themeColor="text1"/>
        </w:rPr>
        <w:t>pp. 134-5, p. 193). Conversely,</w:t>
      </w:r>
      <w:r w:rsidRPr="006707EA">
        <w:rPr>
          <w:color w:val="000000" w:themeColor="text1"/>
        </w:rPr>
        <w:t xml:space="preserve"> uncontrollable events in everyday life – including in structures affecting others – have been found to cause feelings of helplessness (Peterson</w:t>
      </w:r>
      <w:r>
        <w:rPr>
          <w:color w:val="000000" w:themeColor="text1"/>
        </w:rPr>
        <w:t>,</w:t>
      </w:r>
      <w:r w:rsidRPr="006707EA">
        <w:rPr>
          <w:color w:val="000000" w:themeColor="text1"/>
        </w:rPr>
        <w:t xml:space="preserve"> 2003, </w:t>
      </w:r>
      <w:r>
        <w:rPr>
          <w:color w:val="000000" w:themeColor="text1"/>
        </w:rPr>
        <w:t xml:space="preserve">pp. </w:t>
      </w:r>
      <w:r w:rsidRPr="006707EA">
        <w:rPr>
          <w:color w:val="000000" w:themeColor="text1"/>
        </w:rPr>
        <w:t>291-</w:t>
      </w:r>
      <w:r>
        <w:rPr>
          <w:color w:val="000000" w:themeColor="text1"/>
        </w:rPr>
        <w:t>292). In turn, this generates</w:t>
      </w:r>
      <w:r w:rsidRPr="006707EA">
        <w:rPr>
          <w:color w:val="000000" w:themeColor="text1"/>
        </w:rPr>
        <w:t xml:space="preserve"> self-fulfilling behaviours, as both society and individuals </w:t>
      </w:r>
      <w:r>
        <w:rPr>
          <w:color w:val="000000" w:themeColor="text1"/>
        </w:rPr>
        <w:t xml:space="preserve">adapt and </w:t>
      </w:r>
      <w:r w:rsidRPr="006707EA">
        <w:rPr>
          <w:color w:val="000000" w:themeColor="text1"/>
        </w:rPr>
        <w:t xml:space="preserve">learn to be </w:t>
      </w:r>
      <w:r>
        <w:rPr>
          <w:color w:val="000000" w:themeColor="text1"/>
        </w:rPr>
        <w:t>helpless (</w:t>
      </w:r>
      <w:r w:rsidRPr="006707EA">
        <w:rPr>
          <w:color w:val="000000" w:themeColor="text1"/>
        </w:rPr>
        <w:t>ibid.</w:t>
      </w:r>
      <w:r>
        <w:rPr>
          <w:color w:val="000000" w:themeColor="text1"/>
        </w:rPr>
        <w:t>, p. 293).</w:t>
      </w:r>
    </w:p>
    <w:p w14:paraId="225DCC04" w14:textId="77777777" w:rsidR="00BE3FE3" w:rsidRPr="00F30A3A" w:rsidRDefault="00BE3FE3" w:rsidP="00B87760">
      <w:pPr>
        <w:spacing w:line="360" w:lineRule="auto"/>
        <w:ind w:left="-397" w:right="-397"/>
        <w:jc w:val="both"/>
        <w:rPr>
          <w:color w:val="000000" w:themeColor="text1"/>
        </w:rPr>
      </w:pPr>
    </w:p>
    <w:p w14:paraId="0368855E" w14:textId="303FE561" w:rsidR="00BE3FE3" w:rsidRDefault="00BE3FE3" w:rsidP="00B87760">
      <w:pPr>
        <w:spacing w:line="360" w:lineRule="auto"/>
        <w:ind w:left="-397" w:right="-397"/>
        <w:jc w:val="both"/>
        <w:rPr>
          <w:color w:val="000000" w:themeColor="text1"/>
        </w:rPr>
      </w:pPr>
      <w:r>
        <w:rPr>
          <w:color w:val="000000" w:themeColor="text1"/>
        </w:rPr>
        <w:t>T</w:t>
      </w:r>
      <w:r w:rsidRPr="00F30A3A">
        <w:rPr>
          <w:color w:val="000000" w:themeColor="text1"/>
        </w:rPr>
        <w:t>he key point here is then how these areas of reference point to generic (cooperative) interests</w:t>
      </w:r>
      <w:r w:rsidR="00E50638">
        <w:rPr>
          <w:color w:val="000000" w:themeColor="text1"/>
        </w:rPr>
        <w:t xml:space="preserve"> that</w:t>
      </w:r>
      <w:r w:rsidRPr="00F30A3A">
        <w:rPr>
          <w:color w:val="000000" w:themeColor="text1"/>
        </w:rPr>
        <w:t xml:space="preserve"> humans have in institutions that enable personal control in relation to both the structure of human life itself and its social relations, as vulnerability is</w:t>
      </w:r>
      <w:r>
        <w:rPr>
          <w:color w:val="000000" w:themeColor="text1"/>
        </w:rPr>
        <w:t xml:space="preserve"> a central feature of both. </w:t>
      </w:r>
      <w:r w:rsidRPr="00F30A3A">
        <w:rPr>
          <w:color w:val="000000" w:themeColor="text1"/>
        </w:rPr>
        <w:t>Evidence that</w:t>
      </w:r>
      <w:r w:rsidRPr="00F30A3A">
        <w:rPr>
          <w:rFonts w:eastAsia="Times New Roman" w:cs="Times New Roman"/>
          <w:color w:val="000000" w:themeColor="text1"/>
          <w:lang w:eastAsia="en-GB" w:bidi="ar-SA"/>
        </w:rPr>
        <w:t xml:space="preserve"> women plan fertility in relation t</w:t>
      </w:r>
      <w:r>
        <w:rPr>
          <w:rFonts w:eastAsia="Times New Roman" w:cs="Times New Roman"/>
          <w:color w:val="000000" w:themeColor="text1"/>
          <w:lang w:eastAsia="en-GB" w:bidi="ar-SA"/>
        </w:rPr>
        <w:t>o their labour market positions</w:t>
      </w:r>
      <w:r w:rsidRPr="00F30A3A">
        <w:rPr>
          <w:rFonts w:eastAsia="Times New Roman" w:cs="Times New Roman"/>
          <w:color w:val="000000" w:themeColor="text1"/>
          <w:lang w:eastAsia="en-GB" w:bidi="ar-SA"/>
        </w:rPr>
        <w:t xml:space="preserve"> </w:t>
      </w:r>
      <w:r>
        <w:rPr>
          <w:rFonts w:eastAsia="Times New Roman" w:cs="Times New Roman"/>
          <w:color w:val="000000" w:themeColor="text1"/>
          <w:lang w:eastAsia="en-GB" w:bidi="ar-SA"/>
        </w:rPr>
        <w:t xml:space="preserve">(Haagh, 2011b) </w:t>
      </w:r>
      <w:r w:rsidRPr="00F30A3A">
        <w:rPr>
          <w:rFonts w:eastAsia="Times New Roman" w:cs="Times New Roman"/>
          <w:color w:val="000000" w:themeColor="text1"/>
          <w:lang w:eastAsia="en-GB" w:bidi="ar-SA"/>
        </w:rPr>
        <w:t>and</w:t>
      </w:r>
      <w:r w:rsidR="008868CE">
        <w:rPr>
          <w:rFonts w:eastAsia="Times New Roman" w:cs="Times New Roman"/>
          <w:color w:val="000000" w:themeColor="text1"/>
          <w:lang w:eastAsia="en-GB" w:bidi="ar-SA"/>
        </w:rPr>
        <w:t xml:space="preserve"> </w:t>
      </w:r>
      <w:r w:rsidRPr="00F30A3A">
        <w:rPr>
          <w:rFonts w:eastAsia="Times New Roman" w:cs="Times New Roman"/>
          <w:color w:val="000000" w:themeColor="text1"/>
          <w:lang w:eastAsia="en-GB" w:bidi="ar-SA"/>
        </w:rPr>
        <w:t>that men gradually take on childcare duties (</w:t>
      </w:r>
      <w:proofErr w:type="spellStart"/>
      <w:r w:rsidRPr="00F30A3A">
        <w:rPr>
          <w:rFonts w:eastAsia="Times New Roman" w:cs="Times New Roman"/>
          <w:color w:val="000000" w:themeColor="text1"/>
          <w:lang w:eastAsia="en-GB" w:bidi="ar-SA"/>
        </w:rPr>
        <w:t>Nordenmark</w:t>
      </w:r>
      <w:proofErr w:type="spellEnd"/>
      <w:r>
        <w:rPr>
          <w:rFonts w:eastAsia="Times New Roman" w:cs="Times New Roman"/>
          <w:color w:val="000000" w:themeColor="text1"/>
          <w:lang w:eastAsia="en-GB" w:bidi="ar-SA"/>
        </w:rPr>
        <w:t>,</w:t>
      </w:r>
      <w:r w:rsidRPr="00F30A3A">
        <w:rPr>
          <w:rFonts w:eastAsia="Times New Roman" w:cs="Times New Roman"/>
          <w:color w:val="000000" w:themeColor="text1"/>
          <w:lang w:eastAsia="en-GB" w:bidi="ar-SA"/>
        </w:rPr>
        <w:t xml:space="preserve"> 2015, </w:t>
      </w:r>
      <w:r>
        <w:rPr>
          <w:rFonts w:eastAsia="Times New Roman" w:cs="Times New Roman"/>
          <w:color w:val="000000" w:themeColor="text1"/>
          <w:lang w:eastAsia="en-GB" w:bidi="ar-SA"/>
        </w:rPr>
        <w:t xml:space="preserve">pp. </w:t>
      </w:r>
      <w:r w:rsidRPr="00F30A3A">
        <w:rPr>
          <w:rFonts w:eastAsia="Times New Roman" w:cs="Times New Roman"/>
          <w:color w:val="000000" w:themeColor="text1"/>
          <w:lang w:eastAsia="en-GB" w:bidi="ar-SA"/>
        </w:rPr>
        <w:t>172-3) and care leave (</w:t>
      </w:r>
      <w:proofErr w:type="spellStart"/>
      <w:r w:rsidRPr="00F30A3A">
        <w:rPr>
          <w:rFonts w:eastAsia="Times New Roman" w:cs="Times New Roman"/>
          <w:color w:val="000000" w:themeColor="text1"/>
          <w:lang w:eastAsia="en-GB" w:bidi="ar-SA"/>
        </w:rPr>
        <w:t>Bloksgaard</w:t>
      </w:r>
      <w:proofErr w:type="spellEnd"/>
      <w:r>
        <w:rPr>
          <w:rFonts w:eastAsia="Times New Roman" w:cs="Times New Roman"/>
          <w:color w:val="000000" w:themeColor="text1"/>
          <w:lang w:eastAsia="en-GB" w:bidi="ar-SA"/>
        </w:rPr>
        <w:t>,</w:t>
      </w:r>
      <w:r w:rsidRPr="00F30A3A">
        <w:rPr>
          <w:rFonts w:eastAsia="Times New Roman" w:cs="Times New Roman"/>
          <w:color w:val="000000" w:themeColor="text1"/>
          <w:lang w:eastAsia="en-GB" w:bidi="ar-SA"/>
        </w:rPr>
        <w:t xml:space="preserve"> 2015, </w:t>
      </w:r>
      <w:r>
        <w:rPr>
          <w:rFonts w:eastAsia="Times New Roman" w:cs="Times New Roman"/>
          <w:color w:val="000000" w:themeColor="text1"/>
          <w:lang w:eastAsia="en-GB" w:bidi="ar-SA"/>
        </w:rPr>
        <w:t xml:space="preserve">pp. </w:t>
      </w:r>
      <w:r w:rsidRPr="00F30A3A">
        <w:rPr>
          <w:rFonts w:eastAsia="Times New Roman" w:cs="Times New Roman"/>
          <w:color w:val="000000" w:themeColor="text1"/>
          <w:lang w:eastAsia="en-GB" w:bidi="ar-SA"/>
        </w:rPr>
        <w:t>148-52) when general institutions permit it (</w:t>
      </w:r>
      <w:proofErr w:type="spellStart"/>
      <w:r w:rsidRPr="00F30A3A">
        <w:rPr>
          <w:rFonts w:eastAsia="Times New Roman" w:cs="Times New Roman"/>
          <w:color w:val="000000" w:themeColor="text1"/>
          <w:lang w:eastAsia="en-GB" w:bidi="ar-SA"/>
        </w:rPr>
        <w:t>Gornik</w:t>
      </w:r>
      <w:proofErr w:type="spellEnd"/>
      <w:r w:rsidRPr="00F30A3A">
        <w:rPr>
          <w:rFonts w:eastAsia="Times New Roman" w:cs="Times New Roman"/>
          <w:color w:val="000000" w:themeColor="text1"/>
          <w:lang w:eastAsia="en-GB" w:bidi="ar-SA"/>
        </w:rPr>
        <w:t xml:space="preserve">, 2015, </w:t>
      </w:r>
      <w:r>
        <w:rPr>
          <w:rFonts w:eastAsia="Times New Roman" w:cs="Times New Roman"/>
          <w:color w:val="000000" w:themeColor="text1"/>
          <w:lang w:eastAsia="en-GB" w:bidi="ar-SA"/>
        </w:rPr>
        <w:t xml:space="preserve">pp. </w:t>
      </w:r>
      <w:r w:rsidRPr="00F30A3A">
        <w:rPr>
          <w:rFonts w:eastAsia="Times New Roman" w:cs="Times New Roman"/>
          <w:color w:val="000000" w:themeColor="text1"/>
          <w:lang w:eastAsia="en-GB" w:bidi="ar-SA"/>
        </w:rPr>
        <w:t>375-</w:t>
      </w:r>
      <w:r>
        <w:rPr>
          <w:rFonts w:eastAsia="Times New Roman" w:cs="Times New Roman"/>
          <w:color w:val="000000" w:themeColor="text1"/>
          <w:lang w:eastAsia="en-GB" w:bidi="ar-SA"/>
        </w:rPr>
        <w:t>37</w:t>
      </w:r>
      <w:r w:rsidRPr="00F30A3A">
        <w:rPr>
          <w:rFonts w:eastAsia="Times New Roman" w:cs="Times New Roman"/>
          <w:color w:val="000000" w:themeColor="text1"/>
          <w:lang w:eastAsia="en-GB" w:bidi="ar-SA"/>
        </w:rPr>
        <w:t>6), indicate both men and women seek to attain a balance in their lives between core human activities and social relations, and respond to institutions accordingly.</w:t>
      </w:r>
      <w:r>
        <w:rPr>
          <w:color w:val="000000" w:themeColor="text1"/>
        </w:rPr>
        <w:t xml:space="preserve"> </w:t>
      </w:r>
    </w:p>
    <w:p w14:paraId="5BD1230D" w14:textId="77777777" w:rsidR="00BE3FE3" w:rsidRDefault="00BE3FE3" w:rsidP="00B87760">
      <w:pPr>
        <w:spacing w:line="360" w:lineRule="auto"/>
        <w:ind w:left="-397" w:right="-397"/>
        <w:jc w:val="both"/>
        <w:rPr>
          <w:color w:val="000000" w:themeColor="text1"/>
        </w:rPr>
      </w:pPr>
    </w:p>
    <w:p w14:paraId="013A9F40" w14:textId="1E4F8CF6" w:rsidR="00BE3FE3" w:rsidRPr="006707EA" w:rsidRDefault="00BE3FE3" w:rsidP="00B87760">
      <w:pPr>
        <w:spacing w:line="360" w:lineRule="auto"/>
        <w:ind w:left="-397" w:right="-397"/>
        <w:jc w:val="both"/>
        <w:rPr>
          <w:color w:val="000000" w:themeColor="text1"/>
        </w:rPr>
      </w:pPr>
      <w:r>
        <w:rPr>
          <w:color w:val="000000" w:themeColor="text1"/>
        </w:rPr>
        <w:t xml:space="preserve">To better illustrate how different forms of control of the human economy emerge in linked ways, I distinguish core forms of HE-relevant </w:t>
      </w:r>
      <w:r w:rsidRPr="006707EA">
        <w:rPr>
          <w:color w:val="000000" w:themeColor="text1"/>
        </w:rPr>
        <w:t>aspects of control of time, activities and social relations</w:t>
      </w:r>
      <w:r>
        <w:rPr>
          <w:color w:val="000000" w:themeColor="text1"/>
        </w:rPr>
        <w:t xml:space="preserve">, as follows. </w:t>
      </w:r>
      <w:r>
        <w:rPr>
          <w:rFonts w:eastAsia="Times New Roman"/>
          <w:color w:val="000000" w:themeColor="text1"/>
          <w:lang w:eastAsia="en-GB" w:bidi="ar-SA"/>
        </w:rPr>
        <w:t>First</w:t>
      </w:r>
      <w:r w:rsidRPr="006707EA">
        <w:rPr>
          <w:rFonts w:eastAsia="Times New Roman"/>
          <w:color w:val="000000" w:themeColor="text1"/>
          <w:lang w:eastAsia="en-GB" w:bidi="ar-SA"/>
        </w:rPr>
        <w:t>,</w:t>
      </w:r>
      <w:r w:rsidRPr="006707EA">
        <w:rPr>
          <w:rFonts w:eastAsia="Times New Roman"/>
          <w:i/>
          <w:color w:val="000000" w:themeColor="text1"/>
          <w:lang w:eastAsia="en-GB" w:bidi="ar-SA"/>
        </w:rPr>
        <w:t xml:space="preserve"> dynamic</w:t>
      </w:r>
      <w:r w:rsidRPr="006707EA">
        <w:rPr>
          <w:rFonts w:eastAsia="Times New Roman"/>
          <w:color w:val="000000" w:themeColor="text1"/>
          <w:lang w:eastAsia="en-GB" w:bidi="ar-SA"/>
        </w:rPr>
        <w:t xml:space="preserve"> control of the human learning process and relations can be hypothesized as linked with developmentally structured education and working life; </w:t>
      </w:r>
      <w:r w:rsidRPr="006707EA">
        <w:rPr>
          <w:rFonts w:eastAsia="Times New Roman"/>
          <w:i/>
          <w:color w:val="000000" w:themeColor="text1"/>
          <w:lang w:eastAsia="en-GB" w:bidi="ar-SA"/>
        </w:rPr>
        <w:t xml:space="preserve">static </w:t>
      </w:r>
      <w:r w:rsidRPr="006707EA">
        <w:rPr>
          <w:rFonts w:eastAsia="Times New Roman"/>
          <w:color w:val="000000" w:themeColor="text1"/>
          <w:lang w:eastAsia="en-GB" w:bidi="ar-SA"/>
        </w:rPr>
        <w:t>control with opportunity for regular time for the core activities of occupation, leisure and care</w:t>
      </w:r>
      <w:r>
        <w:rPr>
          <w:rFonts w:eastAsia="Times New Roman"/>
          <w:color w:val="000000" w:themeColor="text1"/>
          <w:lang w:eastAsia="en-GB" w:bidi="ar-SA"/>
        </w:rPr>
        <w:t xml:space="preserve"> (Haagh, 2007)</w:t>
      </w:r>
      <w:r w:rsidRPr="006707EA">
        <w:rPr>
          <w:rFonts w:eastAsia="Times New Roman"/>
          <w:color w:val="000000" w:themeColor="text1"/>
          <w:lang w:eastAsia="en-GB" w:bidi="ar-SA"/>
        </w:rPr>
        <w:t xml:space="preserve">; and, </w:t>
      </w:r>
      <w:r w:rsidRPr="006707EA">
        <w:rPr>
          <w:rFonts w:eastAsia="Times New Roman"/>
          <w:i/>
          <w:color w:val="000000" w:themeColor="text1"/>
          <w:lang w:eastAsia="en-GB" w:bidi="ar-SA"/>
        </w:rPr>
        <w:t>reproductive control</w:t>
      </w:r>
      <w:r w:rsidRPr="006707EA">
        <w:rPr>
          <w:rFonts w:eastAsia="Times New Roman"/>
          <w:color w:val="000000" w:themeColor="text1"/>
          <w:lang w:eastAsia="en-GB" w:bidi="ar-SA"/>
        </w:rPr>
        <w:t xml:space="preserve"> with arrangements that make combinations</w:t>
      </w:r>
      <w:r>
        <w:rPr>
          <w:rFonts w:eastAsia="Times New Roman"/>
          <w:color w:val="000000" w:themeColor="text1"/>
          <w:lang w:eastAsia="en-GB" w:bidi="ar-SA"/>
        </w:rPr>
        <w:t xml:space="preserve"> of these processes possible (e.</w:t>
      </w:r>
      <w:r w:rsidRPr="006707EA">
        <w:rPr>
          <w:rFonts w:eastAsia="Times New Roman"/>
          <w:color w:val="000000" w:themeColor="text1"/>
          <w:lang w:eastAsia="en-GB" w:bidi="ar-SA"/>
        </w:rPr>
        <w:t>g. parental leave and the occupation-competitive structure).</w:t>
      </w:r>
      <w:r w:rsidRPr="006707EA">
        <w:rPr>
          <w:color w:val="000000" w:themeColor="text1"/>
        </w:rPr>
        <w:t xml:space="preserve"> I</w:t>
      </w:r>
      <w:r>
        <w:rPr>
          <w:color w:val="000000" w:themeColor="text1"/>
        </w:rPr>
        <w:t>n turn, i</w:t>
      </w:r>
      <w:r w:rsidRPr="006707EA">
        <w:rPr>
          <w:rFonts w:eastAsia="Times New Roman"/>
          <w:color w:val="000000" w:themeColor="text1"/>
          <w:lang w:eastAsia="en-GB" w:bidi="ar-SA"/>
        </w:rPr>
        <w:t>nterests in underlying senses of personal security (</w:t>
      </w:r>
      <w:r w:rsidRPr="006707EA">
        <w:rPr>
          <w:rFonts w:eastAsia="Times New Roman"/>
          <w:i/>
          <w:color w:val="000000" w:themeColor="text1"/>
          <w:lang w:eastAsia="en-GB" w:bidi="ar-SA"/>
        </w:rPr>
        <w:t>constant control</w:t>
      </w:r>
      <w:r w:rsidRPr="006707EA">
        <w:rPr>
          <w:rFonts w:eastAsia="Times New Roman"/>
          <w:color w:val="000000" w:themeColor="text1"/>
          <w:lang w:eastAsia="en-GB" w:bidi="ar-SA"/>
        </w:rPr>
        <w:t xml:space="preserve">) may be seen as basis for independent reason, motivation and choice re features of core activities or any one relation (e.g. both preventing direct domination and protecting persons’ integrity in the Dworkinian sense). Finally, </w:t>
      </w:r>
      <w:r w:rsidRPr="006707EA">
        <w:rPr>
          <w:rFonts w:eastAsia="Times New Roman"/>
          <w:i/>
          <w:color w:val="000000" w:themeColor="text1"/>
          <w:lang w:eastAsia="en-GB" w:bidi="ar-SA"/>
        </w:rPr>
        <w:t>direct</w:t>
      </w:r>
      <w:r>
        <w:rPr>
          <w:rFonts w:eastAsia="Times New Roman"/>
          <w:i/>
          <w:color w:val="000000" w:themeColor="text1"/>
          <w:lang w:eastAsia="en-GB" w:bidi="ar-SA"/>
        </w:rPr>
        <w:t xml:space="preserve"> </w:t>
      </w:r>
      <w:r w:rsidRPr="006707EA">
        <w:rPr>
          <w:rFonts w:eastAsia="Times New Roman"/>
          <w:i/>
          <w:color w:val="000000" w:themeColor="text1"/>
          <w:lang w:eastAsia="en-GB" w:bidi="ar-SA"/>
        </w:rPr>
        <w:t>political or cooperative control</w:t>
      </w:r>
      <w:r w:rsidRPr="006707EA">
        <w:rPr>
          <w:rFonts w:eastAsia="Times New Roman"/>
          <w:color w:val="000000" w:themeColor="text1"/>
          <w:lang w:eastAsia="en-GB" w:bidi="ar-SA"/>
        </w:rPr>
        <w:t xml:space="preserve"> describes opportunity for social relations based on mutual recognition (contra domination), to include then the nature of the patterning of informal activities and relations in core settings (work, the family, vis-à-vis the state). </w:t>
      </w:r>
    </w:p>
    <w:p w14:paraId="40FC1D3C" w14:textId="77777777" w:rsidR="00BE3FE3" w:rsidRPr="006707EA" w:rsidRDefault="00BE3FE3" w:rsidP="00B87760">
      <w:pPr>
        <w:spacing w:line="360" w:lineRule="auto"/>
        <w:ind w:left="-397" w:right="-397"/>
        <w:jc w:val="both"/>
        <w:rPr>
          <w:rFonts w:eastAsia="Times New Roman"/>
          <w:color w:val="000000" w:themeColor="text1"/>
          <w:lang w:eastAsia="en-GB" w:bidi="ar-SA"/>
        </w:rPr>
      </w:pPr>
    </w:p>
    <w:p w14:paraId="22FA6F7A" w14:textId="093A92C1" w:rsidR="00BE3FE3" w:rsidRDefault="00BE3FE3" w:rsidP="009A3FEE">
      <w:pPr>
        <w:spacing w:line="360" w:lineRule="auto"/>
        <w:ind w:left="-397" w:right="-397"/>
        <w:jc w:val="both"/>
        <w:rPr>
          <w:color w:val="000000" w:themeColor="text1"/>
        </w:rPr>
      </w:pPr>
      <w:r>
        <w:rPr>
          <w:color w:val="000000" w:themeColor="text1"/>
        </w:rPr>
        <w:t>U</w:t>
      </w:r>
      <w:r w:rsidRPr="00C738B8">
        <w:rPr>
          <w:color w:val="000000" w:themeColor="text1"/>
        </w:rPr>
        <w:t>nlike previous studies</w:t>
      </w:r>
      <w:r>
        <w:rPr>
          <w:color w:val="000000" w:themeColor="text1"/>
        </w:rPr>
        <w:t>,</w:t>
      </w:r>
      <w:r w:rsidRPr="00C738B8">
        <w:rPr>
          <w:color w:val="000000" w:themeColor="text1"/>
        </w:rPr>
        <w:t xml:space="preserve"> I suggest the areas concerned are mutually affective in institutional reality because they have roots in the human economy. Put in another way, the above listed forms of control are important in their own right (they require </w:t>
      </w:r>
      <w:r>
        <w:rPr>
          <w:color w:val="000000" w:themeColor="text1"/>
        </w:rPr>
        <w:t xml:space="preserve">separate forms of support). However, </w:t>
      </w:r>
      <w:r w:rsidRPr="00C738B8">
        <w:rPr>
          <w:color w:val="000000" w:themeColor="text1"/>
        </w:rPr>
        <w:t>in practice</w:t>
      </w:r>
      <w:r>
        <w:rPr>
          <w:color w:val="000000" w:themeColor="text1"/>
        </w:rPr>
        <w:t>,</w:t>
      </w:r>
      <w:r w:rsidRPr="00C738B8">
        <w:rPr>
          <w:color w:val="000000" w:themeColor="text1"/>
        </w:rPr>
        <w:t xml:space="preserve"> (</w:t>
      </w:r>
      <w:proofErr w:type="spellStart"/>
      <w:r w:rsidRPr="00C738B8">
        <w:rPr>
          <w:color w:val="000000" w:themeColor="text1"/>
        </w:rPr>
        <w:t>i</w:t>
      </w:r>
      <w:proofErr w:type="spellEnd"/>
      <w:r w:rsidRPr="00C738B8">
        <w:rPr>
          <w:color w:val="000000" w:themeColor="text1"/>
        </w:rPr>
        <w:t>) their exercise depend</w:t>
      </w:r>
      <w:r>
        <w:rPr>
          <w:color w:val="000000" w:themeColor="text1"/>
        </w:rPr>
        <w:t>s</w:t>
      </w:r>
      <w:r w:rsidRPr="00C738B8">
        <w:rPr>
          <w:color w:val="000000" w:themeColor="text1"/>
        </w:rPr>
        <w:t xml:space="preserve"> on the existence of the others</w:t>
      </w:r>
      <w:r w:rsidR="005E31D9">
        <w:rPr>
          <w:color w:val="000000" w:themeColor="text1"/>
        </w:rPr>
        <w:t>;</w:t>
      </w:r>
      <w:r w:rsidRPr="00C738B8">
        <w:rPr>
          <w:color w:val="000000" w:themeColor="text1"/>
        </w:rPr>
        <w:t xml:space="preserve"> and </w:t>
      </w:r>
      <w:r w:rsidR="005E31D9">
        <w:rPr>
          <w:color w:val="000000" w:themeColor="text1"/>
        </w:rPr>
        <w:t>(ii)</w:t>
      </w:r>
      <w:r w:rsidRPr="00C738B8">
        <w:rPr>
          <w:color w:val="000000" w:themeColor="text1"/>
        </w:rPr>
        <w:t xml:space="preserve"> partly for this reason, </w:t>
      </w:r>
      <w:r w:rsidR="005E31D9">
        <w:rPr>
          <w:color w:val="000000" w:themeColor="text1"/>
        </w:rPr>
        <w:t xml:space="preserve">e.g. </w:t>
      </w:r>
      <w:r w:rsidRPr="00C738B8">
        <w:rPr>
          <w:color w:val="000000" w:themeColor="text1"/>
        </w:rPr>
        <w:t>how these forms of control are mutually affective</w:t>
      </w:r>
      <w:r w:rsidR="005E31D9">
        <w:rPr>
          <w:color w:val="000000" w:themeColor="text1"/>
        </w:rPr>
        <w:t xml:space="preserve">, we can expect that </w:t>
      </w:r>
      <w:r w:rsidRPr="00C738B8">
        <w:rPr>
          <w:color w:val="000000" w:themeColor="text1"/>
        </w:rPr>
        <w:t>institutions that support</w:t>
      </w:r>
      <w:r w:rsidR="005E31D9">
        <w:rPr>
          <w:color w:val="000000" w:themeColor="text1"/>
        </w:rPr>
        <w:t xml:space="preserve"> control</w:t>
      </w:r>
      <w:r>
        <w:rPr>
          <w:color w:val="000000" w:themeColor="text1"/>
        </w:rPr>
        <w:t xml:space="preserve"> develop in complex patterns. Explanatory </w:t>
      </w:r>
      <w:r w:rsidRPr="00C738B8">
        <w:rPr>
          <w:color w:val="000000" w:themeColor="text1"/>
        </w:rPr>
        <w:t xml:space="preserve">advantages include to avoid that caution </w:t>
      </w:r>
      <w:r w:rsidR="005E31D9">
        <w:rPr>
          <w:color w:val="000000" w:themeColor="text1"/>
        </w:rPr>
        <w:t xml:space="preserve">as expressed </w:t>
      </w:r>
      <w:r w:rsidRPr="00C738B8">
        <w:rPr>
          <w:color w:val="000000" w:themeColor="text1"/>
        </w:rPr>
        <w:t>in the HDL</w:t>
      </w:r>
      <w:r w:rsidR="005E31D9">
        <w:rPr>
          <w:color w:val="000000" w:themeColor="text1"/>
        </w:rPr>
        <w:t xml:space="preserve"> to remain neutral (</w:t>
      </w:r>
      <w:r w:rsidRPr="00C738B8">
        <w:rPr>
          <w:color w:val="000000" w:themeColor="text1"/>
        </w:rPr>
        <w:t xml:space="preserve">as explained in </w:t>
      </w:r>
      <w:proofErr w:type="spellStart"/>
      <w:r w:rsidRPr="00C738B8">
        <w:rPr>
          <w:color w:val="000000" w:themeColor="text1"/>
        </w:rPr>
        <w:t>Alkire</w:t>
      </w:r>
      <w:proofErr w:type="spellEnd"/>
      <w:r>
        <w:rPr>
          <w:color w:val="000000" w:themeColor="text1"/>
        </w:rPr>
        <w:t>,</w:t>
      </w:r>
      <w:r w:rsidRPr="00C738B8">
        <w:rPr>
          <w:color w:val="000000" w:themeColor="text1"/>
        </w:rPr>
        <w:t xml:space="preserve"> 2002, </w:t>
      </w:r>
      <w:r>
        <w:rPr>
          <w:color w:val="000000" w:themeColor="text1"/>
        </w:rPr>
        <w:t xml:space="preserve">p. </w:t>
      </w:r>
      <w:r w:rsidRPr="00C738B8">
        <w:rPr>
          <w:color w:val="000000" w:themeColor="text1"/>
        </w:rPr>
        <w:t>194)</w:t>
      </w:r>
      <w:r w:rsidR="005E31D9">
        <w:rPr>
          <w:color w:val="000000" w:themeColor="text1"/>
        </w:rPr>
        <w:t xml:space="preserve"> </w:t>
      </w:r>
      <w:r w:rsidRPr="00C738B8">
        <w:rPr>
          <w:color w:val="000000" w:themeColor="text1"/>
        </w:rPr>
        <w:t xml:space="preserve">entails linking human development directly with </w:t>
      </w:r>
      <w:r w:rsidRPr="00C738B8">
        <w:rPr>
          <w:color w:val="000000" w:themeColor="text1"/>
        </w:rPr>
        <w:lastRenderedPageBreak/>
        <w:t xml:space="preserve">individual choices of </w:t>
      </w:r>
      <w:proofErr w:type="spellStart"/>
      <w:r w:rsidRPr="00C738B8">
        <w:rPr>
          <w:color w:val="000000" w:themeColor="text1"/>
        </w:rPr>
        <w:t>functionings</w:t>
      </w:r>
      <w:proofErr w:type="spellEnd"/>
      <w:r w:rsidRPr="00C738B8">
        <w:rPr>
          <w:color w:val="000000" w:themeColor="text1"/>
        </w:rPr>
        <w:t xml:space="preserve"> whatever they are (also a fallacy</w:t>
      </w:r>
      <w:r>
        <w:rPr>
          <w:color w:val="000000" w:themeColor="text1"/>
        </w:rPr>
        <w:t xml:space="preserve"> of Dworkin’s account). For example, </w:t>
      </w:r>
      <w:r w:rsidRPr="00C738B8">
        <w:rPr>
          <w:color w:val="000000" w:themeColor="text1"/>
        </w:rPr>
        <w:t xml:space="preserve">identifying HE features creates a way to distinguish human propensities, well-being, </w:t>
      </w:r>
      <w:r w:rsidR="00E50638">
        <w:rPr>
          <w:color w:val="000000" w:themeColor="text1"/>
        </w:rPr>
        <w:t xml:space="preserve">and </w:t>
      </w:r>
      <w:r w:rsidRPr="00C738B8">
        <w:rPr>
          <w:color w:val="000000" w:themeColor="text1"/>
        </w:rPr>
        <w:t>common and specific forms</w:t>
      </w:r>
      <w:r w:rsidR="00E50638">
        <w:rPr>
          <w:color w:val="000000" w:themeColor="text1"/>
        </w:rPr>
        <w:t xml:space="preserve"> that</w:t>
      </w:r>
      <w:r w:rsidRPr="00C738B8">
        <w:rPr>
          <w:color w:val="000000" w:themeColor="text1"/>
        </w:rPr>
        <w:t xml:space="preserve"> ins</w:t>
      </w:r>
      <w:r>
        <w:rPr>
          <w:color w:val="000000" w:themeColor="text1"/>
        </w:rPr>
        <w:t xml:space="preserve">titutions take </w:t>
      </w:r>
      <w:r w:rsidR="00E50638">
        <w:rPr>
          <w:color w:val="000000" w:themeColor="text1"/>
        </w:rPr>
        <w:t>which</w:t>
      </w:r>
      <w:r>
        <w:rPr>
          <w:color w:val="000000" w:themeColor="text1"/>
        </w:rPr>
        <w:t xml:space="preserve"> </w:t>
      </w:r>
      <w:r w:rsidRPr="00C738B8">
        <w:rPr>
          <w:color w:val="000000" w:themeColor="text1"/>
        </w:rPr>
        <w:t xml:space="preserve">feature </w:t>
      </w:r>
      <w:r>
        <w:rPr>
          <w:color w:val="000000" w:themeColor="text1"/>
        </w:rPr>
        <w:t xml:space="preserve">without differentiation </w:t>
      </w:r>
      <w:r w:rsidRPr="00C738B8">
        <w:rPr>
          <w:color w:val="000000" w:themeColor="text1"/>
        </w:rPr>
        <w:t xml:space="preserve">in HD depiction or lists </w:t>
      </w:r>
      <w:r>
        <w:rPr>
          <w:color w:val="000000" w:themeColor="text1"/>
        </w:rPr>
        <w:t>(</w:t>
      </w:r>
      <w:proofErr w:type="spellStart"/>
      <w:r w:rsidRPr="00C738B8">
        <w:rPr>
          <w:color w:val="000000" w:themeColor="text1"/>
        </w:rPr>
        <w:t>Alkire</w:t>
      </w:r>
      <w:proofErr w:type="spellEnd"/>
      <w:r w:rsidRPr="00C738B8">
        <w:rPr>
          <w:color w:val="000000" w:themeColor="text1"/>
        </w:rPr>
        <w:t>, 2002</w:t>
      </w:r>
      <w:r>
        <w:rPr>
          <w:color w:val="000000" w:themeColor="text1"/>
        </w:rPr>
        <w:t xml:space="preserve">; </w:t>
      </w:r>
      <w:r w:rsidRPr="00C738B8">
        <w:rPr>
          <w:color w:val="000000" w:themeColor="text1"/>
        </w:rPr>
        <w:t>Anderson</w:t>
      </w:r>
      <w:r w:rsidR="00A36B97">
        <w:rPr>
          <w:color w:val="000000" w:themeColor="text1"/>
        </w:rPr>
        <w:t>,</w:t>
      </w:r>
      <w:r w:rsidRPr="00C738B8">
        <w:rPr>
          <w:color w:val="000000" w:themeColor="text1"/>
        </w:rPr>
        <w:t xml:space="preserve"> 1999</w:t>
      </w:r>
      <w:r>
        <w:rPr>
          <w:color w:val="000000" w:themeColor="text1"/>
        </w:rPr>
        <w:t xml:space="preserve">, pp. </w:t>
      </w:r>
      <w:r w:rsidRPr="00C738B8">
        <w:rPr>
          <w:color w:val="000000" w:themeColor="text1"/>
        </w:rPr>
        <w:t>331-7</w:t>
      </w:r>
      <w:r>
        <w:rPr>
          <w:color w:val="000000" w:themeColor="text1"/>
        </w:rPr>
        <w:t>; Nussbaum</w:t>
      </w:r>
      <w:r w:rsidR="00A36B97">
        <w:rPr>
          <w:color w:val="000000" w:themeColor="text1"/>
        </w:rPr>
        <w:t>,</w:t>
      </w:r>
      <w:r>
        <w:rPr>
          <w:color w:val="000000" w:themeColor="text1"/>
        </w:rPr>
        <w:t xml:space="preserve"> 2006, pp. 76-79). </w:t>
      </w:r>
      <w:r w:rsidRPr="00C738B8">
        <w:rPr>
          <w:color w:val="000000" w:themeColor="text1"/>
        </w:rPr>
        <w:t xml:space="preserve">So, capabilities such as, in Nussbaum (2006, </w:t>
      </w:r>
      <w:r>
        <w:rPr>
          <w:color w:val="000000" w:themeColor="text1"/>
        </w:rPr>
        <w:t xml:space="preserve">pp. </w:t>
      </w:r>
      <w:r w:rsidRPr="00C738B8">
        <w:rPr>
          <w:color w:val="000000" w:themeColor="text1"/>
        </w:rPr>
        <w:t>76-77), practical reason, (biological) life and (social) affiliation, are in my account generic traits of the human condition and deeper causes of patterns in social relations</w:t>
      </w:r>
      <w:r>
        <w:rPr>
          <w:color w:val="000000" w:themeColor="text1"/>
        </w:rPr>
        <w:t xml:space="preserve">. </w:t>
      </w:r>
      <w:r w:rsidRPr="00C738B8">
        <w:rPr>
          <w:color w:val="000000" w:themeColor="text1"/>
        </w:rPr>
        <w:t>Material security, political rights, social bases of self-respect (</w:t>
      </w:r>
      <w:r>
        <w:rPr>
          <w:color w:val="000000" w:themeColor="text1"/>
        </w:rPr>
        <w:t xml:space="preserve">Nussbaum, op. cit., pp. </w:t>
      </w:r>
      <w:r w:rsidRPr="00C738B8">
        <w:rPr>
          <w:color w:val="000000" w:themeColor="text1"/>
        </w:rPr>
        <w:t xml:space="preserve">77-78) and specific forms these take (equal rights to seek employment, in work having relations of mutual recognition, </w:t>
      </w:r>
      <w:r>
        <w:rPr>
          <w:color w:val="000000" w:themeColor="text1"/>
        </w:rPr>
        <w:t xml:space="preserve">p. </w:t>
      </w:r>
      <w:r w:rsidRPr="00C738B8">
        <w:rPr>
          <w:color w:val="000000" w:themeColor="text1"/>
        </w:rPr>
        <w:t>78)</w:t>
      </w:r>
      <w:r>
        <w:rPr>
          <w:color w:val="000000" w:themeColor="text1"/>
        </w:rPr>
        <w:t>,</w:t>
      </w:r>
      <w:r w:rsidRPr="00C738B8">
        <w:rPr>
          <w:color w:val="000000" w:themeColor="text1"/>
        </w:rPr>
        <w:t xml:space="preserve"> are general and more specific corollaries</w:t>
      </w:r>
      <w:r>
        <w:rPr>
          <w:color w:val="000000" w:themeColor="text1"/>
        </w:rPr>
        <w:t xml:space="preserve">. Notably, in Sen (1998, pp. 37-38) the two categories would be, respectively, general and specific forms of instrumental freedoms, as distinct </w:t>
      </w:r>
      <w:r w:rsidRPr="006707EA">
        <w:rPr>
          <w:color w:val="000000" w:themeColor="text1"/>
        </w:rPr>
        <w:t xml:space="preserve">from capabilities and </w:t>
      </w:r>
      <w:proofErr w:type="spellStart"/>
      <w:r w:rsidRPr="006707EA">
        <w:rPr>
          <w:color w:val="000000" w:themeColor="text1"/>
        </w:rPr>
        <w:t>function</w:t>
      </w:r>
      <w:r>
        <w:rPr>
          <w:color w:val="000000" w:themeColor="text1"/>
        </w:rPr>
        <w:t>ings</w:t>
      </w:r>
      <w:proofErr w:type="spellEnd"/>
      <w:r>
        <w:rPr>
          <w:color w:val="000000" w:themeColor="text1"/>
        </w:rPr>
        <w:t xml:space="preserve"> that have intrinsic value</w:t>
      </w:r>
      <w:r w:rsidRPr="006707EA">
        <w:rPr>
          <w:color w:val="000000" w:themeColor="text1"/>
        </w:rPr>
        <w:t>.</w:t>
      </w:r>
      <w:r>
        <w:rPr>
          <w:color w:val="000000" w:themeColor="text1"/>
        </w:rPr>
        <w:t xml:space="preserve"> </w:t>
      </w:r>
    </w:p>
    <w:p w14:paraId="7C9350BE" w14:textId="77777777" w:rsidR="00BE3FE3" w:rsidRPr="006707EA" w:rsidRDefault="00BE3FE3" w:rsidP="00F65BC4">
      <w:pPr>
        <w:spacing w:line="360" w:lineRule="auto"/>
        <w:ind w:right="-397"/>
        <w:jc w:val="both"/>
        <w:rPr>
          <w:color w:val="000000" w:themeColor="text1"/>
        </w:rPr>
      </w:pPr>
    </w:p>
    <w:p w14:paraId="3A8D766B" w14:textId="06703DEA" w:rsidR="00BE3FE3" w:rsidRPr="006707EA" w:rsidRDefault="00BE3FE3" w:rsidP="00B87760">
      <w:pPr>
        <w:spacing w:line="360" w:lineRule="auto"/>
        <w:ind w:left="-397" w:right="-397"/>
        <w:jc w:val="both"/>
        <w:rPr>
          <w:color w:val="000000" w:themeColor="text1"/>
        </w:rPr>
      </w:pPr>
      <w:r>
        <w:rPr>
          <w:color w:val="000000" w:themeColor="text1"/>
        </w:rPr>
        <w:t>In addition</w:t>
      </w:r>
      <w:r w:rsidRPr="006707EA">
        <w:rPr>
          <w:color w:val="000000" w:themeColor="text1"/>
        </w:rPr>
        <w:t xml:space="preserve">, HE </w:t>
      </w:r>
      <w:proofErr w:type="gramStart"/>
      <w:r w:rsidRPr="006707EA">
        <w:rPr>
          <w:color w:val="000000" w:themeColor="text1"/>
        </w:rPr>
        <w:t>reference</w:t>
      </w:r>
      <w:proofErr w:type="gramEnd"/>
      <w:r w:rsidRPr="006707EA">
        <w:rPr>
          <w:color w:val="000000" w:themeColor="text1"/>
        </w:rPr>
        <w:t xml:space="preserve"> also supports an account of system function and outcomes, as focus on embedded as well as process aspects of cooperation, can reveal how these are linked</w:t>
      </w:r>
      <w:r>
        <w:rPr>
          <w:color w:val="000000" w:themeColor="text1"/>
        </w:rPr>
        <w:t>. For example, further to the constitutive role of women’s agency (Sen</w:t>
      </w:r>
      <w:r w:rsidR="00A36B97">
        <w:rPr>
          <w:color w:val="000000" w:themeColor="text1"/>
        </w:rPr>
        <w:t>,</w:t>
      </w:r>
      <w:r>
        <w:rPr>
          <w:color w:val="000000" w:themeColor="text1"/>
        </w:rPr>
        <w:t xml:space="preserve"> 1998, pp. 189-203), we can explore how institutions sustain it and </w:t>
      </w:r>
      <w:r w:rsidRPr="00CF0381">
        <w:rPr>
          <w:color w:val="000000" w:themeColor="text1"/>
        </w:rPr>
        <w:t xml:space="preserve">gender </w:t>
      </w:r>
      <w:r w:rsidRPr="00CF0381">
        <w:rPr>
          <w:i/>
          <w:color w:val="000000" w:themeColor="text1"/>
        </w:rPr>
        <w:t>relations</w:t>
      </w:r>
      <w:r>
        <w:rPr>
          <w:color w:val="000000" w:themeColor="text1"/>
        </w:rPr>
        <w:t xml:space="preserve"> count</w:t>
      </w:r>
      <w:r w:rsidRPr="006707EA">
        <w:rPr>
          <w:color w:val="000000" w:themeColor="text1"/>
        </w:rPr>
        <w:t xml:space="preserve">. </w:t>
      </w:r>
      <w:r>
        <w:rPr>
          <w:color w:val="000000" w:themeColor="text1"/>
        </w:rPr>
        <w:t xml:space="preserve">For example, </w:t>
      </w:r>
      <w:r w:rsidRPr="006707EA">
        <w:rPr>
          <w:color w:val="000000" w:themeColor="text1"/>
        </w:rPr>
        <w:t>embedding of cooperation in everyday life and institutional development (the design of public finance</w:t>
      </w:r>
      <w:r>
        <w:rPr>
          <w:color w:val="000000" w:themeColor="text1"/>
        </w:rPr>
        <w:t xml:space="preserve"> and developmental policies), may</w:t>
      </w:r>
      <w:r w:rsidRPr="006707EA">
        <w:rPr>
          <w:color w:val="000000" w:themeColor="text1"/>
        </w:rPr>
        <w:t xml:space="preserve"> at once rais</w:t>
      </w:r>
      <w:r>
        <w:rPr>
          <w:color w:val="000000" w:themeColor="text1"/>
        </w:rPr>
        <w:t xml:space="preserve">e </w:t>
      </w:r>
      <w:r w:rsidRPr="006707EA">
        <w:rPr>
          <w:color w:val="000000" w:themeColor="text1"/>
        </w:rPr>
        <w:t>the level and differentiat</w:t>
      </w:r>
      <w:r w:rsidR="005E31D9">
        <w:rPr>
          <w:color w:val="000000" w:themeColor="text1"/>
        </w:rPr>
        <w:t>e</w:t>
      </w:r>
      <w:r w:rsidRPr="006707EA">
        <w:rPr>
          <w:color w:val="000000" w:themeColor="text1"/>
        </w:rPr>
        <w:t xml:space="preserve"> the form of shared security</w:t>
      </w:r>
      <w:r>
        <w:rPr>
          <w:color w:val="000000" w:themeColor="text1"/>
        </w:rPr>
        <w:t xml:space="preserve">, </w:t>
      </w:r>
      <w:r w:rsidR="005E31D9">
        <w:rPr>
          <w:color w:val="000000" w:themeColor="text1"/>
        </w:rPr>
        <w:t xml:space="preserve">as well as enable </w:t>
      </w:r>
      <w:r w:rsidRPr="006707EA">
        <w:rPr>
          <w:color w:val="000000" w:themeColor="text1"/>
        </w:rPr>
        <w:t>both direct agency and other (more internalised) forms of person</w:t>
      </w:r>
      <w:r>
        <w:rPr>
          <w:color w:val="000000" w:themeColor="text1"/>
        </w:rPr>
        <w:t>al control (as</w:t>
      </w:r>
      <w:r w:rsidRPr="006707EA">
        <w:rPr>
          <w:color w:val="000000" w:themeColor="text1"/>
        </w:rPr>
        <w:t xml:space="preserve"> per</w:t>
      </w:r>
      <w:r>
        <w:rPr>
          <w:color w:val="000000" w:themeColor="text1"/>
        </w:rPr>
        <w:t>ceptible in Nordic states, sections 4 and 5</w:t>
      </w:r>
      <w:r w:rsidRPr="006707EA">
        <w:rPr>
          <w:color w:val="000000" w:themeColor="text1"/>
        </w:rPr>
        <w:t>).</w:t>
      </w:r>
    </w:p>
    <w:p w14:paraId="6004C834" w14:textId="77777777" w:rsidR="00BE3FE3" w:rsidRPr="006707EA" w:rsidRDefault="00BE3FE3" w:rsidP="00B87760">
      <w:pPr>
        <w:spacing w:line="360" w:lineRule="auto"/>
        <w:ind w:left="-397" w:right="-397"/>
        <w:jc w:val="both"/>
        <w:rPr>
          <w:color w:val="000000" w:themeColor="text1"/>
        </w:rPr>
      </w:pPr>
    </w:p>
    <w:p w14:paraId="32814ADC" w14:textId="77777777" w:rsidR="00BE3FE3" w:rsidRDefault="00BE3FE3" w:rsidP="00B87760">
      <w:pPr>
        <w:spacing w:line="360" w:lineRule="auto"/>
        <w:ind w:left="-397" w:right="-397"/>
        <w:jc w:val="both"/>
        <w:rPr>
          <w:rFonts w:eastAsia="Times New Roman"/>
          <w:color w:val="000000" w:themeColor="text1"/>
          <w:lang w:eastAsia="en-GB" w:bidi="ar-SA"/>
        </w:rPr>
      </w:pPr>
      <w:r>
        <w:rPr>
          <w:color w:val="000000" w:themeColor="text1"/>
        </w:rPr>
        <w:t xml:space="preserve">In short, taking </w:t>
      </w:r>
      <w:r w:rsidRPr="006707EA">
        <w:rPr>
          <w:color w:val="000000" w:themeColor="text1"/>
        </w:rPr>
        <w:t>HE responsiveness in the institutional form cooperation takes as an interceding variable in accounting for freedom impacts, offers a way to bridge the comparative institutions</w:t>
      </w:r>
      <w:r>
        <w:rPr>
          <w:color w:val="000000" w:themeColor="text1"/>
        </w:rPr>
        <w:t xml:space="preserve"> (including feminist) and HDL literatures. </w:t>
      </w:r>
      <w:r w:rsidRPr="006707EA">
        <w:rPr>
          <w:color w:val="000000" w:themeColor="text1"/>
        </w:rPr>
        <w:t xml:space="preserve">Problems of how states treat citizens, how persons can control social relations, and </w:t>
      </w:r>
      <w:r w:rsidR="000C5C27">
        <w:rPr>
          <w:color w:val="000000" w:themeColor="text1"/>
        </w:rPr>
        <w:t xml:space="preserve">can </w:t>
      </w:r>
      <w:r w:rsidRPr="006707EA">
        <w:rPr>
          <w:color w:val="000000" w:themeColor="text1"/>
        </w:rPr>
        <w:t xml:space="preserve">have access to time, can be understood as related and shaped by the system of institutions as a whole. </w:t>
      </w:r>
      <w:r>
        <w:rPr>
          <w:color w:val="000000" w:themeColor="text1"/>
        </w:rPr>
        <w:t xml:space="preserve">The reality of HE can help explain how gender equality is central to system coherence. </w:t>
      </w:r>
    </w:p>
    <w:p w14:paraId="0652FE30" w14:textId="77777777" w:rsidR="00BE3FE3" w:rsidRDefault="00BE3FE3" w:rsidP="009633A9">
      <w:pPr>
        <w:spacing w:line="360" w:lineRule="auto"/>
        <w:ind w:right="-397"/>
        <w:jc w:val="both"/>
        <w:rPr>
          <w:color w:val="000000" w:themeColor="text1"/>
          <w:shd w:val="clear" w:color="auto" w:fill="FFFFFF"/>
        </w:rPr>
      </w:pPr>
    </w:p>
    <w:p w14:paraId="38EE2824" w14:textId="77777777" w:rsidR="00BE3FE3" w:rsidRPr="0086583E" w:rsidRDefault="00BE3FE3" w:rsidP="00C6127E">
      <w:pPr>
        <w:spacing w:line="360" w:lineRule="auto"/>
        <w:ind w:left="-397" w:right="-397"/>
        <w:jc w:val="both"/>
        <w:rPr>
          <w:b/>
          <w:color w:val="000000" w:themeColor="text1"/>
        </w:rPr>
      </w:pPr>
      <w:r>
        <w:rPr>
          <w:b/>
          <w:color w:val="000000" w:themeColor="text1"/>
        </w:rPr>
        <w:t>3</w:t>
      </w:r>
      <w:r w:rsidRPr="0086583E">
        <w:rPr>
          <w:b/>
          <w:color w:val="000000" w:themeColor="text1"/>
        </w:rPr>
        <w:t>. Public sector Development and Systems of Cooperation in Nordic and Anglo-Saxon States</w:t>
      </w:r>
    </w:p>
    <w:p w14:paraId="2386C977" w14:textId="77777777" w:rsidR="00BE3FE3" w:rsidRPr="009D2E99" w:rsidRDefault="00BE3FE3" w:rsidP="00AB76C6">
      <w:pPr>
        <w:spacing w:line="360" w:lineRule="auto"/>
        <w:ind w:left="-397" w:right="-397"/>
        <w:jc w:val="both"/>
        <w:rPr>
          <w:rFonts w:cs="Times New Roman"/>
          <w:color w:val="000000" w:themeColor="text1"/>
          <w:shd w:val="clear" w:color="auto" w:fill="FFFFFF"/>
        </w:rPr>
      </w:pPr>
    </w:p>
    <w:p w14:paraId="04EBB2A6" w14:textId="2ED3A62F" w:rsidR="00BE3FE3" w:rsidRDefault="00BE3FE3" w:rsidP="00567757">
      <w:pPr>
        <w:spacing w:line="360" w:lineRule="auto"/>
        <w:ind w:left="-397" w:right="-397"/>
        <w:jc w:val="both"/>
        <w:rPr>
          <w:rFonts w:cs="Times New Roman"/>
          <w:color w:val="000000" w:themeColor="text1"/>
          <w:shd w:val="clear" w:color="auto" w:fill="FFFFFF"/>
        </w:rPr>
      </w:pPr>
      <w:r>
        <w:rPr>
          <w:rFonts w:cs="Times New Roman"/>
          <w:color w:val="000000" w:themeColor="text1"/>
          <w:shd w:val="clear" w:color="auto" w:fill="FFFFFF"/>
        </w:rPr>
        <w:t>As in the case of WAF, c</w:t>
      </w:r>
      <w:r w:rsidRPr="009D2E99">
        <w:rPr>
          <w:rFonts w:cs="Times New Roman"/>
          <w:color w:val="000000" w:themeColor="text1"/>
          <w:shd w:val="clear" w:color="auto" w:fill="FFFFFF"/>
        </w:rPr>
        <w:t>omparative institutional literatures</w:t>
      </w:r>
      <w:r>
        <w:rPr>
          <w:rFonts w:cs="Times New Roman"/>
          <w:color w:val="000000" w:themeColor="text1"/>
          <w:shd w:val="clear" w:color="auto" w:fill="FFFFFF"/>
        </w:rPr>
        <w:t>,</w:t>
      </w:r>
      <w:r w:rsidRPr="009D2E99">
        <w:rPr>
          <w:rFonts w:cs="Times New Roman"/>
          <w:color w:val="000000" w:themeColor="text1"/>
          <w:shd w:val="clear" w:color="auto" w:fill="FFFFFF"/>
        </w:rPr>
        <w:t xml:space="preserve"> which claim or aim for value neutrality</w:t>
      </w:r>
      <w:r w:rsidR="00371445">
        <w:rPr>
          <w:rFonts w:cs="Times New Roman"/>
          <w:color w:val="000000" w:themeColor="text1"/>
          <w:shd w:val="clear" w:color="auto" w:fill="FFFFFF"/>
        </w:rPr>
        <w:t>,</w:t>
      </w:r>
      <w:r w:rsidRPr="009D2E99">
        <w:rPr>
          <w:rFonts w:cs="Times New Roman"/>
          <w:color w:val="000000" w:themeColor="text1"/>
          <w:shd w:val="clear" w:color="auto" w:fill="FFFFFF"/>
        </w:rPr>
        <w:t xml:space="preserve"> </w:t>
      </w:r>
      <w:r w:rsidR="000C5C27">
        <w:rPr>
          <w:rFonts w:cs="Times New Roman"/>
          <w:color w:val="000000" w:themeColor="text1"/>
          <w:shd w:val="clear" w:color="auto" w:fill="FFFFFF"/>
        </w:rPr>
        <w:t xml:space="preserve">also </w:t>
      </w:r>
      <w:r w:rsidRPr="009D2E99">
        <w:rPr>
          <w:rFonts w:cs="Times New Roman"/>
          <w:color w:val="000000" w:themeColor="text1"/>
          <w:shd w:val="clear" w:color="auto" w:fill="FFFFFF"/>
        </w:rPr>
        <w:t xml:space="preserve">end up being locked into a </w:t>
      </w:r>
      <w:r w:rsidR="00E50638">
        <w:rPr>
          <w:rFonts w:cs="Times New Roman"/>
          <w:color w:val="000000" w:themeColor="text1"/>
          <w:shd w:val="clear" w:color="auto" w:fill="FFFFFF"/>
        </w:rPr>
        <w:t>too linear</w:t>
      </w:r>
      <w:r w:rsidRPr="009D2E99">
        <w:rPr>
          <w:rFonts w:cs="Times New Roman"/>
          <w:color w:val="000000" w:themeColor="text1"/>
          <w:shd w:val="clear" w:color="auto" w:fill="FFFFFF"/>
        </w:rPr>
        <w:t xml:space="preserve"> analysis, which involves assuming institutions are a direct product of actors’ choices. </w:t>
      </w:r>
      <w:r>
        <w:rPr>
          <w:rFonts w:cs="Times New Roman"/>
          <w:color w:val="000000" w:themeColor="text1"/>
          <w:shd w:val="clear" w:color="auto" w:fill="FFFFFF"/>
        </w:rPr>
        <w:t xml:space="preserve">Focus on human economy as a governing constraint </w:t>
      </w:r>
      <w:r w:rsidRPr="009D2E99">
        <w:rPr>
          <w:rFonts w:cs="Times New Roman"/>
          <w:color w:val="000000" w:themeColor="text1"/>
          <w:shd w:val="clear" w:color="auto" w:fill="FFFFFF"/>
        </w:rPr>
        <w:t>transcend</w:t>
      </w:r>
      <w:r>
        <w:rPr>
          <w:rFonts w:cs="Times New Roman"/>
          <w:color w:val="000000" w:themeColor="text1"/>
          <w:shd w:val="clear" w:color="auto" w:fill="FFFFFF"/>
        </w:rPr>
        <w:t>s</w:t>
      </w:r>
      <w:r w:rsidRPr="009D2E99">
        <w:rPr>
          <w:rFonts w:cs="Times New Roman"/>
          <w:color w:val="000000" w:themeColor="text1"/>
          <w:shd w:val="clear" w:color="auto" w:fill="FFFFFF"/>
        </w:rPr>
        <w:t xml:space="preserve"> </w:t>
      </w:r>
      <w:r>
        <w:rPr>
          <w:rFonts w:cs="Times New Roman"/>
          <w:color w:val="000000" w:themeColor="text1"/>
          <w:shd w:val="clear" w:color="auto" w:fill="FFFFFF"/>
        </w:rPr>
        <w:t xml:space="preserve">a </w:t>
      </w:r>
      <w:r>
        <w:rPr>
          <w:rFonts w:cs="Times New Roman"/>
          <w:color w:val="000000" w:themeColor="text1"/>
          <w:shd w:val="clear" w:color="auto" w:fill="FFFFFF"/>
        </w:rPr>
        <w:lastRenderedPageBreak/>
        <w:t>neutrality/normativity divide within institutional studies</w:t>
      </w:r>
      <w:r w:rsidRPr="009D2E99">
        <w:rPr>
          <w:rFonts w:cs="Times New Roman"/>
          <w:color w:val="000000" w:themeColor="text1"/>
          <w:shd w:val="clear" w:color="auto" w:fill="FFFFFF"/>
        </w:rPr>
        <w:t xml:space="preserve"> by revealing underlying determinants of the functioning of institutions for particular ends</w:t>
      </w:r>
      <w:r>
        <w:rPr>
          <w:rFonts w:cs="Times New Roman"/>
          <w:color w:val="000000" w:themeColor="text1"/>
          <w:shd w:val="clear" w:color="auto" w:fill="FFFFFF"/>
        </w:rPr>
        <w:t>.</w:t>
      </w:r>
    </w:p>
    <w:p w14:paraId="61314AAB" w14:textId="77777777" w:rsidR="00BE3FE3" w:rsidRDefault="00BE3FE3" w:rsidP="00567757">
      <w:pPr>
        <w:spacing w:line="360" w:lineRule="auto"/>
        <w:ind w:left="-397" w:right="-397"/>
        <w:jc w:val="both"/>
        <w:rPr>
          <w:rFonts w:cs="Times New Roman"/>
          <w:color w:val="000000" w:themeColor="text1"/>
          <w:shd w:val="clear" w:color="auto" w:fill="FFFFFF"/>
        </w:rPr>
      </w:pPr>
    </w:p>
    <w:p w14:paraId="3B0A5D16" w14:textId="5B6EDA74" w:rsidR="00BE3FE3" w:rsidRPr="009D2E99" w:rsidRDefault="00BE3FE3" w:rsidP="004A6FCD">
      <w:pPr>
        <w:spacing w:line="360" w:lineRule="auto"/>
        <w:ind w:left="-397" w:right="-397"/>
        <w:jc w:val="both"/>
        <w:rPr>
          <w:rFonts w:cs="Times New Roman"/>
          <w:color w:val="000000" w:themeColor="text1"/>
          <w:shd w:val="clear" w:color="auto" w:fill="FFFFFF"/>
        </w:rPr>
      </w:pPr>
      <w:r>
        <w:rPr>
          <w:rFonts w:cs="Times New Roman"/>
          <w:color w:val="000000" w:themeColor="text1"/>
          <w:shd w:val="clear" w:color="auto" w:fill="FFFFFF"/>
        </w:rPr>
        <w:t>Q</w:t>
      </w:r>
      <w:r w:rsidRPr="009D2E99">
        <w:rPr>
          <w:rFonts w:cs="Times New Roman"/>
          <w:color w:val="000000" w:themeColor="text1"/>
          <w:shd w:val="clear" w:color="auto" w:fill="FFFFFF"/>
        </w:rPr>
        <w:t xml:space="preserve">uestions of value are central in distinguishing post-neo-classical and heterodox </w:t>
      </w:r>
      <w:r>
        <w:rPr>
          <w:rFonts w:cs="Times New Roman"/>
          <w:color w:val="000000" w:themeColor="text1"/>
          <w:shd w:val="clear" w:color="auto" w:fill="FFFFFF"/>
        </w:rPr>
        <w:t xml:space="preserve">economics </w:t>
      </w:r>
      <w:r w:rsidRPr="009D2E99">
        <w:rPr>
          <w:rFonts w:cs="Times New Roman"/>
          <w:color w:val="000000" w:themeColor="text1"/>
          <w:shd w:val="clear" w:color="auto" w:fill="FFFFFF"/>
        </w:rPr>
        <w:t>analyses of institutions, in terms of the way institutions are conceptualis</w:t>
      </w:r>
      <w:r>
        <w:rPr>
          <w:rFonts w:cs="Times New Roman"/>
          <w:color w:val="000000" w:themeColor="text1"/>
          <w:shd w:val="clear" w:color="auto" w:fill="FFFFFF"/>
        </w:rPr>
        <w:t>ed as arising and having effect.</w:t>
      </w:r>
      <w:r w:rsidRPr="009D2E99">
        <w:rPr>
          <w:rFonts w:cs="Times New Roman"/>
          <w:color w:val="000000" w:themeColor="text1"/>
          <w:shd w:val="clear" w:color="auto" w:fill="FFFFFF"/>
        </w:rPr>
        <w:t xml:space="preserve"> </w:t>
      </w:r>
      <w:r>
        <w:rPr>
          <w:rFonts w:cs="Times New Roman"/>
          <w:color w:val="000000" w:themeColor="text1"/>
          <w:shd w:val="clear" w:color="auto" w:fill="FFFFFF"/>
        </w:rPr>
        <w:t xml:space="preserve">The </w:t>
      </w:r>
      <w:r w:rsidRPr="009D2E99">
        <w:rPr>
          <w:rFonts w:cs="Times New Roman"/>
          <w:color w:val="000000" w:themeColor="text1"/>
          <w:shd w:val="clear" w:color="auto" w:fill="FFFFFF"/>
        </w:rPr>
        <w:t>two traditions share certain trait</w:t>
      </w:r>
      <w:r>
        <w:rPr>
          <w:rFonts w:cs="Times New Roman"/>
          <w:color w:val="000000" w:themeColor="text1"/>
          <w:shd w:val="clear" w:color="auto" w:fill="FFFFFF"/>
        </w:rPr>
        <w:t xml:space="preserve">s; </w:t>
      </w:r>
      <w:r w:rsidRPr="009D2E99">
        <w:rPr>
          <w:rFonts w:cs="Times New Roman"/>
          <w:color w:val="000000" w:themeColor="text1"/>
          <w:shd w:val="clear" w:color="auto" w:fill="FFFFFF"/>
        </w:rPr>
        <w:t>including</w:t>
      </w:r>
      <w:r w:rsidR="000C5C27">
        <w:rPr>
          <w:rFonts w:cs="Times New Roman"/>
          <w:color w:val="000000" w:themeColor="text1"/>
          <w:shd w:val="clear" w:color="auto" w:fill="FFFFFF"/>
        </w:rPr>
        <w:t xml:space="preserve"> </w:t>
      </w:r>
      <w:r w:rsidRPr="009D2E99">
        <w:rPr>
          <w:rFonts w:cs="Times New Roman"/>
          <w:color w:val="000000" w:themeColor="text1"/>
          <w:shd w:val="clear" w:color="auto" w:fill="FFFFFF"/>
        </w:rPr>
        <w:t xml:space="preserve">to recognize </w:t>
      </w:r>
      <w:r w:rsidR="000C5C27">
        <w:rPr>
          <w:rFonts w:cs="Times New Roman"/>
          <w:color w:val="000000" w:themeColor="text1"/>
          <w:shd w:val="clear" w:color="auto" w:fill="FFFFFF"/>
        </w:rPr>
        <w:t>(</w:t>
      </w:r>
      <w:proofErr w:type="spellStart"/>
      <w:r w:rsidR="000C5C27">
        <w:rPr>
          <w:rFonts w:cs="Times New Roman"/>
          <w:color w:val="000000" w:themeColor="text1"/>
          <w:shd w:val="clear" w:color="auto" w:fill="FFFFFF"/>
        </w:rPr>
        <w:t>i</w:t>
      </w:r>
      <w:proofErr w:type="spellEnd"/>
      <w:r w:rsidR="000C5C27">
        <w:rPr>
          <w:rFonts w:cs="Times New Roman"/>
          <w:color w:val="000000" w:themeColor="text1"/>
          <w:shd w:val="clear" w:color="auto" w:fill="FFFFFF"/>
        </w:rPr>
        <w:t xml:space="preserve">) </w:t>
      </w:r>
      <w:r w:rsidRPr="009D2E99">
        <w:rPr>
          <w:rFonts w:cs="Times New Roman"/>
          <w:color w:val="000000" w:themeColor="text1"/>
          <w:shd w:val="clear" w:color="auto" w:fill="FFFFFF"/>
        </w:rPr>
        <w:t>the importance of security in individual motivation (North</w:t>
      </w:r>
      <w:r>
        <w:rPr>
          <w:rFonts w:cs="Times New Roman"/>
          <w:color w:val="000000" w:themeColor="text1"/>
          <w:shd w:val="clear" w:color="auto" w:fill="FFFFFF"/>
        </w:rPr>
        <w:t>,</w:t>
      </w:r>
      <w:r w:rsidRPr="009D2E99">
        <w:rPr>
          <w:rFonts w:cs="Times New Roman"/>
          <w:color w:val="000000" w:themeColor="text1"/>
          <w:shd w:val="clear" w:color="auto" w:fill="FFFFFF"/>
        </w:rPr>
        <w:t xml:space="preserve"> 2005, </w:t>
      </w:r>
      <w:r>
        <w:rPr>
          <w:rFonts w:cs="Times New Roman"/>
          <w:color w:val="000000" w:themeColor="text1"/>
          <w:shd w:val="clear" w:color="auto" w:fill="FFFFFF"/>
        </w:rPr>
        <w:t xml:space="preserve">pp. </w:t>
      </w:r>
      <w:r w:rsidRPr="009D2E99">
        <w:rPr>
          <w:rFonts w:cs="Times New Roman"/>
          <w:color w:val="000000" w:themeColor="text1"/>
          <w:shd w:val="clear" w:color="auto" w:fill="FFFFFF"/>
        </w:rPr>
        <w:t>13-15)</w:t>
      </w:r>
      <w:r>
        <w:rPr>
          <w:rFonts w:cs="Times New Roman"/>
          <w:color w:val="000000" w:themeColor="text1"/>
          <w:shd w:val="clear" w:color="auto" w:fill="FFFFFF"/>
        </w:rPr>
        <w:t xml:space="preserve">; </w:t>
      </w:r>
      <w:r w:rsidR="000C5C27">
        <w:rPr>
          <w:rFonts w:cs="Times New Roman"/>
          <w:color w:val="000000" w:themeColor="text1"/>
          <w:shd w:val="clear" w:color="auto" w:fill="FFFFFF"/>
        </w:rPr>
        <w:t xml:space="preserve">and </w:t>
      </w:r>
      <w:r>
        <w:rPr>
          <w:rFonts w:cs="Times New Roman"/>
          <w:color w:val="000000" w:themeColor="text1"/>
          <w:shd w:val="clear" w:color="auto" w:fill="FFFFFF"/>
        </w:rPr>
        <w:t xml:space="preserve">(ii) the pivotal </w:t>
      </w:r>
      <w:r w:rsidRPr="009D2E99">
        <w:rPr>
          <w:rFonts w:cs="Times New Roman"/>
          <w:color w:val="000000" w:themeColor="text1"/>
          <w:shd w:val="clear" w:color="auto" w:fill="FFFFFF"/>
        </w:rPr>
        <w:t>role of institutions in transforming uncertainty into calculated risk (North</w:t>
      </w:r>
      <w:r>
        <w:rPr>
          <w:rFonts w:cs="Times New Roman"/>
          <w:color w:val="000000" w:themeColor="text1"/>
          <w:shd w:val="clear" w:color="auto" w:fill="FFFFFF"/>
        </w:rPr>
        <w:t>,</w:t>
      </w:r>
      <w:r w:rsidRPr="009D2E99">
        <w:rPr>
          <w:rFonts w:cs="Times New Roman"/>
          <w:color w:val="000000" w:themeColor="text1"/>
          <w:shd w:val="clear" w:color="auto" w:fill="FFFFFF"/>
        </w:rPr>
        <w:t xml:space="preserve"> 2005</w:t>
      </w:r>
      <w:r>
        <w:rPr>
          <w:rFonts w:cs="Times New Roman"/>
          <w:color w:val="000000" w:themeColor="text1"/>
          <w:shd w:val="clear" w:color="auto" w:fill="FFFFFF"/>
        </w:rPr>
        <w:t xml:space="preserve">; </w:t>
      </w:r>
      <w:proofErr w:type="spellStart"/>
      <w:r w:rsidRPr="009D2E99">
        <w:rPr>
          <w:rFonts w:cs="Times New Roman"/>
          <w:color w:val="000000" w:themeColor="text1"/>
          <w:shd w:val="clear" w:color="auto" w:fill="FFFFFF"/>
        </w:rPr>
        <w:t>Eggertson</w:t>
      </w:r>
      <w:proofErr w:type="spellEnd"/>
      <w:r>
        <w:rPr>
          <w:rFonts w:cs="Times New Roman"/>
          <w:color w:val="000000" w:themeColor="text1"/>
          <w:shd w:val="clear" w:color="auto" w:fill="FFFFFF"/>
        </w:rPr>
        <w:t>,</w:t>
      </w:r>
      <w:r w:rsidRPr="009D2E99">
        <w:rPr>
          <w:rFonts w:cs="Times New Roman"/>
          <w:color w:val="000000" w:themeColor="text1"/>
          <w:shd w:val="clear" w:color="auto" w:fill="FFFFFF"/>
        </w:rPr>
        <w:t xml:space="preserve"> 1990, </w:t>
      </w:r>
      <w:r>
        <w:rPr>
          <w:rFonts w:cs="Times New Roman"/>
          <w:color w:val="000000" w:themeColor="text1"/>
          <w:shd w:val="clear" w:color="auto" w:fill="FFFFFF"/>
        </w:rPr>
        <w:t xml:space="preserve">pp. </w:t>
      </w:r>
      <w:r w:rsidRPr="009D2E99">
        <w:rPr>
          <w:rFonts w:cs="Times New Roman"/>
          <w:color w:val="000000" w:themeColor="text1"/>
          <w:shd w:val="clear" w:color="auto" w:fill="FFFFFF"/>
        </w:rPr>
        <w:t>26-27) and forging underlying forms of coincidence of interest (political security</w:t>
      </w:r>
      <w:r w:rsidR="00584036">
        <w:rPr>
          <w:rFonts w:cs="Times New Roman"/>
          <w:color w:val="000000" w:themeColor="text1"/>
          <w:shd w:val="clear" w:color="auto" w:fill="FFFFFF"/>
        </w:rPr>
        <w:t xml:space="preserve">; </w:t>
      </w:r>
      <w:r w:rsidRPr="009D2E99">
        <w:rPr>
          <w:rFonts w:cs="Times New Roman"/>
          <w:color w:val="000000" w:themeColor="text1"/>
          <w:shd w:val="clear" w:color="auto" w:fill="FFFFFF"/>
        </w:rPr>
        <w:t>Bates</w:t>
      </w:r>
      <w:r>
        <w:rPr>
          <w:rFonts w:cs="Times New Roman"/>
          <w:color w:val="000000" w:themeColor="text1"/>
          <w:shd w:val="clear" w:color="auto" w:fill="FFFFFF"/>
        </w:rPr>
        <w:t>,</w:t>
      </w:r>
      <w:r w:rsidRPr="009D2E99">
        <w:rPr>
          <w:rFonts w:cs="Times New Roman"/>
          <w:color w:val="000000" w:themeColor="text1"/>
          <w:shd w:val="clear" w:color="auto" w:fill="FFFFFF"/>
        </w:rPr>
        <w:t xml:space="preserve"> 2006, </w:t>
      </w:r>
      <w:r>
        <w:rPr>
          <w:rFonts w:cs="Times New Roman"/>
          <w:color w:val="000000" w:themeColor="text1"/>
          <w:shd w:val="clear" w:color="auto" w:fill="FFFFFF"/>
        </w:rPr>
        <w:t xml:space="preserve">p. 709; </w:t>
      </w:r>
      <w:proofErr w:type="spellStart"/>
      <w:r>
        <w:rPr>
          <w:rFonts w:cs="Times New Roman"/>
          <w:color w:val="000000" w:themeColor="text1"/>
          <w:shd w:val="clear" w:color="auto" w:fill="FFFFFF"/>
        </w:rPr>
        <w:t>Steinmo</w:t>
      </w:r>
      <w:proofErr w:type="spellEnd"/>
      <w:r w:rsidR="00584036">
        <w:rPr>
          <w:rFonts w:cs="Times New Roman"/>
          <w:color w:val="000000" w:themeColor="text1"/>
          <w:shd w:val="clear" w:color="auto" w:fill="FFFFFF"/>
        </w:rPr>
        <w:t>,</w:t>
      </w:r>
      <w:r>
        <w:rPr>
          <w:rFonts w:cs="Times New Roman"/>
          <w:color w:val="000000" w:themeColor="text1"/>
          <w:shd w:val="clear" w:color="auto" w:fill="FFFFFF"/>
        </w:rPr>
        <w:t xml:space="preserve"> 2018</w:t>
      </w:r>
      <w:r w:rsidRPr="009D2E99">
        <w:rPr>
          <w:rFonts w:cs="Times New Roman"/>
          <w:color w:val="000000" w:themeColor="text1"/>
          <w:shd w:val="clear" w:color="auto" w:fill="FFFFFF"/>
        </w:rPr>
        <w:t xml:space="preserve">). </w:t>
      </w:r>
    </w:p>
    <w:p w14:paraId="17A1DC1A" w14:textId="77777777" w:rsidR="00BE3FE3" w:rsidRPr="009D2E99" w:rsidRDefault="00BE3FE3" w:rsidP="00383B4B">
      <w:pPr>
        <w:spacing w:line="360" w:lineRule="auto"/>
        <w:ind w:right="-397"/>
        <w:jc w:val="both"/>
        <w:rPr>
          <w:rFonts w:cs="Times New Roman"/>
          <w:color w:val="000000" w:themeColor="text1"/>
          <w:shd w:val="clear" w:color="auto" w:fill="FFFFFF"/>
        </w:rPr>
      </w:pPr>
    </w:p>
    <w:p w14:paraId="37859362" w14:textId="324CA56C" w:rsidR="00BE3FE3" w:rsidRDefault="00BE3FE3" w:rsidP="00532758">
      <w:pPr>
        <w:spacing w:line="360" w:lineRule="auto"/>
        <w:ind w:left="-397" w:right="-397"/>
        <w:jc w:val="both"/>
        <w:rPr>
          <w:rFonts w:cs="Times New Roman"/>
          <w:color w:val="000000" w:themeColor="text1"/>
          <w:shd w:val="clear" w:color="auto" w:fill="FFFFFF"/>
        </w:rPr>
      </w:pPr>
      <w:r w:rsidRPr="009D2E99">
        <w:rPr>
          <w:rFonts w:cs="Times New Roman"/>
          <w:color w:val="000000" w:themeColor="text1"/>
          <w:shd w:val="clear" w:color="auto" w:fill="FFFFFF"/>
        </w:rPr>
        <w:t xml:space="preserve">North’s </w:t>
      </w:r>
      <w:r>
        <w:rPr>
          <w:rFonts w:cs="Times New Roman"/>
          <w:color w:val="000000" w:themeColor="text1"/>
          <w:shd w:val="clear" w:color="auto" w:fill="FFFFFF"/>
        </w:rPr>
        <w:t xml:space="preserve">(2005) </w:t>
      </w:r>
      <w:r w:rsidRPr="009D2E99">
        <w:rPr>
          <w:rFonts w:cs="Times New Roman"/>
          <w:color w:val="000000" w:themeColor="text1"/>
          <w:shd w:val="clear" w:color="auto" w:fill="FFFFFF"/>
        </w:rPr>
        <w:t>tradition is post-neo-classical in that it</w:t>
      </w:r>
      <w:r w:rsidR="000C5C27">
        <w:rPr>
          <w:rFonts w:cs="Times New Roman"/>
          <w:color w:val="000000" w:themeColor="text1"/>
          <w:shd w:val="clear" w:color="auto" w:fill="FFFFFF"/>
        </w:rPr>
        <w:t xml:space="preserve"> lays emphasis on </w:t>
      </w:r>
      <w:r w:rsidRPr="009D2E99">
        <w:rPr>
          <w:rFonts w:cs="Times New Roman"/>
          <w:color w:val="000000" w:themeColor="text1"/>
          <w:shd w:val="clear" w:color="auto" w:fill="FFFFFF"/>
        </w:rPr>
        <w:t>the state’s role in relation to the maintenance of stable institutions in support of market-transacting economies, which are themselves seen as rational (Williamson</w:t>
      </w:r>
      <w:r>
        <w:rPr>
          <w:rFonts w:cs="Times New Roman"/>
          <w:color w:val="000000" w:themeColor="text1"/>
          <w:shd w:val="clear" w:color="auto" w:fill="FFFFFF"/>
        </w:rPr>
        <w:t>,</w:t>
      </w:r>
      <w:r w:rsidRPr="009D2E99">
        <w:rPr>
          <w:rFonts w:cs="Times New Roman"/>
          <w:color w:val="000000" w:themeColor="text1"/>
          <w:shd w:val="clear" w:color="auto" w:fill="FFFFFF"/>
        </w:rPr>
        <w:t xml:space="preserve"> 1985, </w:t>
      </w:r>
      <w:r>
        <w:rPr>
          <w:rFonts w:cs="Times New Roman"/>
          <w:color w:val="000000" w:themeColor="text1"/>
          <w:shd w:val="clear" w:color="auto" w:fill="FFFFFF"/>
        </w:rPr>
        <w:t xml:space="preserve">pp. </w:t>
      </w:r>
      <w:r w:rsidRPr="009D2E99">
        <w:rPr>
          <w:rFonts w:cs="Times New Roman"/>
          <w:color w:val="000000" w:themeColor="text1"/>
          <w:shd w:val="clear" w:color="auto" w:fill="FFFFFF"/>
        </w:rPr>
        <w:t>68-75). In contrast, heterodox approaches such as institutionalist political economy tend to at least implicitly privilege understanding of the role of r</w:t>
      </w:r>
      <w:r>
        <w:rPr>
          <w:rFonts w:cs="Times New Roman"/>
          <w:color w:val="000000" w:themeColor="text1"/>
          <w:shd w:val="clear" w:color="auto" w:fill="FFFFFF"/>
        </w:rPr>
        <w:t xml:space="preserve">egulation in generating </w:t>
      </w:r>
      <w:r w:rsidRPr="009D2E99">
        <w:rPr>
          <w:rFonts w:cs="Times New Roman"/>
          <w:color w:val="000000" w:themeColor="text1"/>
          <w:shd w:val="clear" w:color="auto" w:fill="FFFFFF"/>
        </w:rPr>
        <w:t>more egalitarian development outcomes, e.g. actively regulating the labour market is both inescapable (You and Chang</w:t>
      </w:r>
      <w:r>
        <w:rPr>
          <w:rFonts w:cs="Times New Roman"/>
          <w:color w:val="000000" w:themeColor="text1"/>
          <w:shd w:val="clear" w:color="auto" w:fill="FFFFFF"/>
        </w:rPr>
        <w:t>,</w:t>
      </w:r>
      <w:r w:rsidRPr="009D2E99">
        <w:rPr>
          <w:rFonts w:cs="Times New Roman"/>
          <w:color w:val="000000" w:themeColor="text1"/>
          <w:shd w:val="clear" w:color="auto" w:fill="FFFFFF"/>
        </w:rPr>
        <w:t xml:space="preserve"> 1993), and part of ‘civilisation’</w:t>
      </w:r>
      <w:r>
        <w:rPr>
          <w:rFonts w:cs="Times New Roman"/>
          <w:color w:val="000000" w:themeColor="text1"/>
          <w:shd w:val="clear" w:color="auto" w:fill="FFFFFF"/>
        </w:rPr>
        <w:t xml:space="preserve"> – as in the case of</w:t>
      </w:r>
      <w:r w:rsidRPr="009D2E99">
        <w:rPr>
          <w:rFonts w:cs="Times New Roman"/>
          <w:color w:val="000000" w:themeColor="text1"/>
          <w:shd w:val="clear" w:color="auto" w:fill="FFFFFF"/>
        </w:rPr>
        <w:t xml:space="preserve"> regulating child labour (Chang</w:t>
      </w:r>
      <w:r>
        <w:rPr>
          <w:rFonts w:cs="Times New Roman"/>
          <w:color w:val="000000" w:themeColor="text1"/>
          <w:shd w:val="clear" w:color="auto" w:fill="FFFFFF"/>
        </w:rPr>
        <w:t>,</w:t>
      </w:r>
      <w:r w:rsidRPr="009D2E99">
        <w:rPr>
          <w:rFonts w:cs="Times New Roman"/>
          <w:color w:val="000000" w:themeColor="text1"/>
          <w:shd w:val="clear" w:color="auto" w:fill="FFFFFF"/>
        </w:rPr>
        <w:t xml:space="preserve"> 200</w:t>
      </w:r>
      <w:r>
        <w:rPr>
          <w:rFonts w:cs="Times New Roman"/>
          <w:color w:val="000000" w:themeColor="text1"/>
          <w:shd w:val="clear" w:color="auto" w:fill="FFFFFF"/>
        </w:rPr>
        <w:t>3</w:t>
      </w:r>
      <w:r w:rsidRPr="009D2E99">
        <w:rPr>
          <w:rFonts w:cs="Times New Roman"/>
          <w:color w:val="000000" w:themeColor="text1"/>
          <w:shd w:val="clear" w:color="auto" w:fill="FFFFFF"/>
        </w:rPr>
        <w:t xml:space="preserve">, </w:t>
      </w:r>
      <w:r>
        <w:rPr>
          <w:rFonts w:cs="Times New Roman"/>
          <w:color w:val="000000" w:themeColor="text1"/>
          <w:shd w:val="clear" w:color="auto" w:fill="FFFFFF"/>
        </w:rPr>
        <w:t xml:space="preserve">pp. </w:t>
      </w:r>
      <w:r w:rsidRPr="009D2E99">
        <w:rPr>
          <w:rFonts w:cs="Times New Roman"/>
          <w:color w:val="000000" w:themeColor="text1"/>
          <w:shd w:val="clear" w:color="auto" w:fill="FFFFFF"/>
        </w:rPr>
        <w:t>542-543</w:t>
      </w:r>
      <w:r>
        <w:rPr>
          <w:rFonts w:cs="Times New Roman"/>
          <w:color w:val="000000" w:themeColor="text1"/>
          <w:shd w:val="clear" w:color="auto" w:fill="FFFFFF"/>
        </w:rPr>
        <w:t xml:space="preserve">; </w:t>
      </w:r>
      <w:r w:rsidRPr="009D2E99">
        <w:rPr>
          <w:rFonts w:cs="Times New Roman"/>
          <w:color w:val="000000" w:themeColor="text1"/>
          <w:shd w:val="clear" w:color="auto" w:fill="FFFFFF"/>
        </w:rPr>
        <w:t>Solow</w:t>
      </w:r>
      <w:r>
        <w:rPr>
          <w:rFonts w:cs="Times New Roman"/>
          <w:color w:val="000000" w:themeColor="text1"/>
          <w:shd w:val="clear" w:color="auto" w:fill="FFFFFF"/>
        </w:rPr>
        <w:t>,</w:t>
      </w:r>
      <w:r w:rsidRPr="009D2E99">
        <w:rPr>
          <w:rFonts w:cs="Times New Roman"/>
          <w:color w:val="000000" w:themeColor="text1"/>
          <w:shd w:val="clear" w:color="auto" w:fill="FFFFFF"/>
        </w:rPr>
        <w:t xml:space="preserve"> 1980</w:t>
      </w:r>
      <w:r>
        <w:rPr>
          <w:rFonts w:cs="Times New Roman"/>
          <w:color w:val="000000" w:themeColor="text1"/>
          <w:shd w:val="clear" w:color="auto" w:fill="FFFFFF"/>
        </w:rPr>
        <w:t>). Further to this, however, I want to highlight how political choices are constrained by deeper forces.</w:t>
      </w:r>
      <w:r w:rsidR="000C5C27">
        <w:rPr>
          <w:rFonts w:cs="Times New Roman"/>
          <w:color w:val="000000" w:themeColor="text1"/>
          <w:shd w:val="clear" w:color="auto" w:fill="FFFFFF"/>
        </w:rPr>
        <w:t xml:space="preserve"> Specifically,</w:t>
      </w:r>
      <w:r>
        <w:rPr>
          <w:rFonts w:cs="Times New Roman"/>
          <w:color w:val="000000" w:themeColor="text1"/>
          <w:shd w:val="clear" w:color="auto" w:fill="FFFFFF"/>
        </w:rPr>
        <w:t xml:space="preserve"> </w:t>
      </w:r>
      <w:r w:rsidR="000C5C27">
        <w:rPr>
          <w:rFonts w:cs="Times New Roman"/>
          <w:color w:val="000000" w:themeColor="text1"/>
          <w:shd w:val="clear" w:color="auto" w:fill="FFFFFF"/>
        </w:rPr>
        <w:t xml:space="preserve">we can expect </w:t>
      </w:r>
      <w:proofErr w:type="gramStart"/>
      <w:r w:rsidR="000C5C27">
        <w:rPr>
          <w:rFonts w:cs="Times New Roman"/>
          <w:color w:val="000000" w:themeColor="text1"/>
          <w:shd w:val="clear" w:color="auto" w:fill="FFFFFF"/>
        </w:rPr>
        <w:t>that  -</w:t>
      </w:r>
      <w:proofErr w:type="gramEnd"/>
      <w:r w:rsidR="000C5C27">
        <w:rPr>
          <w:rFonts w:cs="Times New Roman"/>
          <w:color w:val="000000" w:themeColor="text1"/>
          <w:shd w:val="clear" w:color="auto" w:fill="FFFFFF"/>
        </w:rPr>
        <w:t xml:space="preserve"> irrespective of the motivations at stake - the effect</w:t>
      </w:r>
      <w:r>
        <w:rPr>
          <w:rFonts w:cs="Times New Roman"/>
          <w:color w:val="000000" w:themeColor="text1"/>
          <w:shd w:val="clear" w:color="auto" w:fill="FFFFFF"/>
        </w:rPr>
        <w:t xml:space="preserve"> </w:t>
      </w:r>
      <w:r w:rsidR="000C5C27">
        <w:rPr>
          <w:rFonts w:cs="Times New Roman"/>
          <w:color w:val="000000" w:themeColor="text1"/>
          <w:shd w:val="clear" w:color="auto" w:fill="FFFFFF"/>
        </w:rPr>
        <w:t xml:space="preserve">on systems’ function </w:t>
      </w:r>
      <w:r>
        <w:rPr>
          <w:rFonts w:cs="Times New Roman"/>
          <w:color w:val="000000" w:themeColor="text1"/>
          <w:shd w:val="clear" w:color="auto" w:fill="FFFFFF"/>
        </w:rPr>
        <w:t xml:space="preserve">of choices </w:t>
      </w:r>
      <w:r w:rsidR="000C5C27">
        <w:rPr>
          <w:rFonts w:cs="Times New Roman"/>
          <w:color w:val="000000" w:themeColor="text1"/>
          <w:shd w:val="clear" w:color="auto" w:fill="FFFFFF"/>
        </w:rPr>
        <w:t xml:space="preserve">about institutions design </w:t>
      </w:r>
      <w:r>
        <w:rPr>
          <w:rFonts w:cs="Times New Roman"/>
          <w:color w:val="000000" w:themeColor="text1"/>
          <w:shd w:val="clear" w:color="auto" w:fill="FFFFFF"/>
        </w:rPr>
        <w:t>depend on the level of HE responsiveness</w:t>
      </w:r>
      <w:r w:rsidR="000C5C27">
        <w:rPr>
          <w:rFonts w:cs="Times New Roman"/>
          <w:color w:val="000000" w:themeColor="text1"/>
          <w:shd w:val="clear" w:color="auto" w:fill="FFFFFF"/>
        </w:rPr>
        <w:t xml:space="preserve"> involved</w:t>
      </w:r>
      <w:r>
        <w:rPr>
          <w:rFonts w:cs="Times New Roman"/>
          <w:color w:val="000000" w:themeColor="text1"/>
          <w:shd w:val="clear" w:color="auto" w:fill="FFFFFF"/>
        </w:rPr>
        <w:t xml:space="preserve">. </w:t>
      </w:r>
    </w:p>
    <w:p w14:paraId="1A73EA73" w14:textId="77777777" w:rsidR="00BE3FE3" w:rsidRDefault="00BE3FE3" w:rsidP="00AB76C6">
      <w:pPr>
        <w:spacing w:line="360" w:lineRule="auto"/>
        <w:ind w:left="-397" w:right="-397"/>
        <w:jc w:val="both"/>
        <w:rPr>
          <w:rFonts w:cs="Times New Roman"/>
          <w:color w:val="000000" w:themeColor="text1"/>
          <w:shd w:val="clear" w:color="auto" w:fill="FFFFFF"/>
        </w:rPr>
      </w:pPr>
    </w:p>
    <w:p w14:paraId="6BF5FB11" w14:textId="0615203E" w:rsidR="00BE3FE3" w:rsidRDefault="00BE3FE3" w:rsidP="0013446D">
      <w:pPr>
        <w:spacing w:line="360" w:lineRule="auto"/>
        <w:ind w:left="-397" w:right="-397"/>
        <w:jc w:val="both"/>
        <w:rPr>
          <w:rFonts w:cs="Times New Roman"/>
          <w:color w:val="000000" w:themeColor="text1"/>
          <w:shd w:val="clear" w:color="auto" w:fill="FFFFFF"/>
        </w:rPr>
      </w:pPr>
      <w:r>
        <w:rPr>
          <w:rFonts w:cs="Times New Roman"/>
          <w:color w:val="000000" w:themeColor="text1"/>
          <w:shd w:val="clear" w:color="auto" w:fill="FFFFFF"/>
        </w:rPr>
        <w:t>The SVL has identified factors that distinguish systems, respectively being ‘de-commodification’ (protection from market</w:t>
      </w:r>
      <w:r w:rsidR="00DA73C0">
        <w:rPr>
          <w:rFonts w:cs="Times New Roman"/>
          <w:color w:val="000000" w:themeColor="text1"/>
          <w:shd w:val="clear" w:color="auto" w:fill="FFFFFF"/>
        </w:rPr>
        <w:t>ized</w:t>
      </w:r>
      <w:r>
        <w:rPr>
          <w:rFonts w:cs="Times New Roman"/>
          <w:color w:val="000000" w:themeColor="text1"/>
          <w:shd w:val="clear" w:color="auto" w:fill="FFFFFF"/>
        </w:rPr>
        <w:t xml:space="preserve"> relations) in the Welfare State Varieties (WSV) school - led by </w:t>
      </w:r>
      <w:proofErr w:type="spellStart"/>
      <w:r>
        <w:rPr>
          <w:rFonts w:cs="Times New Roman"/>
          <w:color w:val="000000" w:themeColor="text1"/>
          <w:shd w:val="clear" w:color="auto" w:fill="FFFFFF"/>
        </w:rPr>
        <w:t>Esping</w:t>
      </w:r>
      <w:proofErr w:type="spellEnd"/>
      <w:r>
        <w:rPr>
          <w:rFonts w:cs="Times New Roman"/>
          <w:color w:val="000000" w:themeColor="text1"/>
          <w:shd w:val="clear" w:color="auto" w:fill="FFFFFF"/>
        </w:rPr>
        <w:t xml:space="preserve">-Anderson (1990), and the organisation of skills in the Varieties of </w:t>
      </w:r>
      <w:r w:rsidRPr="007E3341">
        <w:rPr>
          <w:rFonts w:cs="Times New Roman"/>
          <w:color w:val="000000" w:themeColor="text1"/>
          <w:shd w:val="clear" w:color="auto" w:fill="FFFFFF"/>
        </w:rPr>
        <w:t>Capitalism (</w:t>
      </w:r>
      <w:proofErr w:type="spellStart"/>
      <w:r w:rsidRPr="007E3341">
        <w:rPr>
          <w:rFonts w:cs="Times New Roman"/>
          <w:color w:val="000000" w:themeColor="text1"/>
          <w:shd w:val="clear" w:color="auto" w:fill="FFFFFF"/>
        </w:rPr>
        <w:t>VoC</w:t>
      </w:r>
      <w:proofErr w:type="spellEnd"/>
      <w:r w:rsidRPr="007E3341">
        <w:rPr>
          <w:rFonts w:cs="Times New Roman"/>
          <w:color w:val="000000" w:themeColor="text1"/>
          <w:shd w:val="clear" w:color="auto" w:fill="FFFFFF"/>
        </w:rPr>
        <w:t>) approach. I argue</w:t>
      </w:r>
      <w:r>
        <w:rPr>
          <w:rFonts w:cs="Times New Roman"/>
          <w:color w:val="000000" w:themeColor="text1"/>
          <w:shd w:val="clear" w:color="auto" w:fill="FFFFFF"/>
        </w:rPr>
        <w:t>,</w:t>
      </w:r>
      <w:r w:rsidRPr="007E3341">
        <w:rPr>
          <w:rFonts w:cs="Times New Roman"/>
          <w:color w:val="000000" w:themeColor="text1"/>
          <w:shd w:val="clear" w:color="auto" w:fill="FFFFFF"/>
        </w:rPr>
        <w:t xml:space="preserve"> however</w:t>
      </w:r>
      <w:r>
        <w:rPr>
          <w:rFonts w:cs="Times New Roman"/>
          <w:color w:val="000000" w:themeColor="text1"/>
          <w:shd w:val="clear" w:color="auto" w:fill="FFFFFF"/>
        </w:rPr>
        <w:t>,</w:t>
      </w:r>
      <w:r w:rsidRPr="007E3341">
        <w:rPr>
          <w:rFonts w:cs="Times New Roman"/>
          <w:color w:val="000000" w:themeColor="text1"/>
          <w:shd w:val="clear" w:color="auto" w:fill="FFFFFF"/>
        </w:rPr>
        <w:t xml:space="preserve"> that identifying de-commodification and skills organisation g</w:t>
      </w:r>
      <w:r>
        <w:rPr>
          <w:rFonts w:cs="Times New Roman"/>
          <w:color w:val="000000" w:themeColor="text1"/>
          <w:shd w:val="clear" w:color="auto" w:fill="FFFFFF"/>
        </w:rPr>
        <w:t xml:space="preserve">ets us only halfway to </w:t>
      </w:r>
      <w:r w:rsidRPr="007E3341">
        <w:rPr>
          <w:rFonts w:cs="Times New Roman"/>
          <w:color w:val="000000" w:themeColor="text1"/>
          <w:shd w:val="clear" w:color="auto" w:fill="FFFFFF"/>
        </w:rPr>
        <w:t>recognizing the human economy as a deeper constraint behind human systems.</w:t>
      </w:r>
    </w:p>
    <w:p w14:paraId="56ADAB58" w14:textId="77777777" w:rsidR="00BE3FE3" w:rsidRDefault="00BE3FE3" w:rsidP="00D03E4C">
      <w:pPr>
        <w:spacing w:line="360" w:lineRule="auto"/>
        <w:ind w:left="-397" w:right="-397"/>
        <w:jc w:val="both"/>
        <w:rPr>
          <w:color w:val="000000" w:themeColor="text1"/>
        </w:rPr>
      </w:pPr>
    </w:p>
    <w:p w14:paraId="2B18A44E" w14:textId="5F264088" w:rsidR="005B5806" w:rsidRDefault="00BE3FE3" w:rsidP="00327C34">
      <w:pPr>
        <w:spacing w:line="360" w:lineRule="auto"/>
        <w:ind w:left="-397" w:right="-397"/>
        <w:jc w:val="both"/>
        <w:rPr>
          <w:color w:val="000000" w:themeColor="text1"/>
        </w:rPr>
      </w:pPr>
      <w:proofErr w:type="spellStart"/>
      <w:r w:rsidRPr="00791CC9">
        <w:rPr>
          <w:color w:val="000000" w:themeColor="text1"/>
        </w:rPr>
        <w:t>Esping</w:t>
      </w:r>
      <w:proofErr w:type="spellEnd"/>
      <w:r w:rsidRPr="00791CC9">
        <w:rPr>
          <w:color w:val="000000" w:themeColor="text1"/>
        </w:rPr>
        <w:t xml:space="preserve">-Andersen (1990, </w:t>
      </w:r>
      <w:r>
        <w:rPr>
          <w:color w:val="000000" w:themeColor="text1"/>
        </w:rPr>
        <w:t xml:space="preserve">p. </w:t>
      </w:r>
      <w:r w:rsidRPr="00791CC9">
        <w:rPr>
          <w:color w:val="000000" w:themeColor="text1"/>
        </w:rPr>
        <w:t>37) classified welfare systems by use of a freedom meas</w:t>
      </w:r>
      <w:r>
        <w:rPr>
          <w:color w:val="000000" w:themeColor="text1"/>
        </w:rPr>
        <w:t>ure, de-commodification. On the other hand</w:t>
      </w:r>
      <w:r w:rsidRPr="00791CC9">
        <w:rPr>
          <w:color w:val="000000" w:themeColor="text1"/>
        </w:rPr>
        <w:t>, relating his definition to a feature of institutions</w:t>
      </w:r>
      <w:r>
        <w:rPr>
          <w:color w:val="000000" w:themeColor="text1"/>
        </w:rPr>
        <w:t xml:space="preserve">, </w:t>
      </w:r>
      <w:r w:rsidRPr="00791CC9">
        <w:rPr>
          <w:color w:val="000000" w:themeColor="text1"/>
        </w:rPr>
        <w:t>e.g. protection from wag</w:t>
      </w:r>
      <w:r>
        <w:rPr>
          <w:color w:val="000000" w:themeColor="text1"/>
        </w:rPr>
        <w:t>e-related employment; like WAF</w:t>
      </w:r>
      <w:r w:rsidR="000553FC">
        <w:rPr>
          <w:color w:val="000000" w:themeColor="text1"/>
        </w:rPr>
        <w:t xml:space="preserve"> (</w:t>
      </w:r>
      <w:proofErr w:type="spellStart"/>
      <w:r w:rsidRPr="00791CC9">
        <w:rPr>
          <w:color w:val="000000" w:themeColor="text1"/>
        </w:rPr>
        <w:t>Esping</w:t>
      </w:r>
      <w:proofErr w:type="spellEnd"/>
      <w:r w:rsidRPr="00791CC9">
        <w:rPr>
          <w:color w:val="000000" w:themeColor="text1"/>
        </w:rPr>
        <w:t>-Andersen</w:t>
      </w:r>
      <w:r w:rsidR="000553FC">
        <w:rPr>
          <w:color w:val="000000" w:themeColor="text1"/>
        </w:rPr>
        <w:t xml:space="preserve">, </w:t>
      </w:r>
      <w:r>
        <w:rPr>
          <w:color w:val="000000" w:themeColor="text1"/>
        </w:rPr>
        <w:t xml:space="preserve">op. cit.) </w:t>
      </w:r>
      <w:r w:rsidRPr="00791CC9">
        <w:rPr>
          <w:color w:val="000000" w:themeColor="text1"/>
        </w:rPr>
        <w:t xml:space="preserve">did not </w:t>
      </w:r>
      <w:r>
        <w:rPr>
          <w:color w:val="000000" w:themeColor="text1"/>
        </w:rPr>
        <w:t>offer a separate definition of freedom itself, which would explain how and why commodification is a problem.</w:t>
      </w:r>
      <w:r>
        <w:rPr>
          <w:b/>
          <w:color w:val="000000" w:themeColor="text1"/>
          <w:sz w:val="20"/>
          <w:szCs w:val="20"/>
        </w:rPr>
        <w:t xml:space="preserve"> </w:t>
      </w:r>
      <w:r w:rsidRPr="007E2842">
        <w:rPr>
          <w:color w:val="000000" w:themeColor="text1"/>
        </w:rPr>
        <w:t xml:space="preserve">This raises the </w:t>
      </w:r>
      <w:r>
        <w:rPr>
          <w:color w:val="000000" w:themeColor="text1"/>
        </w:rPr>
        <w:t>question</w:t>
      </w:r>
      <w:r w:rsidR="00C67941">
        <w:rPr>
          <w:color w:val="000000" w:themeColor="text1"/>
        </w:rPr>
        <w:t xml:space="preserve"> of</w:t>
      </w:r>
      <w:r>
        <w:rPr>
          <w:color w:val="000000" w:themeColor="text1"/>
        </w:rPr>
        <w:t xml:space="preserve"> whether </w:t>
      </w:r>
      <w:proofErr w:type="spellStart"/>
      <w:r w:rsidRPr="00791CC9">
        <w:rPr>
          <w:color w:val="000000" w:themeColor="text1"/>
        </w:rPr>
        <w:t>Esping</w:t>
      </w:r>
      <w:proofErr w:type="spellEnd"/>
      <w:r w:rsidRPr="00791CC9">
        <w:rPr>
          <w:color w:val="000000" w:themeColor="text1"/>
        </w:rPr>
        <w:t>-Andersen</w:t>
      </w:r>
      <w:r>
        <w:rPr>
          <w:color w:val="000000" w:themeColor="text1"/>
        </w:rPr>
        <w:t>’s (</w:t>
      </w:r>
      <w:r w:rsidR="00ED2981">
        <w:rPr>
          <w:color w:val="000000" w:themeColor="text1"/>
        </w:rPr>
        <w:t xml:space="preserve">1990) </w:t>
      </w:r>
      <w:r>
        <w:rPr>
          <w:color w:val="000000" w:themeColor="text1"/>
        </w:rPr>
        <w:t xml:space="preserve">critique of commodification </w:t>
      </w:r>
      <w:r w:rsidR="00DA73C0">
        <w:rPr>
          <w:color w:val="000000" w:themeColor="text1"/>
        </w:rPr>
        <w:t xml:space="preserve">takes issue </w:t>
      </w:r>
      <w:proofErr w:type="gramStart"/>
      <w:r w:rsidR="00DA73C0">
        <w:rPr>
          <w:color w:val="000000" w:themeColor="text1"/>
        </w:rPr>
        <w:t xml:space="preserve">with </w:t>
      </w:r>
      <w:r>
        <w:rPr>
          <w:color w:val="000000" w:themeColor="text1"/>
        </w:rPr>
        <w:t xml:space="preserve"> employment</w:t>
      </w:r>
      <w:proofErr w:type="gramEnd"/>
      <w:r>
        <w:rPr>
          <w:color w:val="000000" w:themeColor="text1"/>
        </w:rPr>
        <w:t xml:space="preserve"> per se or</w:t>
      </w:r>
      <w:r w:rsidR="00DA73C0">
        <w:rPr>
          <w:color w:val="000000" w:themeColor="text1"/>
        </w:rPr>
        <w:t xml:space="preserve"> with </w:t>
      </w:r>
      <w:r>
        <w:rPr>
          <w:color w:val="000000" w:themeColor="text1"/>
        </w:rPr>
        <w:t xml:space="preserve">just a </w:t>
      </w:r>
      <w:r w:rsidR="00DA73C0">
        <w:rPr>
          <w:color w:val="000000" w:themeColor="text1"/>
        </w:rPr>
        <w:t xml:space="preserve">certain </w:t>
      </w:r>
      <w:r>
        <w:rPr>
          <w:color w:val="000000" w:themeColor="text1"/>
        </w:rPr>
        <w:t xml:space="preserve">form of </w:t>
      </w:r>
      <w:r w:rsidR="00DA73C0">
        <w:rPr>
          <w:color w:val="000000" w:themeColor="text1"/>
        </w:rPr>
        <w:t>employment</w:t>
      </w:r>
      <w:r>
        <w:rPr>
          <w:color w:val="000000" w:themeColor="text1"/>
        </w:rPr>
        <w:t xml:space="preserve">. Since </w:t>
      </w:r>
      <w:proofErr w:type="spellStart"/>
      <w:r>
        <w:rPr>
          <w:color w:val="000000" w:themeColor="text1"/>
        </w:rPr>
        <w:t>Esping</w:t>
      </w:r>
      <w:proofErr w:type="spellEnd"/>
      <w:r w:rsidRPr="00791CC9">
        <w:rPr>
          <w:color w:val="000000" w:themeColor="text1"/>
        </w:rPr>
        <w:t xml:space="preserve">-Andersen </w:t>
      </w:r>
      <w:r>
        <w:rPr>
          <w:color w:val="000000" w:themeColor="text1"/>
        </w:rPr>
        <w:t xml:space="preserve">(op. cit.)  does explicitly link good and bad work with different welfare systems </w:t>
      </w:r>
      <w:r w:rsidRPr="00791CC9">
        <w:rPr>
          <w:color w:val="000000" w:themeColor="text1"/>
        </w:rPr>
        <w:t>(</w:t>
      </w:r>
      <w:r>
        <w:rPr>
          <w:color w:val="000000" w:themeColor="text1"/>
        </w:rPr>
        <w:t xml:space="preserve">pp. 203-17), this suggests the problem </w:t>
      </w:r>
      <w:r>
        <w:rPr>
          <w:color w:val="000000" w:themeColor="text1"/>
        </w:rPr>
        <w:lastRenderedPageBreak/>
        <w:t xml:space="preserve">at hand is </w:t>
      </w:r>
      <w:r w:rsidRPr="00D54818">
        <w:rPr>
          <w:i/>
          <w:color w:val="000000" w:themeColor="text1"/>
        </w:rPr>
        <w:t xml:space="preserve">not </w:t>
      </w:r>
      <w:r>
        <w:rPr>
          <w:color w:val="000000" w:themeColor="text1"/>
        </w:rPr>
        <w:t>the</w:t>
      </w:r>
      <w:r w:rsidRPr="00791CC9">
        <w:rPr>
          <w:color w:val="000000" w:themeColor="text1"/>
        </w:rPr>
        <w:t xml:space="preserve"> social organisation of work (employment) and commodification in this sense </w:t>
      </w:r>
      <w:r w:rsidR="00133318">
        <w:rPr>
          <w:color w:val="000000" w:themeColor="text1"/>
        </w:rPr>
        <w:t>(resourcing productive activity and rewarding</w:t>
      </w:r>
      <w:r w:rsidRPr="00791CC9">
        <w:rPr>
          <w:color w:val="000000" w:themeColor="text1"/>
        </w:rPr>
        <w:t xml:space="preserve"> individual</w:t>
      </w:r>
      <w:r>
        <w:rPr>
          <w:color w:val="000000" w:themeColor="text1"/>
        </w:rPr>
        <w:t>s for their effort or tim</w:t>
      </w:r>
      <w:r w:rsidR="00DA73C0">
        <w:rPr>
          <w:color w:val="000000" w:themeColor="text1"/>
        </w:rPr>
        <w:t>e</w:t>
      </w:r>
      <w:r>
        <w:rPr>
          <w:color w:val="000000" w:themeColor="text1"/>
        </w:rPr>
        <w:t>). Rather, of concern is the form social work</w:t>
      </w:r>
      <w:r w:rsidRPr="00791CC9">
        <w:rPr>
          <w:color w:val="000000" w:themeColor="text1"/>
        </w:rPr>
        <w:t xml:space="preserve"> takes and the extent it is backed up by</w:t>
      </w:r>
      <w:r w:rsidR="00133318">
        <w:rPr>
          <w:color w:val="000000" w:themeColor="text1"/>
        </w:rPr>
        <w:t xml:space="preserve"> employment-independent security systems. More clearly problematizing the form </w:t>
      </w:r>
      <w:r w:rsidR="00CA07F0">
        <w:rPr>
          <w:color w:val="000000" w:themeColor="text1"/>
        </w:rPr>
        <w:t xml:space="preserve">that </w:t>
      </w:r>
      <w:r w:rsidR="00133318">
        <w:rPr>
          <w:color w:val="000000" w:themeColor="text1"/>
        </w:rPr>
        <w:t xml:space="preserve">employment takes against external criteria </w:t>
      </w:r>
      <w:r w:rsidR="00C14AA0">
        <w:rPr>
          <w:color w:val="000000" w:themeColor="text1"/>
        </w:rPr>
        <w:t>is compatible with the human economics approach laid out here, in the terms of which employment can be viewed as a mode of formally recognizing and investing in lines of</w:t>
      </w:r>
      <w:r w:rsidR="00C67941">
        <w:rPr>
          <w:color w:val="000000" w:themeColor="text1"/>
        </w:rPr>
        <w:t>,</w:t>
      </w:r>
      <w:r w:rsidR="00C14AA0">
        <w:rPr>
          <w:color w:val="000000" w:themeColor="text1"/>
        </w:rPr>
        <w:t xml:space="preserve"> at the same time</w:t>
      </w:r>
      <w:r w:rsidR="00C67941">
        <w:rPr>
          <w:color w:val="000000" w:themeColor="text1"/>
        </w:rPr>
        <w:t>,</w:t>
      </w:r>
      <w:r w:rsidR="00C14AA0">
        <w:rPr>
          <w:color w:val="000000" w:themeColor="text1"/>
        </w:rPr>
        <w:t xml:space="preserve"> human and economic activity. </w:t>
      </w:r>
      <w:r w:rsidR="00CA07F0">
        <w:rPr>
          <w:color w:val="000000" w:themeColor="text1"/>
        </w:rPr>
        <w:t xml:space="preserve"> I</w:t>
      </w:r>
      <w:r w:rsidR="00C14AA0">
        <w:rPr>
          <w:color w:val="000000" w:themeColor="text1"/>
        </w:rPr>
        <w:t>n this case, the degree of HE-sensitivity of employment would depend on the societal-</w:t>
      </w:r>
      <w:r w:rsidR="00AF05BC">
        <w:rPr>
          <w:color w:val="000000" w:themeColor="text1"/>
        </w:rPr>
        <w:t>level development of employment-internal and employment</w:t>
      </w:r>
      <w:r w:rsidR="00C14AA0">
        <w:rPr>
          <w:color w:val="000000" w:themeColor="text1"/>
        </w:rPr>
        <w:t xml:space="preserve">-external economic </w:t>
      </w:r>
      <w:r w:rsidR="00C14AA0" w:rsidRPr="00791CC9">
        <w:rPr>
          <w:color w:val="000000" w:themeColor="text1"/>
        </w:rPr>
        <w:t>security systems</w:t>
      </w:r>
      <w:r w:rsidR="00C14AA0">
        <w:rPr>
          <w:color w:val="000000" w:themeColor="text1"/>
        </w:rPr>
        <w:t xml:space="preserve">. For example, employment structures can be viewed as HE sensitive in the degree they enable stability of expectations around combinations of forms of control </w:t>
      </w:r>
      <w:r w:rsidR="00AF05BC">
        <w:rPr>
          <w:color w:val="000000" w:themeColor="text1"/>
        </w:rPr>
        <w:t xml:space="preserve">in and outside occupational life in </w:t>
      </w:r>
      <w:r w:rsidR="00C14AA0">
        <w:rPr>
          <w:color w:val="000000" w:themeColor="text1"/>
        </w:rPr>
        <w:t>way</w:t>
      </w:r>
      <w:r w:rsidR="00AF05BC">
        <w:rPr>
          <w:color w:val="000000" w:themeColor="text1"/>
        </w:rPr>
        <w:t>s</w:t>
      </w:r>
      <w:r w:rsidR="00C14AA0">
        <w:rPr>
          <w:color w:val="000000" w:themeColor="text1"/>
        </w:rPr>
        <w:t xml:space="preserve"> which would not be feasible through self-organisation (section 4).</w:t>
      </w:r>
    </w:p>
    <w:p w14:paraId="78069720" w14:textId="77777777" w:rsidR="00BE3FE3" w:rsidRDefault="00BE3FE3" w:rsidP="00B359B4">
      <w:pPr>
        <w:spacing w:line="360" w:lineRule="auto"/>
        <w:ind w:left="-397" w:right="-397"/>
        <w:jc w:val="both"/>
        <w:rPr>
          <w:rFonts w:cs="Times New Roman"/>
          <w:color w:val="000000" w:themeColor="text1"/>
          <w:shd w:val="clear" w:color="auto" w:fill="FFFFFF"/>
        </w:rPr>
      </w:pPr>
    </w:p>
    <w:p w14:paraId="2FE09359" w14:textId="419E0519" w:rsidR="00BE3FE3" w:rsidRPr="00786F0B" w:rsidRDefault="00BE3FE3" w:rsidP="004A73BB">
      <w:pPr>
        <w:spacing w:line="360" w:lineRule="auto"/>
        <w:ind w:left="-397" w:right="-397"/>
        <w:jc w:val="both"/>
        <w:rPr>
          <w:rFonts w:cs="Times New Roman"/>
          <w:color w:val="000000" w:themeColor="text1"/>
          <w:shd w:val="clear" w:color="auto" w:fill="FFFFFF"/>
        </w:rPr>
      </w:pPr>
      <w:r>
        <w:rPr>
          <w:rFonts w:cs="Times New Roman"/>
          <w:color w:val="000000" w:themeColor="text1"/>
          <w:shd w:val="clear" w:color="auto" w:fill="FFFFFF"/>
        </w:rPr>
        <w:t>Where the WSV starts with state-led social protection</w:t>
      </w:r>
      <w:r w:rsidRPr="007E2842">
        <w:rPr>
          <w:rFonts w:cs="Times New Roman"/>
          <w:color w:val="000000" w:themeColor="text1"/>
          <w:shd w:val="clear" w:color="auto" w:fill="FFFFFF"/>
        </w:rPr>
        <w:t xml:space="preserve"> </w:t>
      </w:r>
      <w:r>
        <w:rPr>
          <w:rFonts w:cs="Times New Roman"/>
          <w:color w:val="000000" w:themeColor="text1"/>
          <w:shd w:val="clear" w:color="auto" w:fill="FFFFFF"/>
        </w:rPr>
        <w:t xml:space="preserve">in comparing system types, the </w:t>
      </w:r>
      <w:proofErr w:type="spellStart"/>
      <w:r>
        <w:rPr>
          <w:rFonts w:cs="Times New Roman"/>
          <w:color w:val="000000" w:themeColor="text1"/>
          <w:shd w:val="clear" w:color="auto" w:fill="FFFFFF"/>
        </w:rPr>
        <w:t>VoC</w:t>
      </w:r>
      <w:proofErr w:type="spellEnd"/>
      <w:r>
        <w:rPr>
          <w:rFonts w:cs="Times New Roman"/>
          <w:color w:val="000000" w:themeColor="text1"/>
          <w:shd w:val="clear" w:color="auto" w:fill="FFFFFF"/>
        </w:rPr>
        <w:t xml:space="preserve"> literature</w:t>
      </w:r>
      <w:r w:rsidR="005B5806">
        <w:rPr>
          <w:rFonts w:cs="Times New Roman"/>
          <w:color w:val="000000" w:themeColor="text1"/>
          <w:shd w:val="clear" w:color="auto" w:fill="FFFFFF"/>
        </w:rPr>
        <w:t xml:space="preserve"> </w:t>
      </w:r>
      <w:r>
        <w:rPr>
          <w:rFonts w:cs="Times New Roman"/>
          <w:color w:val="000000" w:themeColor="text1"/>
          <w:shd w:val="clear" w:color="auto" w:fill="FFFFFF"/>
        </w:rPr>
        <w:t xml:space="preserve">begins with the business-led organisation of skills. </w:t>
      </w:r>
      <w:r>
        <w:rPr>
          <w:color w:val="000000" w:themeColor="text1"/>
        </w:rPr>
        <w:t xml:space="preserve">By thus giving evidence of </w:t>
      </w:r>
      <w:r w:rsidRPr="00991DC0">
        <w:rPr>
          <w:color w:val="000000" w:themeColor="text1"/>
        </w:rPr>
        <w:t xml:space="preserve">how the structuring of </w:t>
      </w:r>
      <w:r>
        <w:rPr>
          <w:color w:val="000000" w:themeColor="text1"/>
        </w:rPr>
        <w:t xml:space="preserve">a core human capacity and activity </w:t>
      </w:r>
      <w:proofErr w:type="gramStart"/>
      <w:r w:rsidR="005B5806">
        <w:rPr>
          <w:color w:val="000000" w:themeColor="text1"/>
        </w:rPr>
        <w:t xml:space="preserve">- </w:t>
      </w:r>
      <w:r>
        <w:rPr>
          <w:color w:val="000000" w:themeColor="text1"/>
        </w:rPr>
        <w:t xml:space="preserve"> learning</w:t>
      </w:r>
      <w:proofErr w:type="gramEnd"/>
      <w:r w:rsidR="005B5806">
        <w:rPr>
          <w:color w:val="000000" w:themeColor="text1"/>
        </w:rPr>
        <w:t xml:space="preserve"> - </w:t>
      </w:r>
      <w:r>
        <w:rPr>
          <w:color w:val="000000" w:themeColor="text1"/>
        </w:rPr>
        <w:t xml:space="preserve">shapes alternative systems, the </w:t>
      </w:r>
      <w:proofErr w:type="spellStart"/>
      <w:r>
        <w:rPr>
          <w:color w:val="000000" w:themeColor="text1"/>
        </w:rPr>
        <w:t>VoC</w:t>
      </w:r>
      <w:proofErr w:type="spellEnd"/>
      <w:r>
        <w:rPr>
          <w:color w:val="000000" w:themeColor="text1"/>
        </w:rPr>
        <w:t xml:space="preserve"> </w:t>
      </w:r>
      <w:r w:rsidRPr="00797ECB">
        <w:rPr>
          <w:color w:val="000000" w:themeColor="text1"/>
        </w:rPr>
        <w:t>challenged the central role conventional economics (and political philosoph</w:t>
      </w:r>
      <w:r>
        <w:rPr>
          <w:color w:val="000000" w:themeColor="text1"/>
        </w:rPr>
        <w:t xml:space="preserve">ies resting </w:t>
      </w:r>
      <w:r w:rsidRPr="00F71AF5">
        <w:rPr>
          <w:color w:val="000000" w:themeColor="text1"/>
        </w:rPr>
        <w:t xml:space="preserve">on it, </w:t>
      </w:r>
      <w:r>
        <w:rPr>
          <w:color w:val="000000" w:themeColor="text1"/>
        </w:rPr>
        <w:t>s</w:t>
      </w:r>
      <w:r w:rsidRPr="00F71AF5">
        <w:rPr>
          <w:color w:val="000000" w:themeColor="text1"/>
        </w:rPr>
        <w:t>ection 2) gave</w:t>
      </w:r>
      <w:r w:rsidRPr="00797ECB">
        <w:rPr>
          <w:color w:val="000000" w:themeColor="text1"/>
        </w:rPr>
        <w:t xml:space="preserve"> to transactional freedom. Hall and Soskice (2001, </w:t>
      </w:r>
      <w:r>
        <w:rPr>
          <w:color w:val="000000" w:themeColor="text1"/>
        </w:rPr>
        <w:t xml:space="preserve">p. </w:t>
      </w:r>
      <w:r w:rsidRPr="00797ECB">
        <w:rPr>
          <w:color w:val="000000" w:themeColor="text1"/>
        </w:rPr>
        <w:t>17)</w:t>
      </w:r>
      <w:r>
        <w:rPr>
          <w:color w:val="000000" w:themeColor="text1"/>
        </w:rPr>
        <w:t xml:space="preserve">, </w:t>
      </w:r>
      <w:proofErr w:type="spellStart"/>
      <w:r w:rsidRPr="00797ECB">
        <w:rPr>
          <w:color w:val="000000" w:themeColor="text1"/>
        </w:rPr>
        <w:t>Thelen</w:t>
      </w:r>
      <w:proofErr w:type="spellEnd"/>
      <w:r w:rsidRPr="00797ECB">
        <w:rPr>
          <w:color w:val="000000" w:themeColor="text1"/>
        </w:rPr>
        <w:t xml:space="preserve"> (2004</w:t>
      </w:r>
      <w:r>
        <w:rPr>
          <w:color w:val="000000" w:themeColor="text1"/>
        </w:rPr>
        <w:t xml:space="preserve">), and </w:t>
      </w:r>
      <w:r w:rsidRPr="00797ECB">
        <w:rPr>
          <w:color w:val="000000" w:themeColor="text1"/>
        </w:rPr>
        <w:t>Maurice</w:t>
      </w:r>
      <w:r>
        <w:rPr>
          <w:color w:val="000000" w:themeColor="text1"/>
        </w:rPr>
        <w:t xml:space="preserve"> et al., </w:t>
      </w:r>
      <w:r w:rsidRPr="00797ECB">
        <w:rPr>
          <w:color w:val="000000" w:themeColor="text1"/>
        </w:rPr>
        <w:t xml:space="preserve">1986) set out how Germany’s ‘coordinated’ market economy promoted </w:t>
      </w:r>
      <w:r>
        <w:rPr>
          <w:color w:val="000000" w:themeColor="text1"/>
        </w:rPr>
        <w:t xml:space="preserve">industrial </w:t>
      </w:r>
      <w:r w:rsidRPr="00797ECB">
        <w:rPr>
          <w:color w:val="000000" w:themeColor="text1"/>
        </w:rPr>
        <w:t>skills system</w:t>
      </w:r>
      <w:r>
        <w:rPr>
          <w:color w:val="000000" w:themeColor="text1"/>
        </w:rPr>
        <w:t xml:space="preserve">ically. Pagano (1991) showed how </w:t>
      </w:r>
      <w:r w:rsidRPr="00797ECB">
        <w:rPr>
          <w:color w:val="000000" w:themeColor="text1"/>
        </w:rPr>
        <w:t>more developed property rights systems adopted skills development along with social pro</w:t>
      </w:r>
      <w:r>
        <w:rPr>
          <w:color w:val="000000" w:themeColor="text1"/>
        </w:rPr>
        <w:t>tection as universal goals</w:t>
      </w:r>
      <w:r w:rsidR="00CB26CE">
        <w:rPr>
          <w:color w:val="000000" w:themeColor="text1"/>
        </w:rPr>
        <w:t>. In contrast,</w:t>
      </w:r>
      <w:r>
        <w:rPr>
          <w:color w:val="000000" w:themeColor="text1"/>
        </w:rPr>
        <w:t xml:space="preserve"> Schneider (2009) </w:t>
      </w:r>
      <w:r w:rsidR="00CB26CE">
        <w:rPr>
          <w:color w:val="000000" w:themeColor="text1"/>
        </w:rPr>
        <w:t>documented how</w:t>
      </w:r>
      <w:r>
        <w:rPr>
          <w:color w:val="000000" w:themeColor="text1"/>
        </w:rPr>
        <w:t xml:space="preserve"> </w:t>
      </w:r>
      <w:r w:rsidRPr="00797ECB">
        <w:rPr>
          <w:color w:val="000000" w:themeColor="text1"/>
        </w:rPr>
        <w:t>weak representation and hierarchy in production systems in Latin America create</w:t>
      </w:r>
      <w:r>
        <w:rPr>
          <w:color w:val="000000" w:themeColor="text1"/>
        </w:rPr>
        <w:t>d</w:t>
      </w:r>
      <w:r w:rsidRPr="00797ECB">
        <w:rPr>
          <w:color w:val="000000" w:themeColor="text1"/>
        </w:rPr>
        <w:t xml:space="preserve"> inequality and weak investment in skills</w:t>
      </w:r>
      <w:r w:rsidRPr="00797ECB">
        <w:rPr>
          <w:i/>
          <w:color w:val="000000" w:themeColor="text1"/>
        </w:rPr>
        <w:t>.</w:t>
      </w:r>
    </w:p>
    <w:p w14:paraId="55818663" w14:textId="77777777" w:rsidR="00BE3FE3" w:rsidRDefault="00BE3FE3" w:rsidP="00AF3D85">
      <w:pPr>
        <w:spacing w:line="360" w:lineRule="auto"/>
        <w:ind w:left="-397" w:right="-397"/>
        <w:jc w:val="both"/>
        <w:rPr>
          <w:rFonts w:cs="Times New Roman"/>
          <w:color w:val="000000" w:themeColor="text1"/>
          <w:shd w:val="clear" w:color="auto" w:fill="FFFFFF"/>
        </w:rPr>
      </w:pPr>
    </w:p>
    <w:p w14:paraId="650D61A0" w14:textId="53E2CB29" w:rsidR="00BE3FE3" w:rsidRDefault="00BE3FE3" w:rsidP="007E3341">
      <w:pPr>
        <w:spacing w:line="360" w:lineRule="auto"/>
        <w:ind w:left="-397" w:right="-397"/>
        <w:jc w:val="both"/>
        <w:rPr>
          <w:color w:val="000000" w:themeColor="text1"/>
        </w:rPr>
      </w:pPr>
      <w:r>
        <w:rPr>
          <w:rFonts w:cs="Times New Roman"/>
          <w:color w:val="000000" w:themeColor="text1"/>
          <w:shd w:val="clear" w:color="auto" w:fill="FFFFFF"/>
        </w:rPr>
        <w:t>On the other hand</w:t>
      </w:r>
      <w:r w:rsidRPr="00F71AF5">
        <w:rPr>
          <w:rFonts w:cs="Times New Roman"/>
          <w:color w:val="000000" w:themeColor="text1"/>
          <w:shd w:val="clear" w:color="auto" w:fill="FFFFFF"/>
        </w:rPr>
        <w:t xml:space="preserve">, to avoid the charge of being normative, the </w:t>
      </w:r>
      <w:proofErr w:type="spellStart"/>
      <w:r w:rsidRPr="00F71AF5">
        <w:rPr>
          <w:rFonts w:cs="Times New Roman"/>
          <w:color w:val="000000" w:themeColor="text1"/>
          <w:shd w:val="clear" w:color="auto" w:fill="FFFFFF"/>
        </w:rPr>
        <w:t>VoC</w:t>
      </w:r>
      <w:proofErr w:type="spellEnd"/>
      <w:r w:rsidRPr="00F71AF5">
        <w:rPr>
          <w:rFonts w:cs="Times New Roman"/>
          <w:color w:val="000000" w:themeColor="text1"/>
          <w:shd w:val="clear" w:color="auto" w:fill="FFFFFF"/>
        </w:rPr>
        <w:t xml:space="preserve"> became wedded to neutralism (Haagh</w:t>
      </w:r>
      <w:r>
        <w:rPr>
          <w:rFonts w:cs="Times New Roman"/>
          <w:color w:val="000000" w:themeColor="text1"/>
          <w:shd w:val="clear" w:color="auto" w:fill="FFFFFF"/>
        </w:rPr>
        <w:t>,</w:t>
      </w:r>
      <w:r w:rsidRPr="00F71AF5">
        <w:rPr>
          <w:rFonts w:cs="Times New Roman"/>
          <w:color w:val="000000" w:themeColor="text1"/>
          <w:shd w:val="clear" w:color="auto" w:fill="FFFFFF"/>
        </w:rPr>
        <w:t xml:space="preserve"> 2019b). This</w:t>
      </w:r>
      <w:r>
        <w:rPr>
          <w:rFonts w:cs="Times New Roman"/>
          <w:color w:val="000000" w:themeColor="text1"/>
          <w:shd w:val="clear" w:color="auto" w:fill="FFFFFF"/>
        </w:rPr>
        <w:t xml:space="preserve"> involves a claim that all systems are equally ‘good’, which then prevents more affirmative analyses of institutional designs in relation to explicit criteria (such as skills organisation and implications for well-being). The </w:t>
      </w:r>
      <w:proofErr w:type="spellStart"/>
      <w:r>
        <w:rPr>
          <w:rFonts w:cs="Times New Roman"/>
          <w:color w:val="000000" w:themeColor="text1"/>
          <w:shd w:val="clear" w:color="auto" w:fill="FFFFFF"/>
        </w:rPr>
        <w:t>VoC</w:t>
      </w:r>
      <w:proofErr w:type="spellEnd"/>
      <w:r>
        <w:rPr>
          <w:rFonts w:cs="Times New Roman"/>
          <w:color w:val="000000" w:themeColor="text1"/>
          <w:shd w:val="clear" w:color="auto" w:fill="FFFFFF"/>
        </w:rPr>
        <w:t xml:space="preserve"> </w:t>
      </w:r>
      <w:r w:rsidRPr="009D2E99">
        <w:rPr>
          <w:rFonts w:cs="Times New Roman"/>
          <w:color w:val="000000" w:themeColor="text1"/>
          <w:shd w:val="clear" w:color="auto" w:fill="FFFFFF"/>
        </w:rPr>
        <w:t>can be characterised as politically determinist in the sense that political origins an</w:t>
      </w:r>
      <w:r>
        <w:rPr>
          <w:rFonts w:cs="Times New Roman"/>
          <w:color w:val="000000" w:themeColor="text1"/>
          <w:shd w:val="clear" w:color="auto" w:fill="FFFFFF"/>
        </w:rPr>
        <w:t>d choices are the normative standard</w:t>
      </w:r>
      <w:r w:rsidRPr="009D2E99">
        <w:rPr>
          <w:rFonts w:cs="Times New Roman"/>
          <w:color w:val="000000" w:themeColor="text1"/>
          <w:shd w:val="clear" w:color="auto" w:fill="FFFFFF"/>
        </w:rPr>
        <w:t>. So</w:t>
      </w:r>
      <w:r>
        <w:rPr>
          <w:rFonts w:cs="Times New Roman"/>
          <w:color w:val="000000" w:themeColor="text1"/>
          <w:shd w:val="clear" w:color="auto" w:fill="FFFFFF"/>
        </w:rPr>
        <w:t>,</w:t>
      </w:r>
      <w:r w:rsidRPr="009D2E99">
        <w:rPr>
          <w:rFonts w:cs="Times New Roman"/>
          <w:color w:val="000000" w:themeColor="text1"/>
          <w:shd w:val="clear" w:color="auto" w:fill="FFFFFF"/>
        </w:rPr>
        <w:t xml:space="preserve"> the US</w:t>
      </w:r>
      <w:r>
        <w:rPr>
          <w:rFonts w:cs="Times New Roman"/>
          <w:color w:val="000000" w:themeColor="text1"/>
          <w:shd w:val="clear" w:color="auto" w:fill="FFFFFF"/>
        </w:rPr>
        <w:t>A</w:t>
      </w:r>
      <w:r w:rsidRPr="009D2E99">
        <w:rPr>
          <w:rFonts w:cs="Times New Roman"/>
          <w:color w:val="000000" w:themeColor="text1"/>
          <w:shd w:val="clear" w:color="auto" w:fill="FFFFFF"/>
        </w:rPr>
        <w:t xml:space="preserve"> form of capitalism </w:t>
      </w:r>
      <w:r>
        <w:rPr>
          <w:rFonts w:cs="Times New Roman"/>
          <w:color w:val="000000" w:themeColor="text1"/>
          <w:shd w:val="clear" w:color="auto" w:fill="FFFFFF"/>
        </w:rPr>
        <w:t xml:space="preserve">– even though it generates much lower levels of skills - </w:t>
      </w:r>
      <w:r w:rsidRPr="009D2E99">
        <w:rPr>
          <w:rFonts w:cs="Times New Roman"/>
          <w:color w:val="000000" w:themeColor="text1"/>
          <w:shd w:val="clear" w:color="auto" w:fill="FFFFFF"/>
        </w:rPr>
        <w:t>is not necessarily worse or better – merely different (</w:t>
      </w:r>
      <w:proofErr w:type="spellStart"/>
      <w:r w:rsidRPr="009D2E99">
        <w:rPr>
          <w:rFonts w:cs="Times New Roman"/>
          <w:color w:val="000000" w:themeColor="text1"/>
          <w:shd w:val="clear" w:color="auto" w:fill="FFFFFF"/>
        </w:rPr>
        <w:t>Steinmo</w:t>
      </w:r>
      <w:proofErr w:type="spellEnd"/>
      <w:r>
        <w:rPr>
          <w:rFonts w:cs="Times New Roman"/>
          <w:color w:val="000000" w:themeColor="text1"/>
          <w:shd w:val="clear" w:color="auto" w:fill="FFFFFF"/>
        </w:rPr>
        <w:t>,</w:t>
      </w:r>
      <w:r w:rsidRPr="009D2E99">
        <w:rPr>
          <w:rFonts w:cs="Times New Roman"/>
          <w:color w:val="000000" w:themeColor="text1"/>
          <w:shd w:val="clear" w:color="auto" w:fill="FFFFFF"/>
        </w:rPr>
        <w:t xml:space="preserve"> 2010, </w:t>
      </w:r>
      <w:r>
        <w:rPr>
          <w:rFonts w:cs="Times New Roman"/>
          <w:color w:val="000000" w:themeColor="text1"/>
          <w:shd w:val="clear" w:color="auto" w:fill="FFFFFF"/>
        </w:rPr>
        <w:t xml:space="preserve">p. </w:t>
      </w:r>
      <w:r w:rsidRPr="009D2E99">
        <w:rPr>
          <w:rFonts w:cs="Times New Roman"/>
          <w:color w:val="000000" w:themeColor="text1"/>
          <w:shd w:val="clear" w:color="auto" w:fill="FFFFFF"/>
        </w:rPr>
        <w:t xml:space="preserve">20; </w:t>
      </w:r>
      <w:proofErr w:type="spellStart"/>
      <w:r w:rsidRPr="009D2E99">
        <w:rPr>
          <w:rFonts w:cs="Times New Roman"/>
          <w:color w:val="000000" w:themeColor="text1"/>
          <w:shd w:val="clear" w:color="auto" w:fill="FFFFFF"/>
        </w:rPr>
        <w:t>Thelen</w:t>
      </w:r>
      <w:proofErr w:type="spellEnd"/>
      <w:r>
        <w:rPr>
          <w:rFonts w:cs="Times New Roman"/>
          <w:color w:val="000000" w:themeColor="text1"/>
          <w:shd w:val="clear" w:color="auto" w:fill="FFFFFF"/>
        </w:rPr>
        <w:t>,</w:t>
      </w:r>
      <w:r w:rsidRPr="009D2E99">
        <w:rPr>
          <w:rFonts w:cs="Times New Roman"/>
          <w:color w:val="000000" w:themeColor="text1"/>
          <w:shd w:val="clear" w:color="auto" w:fill="FFFFFF"/>
        </w:rPr>
        <w:t xml:space="preserve"> 2014</w:t>
      </w:r>
      <w:r>
        <w:rPr>
          <w:rFonts w:cs="Times New Roman"/>
          <w:color w:val="000000" w:themeColor="text1"/>
          <w:shd w:val="clear" w:color="auto" w:fill="FFFFFF"/>
        </w:rPr>
        <w:t>, p.</w:t>
      </w:r>
      <w:r w:rsidRPr="009D2E99">
        <w:rPr>
          <w:rFonts w:cs="Times New Roman"/>
          <w:color w:val="000000" w:themeColor="text1"/>
          <w:shd w:val="clear" w:color="auto" w:fill="FFFFFF"/>
        </w:rPr>
        <w:t xml:space="preserve"> 3).  When </w:t>
      </w:r>
      <w:proofErr w:type="spellStart"/>
      <w:r w:rsidRPr="009D2E99">
        <w:rPr>
          <w:rFonts w:cs="Times New Roman"/>
          <w:color w:val="000000" w:themeColor="text1"/>
          <w:shd w:val="clear" w:color="auto" w:fill="FFFFFF"/>
        </w:rPr>
        <w:t>Thelen</w:t>
      </w:r>
      <w:proofErr w:type="spellEnd"/>
      <w:r w:rsidRPr="009D2E99">
        <w:rPr>
          <w:rFonts w:cs="Times New Roman"/>
          <w:color w:val="000000" w:themeColor="text1"/>
          <w:shd w:val="clear" w:color="auto" w:fill="FFFFFF"/>
        </w:rPr>
        <w:t xml:space="preserve"> (2014</w:t>
      </w:r>
      <w:r>
        <w:rPr>
          <w:rFonts w:cs="Times New Roman"/>
          <w:color w:val="000000" w:themeColor="text1"/>
          <w:shd w:val="clear" w:color="auto" w:fill="FFFFFF"/>
        </w:rPr>
        <w:t xml:space="preserve">) </w:t>
      </w:r>
      <w:r w:rsidRPr="009D2E99">
        <w:rPr>
          <w:rFonts w:cs="Times New Roman"/>
          <w:color w:val="000000" w:themeColor="text1"/>
          <w:shd w:val="clear" w:color="auto" w:fill="FFFFFF"/>
        </w:rPr>
        <w:t>notes, referring to the US</w:t>
      </w:r>
      <w:r>
        <w:rPr>
          <w:rFonts w:cs="Times New Roman"/>
          <w:color w:val="000000" w:themeColor="text1"/>
          <w:shd w:val="clear" w:color="auto" w:fill="FFFFFF"/>
        </w:rPr>
        <w:t>A</w:t>
      </w:r>
      <w:r w:rsidRPr="009D2E99">
        <w:rPr>
          <w:rFonts w:cs="Times New Roman"/>
          <w:color w:val="000000" w:themeColor="text1"/>
          <w:shd w:val="clear" w:color="auto" w:fill="FFFFFF"/>
        </w:rPr>
        <w:t xml:space="preserve"> and Germany, that </w:t>
      </w:r>
      <w:r>
        <w:rPr>
          <w:rFonts w:cs="Times New Roman"/>
          <w:color w:val="000000" w:themeColor="text1"/>
          <w:shd w:val="clear" w:color="auto" w:fill="FFFFFF"/>
        </w:rPr>
        <w:t xml:space="preserve">the </w:t>
      </w:r>
      <w:proofErr w:type="spellStart"/>
      <w:r>
        <w:rPr>
          <w:rFonts w:cs="Times New Roman"/>
          <w:color w:val="000000" w:themeColor="text1"/>
          <w:shd w:val="clear" w:color="auto" w:fill="FFFFFF"/>
        </w:rPr>
        <w:t>VoC</w:t>
      </w:r>
      <w:proofErr w:type="spellEnd"/>
      <w:r>
        <w:rPr>
          <w:rFonts w:cs="Times New Roman"/>
          <w:color w:val="000000" w:themeColor="text1"/>
          <w:shd w:val="clear" w:color="auto" w:fill="FFFFFF"/>
        </w:rPr>
        <w:t xml:space="preserve"> </w:t>
      </w:r>
      <w:r w:rsidRPr="009D2E99">
        <w:rPr>
          <w:rFonts w:cs="Times New Roman"/>
          <w:color w:val="000000" w:themeColor="text1"/>
          <w:shd w:val="clear" w:color="auto" w:fill="FFFFFF"/>
        </w:rPr>
        <w:t>in comparing the two has examined “</w:t>
      </w:r>
      <w:r w:rsidRPr="009D2E99">
        <w:rPr>
          <w:color w:val="000000" w:themeColor="text1"/>
        </w:rPr>
        <w:t xml:space="preserve">different ways to organise capitalism [in which] </w:t>
      </w:r>
      <w:r w:rsidR="00CB26CE">
        <w:rPr>
          <w:i/>
          <w:color w:val="000000" w:themeColor="text1"/>
        </w:rPr>
        <w:t>e</w:t>
      </w:r>
      <w:r w:rsidRPr="009D2E99">
        <w:rPr>
          <w:i/>
          <w:color w:val="000000" w:themeColor="text1"/>
        </w:rPr>
        <w:t xml:space="preserve">ach type operates on a wholly different logic </w:t>
      </w:r>
      <w:r w:rsidRPr="009D2E99">
        <w:rPr>
          <w:color w:val="000000" w:themeColor="text1"/>
        </w:rPr>
        <w:t>and</w:t>
      </w:r>
      <w:r w:rsidRPr="009D2E99">
        <w:rPr>
          <w:i/>
          <w:color w:val="000000" w:themeColor="text1"/>
        </w:rPr>
        <w:t xml:space="preserve"> each does different things well”</w:t>
      </w:r>
      <w:r w:rsidR="00CB26CE">
        <w:rPr>
          <w:i/>
          <w:color w:val="000000" w:themeColor="text1"/>
        </w:rPr>
        <w:t>, s</w:t>
      </w:r>
      <w:r w:rsidRPr="009D2E99">
        <w:rPr>
          <w:color w:val="000000" w:themeColor="text1"/>
        </w:rPr>
        <w:t xml:space="preserve">he is not only explicating the commitment to neutralism (requiring </w:t>
      </w:r>
      <w:proofErr w:type="spellStart"/>
      <w:r w:rsidRPr="009D2E99">
        <w:rPr>
          <w:color w:val="000000" w:themeColor="text1"/>
        </w:rPr>
        <w:t>VoC</w:t>
      </w:r>
      <w:proofErr w:type="spellEnd"/>
      <w:r w:rsidRPr="009D2E99">
        <w:rPr>
          <w:color w:val="000000" w:themeColor="text1"/>
        </w:rPr>
        <w:t xml:space="preserve"> to acknowledge </w:t>
      </w:r>
      <w:r w:rsidRPr="009D2E99">
        <w:rPr>
          <w:i/>
          <w:color w:val="000000" w:themeColor="text1"/>
        </w:rPr>
        <w:t>each does different things well)</w:t>
      </w:r>
      <w:r w:rsidR="00CB26CE" w:rsidRPr="00CB26CE">
        <w:rPr>
          <w:i/>
          <w:color w:val="000000" w:themeColor="text1"/>
        </w:rPr>
        <w:t xml:space="preserve"> </w:t>
      </w:r>
      <w:r w:rsidR="00CB26CE">
        <w:rPr>
          <w:i/>
          <w:color w:val="000000" w:themeColor="text1"/>
        </w:rPr>
        <w:t xml:space="preserve">(p. 3; </w:t>
      </w:r>
      <w:r w:rsidR="00CB26CE" w:rsidRPr="009D2E99">
        <w:rPr>
          <w:i/>
          <w:color w:val="000000" w:themeColor="text1"/>
        </w:rPr>
        <w:t>italics and brackets added</w:t>
      </w:r>
      <w:r w:rsidR="00CB26CE">
        <w:rPr>
          <w:i/>
          <w:color w:val="000000" w:themeColor="text1"/>
        </w:rPr>
        <w:t>)</w:t>
      </w:r>
      <w:r w:rsidRPr="009D2E99">
        <w:rPr>
          <w:i/>
          <w:color w:val="000000" w:themeColor="text1"/>
        </w:rPr>
        <w:t xml:space="preserve">. </w:t>
      </w:r>
      <w:r w:rsidRPr="009D2E99">
        <w:rPr>
          <w:color w:val="000000" w:themeColor="text1"/>
        </w:rPr>
        <w:t xml:space="preserve">In addition, it is claimed that the </w:t>
      </w:r>
      <w:r w:rsidRPr="009D2E99">
        <w:rPr>
          <w:i/>
          <w:color w:val="000000" w:themeColor="text1"/>
        </w:rPr>
        <w:t>‘logic’</w:t>
      </w:r>
      <w:r w:rsidRPr="009D2E99">
        <w:rPr>
          <w:color w:val="000000" w:themeColor="text1"/>
        </w:rPr>
        <w:t xml:space="preserve"> driving each system is ‘</w:t>
      </w:r>
      <w:r w:rsidRPr="009D2E99">
        <w:rPr>
          <w:i/>
          <w:color w:val="000000" w:themeColor="text1"/>
        </w:rPr>
        <w:t>wholly different</w:t>
      </w:r>
      <w:r w:rsidRPr="009D2E99">
        <w:rPr>
          <w:color w:val="000000" w:themeColor="text1"/>
        </w:rPr>
        <w:t xml:space="preserve">”. </w:t>
      </w:r>
      <w:r>
        <w:rPr>
          <w:color w:val="000000" w:themeColor="text1"/>
        </w:rPr>
        <w:t xml:space="preserve">This said, the </w:t>
      </w:r>
      <w:proofErr w:type="spellStart"/>
      <w:r>
        <w:rPr>
          <w:color w:val="000000" w:themeColor="text1"/>
        </w:rPr>
        <w:t>VoC</w:t>
      </w:r>
      <w:proofErr w:type="spellEnd"/>
      <w:r>
        <w:rPr>
          <w:color w:val="000000" w:themeColor="text1"/>
        </w:rPr>
        <w:t xml:space="preserve"> has identified business organisation as a key </w:t>
      </w:r>
      <w:r w:rsidR="008868CE">
        <w:rPr>
          <w:color w:val="000000" w:themeColor="text1"/>
        </w:rPr>
        <w:t xml:space="preserve">(common) </w:t>
      </w:r>
      <w:r>
        <w:rPr>
          <w:color w:val="000000" w:themeColor="text1"/>
        </w:rPr>
        <w:lastRenderedPageBreak/>
        <w:t xml:space="preserve">distinguishing factor in skills organisation (Hall and Soskice, 2001; </w:t>
      </w:r>
      <w:r w:rsidR="009161F5">
        <w:rPr>
          <w:color w:val="000000" w:themeColor="text1"/>
        </w:rPr>
        <w:t xml:space="preserve">and </w:t>
      </w:r>
      <w:proofErr w:type="spellStart"/>
      <w:r w:rsidRPr="00397AF7">
        <w:rPr>
          <w:color w:val="000000" w:themeColor="text1"/>
        </w:rPr>
        <w:t>Thelen</w:t>
      </w:r>
      <w:proofErr w:type="spellEnd"/>
      <w:r>
        <w:rPr>
          <w:color w:val="000000" w:themeColor="text1"/>
        </w:rPr>
        <w:t>,</w:t>
      </w:r>
      <w:r w:rsidRPr="00397AF7">
        <w:rPr>
          <w:color w:val="000000" w:themeColor="text1"/>
        </w:rPr>
        <w:t xml:space="preserve"> 2014,</w:t>
      </w:r>
      <w:r>
        <w:rPr>
          <w:color w:val="000000" w:themeColor="text1"/>
        </w:rPr>
        <w:t xml:space="preserve"> p. </w:t>
      </w:r>
      <w:r w:rsidRPr="00397AF7">
        <w:rPr>
          <w:color w:val="000000" w:themeColor="text1"/>
        </w:rPr>
        <w:t>39</w:t>
      </w:r>
      <w:r>
        <w:rPr>
          <w:color w:val="000000" w:themeColor="text1"/>
        </w:rPr>
        <w:t xml:space="preserve">, for the USA). I argue, if further to this </w:t>
      </w:r>
      <w:r w:rsidRPr="009D2E99">
        <w:rPr>
          <w:color w:val="000000" w:themeColor="text1"/>
        </w:rPr>
        <w:t xml:space="preserve">we were to say that there are similar constraints and problems acting on all systems, </w:t>
      </w:r>
      <w:r>
        <w:rPr>
          <w:color w:val="000000" w:themeColor="text1"/>
        </w:rPr>
        <w:t xml:space="preserve">and differences in skills organisation represent </w:t>
      </w:r>
      <w:r w:rsidRPr="00786F0B">
        <w:rPr>
          <w:i/>
          <w:color w:val="000000" w:themeColor="text1"/>
        </w:rPr>
        <w:t>varied responses</w:t>
      </w:r>
      <w:r>
        <w:rPr>
          <w:color w:val="000000" w:themeColor="text1"/>
        </w:rPr>
        <w:t xml:space="preserve">, then the scope for a more informed multi-level analysis of and </w:t>
      </w:r>
      <w:r w:rsidRPr="00786F0B">
        <w:rPr>
          <w:i/>
          <w:color w:val="000000" w:themeColor="text1"/>
        </w:rPr>
        <w:t>explanation for</w:t>
      </w:r>
      <w:r>
        <w:rPr>
          <w:color w:val="000000" w:themeColor="text1"/>
        </w:rPr>
        <w:t xml:space="preserve"> systems’ performance would be brought into view. </w:t>
      </w:r>
    </w:p>
    <w:p w14:paraId="4D6712E9" w14:textId="77777777" w:rsidR="00BE3FE3" w:rsidRDefault="00BE3FE3" w:rsidP="00786F0B">
      <w:pPr>
        <w:spacing w:line="360" w:lineRule="auto"/>
        <w:ind w:left="-397" w:right="-397"/>
        <w:jc w:val="both"/>
        <w:rPr>
          <w:color w:val="000000" w:themeColor="text1"/>
        </w:rPr>
      </w:pPr>
    </w:p>
    <w:p w14:paraId="61B6FAF7" w14:textId="32530936" w:rsidR="00BE3FE3" w:rsidRDefault="00BE3FE3" w:rsidP="004A73BB">
      <w:pPr>
        <w:spacing w:line="360" w:lineRule="auto"/>
        <w:ind w:left="-397" w:right="-397"/>
        <w:jc w:val="both"/>
        <w:rPr>
          <w:rFonts w:cs="Times New Roman"/>
          <w:color w:val="000000" w:themeColor="text1"/>
          <w:shd w:val="clear" w:color="auto" w:fill="FFFFFF"/>
        </w:rPr>
      </w:pPr>
      <w:r>
        <w:rPr>
          <w:color w:val="000000" w:themeColor="text1"/>
        </w:rPr>
        <w:t>Business sector</w:t>
      </w:r>
      <w:r w:rsidR="009161F5">
        <w:rPr>
          <w:color w:val="000000" w:themeColor="text1"/>
        </w:rPr>
        <w:t>s</w:t>
      </w:r>
      <w:r>
        <w:rPr>
          <w:color w:val="000000" w:themeColor="text1"/>
        </w:rPr>
        <w:t xml:space="preserve"> organisation would be only one factor in emergence of different systems (</w:t>
      </w:r>
      <w:proofErr w:type="spellStart"/>
      <w:r>
        <w:rPr>
          <w:color w:val="000000" w:themeColor="text1"/>
        </w:rPr>
        <w:t>Steinmo</w:t>
      </w:r>
      <w:proofErr w:type="spellEnd"/>
      <w:r>
        <w:rPr>
          <w:color w:val="000000" w:themeColor="text1"/>
        </w:rPr>
        <w:t>, 2010), whilst the coordinating role of the state could be recognized as more important in shaping systemic patterns</w:t>
      </w:r>
      <w:r w:rsidR="009161F5">
        <w:rPr>
          <w:color w:val="000000" w:themeColor="text1"/>
        </w:rPr>
        <w:t>;</w:t>
      </w:r>
      <w:r>
        <w:rPr>
          <w:color w:val="000000" w:themeColor="text1"/>
        </w:rPr>
        <w:t xml:space="preserve"> such as HE responsiveness. In particular, the role of state-led education systems in shaping economic and social organisation would play a bigger role in the explanation. Accordingly, where </w:t>
      </w:r>
      <w:proofErr w:type="spellStart"/>
      <w:r w:rsidRPr="00797ECB">
        <w:rPr>
          <w:color w:val="000000" w:themeColor="text1"/>
        </w:rPr>
        <w:t>Steinmo</w:t>
      </w:r>
      <w:proofErr w:type="spellEnd"/>
      <w:r w:rsidRPr="00797ECB">
        <w:rPr>
          <w:color w:val="000000" w:themeColor="text1"/>
        </w:rPr>
        <w:t xml:space="preserve"> (2010,</w:t>
      </w:r>
      <w:r>
        <w:rPr>
          <w:color w:val="000000" w:themeColor="text1"/>
        </w:rPr>
        <w:t xml:space="preserve"> p. </w:t>
      </w:r>
      <w:r w:rsidRPr="00797ECB">
        <w:rPr>
          <w:color w:val="000000" w:themeColor="text1"/>
        </w:rPr>
        <w:t xml:space="preserve">16) points to </w:t>
      </w:r>
      <w:r w:rsidRPr="00CA1AA5">
        <w:rPr>
          <w:color w:val="000000" w:themeColor="text1"/>
        </w:rPr>
        <w:t xml:space="preserve">dynamic change as driven by how institutions’ </w:t>
      </w:r>
      <w:r>
        <w:rPr>
          <w:color w:val="000000" w:themeColor="text1"/>
        </w:rPr>
        <w:t xml:space="preserve">functions combine, I argue </w:t>
      </w:r>
      <w:r w:rsidRPr="00CA1AA5">
        <w:rPr>
          <w:color w:val="000000" w:themeColor="text1"/>
        </w:rPr>
        <w:t>mutual effects between institutions can also be understood</w:t>
      </w:r>
      <w:r>
        <w:rPr>
          <w:color w:val="000000" w:themeColor="text1"/>
        </w:rPr>
        <w:t xml:space="preserve"> more affirmatively in terms of transcendence. This refers to</w:t>
      </w:r>
      <w:r w:rsidRPr="00CA1AA5">
        <w:rPr>
          <w:color w:val="000000" w:themeColor="text1"/>
        </w:rPr>
        <w:t xml:space="preserve"> dynamic incentives that a wider embedding of cooperative interests in</w:t>
      </w:r>
      <w:r w:rsidRPr="00797ECB">
        <w:rPr>
          <w:color w:val="000000" w:themeColor="text1"/>
        </w:rPr>
        <w:t xml:space="preserve"> everyday more equal social relations create in evolving more HE-</w:t>
      </w:r>
      <w:r w:rsidRPr="00DE54F2">
        <w:rPr>
          <w:color w:val="000000" w:themeColor="text1"/>
        </w:rPr>
        <w:t xml:space="preserve">referent </w:t>
      </w:r>
      <w:r>
        <w:rPr>
          <w:color w:val="000000" w:themeColor="text1"/>
        </w:rPr>
        <w:t xml:space="preserve">and system-coherent </w:t>
      </w:r>
      <w:r w:rsidRPr="00DE54F2">
        <w:rPr>
          <w:color w:val="000000" w:themeColor="text1"/>
        </w:rPr>
        <w:t>solutions to problems.</w:t>
      </w:r>
      <w:r w:rsidRPr="00DE54F2">
        <w:t xml:space="preserve"> </w:t>
      </w:r>
      <w:r w:rsidR="009161F5">
        <w:t>In addition, h</w:t>
      </w:r>
      <w:r>
        <w:t xml:space="preserve">igher levels of skills organisation then become a very important intermediary factor in explaining state capacity to evolve and sustain systems of well-being.  </w:t>
      </w:r>
      <w:r w:rsidRPr="004A73BB">
        <w:t>Besides the underlying constraints presented by human economy, modern societies share the reality of states as the dominant legal frame.</w:t>
      </w:r>
      <w:r w:rsidRPr="004A73BB">
        <w:rPr>
          <w:color w:val="000000" w:themeColor="text1"/>
        </w:rPr>
        <w:t xml:space="preserve"> On this basis, making sense of how in these ways overall cooperative patterns in public sector development shapes systems</w:t>
      </w:r>
      <w:r>
        <w:rPr>
          <w:color w:val="000000" w:themeColor="text1"/>
        </w:rPr>
        <w:t>,</w:t>
      </w:r>
      <w:r w:rsidRPr="004A73BB">
        <w:rPr>
          <w:color w:val="000000" w:themeColor="text1"/>
        </w:rPr>
        <w:t xml:space="preserve"> entails paying attention to the level of </w:t>
      </w:r>
      <w:r w:rsidRPr="004A73BB">
        <w:rPr>
          <w:i/>
          <w:color w:val="000000" w:themeColor="text1"/>
        </w:rPr>
        <w:t>resource coordination</w:t>
      </w:r>
      <w:r w:rsidRPr="004A73BB">
        <w:rPr>
          <w:color w:val="000000" w:themeColor="text1"/>
        </w:rPr>
        <w:t xml:space="preserve"> and the </w:t>
      </w:r>
      <w:r w:rsidRPr="004A73BB">
        <w:rPr>
          <w:i/>
          <w:color w:val="000000" w:themeColor="text1"/>
        </w:rPr>
        <w:t xml:space="preserve">formality of </w:t>
      </w:r>
      <w:r w:rsidRPr="00F71AF5">
        <w:rPr>
          <w:i/>
          <w:color w:val="000000" w:themeColor="text1"/>
        </w:rPr>
        <w:t>incorporation</w:t>
      </w:r>
      <w:r w:rsidRPr="00F71AF5">
        <w:rPr>
          <w:color w:val="000000" w:themeColor="text1"/>
        </w:rPr>
        <w:t xml:space="preserve">, respectively. </w:t>
      </w:r>
      <w:r>
        <w:rPr>
          <w:color w:val="000000" w:themeColor="text1"/>
        </w:rPr>
        <w:t>This requires briefly examining</w:t>
      </w:r>
      <w:r w:rsidRPr="004A73BB">
        <w:rPr>
          <w:color w:val="000000" w:themeColor="text1"/>
        </w:rPr>
        <w:t xml:space="preserve"> the historical importance of two key factors, being, respectively</w:t>
      </w:r>
      <w:r w:rsidR="009161F5">
        <w:rPr>
          <w:color w:val="000000" w:themeColor="text1"/>
        </w:rPr>
        <w:t xml:space="preserve">: </w:t>
      </w:r>
      <w:r w:rsidRPr="004A73BB">
        <w:rPr>
          <w:color w:val="000000" w:themeColor="text1"/>
        </w:rPr>
        <w:t xml:space="preserve">social equality in the period prior to and during modern state formation, and the extent the rise of industrial capitalism broke this pattern. </w:t>
      </w:r>
    </w:p>
    <w:p w14:paraId="43C6ADB2" w14:textId="77777777" w:rsidR="00BE3FE3" w:rsidRPr="00327C34" w:rsidRDefault="00BE3FE3" w:rsidP="004A73BB">
      <w:pPr>
        <w:spacing w:line="360" w:lineRule="auto"/>
        <w:ind w:left="-397" w:right="-397"/>
        <w:jc w:val="both"/>
        <w:rPr>
          <w:rFonts w:cs="Times New Roman"/>
          <w:b/>
          <w:color w:val="000000" w:themeColor="text1"/>
          <w:shd w:val="clear" w:color="auto" w:fill="FFFFFF"/>
        </w:rPr>
      </w:pPr>
    </w:p>
    <w:p w14:paraId="380268F2" w14:textId="3695388E" w:rsidR="00BE3FE3" w:rsidRPr="00327C34" w:rsidRDefault="00BE3FE3" w:rsidP="004A73BB">
      <w:pPr>
        <w:spacing w:line="360" w:lineRule="auto"/>
        <w:ind w:left="-397" w:right="-397"/>
        <w:jc w:val="both"/>
        <w:rPr>
          <w:b/>
          <w:color w:val="000000" w:themeColor="text1"/>
          <w:shd w:val="clear" w:color="auto" w:fill="FFFFFF"/>
        </w:rPr>
      </w:pPr>
      <w:r w:rsidRPr="00327C34">
        <w:rPr>
          <w:b/>
          <w:color w:val="000000" w:themeColor="text1"/>
          <w:shd w:val="clear" w:color="auto" w:fill="FFFFFF"/>
        </w:rPr>
        <w:t>3.</w:t>
      </w:r>
      <w:r>
        <w:rPr>
          <w:b/>
          <w:color w:val="000000" w:themeColor="text1"/>
          <w:shd w:val="clear" w:color="auto" w:fill="FFFFFF"/>
        </w:rPr>
        <w:t>1</w:t>
      </w:r>
      <w:r w:rsidRPr="00327C34">
        <w:rPr>
          <w:b/>
          <w:color w:val="000000" w:themeColor="text1"/>
          <w:shd w:val="clear" w:color="auto" w:fill="FFFFFF"/>
        </w:rPr>
        <w:t xml:space="preserve"> Actual Equality, State Formation and Freedom</w:t>
      </w:r>
    </w:p>
    <w:p w14:paraId="4F80D93D" w14:textId="77777777" w:rsidR="00BE3FE3" w:rsidRPr="004A73BB" w:rsidRDefault="00BE3FE3" w:rsidP="004A73BB">
      <w:pPr>
        <w:spacing w:line="360" w:lineRule="auto"/>
        <w:ind w:left="-397" w:right="-397"/>
        <w:jc w:val="both"/>
        <w:rPr>
          <w:rFonts w:cs="Times New Roman"/>
          <w:color w:val="000000" w:themeColor="text1"/>
          <w:shd w:val="clear" w:color="auto" w:fill="FFFFFF"/>
        </w:rPr>
      </w:pPr>
    </w:p>
    <w:p w14:paraId="1D1AE463" w14:textId="54CD41CA" w:rsidR="00BE3FE3" w:rsidRPr="004A73BB" w:rsidRDefault="00BE3FE3" w:rsidP="004A73BB">
      <w:pPr>
        <w:spacing w:line="360" w:lineRule="auto"/>
        <w:ind w:left="-397" w:right="-397"/>
        <w:jc w:val="both"/>
        <w:rPr>
          <w:rFonts w:cs="Times New Roman"/>
          <w:color w:val="000000" w:themeColor="text1"/>
          <w:shd w:val="clear" w:color="auto" w:fill="FFFFFF"/>
        </w:rPr>
      </w:pPr>
      <w:r w:rsidRPr="004A73BB">
        <w:rPr>
          <w:rFonts w:cs="Times New Roman"/>
          <w:color w:val="000000" w:themeColor="text1"/>
          <w:shd w:val="clear" w:color="auto" w:fill="FFFFFF"/>
        </w:rPr>
        <w:t xml:space="preserve">An important sub-variety within historical institutionalism seeks to understand how social conditions behind state formation shape the character of modern political economies. </w:t>
      </w:r>
      <w:r w:rsidRPr="004A73BB">
        <w:rPr>
          <w:rFonts w:cs="Times New Roman"/>
          <w:color w:val="000000" w:themeColor="text1"/>
        </w:rPr>
        <w:t>This literature includes rich analysis of the role of ‘inclusive’ reforms and state initiatives in development modernity</w:t>
      </w:r>
      <w:r>
        <w:rPr>
          <w:rFonts w:cs="Times New Roman"/>
          <w:color w:val="000000" w:themeColor="text1"/>
        </w:rPr>
        <w:t xml:space="preserve">. </w:t>
      </w:r>
      <w:r w:rsidR="00CB26CE">
        <w:rPr>
          <w:rFonts w:cs="Times New Roman"/>
          <w:color w:val="000000" w:themeColor="text1"/>
        </w:rPr>
        <w:t>E</w:t>
      </w:r>
      <w:r w:rsidRPr="004A73BB">
        <w:rPr>
          <w:rFonts w:cs="Times New Roman"/>
          <w:color w:val="000000" w:themeColor="text1"/>
        </w:rPr>
        <w:t>xample</w:t>
      </w:r>
      <w:r w:rsidR="00CB26CE">
        <w:rPr>
          <w:rFonts w:cs="Times New Roman"/>
          <w:color w:val="000000" w:themeColor="text1"/>
        </w:rPr>
        <w:t>s include</w:t>
      </w:r>
      <w:r w:rsidRPr="004A73BB">
        <w:rPr>
          <w:rFonts w:cs="Times New Roman"/>
          <w:color w:val="000000" w:themeColor="text1"/>
        </w:rPr>
        <w:t xml:space="preserve"> the role of war and taxation in generating more tax effective states (Tilly, 1985</w:t>
      </w:r>
      <w:r w:rsidR="00DA3EFD">
        <w:rPr>
          <w:rFonts w:cs="Times New Roman"/>
          <w:color w:val="000000" w:themeColor="text1"/>
        </w:rPr>
        <w:t xml:space="preserve">; </w:t>
      </w:r>
      <w:r w:rsidRPr="004A73BB">
        <w:rPr>
          <w:rFonts w:cs="Times New Roman"/>
          <w:color w:val="000000" w:themeColor="text1"/>
        </w:rPr>
        <w:t xml:space="preserve">Bates, </w:t>
      </w:r>
      <w:r>
        <w:rPr>
          <w:rFonts w:cs="Times New Roman"/>
          <w:color w:val="000000" w:themeColor="text1"/>
        </w:rPr>
        <w:t>2006</w:t>
      </w:r>
      <w:r w:rsidRPr="004A73BB">
        <w:rPr>
          <w:rFonts w:cs="Times New Roman"/>
          <w:color w:val="000000" w:themeColor="text1"/>
        </w:rPr>
        <w:t xml:space="preserve">), </w:t>
      </w:r>
      <w:r w:rsidR="00CB26CE">
        <w:rPr>
          <w:rFonts w:cs="Times New Roman"/>
          <w:color w:val="000000" w:themeColor="text1"/>
        </w:rPr>
        <w:t>and</w:t>
      </w:r>
      <w:r w:rsidRPr="004A73BB">
        <w:rPr>
          <w:rFonts w:cs="Times New Roman"/>
          <w:color w:val="000000" w:themeColor="text1"/>
        </w:rPr>
        <w:t xml:space="preserve"> the role of early land reform and inherited property</w:t>
      </w:r>
      <w:r>
        <w:rPr>
          <w:rFonts w:cs="Times New Roman"/>
          <w:color w:val="000000" w:themeColor="text1"/>
        </w:rPr>
        <w:t>-</w:t>
      </w:r>
      <w:r w:rsidRPr="004A73BB">
        <w:rPr>
          <w:rFonts w:cs="Times New Roman"/>
          <w:color w:val="000000" w:themeColor="text1"/>
        </w:rPr>
        <w:t>rights systems in more inclusive market economies and viable democracies (Acemoglu and Robinson, 2002</w:t>
      </w:r>
      <w:r>
        <w:rPr>
          <w:rFonts w:cs="Times New Roman"/>
          <w:color w:val="000000" w:themeColor="text1"/>
        </w:rPr>
        <w:t xml:space="preserve">; </w:t>
      </w:r>
      <w:proofErr w:type="spellStart"/>
      <w:r w:rsidRPr="004A73BB">
        <w:rPr>
          <w:rFonts w:cs="Times New Roman"/>
          <w:color w:val="000000" w:themeColor="text1"/>
        </w:rPr>
        <w:t>Boix</w:t>
      </w:r>
      <w:proofErr w:type="spellEnd"/>
      <w:r>
        <w:rPr>
          <w:rFonts w:cs="Times New Roman"/>
          <w:color w:val="000000" w:themeColor="text1"/>
        </w:rPr>
        <w:t>,</w:t>
      </w:r>
      <w:r w:rsidRPr="004A73BB">
        <w:rPr>
          <w:rFonts w:cs="Times New Roman"/>
          <w:color w:val="000000" w:themeColor="text1"/>
        </w:rPr>
        <w:t xml:space="preserve"> 2003). An interesting aspect of this literature turns on the question, what </w:t>
      </w:r>
      <w:r w:rsidR="00DA3EFD">
        <w:rPr>
          <w:rFonts w:cs="Times New Roman"/>
          <w:color w:val="000000" w:themeColor="text1"/>
        </w:rPr>
        <w:t xml:space="preserve">does </w:t>
      </w:r>
      <w:r w:rsidRPr="004A73BB">
        <w:rPr>
          <w:rFonts w:cs="Times New Roman"/>
          <w:color w:val="000000" w:themeColor="text1"/>
        </w:rPr>
        <w:t>come first – conditions of equality, or equalising reforms and institutions</w:t>
      </w:r>
      <w:r>
        <w:rPr>
          <w:rFonts w:cs="Times New Roman"/>
          <w:color w:val="000000" w:themeColor="text1"/>
        </w:rPr>
        <w:t xml:space="preserve">? </w:t>
      </w:r>
      <w:r w:rsidRPr="004A73BB">
        <w:rPr>
          <w:rFonts w:cs="Times New Roman"/>
          <w:color w:val="000000" w:themeColor="text1"/>
        </w:rPr>
        <w:t xml:space="preserve">Sokoloff and </w:t>
      </w:r>
      <w:proofErr w:type="spellStart"/>
      <w:r w:rsidRPr="004A73BB">
        <w:rPr>
          <w:rFonts w:cs="Times New Roman"/>
          <w:color w:val="000000" w:themeColor="text1"/>
        </w:rPr>
        <w:t>Engerman</w:t>
      </w:r>
      <w:proofErr w:type="spellEnd"/>
      <w:r w:rsidRPr="004A73BB">
        <w:rPr>
          <w:rFonts w:cs="Times New Roman"/>
          <w:color w:val="000000" w:themeColor="text1"/>
        </w:rPr>
        <w:t xml:space="preserve"> (2009) </w:t>
      </w:r>
      <w:r>
        <w:rPr>
          <w:rFonts w:cs="Times New Roman"/>
          <w:color w:val="000000" w:themeColor="text1"/>
        </w:rPr>
        <w:t xml:space="preserve">argue that an effect of </w:t>
      </w:r>
      <w:r w:rsidRPr="004A73BB">
        <w:rPr>
          <w:rFonts w:cs="Times New Roman"/>
          <w:color w:val="000000" w:themeColor="text1"/>
        </w:rPr>
        <w:t>conditions of inequ</w:t>
      </w:r>
      <w:r>
        <w:rPr>
          <w:rFonts w:cs="Times New Roman"/>
          <w:color w:val="000000" w:themeColor="text1"/>
        </w:rPr>
        <w:t>ality or equality resulting</w:t>
      </w:r>
      <w:r w:rsidRPr="004A73BB">
        <w:rPr>
          <w:rFonts w:cs="Times New Roman"/>
          <w:color w:val="000000" w:themeColor="text1"/>
        </w:rPr>
        <w:t xml:space="preserve"> from the form of new world exploration – e.g. Spanish and Portuguese colonial settlement in the early modern period – produced lasting differential effects, which attained dynamic </w:t>
      </w:r>
      <w:r w:rsidRPr="004A73BB">
        <w:rPr>
          <w:rFonts w:cs="Times New Roman"/>
          <w:color w:val="000000" w:themeColor="text1"/>
        </w:rPr>
        <w:lastRenderedPageBreak/>
        <w:t>features. Once economic elites in Latin America were in a position to control policy and the state, they were able to lock in their power, resulting in omissions or actions in public policy</w:t>
      </w:r>
      <w:r>
        <w:rPr>
          <w:rFonts w:cs="Times New Roman"/>
          <w:color w:val="000000" w:themeColor="text1"/>
        </w:rPr>
        <w:t>,</w:t>
      </w:r>
      <w:r w:rsidRPr="004A73BB">
        <w:rPr>
          <w:rFonts w:cs="Times New Roman"/>
          <w:color w:val="000000" w:themeColor="text1"/>
        </w:rPr>
        <w:t xml:space="preserve"> which restricted competitive entry of other groups, notably natives and slaves. By contrast, comparably greater equality in North America, in particular within the North of the modern USA, generated more transparent political and more inclusive market institutions.</w:t>
      </w:r>
    </w:p>
    <w:p w14:paraId="2BB85AAB" w14:textId="77777777" w:rsidR="00BE3FE3" w:rsidRPr="004A73BB" w:rsidRDefault="00BE3FE3" w:rsidP="004A73BB">
      <w:pPr>
        <w:spacing w:line="360" w:lineRule="auto"/>
        <w:ind w:left="-397" w:right="-397"/>
        <w:jc w:val="both"/>
        <w:rPr>
          <w:rFonts w:cs="Times New Roman"/>
          <w:color w:val="000000" w:themeColor="text1"/>
        </w:rPr>
      </w:pPr>
    </w:p>
    <w:p w14:paraId="5A7B2E82" w14:textId="006CE6A1" w:rsidR="00BE3FE3" w:rsidRPr="0032029D" w:rsidRDefault="00BE3FE3" w:rsidP="00524155">
      <w:pPr>
        <w:spacing w:line="360" w:lineRule="auto"/>
        <w:ind w:left="-397" w:right="-397"/>
        <w:jc w:val="both"/>
        <w:rPr>
          <w:rFonts w:cs="Times New Roman"/>
          <w:color w:val="000000" w:themeColor="text1"/>
        </w:rPr>
      </w:pPr>
      <w:r w:rsidRPr="004A73BB">
        <w:rPr>
          <w:rFonts w:cs="Times New Roman"/>
          <w:color w:val="000000" w:themeColor="text1"/>
        </w:rPr>
        <w:t>If, however, we add to this comparative exercise the case of Nordic states, we discover an additional key factor in filtering and abating the effect of conditions of relatively greater market-based equality.  This factor is the extent of state-initiated property-rights redistribution before the rise of capitali</w:t>
      </w:r>
      <w:r>
        <w:rPr>
          <w:rFonts w:cs="Times New Roman"/>
          <w:color w:val="000000" w:themeColor="text1"/>
        </w:rPr>
        <w:t xml:space="preserve">sm. </w:t>
      </w:r>
      <w:r w:rsidRPr="004A73BB">
        <w:rPr>
          <w:rFonts w:cs="Times New Roman"/>
          <w:color w:val="000000" w:themeColor="text1"/>
        </w:rPr>
        <w:t>In Nordic states, the spread and level of literacy and public organisation of elementary education in the 1700s has been argued to be rivalled only by North America at the time (Sandberg, 1979)</w:t>
      </w:r>
      <w:r>
        <w:rPr>
          <w:rFonts w:cs="Times New Roman"/>
          <w:color w:val="000000" w:themeColor="text1"/>
        </w:rPr>
        <w:t xml:space="preserve">. At the same time, </w:t>
      </w:r>
      <w:r w:rsidRPr="004A73BB">
        <w:rPr>
          <w:rFonts w:cs="Times New Roman"/>
          <w:color w:val="000000" w:themeColor="text1"/>
        </w:rPr>
        <w:t>state-led reforms in Nordic states also entailed a more egalitarian distribution of land and small-scale owner farming (</w:t>
      </w:r>
      <w:proofErr w:type="spellStart"/>
      <w:r w:rsidRPr="004A73BB">
        <w:rPr>
          <w:rFonts w:cs="Times New Roman"/>
          <w:color w:val="000000" w:themeColor="text1"/>
        </w:rPr>
        <w:t>Kananen</w:t>
      </w:r>
      <w:proofErr w:type="spellEnd"/>
      <w:r w:rsidRPr="004A73BB">
        <w:rPr>
          <w:rFonts w:cs="Times New Roman"/>
          <w:color w:val="000000" w:themeColor="text1"/>
        </w:rPr>
        <w:t xml:space="preserve">, 2014; Chang, 2009). </w:t>
      </w:r>
      <w:r>
        <w:rPr>
          <w:rFonts w:cs="Times New Roman"/>
          <w:color w:val="000000" w:themeColor="text1"/>
        </w:rPr>
        <w:t xml:space="preserve"> On this </w:t>
      </w:r>
      <w:r w:rsidRPr="00524155">
        <w:rPr>
          <w:rFonts w:cs="Times New Roman"/>
          <w:color w:val="000000" w:themeColor="text1"/>
        </w:rPr>
        <w:t xml:space="preserve">account, Sokoloff and </w:t>
      </w:r>
      <w:proofErr w:type="spellStart"/>
      <w:r w:rsidRPr="00524155">
        <w:rPr>
          <w:rFonts w:cs="Times New Roman"/>
          <w:color w:val="000000" w:themeColor="text1"/>
        </w:rPr>
        <w:t>Engerman</w:t>
      </w:r>
      <w:proofErr w:type="spellEnd"/>
      <w:r w:rsidRPr="00524155">
        <w:rPr>
          <w:rFonts w:cs="Times New Roman"/>
          <w:color w:val="000000" w:themeColor="text1"/>
        </w:rPr>
        <w:t xml:space="preserve"> (2009) arguably overestimate the extent of social equality in North America (understandably given the contrasts with Latin America where inequality was extreme).</w:t>
      </w:r>
      <w:r w:rsidRPr="009D2E99">
        <w:rPr>
          <w:rFonts w:cs="Times New Roman"/>
          <w:color w:val="000000" w:themeColor="text1"/>
        </w:rPr>
        <w:t xml:space="preserve"> </w:t>
      </w:r>
      <w:r>
        <w:rPr>
          <w:rFonts w:cs="Times New Roman"/>
          <w:color w:val="000000" w:themeColor="text1"/>
        </w:rPr>
        <w:t xml:space="preserve"> Specifically, i</w:t>
      </w:r>
      <w:r w:rsidRPr="0032029D">
        <w:rPr>
          <w:rFonts w:cs="Times New Roman"/>
          <w:color w:val="000000" w:themeColor="text1"/>
        </w:rPr>
        <w:t>n the USA, contestation of slav</w:t>
      </w:r>
      <w:r>
        <w:rPr>
          <w:rFonts w:cs="Times New Roman"/>
          <w:color w:val="000000" w:themeColor="text1"/>
        </w:rPr>
        <w:t>ery by the Republican N</w:t>
      </w:r>
      <w:r w:rsidRPr="0032029D">
        <w:rPr>
          <w:rFonts w:cs="Times New Roman"/>
          <w:color w:val="000000" w:themeColor="text1"/>
        </w:rPr>
        <w:t>orth was framed in defence of an alternative freedom of labour in the market space, which in turn suited industrial elites (</w:t>
      </w:r>
      <w:proofErr w:type="spellStart"/>
      <w:r w:rsidRPr="0032029D">
        <w:rPr>
          <w:rFonts w:cs="Times New Roman"/>
          <w:color w:val="000000" w:themeColor="text1"/>
        </w:rPr>
        <w:t>Foner</w:t>
      </w:r>
      <w:proofErr w:type="spellEnd"/>
      <w:r w:rsidRPr="0032029D">
        <w:rPr>
          <w:rFonts w:cs="Times New Roman"/>
          <w:color w:val="000000" w:themeColor="text1"/>
        </w:rPr>
        <w:t>, 1995)</w:t>
      </w:r>
      <w:r>
        <w:rPr>
          <w:rFonts w:cs="Times New Roman"/>
          <w:color w:val="000000" w:themeColor="text1"/>
        </w:rPr>
        <w:t xml:space="preserve">. </w:t>
      </w:r>
      <w:r w:rsidRPr="0032029D">
        <w:rPr>
          <w:rFonts w:cs="Times New Roman"/>
          <w:color w:val="000000" w:themeColor="text1"/>
        </w:rPr>
        <w:t xml:space="preserve">Unlike both North America and Nordic states, the </w:t>
      </w:r>
      <w:r>
        <w:rPr>
          <w:rFonts w:cs="Times New Roman"/>
          <w:color w:val="000000" w:themeColor="text1"/>
        </w:rPr>
        <w:t xml:space="preserve">land </w:t>
      </w:r>
      <w:r w:rsidRPr="0032029D">
        <w:rPr>
          <w:rFonts w:cs="Times New Roman"/>
          <w:color w:val="000000" w:themeColor="text1"/>
        </w:rPr>
        <w:t>enclosure</w:t>
      </w:r>
      <w:r>
        <w:rPr>
          <w:rFonts w:cs="Times New Roman"/>
          <w:color w:val="000000" w:themeColor="text1"/>
        </w:rPr>
        <w:t>s</w:t>
      </w:r>
      <w:r w:rsidRPr="0032029D">
        <w:rPr>
          <w:rFonts w:cs="Times New Roman"/>
          <w:color w:val="000000" w:themeColor="text1"/>
        </w:rPr>
        <w:t xml:space="preserve"> in Britain further concentrated land ownership (</w:t>
      </w:r>
      <w:proofErr w:type="spellStart"/>
      <w:r w:rsidRPr="0032029D">
        <w:rPr>
          <w:rFonts w:cs="Times New Roman"/>
          <w:color w:val="000000" w:themeColor="text1"/>
        </w:rPr>
        <w:t>Fairlie</w:t>
      </w:r>
      <w:proofErr w:type="spellEnd"/>
      <w:r>
        <w:rPr>
          <w:rFonts w:cs="Times New Roman"/>
          <w:color w:val="000000" w:themeColor="text1"/>
        </w:rPr>
        <w:t>,</w:t>
      </w:r>
      <w:r w:rsidRPr="0032029D">
        <w:rPr>
          <w:rFonts w:cs="Times New Roman"/>
          <w:color w:val="000000" w:themeColor="text1"/>
        </w:rPr>
        <w:t xml:space="preserve"> 2009) and – as in America in the case of ex–slaves and white poor farm labourers – turned a new rural underclass into an impoverished industrial proletariat. In the US</w:t>
      </w:r>
      <w:r>
        <w:rPr>
          <w:rFonts w:cs="Times New Roman"/>
          <w:color w:val="000000" w:themeColor="text1"/>
        </w:rPr>
        <w:t>A,</w:t>
      </w:r>
      <w:r w:rsidRPr="0032029D">
        <w:rPr>
          <w:rFonts w:cs="Times New Roman"/>
          <w:color w:val="000000" w:themeColor="text1"/>
        </w:rPr>
        <w:t xml:space="preserve"> the consequence was a radical </w:t>
      </w:r>
      <w:r>
        <w:rPr>
          <w:rFonts w:cs="Times New Roman"/>
          <w:color w:val="000000" w:themeColor="text1"/>
        </w:rPr>
        <w:t xml:space="preserve">yet </w:t>
      </w:r>
      <w:r w:rsidRPr="0032029D">
        <w:rPr>
          <w:rFonts w:cs="Times New Roman"/>
          <w:color w:val="000000" w:themeColor="text1"/>
        </w:rPr>
        <w:t>disempowered union movement (Archer</w:t>
      </w:r>
      <w:r>
        <w:rPr>
          <w:rFonts w:cs="Times New Roman"/>
          <w:color w:val="000000" w:themeColor="text1"/>
        </w:rPr>
        <w:t>,</w:t>
      </w:r>
      <w:r w:rsidRPr="0032029D">
        <w:rPr>
          <w:rFonts w:cs="Times New Roman"/>
          <w:color w:val="000000" w:themeColor="text1"/>
        </w:rPr>
        <w:t xml:space="preserve"> 2010), and in both the United States and Britain a persistent legacy of low skill labour (</w:t>
      </w:r>
      <w:proofErr w:type="spellStart"/>
      <w:r w:rsidRPr="0032029D">
        <w:rPr>
          <w:rFonts w:cs="Times New Roman"/>
          <w:color w:val="000000" w:themeColor="text1"/>
        </w:rPr>
        <w:t>Finegold</w:t>
      </w:r>
      <w:proofErr w:type="spellEnd"/>
      <w:r w:rsidRPr="0032029D">
        <w:rPr>
          <w:rFonts w:cs="Times New Roman"/>
          <w:color w:val="000000" w:themeColor="text1"/>
        </w:rPr>
        <w:t xml:space="preserve"> </w:t>
      </w:r>
      <w:r>
        <w:rPr>
          <w:rFonts w:cs="Times New Roman"/>
          <w:color w:val="000000" w:themeColor="text1"/>
        </w:rPr>
        <w:t>and Soskice, 1988</w:t>
      </w:r>
      <w:r w:rsidRPr="0032029D">
        <w:rPr>
          <w:rFonts w:cs="Times New Roman"/>
          <w:color w:val="000000" w:themeColor="text1"/>
        </w:rPr>
        <w:t>).</w:t>
      </w:r>
    </w:p>
    <w:p w14:paraId="42B409A4" w14:textId="77777777" w:rsidR="00BE3FE3" w:rsidRPr="0032029D" w:rsidRDefault="00BE3FE3" w:rsidP="00AB76C6">
      <w:pPr>
        <w:spacing w:line="360" w:lineRule="auto"/>
        <w:ind w:left="-397" w:right="-397"/>
        <w:jc w:val="both"/>
        <w:rPr>
          <w:rFonts w:cs="Times New Roman"/>
          <w:color w:val="000000" w:themeColor="text1"/>
        </w:rPr>
      </w:pPr>
    </w:p>
    <w:p w14:paraId="0FE2BF4F" w14:textId="77777777" w:rsidR="00BE3FE3" w:rsidRPr="0032029D" w:rsidRDefault="00BE3FE3" w:rsidP="00BF263C">
      <w:pPr>
        <w:spacing w:line="360" w:lineRule="auto"/>
        <w:ind w:left="-397" w:right="-397"/>
        <w:jc w:val="both"/>
        <w:rPr>
          <w:rFonts w:cs="Times New Roman"/>
          <w:color w:val="000000" w:themeColor="text1"/>
        </w:rPr>
      </w:pPr>
      <w:r w:rsidRPr="0032029D">
        <w:rPr>
          <w:rFonts w:cs="Times New Roman"/>
          <w:color w:val="000000" w:themeColor="text1"/>
        </w:rPr>
        <w:t xml:space="preserve">By contrast, in Nordic states, a tradition of peasant appeal to public authorities to exert justice and regulation of work in the countryside </w:t>
      </w:r>
      <w:r>
        <w:rPr>
          <w:rFonts w:cs="Times New Roman"/>
          <w:color w:val="000000" w:themeColor="text1"/>
        </w:rPr>
        <w:t xml:space="preserve">before and </w:t>
      </w:r>
      <w:r w:rsidRPr="0032029D">
        <w:rPr>
          <w:rFonts w:cs="Times New Roman"/>
          <w:color w:val="000000" w:themeColor="text1"/>
        </w:rPr>
        <w:t>during the period of state formation (Haagh</w:t>
      </w:r>
      <w:r>
        <w:rPr>
          <w:rFonts w:cs="Times New Roman"/>
          <w:color w:val="000000" w:themeColor="text1"/>
        </w:rPr>
        <w:t>,</w:t>
      </w:r>
      <w:r w:rsidRPr="0032029D">
        <w:rPr>
          <w:rFonts w:cs="Times New Roman"/>
          <w:color w:val="000000" w:themeColor="text1"/>
        </w:rPr>
        <w:t xml:space="preserve"> 2019b; Jensen</w:t>
      </w:r>
      <w:r>
        <w:rPr>
          <w:rFonts w:cs="Times New Roman"/>
          <w:color w:val="000000" w:themeColor="text1"/>
        </w:rPr>
        <w:t>,</w:t>
      </w:r>
      <w:r w:rsidRPr="0032029D">
        <w:rPr>
          <w:rFonts w:cs="Times New Roman"/>
          <w:color w:val="000000" w:themeColor="text1"/>
        </w:rPr>
        <w:t xml:space="preserve"> 1936)</w:t>
      </w:r>
      <w:r w:rsidR="00140120">
        <w:rPr>
          <w:rFonts w:cs="Times New Roman"/>
          <w:color w:val="000000" w:themeColor="text1"/>
        </w:rPr>
        <w:t>,</w:t>
      </w:r>
      <w:r w:rsidRPr="0032029D">
        <w:rPr>
          <w:rFonts w:cs="Times New Roman"/>
          <w:color w:val="000000" w:themeColor="text1"/>
        </w:rPr>
        <w:t xml:space="preserve"> embedded the role of the state and public policy in society. Effective and rights-based centralisation of power in individual </w:t>
      </w:r>
      <w:r w:rsidRPr="004A73BB">
        <w:rPr>
          <w:rFonts w:cs="Times New Roman"/>
          <w:color w:val="000000" w:themeColor="text1"/>
        </w:rPr>
        <w:t>kingdoms gave the state authority to regulate economic affairs, and override claims of the nobility (Haagh</w:t>
      </w:r>
      <w:r>
        <w:rPr>
          <w:rFonts w:cs="Times New Roman"/>
          <w:color w:val="000000" w:themeColor="text1"/>
        </w:rPr>
        <w:t>,</w:t>
      </w:r>
      <w:r w:rsidRPr="004A73BB">
        <w:rPr>
          <w:rFonts w:cs="Times New Roman"/>
          <w:color w:val="000000" w:themeColor="text1"/>
        </w:rPr>
        <w:t xml:space="preserve"> 2019b, </w:t>
      </w:r>
      <w:proofErr w:type="spellStart"/>
      <w:r w:rsidRPr="004A73BB">
        <w:rPr>
          <w:rFonts w:cs="Times New Roman"/>
          <w:color w:val="000000" w:themeColor="text1"/>
        </w:rPr>
        <w:t>Kananen</w:t>
      </w:r>
      <w:proofErr w:type="spellEnd"/>
      <w:r>
        <w:rPr>
          <w:rFonts w:cs="Times New Roman"/>
          <w:color w:val="000000" w:themeColor="text1"/>
        </w:rPr>
        <w:t>,</w:t>
      </w:r>
      <w:r w:rsidRPr="004A73BB">
        <w:rPr>
          <w:rFonts w:cs="Times New Roman"/>
          <w:color w:val="000000" w:themeColor="text1"/>
        </w:rPr>
        <w:t xml:space="preserve"> 2014).</w:t>
      </w:r>
      <w:r w:rsidRPr="0032029D">
        <w:rPr>
          <w:rFonts w:cs="Times New Roman"/>
          <w:color w:val="000000" w:themeColor="text1"/>
        </w:rPr>
        <w:t xml:space="preserve"> In the 19</w:t>
      </w:r>
      <w:r w:rsidRPr="0032029D">
        <w:rPr>
          <w:rFonts w:cs="Times New Roman"/>
          <w:color w:val="000000" w:themeColor="text1"/>
          <w:vertAlign w:val="superscript"/>
        </w:rPr>
        <w:t>th</w:t>
      </w:r>
      <w:r w:rsidRPr="0032029D">
        <w:rPr>
          <w:rFonts w:cs="Times New Roman"/>
          <w:color w:val="000000" w:themeColor="text1"/>
        </w:rPr>
        <w:t xml:space="preserve"> century</w:t>
      </w:r>
      <w:r>
        <w:rPr>
          <w:rFonts w:cs="Times New Roman"/>
          <w:color w:val="000000" w:themeColor="text1"/>
        </w:rPr>
        <w:t>,</w:t>
      </w:r>
      <w:r w:rsidRPr="0032029D">
        <w:rPr>
          <w:rFonts w:cs="Times New Roman"/>
          <w:color w:val="000000" w:themeColor="text1"/>
        </w:rPr>
        <w:t xml:space="preserve"> cooperative farmers’ movements in Nordic states received public subsidies and moulded into a rural middle-class</w:t>
      </w:r>
      <w:r>
        <w:rPr>
          <w:rFonts w:cs="Times New Roman"/>
          <w:color w:val="000000" w:themeColor="text1"/>
        </w:rPr>
        <w:t>,</w:t>
      </w:r>
      <w:r w:rsidRPr="0032029D">
        <w:rPr>
          <w:rFonts w:cs="Times New Roman"/>
          <w:color w:val="000000" w:themeColor="text1"/>
        </w:rPr>
        <w:t xml:space="preserve"> which formed alliances with a gradually emerging urban organised working class</w:t>
      </w:r>
      <w:r>
        <w:rPr>
          <w:rFonts w:cs="Times New Roman"/>
          <w:color w:val="000000" w:themeColor="text1"/>
        </w:rPr>
        <w:t xml:space="preserve"> (Chang, 2009)</w:t>
      </w:r>
      <w:r w:rsidRPr="0032029D">
        <w:rPr>
          <w:rFonts w:cs="Times New Roman"/>
          <w:color w:val="000000" w:themeColor="text1"/>
        </w:rPr>
        <w:t xml:space="preserve">. </w:t>
      </w:r>
      <w:r>
        <w:rPr>
          <w:rFonts w:cs="Times New Roman"/>
          <w:color w:val="000000" w:themeColor="text1"/>
        </w:rPr>
        <w:t xml:space="preserve">On this basis, </w:t>
      </w:r>
      <w:r w:rsidRPr="0032029D">
        <w:rPr>
          <w:rFonts w:cs="Times New Roman"/>
          <w:color w:val="000000" w:themeColor="text1"/>
        </w:rPr>
        <w:t xml:space="preserve">it can be claimed </w:t>
      </w:r>
      <w:r w:rsidR="00191CEC">
        <w:rPr>
          <w:rFonts w:cs="Times New Roman"/>
          <w:color w:val="000000" w:themeColor="text1"/>
        </w:rPr>
        <w:t xml:space="preserve">that </w:t>
      </w:r>
      <w:r w:rsidRPr="0032029D">
        <w:rPr>
          <w:rFonts w:cs="Times New Roman"/>
          <w:color w:val="000000" w:themeColor="text1"/>
        </w:rPr>
        <w:t>Nordic states</w:t>
      </w:r>
      <w:r w:rsidR="00191CEC">
        <w:rPr>
          <w:rFonts w:cs="Times New Roman"/>
          <w:color w:val="000000" w:themeColor="text1"/>
        </w:rPr>
        <w:t>,</w:t>
      </w:r>
      <w:r w:rsidRPr="0032029D">
        <w:rPr>
          <w:rFonts w:cs="Times New Roman"/>
          <w:color w:val="000000" w:themeColor="text1"/>
        </w:rPr>
        <w:t xml:space="preserve"> whilst market societies, were not exactly a different variety of capitalism as much as they were and have remained </w:t>
      </w:r>
      <w:r w:rsidRPr="0032029D">
        <w:rPr>
          <w:rFonts w:cs="Times New Roman"/>
          <w:i/>
          <w:color w:val="000000" w:themeColor="text1"/>
        </w:rPr>
        <w:t>less capitalist</w:t>
      </w:r>
      <w:r w:rsidRPr="0032029D">
        <w:rPr>
          <w:rFonts w:cs="Times New Roman"/>
          <w:color w:val="000000" w:themeColor="text1"/>
        </w:rPr>
        <w:t>. T</w:t>
      </w:r>
      <w:r>
        <w:rPr>
          <w:rFonts w:cs="Times New Roman"/>
          <w:color w:val="000000" w:themeColor="text1"/>
        </w:rPr>
        <w:t>he</w:t>
      </w:r>
      <w:r w:rsidRPr="0032029D">
        <w:rPr>
          <w:rFonts w:cs="Times New Roman"/>
          <w:color w:val="000000" w:themeColor="text1"/>
        </w:rPr>
        <w:t xml:space="preserve"> rights-basis </w:t>
      </w:r>
      <w:r>
        <w:rPr>
          <w:rFonts w:cs="Times New Roman"/>
          <w:color w:val="000000" w:themeColor="text1"/>
        </w:rPr>
        <w:t xml:space="preserve">of Nordic states </w:t>
      </w:r>
      <w:r w:rsidRPr="0032029D">
        <w:rPr>
          <w:rFonts w:cs="Times New Roman"/>
          <w:color w:val="000000" w:themeColor="text1"/>
        </w:rPr>
        <w:t xml:space="preserve">prevented the arising of an underbelly of informal economy and extensive </w:t>
      </w:r>
      <w:proofErr w:type="spellStart"/>
      <w:r w:rsidRPr="0032029D">
        <w:rPr>
          <w:rFonts w:cs="Times New Roman"/>
          <w:color w:val="000000" w:themeColor="text1"/>
        </w:rPr>
        <w:t>proletarianisation</w:t>
      </w:r>
      <w:proofErr w:type="spellEnd"/>
      <w:r w:rsidRPr="0032029D">
        <w:rPr>
          <w:rFonts w:cs="Times New Roman"/>
          <w:color w:val="000000" w:themeColor="text1"/>
        </w:rPr>
        <w:t xml:space="preserve"> and </w:t>
      </w:r>
      <w:proofErr w:type="spellStart"/>
      <w:r w:rsidRPr="0032029D">
        <w:rPr>
          <w:rFonts w:cs="Times New Roman"/>
          <w:color w:val="000000" w:themeColor="text1"/>
        </w:rPr>
        <w:t>precarisation</w:t>
      </w:r>
      <w:proofErr w:type="spellEnd"/>
      <w:r w:rsidRPr="0032029D">
        <w:rPr>
          <w:rFonts w:cs="Times New Roman"/>
          <w:color w:val="000000" w:themeColor="text1"/>
        </w:rPr>
        <w:t xml:space="preserve"> of labour.</w:t>
      </w:r>
    </w:p>
    <w:p w14:paraId="08D1EE4D" w14:textId="77777777" w:rsidR="00BE3FE3" w:rsidRDefault="00BE3FE3" w:rsidP="007A690F">
      <w:pPr>
        <w:spacing w:line="360" w:lineRule="auto"/>
        <w:ind w:right="-397"/>
        <w:jc w:val="both"/>
        <w:rPr>
          <w:color w:val="000000" w:themeColor="text1"/>
        </w:rPr>
      </w:pPr>
    </w:p>
    <w:p w14:paraId="78AFC714" w14:textId="31758728" w:rsidR="00BE3FE3" w:rsidRDefault="00BE3FE3" w:rsidP="00B87760">
      <w:pPr>
        <w:spacing w:line="360" w:lineRule="auto"/>
        <w:ind w:left="-397" w:right="-397"/>
        <w:jc w:val="both"/>
        <w:rPr>
          <w:color w:val="000000" w:themeColor="text1"/>
        </w:rPr>
      </w:pPr>
      <w:r>
        <w:rPr>
          <w:color w:val="000000" w:themeColor="text1"/>
        </w:rPr>
        <w:t>In turn, a pattern of simultaneous central resource coordination and formal incorporation of citizens, through multi-pronged forms of social service expansion and legal changes</w:t>
      </w:r>
      <w:r w:rsidR="00CB26CE">
        <w:rPr>
          <w:color w:val="000000" w:themeColor="text1"/>
        </w:rPr>
        <w:t>,</w:t>
      </w:r>
      <w:r>
        <w:rPr>
          <w:color w:val="000000" w:themeColor="text1"/>
        </w:rPr>
        <w:t xml:space="preserve"> took place. This may be exemplified as much </w:t>
      </w:r>
      <w:r w:rsidR="00191CEC">
        <w:rPr>
          <w:color w:val="000000" w:themeColor="text1"/>
        </w:rPr>
        <w:t>in state-backed developmental subsidy of land reform (</w:t>
      </w:r>
      <w:proofErr w:type="spellStart"/>
      <w:r w:rsidR="00191CEC">
        <w:rPr>
          <w:color w:val="000000" w:themeColor="text1"/>
        </w:rPr>
        <w:t>Kananen</w:t>
      </w:r>
      <w:proofErr w:type="spellEnd"/>
      <w:r w:rsidR="00191CEC">
        <w:rPr>
          <w:color w:val="000000" w:themeColor="text1"/>
        </w:rPr>
        <w:t xml:space="preserve">, 2014, p. 38, pp. 47-9) as </w:t>
      </w:r>
      <w:r>
        <w:rPr>
          <w:color w:val="000000" w:themeColor="text1"/>
        </w:rPr>
        <w:t>in the legal equality of women in education and family law</w:t>
      </w:r>
      <w:r w:rsidR="00191CEC">
        <w:rPr>
          <w:color w:val="000000" w:themeColor="text1"/>
        </w:rPr>
        <w:t xml:space="preserve">, </w:t>
      </w:r>
      <w:r>
        <w:rPr>
          <w:color w:val="000000" w:themeColor="text1"/>
        </w:rPr>
        <w:t>and educational expansion (</w:t>
      </w:r>
      <w:proofErr w:type="spellStart"/>
      <w:r>
        <w:rPr>
          <w:color w:val="000000" w:themeColor="text1"/>
        </w:rPr>
        <w:t>Soysal</w:t>
      </w:r>
      <w:proofErr w:type="spellEnd"/>
      <w:r>
        <w:rPr>
          <w:color w:val="000000" w:themeColor="text1"/>
        </w:rPr>
        <w:t xml:space="preserve"> and Strang, 1989).</w:t>
      </w:r>
      <w:r>
        <w:rPr>
          <w:rStyle w:val="FootnoteReference"/>
          <w:color w:val="000000" w:themeColor="text1"/>
        </w:rPr>
        <w:footnoteReference w:id="4"/>
      </w:r>
      <w:r>
        <w:rPr>
          <w:color w:val="000000" w:themeColor="text1"/>
        </w:rPr>
        <w:t xml:space="preserve"> </w:t>
      </w:r>
    </w:p>
    <w:p w14:paraId="0A753292" w14:textId="77777777" w:rsidR="00BE3FE3" w:rsidRDefault="00BE3FE3" w:rsidP="00B87760">
      <w:pPr>
        <w:spacing w:line="360" w:lineRule="auto"/>
        <w:ind w:right="-397"/>
        <w:jc w:val="both"/>
        <w:rPr>
          <w:color w:val="000000" w:themeColor="text1"/>
        </w:rPr>
      </w:pPr>
    </w:p>
    <w:p w14:paraId="4D21B885" w14:textId="186C86F6" w:rsidR="00BE3FE3" w:rsidRPr="00397AF7" w:rsidRDefault="00BE3FE3" w:rsidP="00B87760">
      <w:pPr>
        <w:spacing w:line="360" w:lineRule="auto"/>
        <w:ind w:left="-397" w:right="-397"/>
        <w:jc w:val="both"/>
        <w:rPr>
          <w:color w:val="000000" w:themeColor="text1"/>
        </w:rPr>
      </w:pPr>
      <w:r>
        <w:rPr>
          <w:color w:val="000000" w:themeColor="text1"/>
        </w:rPr>
        <w:t xml:space="preserve">By contrast, </w:t>
      </w:r>
      <w:r w:rsidRPr="001305BA">
        <w:rPr>
          <w:color w:val="000000" w:themeColor="text1"/>
        </w:rPr>
        <w:t>weaker embedding of cooperative ca</w:t>
      </w:r>
      <w:r>
        <w:rPr>
          <w:color w:val="000000" w:themeColor="text1"/>
        </w:rPr>
        <w:t>pabilities and HE sensitivity characterised the pattern of</w:t>
      </w:r>
      <w:r w:rsidRPr="001305BA">
        <w:rPr>
          <w:color w:val="000000" w:themeColor="text1"/>
        </w:rPr>
        <w:t xml:space="preserve"> Ang</w:t>
      </w:r>
      <w:r>
        <w:rPr>
          <w:color w:val="000000" w:themeColor="text1"/>
        </w:rPr>
        <w:t xml:space="preserve">lo-liberal transitions to modern statehood (in the USA symbolised by the North South-divide, </w:t>
      </w:r>
      <w:proofErr w:type="spellStart"/>
      <w:r>
        <w:rPr>
          <w:color w:val="000000" w:themeColor="text1"/>
        </w:rPr>
        <w:t>Boix</w:t>
      </w:r>
      <w:proofErr w:type="spellEnd"/>
      <w:r>
        <w:rPr>
          <w:color w:val="000000" w:themeColor="text1"/>
        </w:rPr>
        <w:t>, 2003, pp. 118-23). In movements to extend the franchise, women’s and tenants’ rights were relegated by split working class and left groupings ultimately manipulated by competing factions of capital for larger political ends (Collier, 1999, pp. 62-7). Capital accepted political democratisation only on the basis of</w:t>
      </w:r>
      <w:r w:rsidRPr="001305BA">
        <w:rPr>
          <w:color w:val="000000" w:themeColor="text1"/>
        </w:rPr>
        <w:t xml:space="preserve"> </w:t>
      </w:r>
      <w:r w:rsidRPr="00797ECB">
        <w:rPr>
          <w:color w:val="000000" w:themeColor="text1"/>
        </w:rPr>
        <w:t>special exit (</w:t>
      </w:r>
      <w:proofErr w:type="spellStart"/>
      <w:r w:rsidRPr="00797ECB">
        <w:rPr>
          <w:color w:val="000000" w:themeColor="text1"/>
        </w:rPr>
        <w:t>Boix</w:t>
      </w:r>
      <w:proofErr w:type="spellEnd"/>
      <w:r>
        <w:rPr>
          <w:color w:val="000000" w:themeColor="text1"/>
        </w:rPr>
        <w:t>,</w:t>
      </w:r>
      <w:r w:rsidRPr="00797ECB">
        <w:rPr>
          <w:color w:val="000000" w:themeColor="text1"/>
        </w:rPr>
        <w:t xml:space="preserve"> 2003, </w:t>
      </w:r>
      <w:r>
        <w:rPr>
          <w:color w:val="000000" w:themeColor="text1"/>
        </w:rPr>
        <w:t xml:space="preserve">p. </w:t>
      </w:r>
      <w:r w:rsidRPr="00797ECB">
        <w:rPr>
          <w:color w:val="000000" w:themeColor="text1"/>
        </w:rPr>
        <w:t>228) or rent (e.g. from public debt, Piketty,</w:t>
      </w:r>
      <w:r>
        <w:rPr>
          <w:color w:val="000000" w:themeColor="text1"/>
        </w:rPr>
        <w:t xml:space="preserve"> 2014, pp. 130-133, p. 142) options</w:t>
      </w:r>
      <w:r w:rsidR="00CB26CE">
        <w:rPr>
          <w:color w:val="000000" w:themeColor="text1"/>
        </w:rPr>
        <w:t>, which in turn</w:t>
      </w:r>
      <w:r w:rsidRPr="00797ECB">
        <w:rPr>
          <w:color w:val="000000" w:themeColor="text1"/>
        </w:rPr>
        <w:t xml:space="preserve"> curtail</w:t>
      </w:r>
      <w:r w:rsidR="00CB26CE">
        <w:rPr>
          <w:color w:val="000000" w:themeColor="text1"/>
        </w:rPr>
        <w:t>ed</w:t>
      </w:r>
      <w:r w:rsidRPr="00797ECB">
        <w:rPr>
          <w:color w:val="000000" w:themeColor="text1"/>
        </w:rPr>
        <w:t xml:space="preserve"> efforts at redistribution and public investm</w:t>
      </w:r>
      <w:r>
        <w:rPr>
          <w:color w:val="000000" w:themeColor="text1"/>
        </w:rPr>
        <w:t xml:space="preserve">ent (Piketty, ibid., pp. 133-136). </w:t>
      </w:r>
    </w:p>
    <w:p w14:paraId="21B0A9F9" w14:textId="77777777" w:rsidR="00BE3FE3" w:rsidRPr="006B3745" w:rsidRDefault="00BE3FE3" w:rsidP="00B87760">
      <w:pPr>
        <w:spacing w:line="360" w:lineRule="auto"/>
        <w:ind w:right="-397"/>
        <w:jc w:val="both"/>
        <w:rPr>
          <w:rStyle w:val="FootnoteReference"/>
          <w:color w:val="000000" w:themeColor="text1"/>
        </w:rPr>
      </w:pPr>
    </w:p>
    <w:p w14:paraId="11757F44" w14:textId="16823C4C" w:rsidR="00BE3FE3" w:rsidRDefault="00BE3FE3" w:rsidP="00B87760">
      <w:pPr>
        <w:spacing w:line="360" w:lineRule="auto"/>
        <w:ind w:left="-397" w:right="-397"/>
        <w:jc w:val="both"/>
        <w:rPr>
          <w:color w:val="000000" w:themeColor="text1"/>
        </w:rPr>
      </w:pPr>
      <w:r w:rsidRPr="006B3745">
        <w:rPr>
          <w:color w:val="000000" w:themeColor="text1"/>
        </w:rPr>
        <w:t>In Sweden, the ‘Rehn-</w:t>
      </w:r>
      <w:proofErr w:type="spellStart"/>
      <w:r w:rsidRPr="006B3745">
        <w:rPr>
          <w:color w:val="000000" w:themeColor="text1"/>
        </w:rPr>
        <w:t>Meidner</w:t>
      </w:r>
      <w:proofErr w:type="spellEnd"/>
      <w:r w:rsidRPr="006B3745">
        <w:rPr>
          <w:color w:val="000000" w:themeColor="text1"/>
        </w:rPr>
        <w:t>’ labour-capital accord of the 1950s to support high productivity growth by suppressing low wages was actively supported by fiscal (developmental) policy (</w:t>
      </w:r>
      <w:proofErr w:type="spellStart"/>
      <w:r w:rsidRPr="006B3745">
        <w:rPr>
          <w:color w:val="000000" w:themeColor="text1"/>
        </w:rPr>
        <w:t>Steinmo</w:t>
      </w:r>
      <w:proofErr w:type="spellEnd"/>
      <w:r>
        <w:rPr>
          <w:color w:val="000000" w:themeColor="text1"/>
        </w:rPr>
        <w:t>,</w:t>
      </w:r>
      <w:r w:rsidRPr="006B3745">
        <w:rPr>
          <w:color w:val="000000" w:themeColor="text1"/>
        </w:rPr>
        <w:t xml:space="preserve"> 2010, </w:t>
      </w:r>
      <w:r>
        <w:rPr>
          <w:color w:val="000000" w:themeColor="text1"/>
        </w:rPr>
        <w:t xml:space="preserve">p. </w:t>
      </w:r>
      <w:r w:rsidRPr="006B3745">
        <w:rPr>
          <w:color w:val="000000" w:themeColor="text1"/>
        </w:rPr>
        <w:t>51,</w:t>
      </w:r>
      <w:r>
        <w:rPr>
          <w:color w:val="000000" w:themeColor="text1"/>
        </w:rPr>
        <w:t xml:space="preserve"> p. </w:t>
      </w:r>
      <w:r w:rsidRPr="006B3745">
        <w:rPr>
          <w:color w:val="000000" w:themeColor="text1"/>
        </w:rPr>
        <w:t>54,</w:t>
      </w:r>
      <w:r>
        <w:rPr>
          <w:color w:val="000000" w:themeColor="text1"/>
        </w:rPr>
        <w:t xml:space="preserve"> pp. </w:t>
      </w:r>
      <w:r w:rsidRPr="006B3745">
        <w:rPr>
          <w:color w:val="000000" w:themeColor="text1"/>
        </w:rPr>
        <w:t>57-</w:t>
      </w:r>
      <w:r>
        <w:rPr>
          <w:color w:val="000000" w:themeColor="text1"/>
        </w:rPr>
        <w:t>5</w:t>
      </w:r>
      <w:r w:rsidRPr="006B3745">
        <w:rPr>
          <w:color w:val="000000" w:themeColor="text1"/>
        </w:rPr>
        <w:t xml:space="preserve">8), to use tax to favour productive investment over speculation, and encourage women’s sustainable inclusion in occupational life through child-care and family subsidies. </w:t>
      </w:r>
      <w:r>
        <w:rPr>
          <w:color w:val="000000" w:themeColor="text1"/>
        </w:rPr>
        <w:t>Counterfactually,</w:t>
      </w:r>
      <w:r w:rsidRPr="00397AF7">
        <w:rPr>
          <w:color w:val="000000" w:themeColor="text1"/>
        </w:rPr>
        <w:t xml:space="preserve"> a structurally weak business community (in the US</w:t>
      </w:r>
      <w:r>
        <w:rPr>
          <w:color w:val="000000" w:themeColor="text1"/>
        </w:rPr>
        <w:t>A, see</w:t>
      </w:r>
      <w:r w:rsidRPr="00397AF7">
        <w:rPr>
          <w:color w:val="000000" w:themeColor="text1"/>
        </w:rPr>
        <w:t xml:space="preserve"> </w:t>
      </w:r>
      <w:proofErr w:type="spellStart"/>
      <w:r w:rsidRPr="00397AF7">
        <w:rPr>
          <w:color w:val="000000" w:themeColor="text1"/>
        </w:rPr>
        <w:t>Thelen</w:t>
      </w:r>
      <w:proofErr w:type="spellEnd"/>
      <w:r>
        <w:rPr>
          <w:color w:val="000000" w:themeColor="text1"/>
        </w:rPr>
        <w:t>,</w:t>
      </w:r>
      <w:r w:rsidRPr="00397AF7">
        <w:rPr>
          <w:color w:val="000000" w:themeColor="text1"/>
        </w:rPr>
        <w:t xml:space="preserve"> 2014,</w:t>
      </w:r>
      <w:r>
        <w:rPr>
          <w:color w:val="000000" w:themeColor="text1"/>
        </w:rPr>
        <w:t xml:space="preserve"> p. </w:t>
      </w:r>
      <w:r w:rsidRPr="00397AF7">
        <w:rPr>
          <w:color w:val="000000" w:themeColor="text1"/>
        </w:rPr>
        <w:t xml:space="preserve">39) and a </w:t>
      </w:r>
      <w:proofErr w:type="gramStart"/>
      <w:r w:rsidRPr="00397AF7">
        <w:rPr>
          <w:color w:val="000000" w:themeColor="text1"/>
        </w:rPr>
        <w:t>fractured industrial relations</w:t>
      </w:r>
      <w:proofErr w:type="gramEnd"/>
      <w:r w:rsidRPr="00397AF7">
        <w:rPr>
          <w:color w:val="000000" w:themeColor="text1"/>
        </w:rPr>
        <w:t xml:space="preserve"> in the UK (Crouch</w:t>
      </w:r>
      <w:r>
        <w:rPr>
          <w:color w:val="000000" w:themeColor="text1"/>
        </w:rPr>
        <w:t>,</w:t>
      </w:r>
      <w:r w:rsidRPr="00397AF7">
        <w:rPr>
          <w:color w:val="000000" w:themeColor="text1"/>
        </w:rPr>
        <w:t xml:space="preserve"> </w:t>
      </w:r>
      <w:r>
        <w:rPr>
          <w:color w:val="000000" w:themeColor="text1"/>
        </w:rPr>
        <w:t xml:space="preserve">1977, </w:t>
      </w:r>
      <w:r w:rsidRPr="00397AF7">
        <w:rPr>
          <w:color w:val="000000" w:themeColor="text1"/>
        </w:rPr>
        <w:t xml:space="preserve">1994, </w:t>
      </w:r>
      <w:r>
        <w:rPr>
          <w:color w:val="000000" w:themeColor="text1"/>
        </w:rPr>
        <w:t xml:space="preserve">pp. </w:t>
      </w:r>
      <w:r w:rsidRPr="00397AF7">
        <w:rPr>
          <w:color w:val="000000" w:themeColor="text1"/>
        </w:rPr>
        <w:t xml:space="preserve">13-16), created fault-lines that after the 1970s crisis </w:t>
      </w:r>
      <w:r w:rsidRPr="006B3745">
        <w:rPr>
          <w:color w:val="000000" w:themeColor="text1"/>
        </w:rPr>
        <w:t>made deep d</w:t>
      </w:r>
      <w:r>
        <w:rPr>
          <w:color w:val="000000" w:themeColor="text1"/>
        </w:rPr>
        <w:t>eregulatory politics attractive.</w:t>
      </w:r>
    </w:p>
    <w:p w14:paraId="63A003F5" w14:textId="77777777" w:rsidR="00BE3FE3" w:rsidRPr="00397AF7" w:rsidRDefault="00BE3FE3" w:rsidP="00B87760">
      <w:pPr>
        <w:spacing w:line="360" w:lineRule="auto"/>
        <w:ind w:left="-397" w:right="-397"/>
        <w:jc w:val="both"/>
        <w:rPr>
          <w:color w:val="000000" w:themeColor="text1"/>
        </w:rPr>
      </w:pPr>
    </w:p>
    <w:p w14:paraId="0CC4A6F2" w14:textId="541A3638" w:rsidR="00BE3FE3" w:rsidRDefault="00BE3FE3" w:rsidP="00532758">
      <w:pPr>
        <w:spacing w:line="360" w:lineRule="auto"/>
        <w:ind w:left="-397" w:right="-397"/>
        <w:jc w:val="both"/>
        <w:rPr>
          <w:b/>
          <w:color w:val="000000" w:themeColor="text1"/>
        </w:rPr>
      </w:pPr>
      <w:r>
        <w:rPr>
          <w:rFonts w:eastAsia="Times New Roman" w:cs="Times New Roman"/>
          <w:color w:val="000000" w:themeColor="text1"/>
          <w:lang w:eastAsia="en-GB" w:bidi="ar-SA"/>
        </w:rPr>
        <w:t xml:space="preserve">A key point here is </w:t>
      </w:r>
      <w:r w:rsidRPr="00397AF7">
        <w:rPr>
          <w:color w:val="000000" w:themeColor="text1"/>
        </w:rPr>
        <w:t>how the two trajectories reviewed respond to vulnerabil</w:t>
      </w:r>
      <w:r>
        <w:rPr>
          <w:color w:val="000000" w:themeColor="text1"/>
        </w:rPr>
        <w:t xml:space="preserve">ity differently. The first entailed an abstract </w:t>
      </w:r>
      <w:r w:rsidRPr="00397AF7">
        <w:rPr>
          <w:color w:val="000000" w:themeColor="text1"/>
        </w:rPr>
        <w:t xml:space="preserve">moral (external) concern </w:t>
      </w:r>
      <w:r w:rsidRPr="001305BA">
        <w:rPr>
          <w:color w:val="000000" w:themeColor="text1"/>
        </w:rPr>
        <w:t xml:space="preserve">giving rise to group-focussed - but ultimately residual </w:t>
      </w:r>
      <w:r w:rsidR="00064668">
        <w:rPr>
          <w:color w:val="000000" w:themeColor="text1"/>
        </w:rPr>
        <w:t>-</w:t>
      </w:r>
      <w:r w:rsidRPr="001305BA">
        <w:rPr>
          <w:color w:val="000000" w:themeColor="text1"/>
        </w:rPr>
        <w:t>schemes</w:t>
      </w:r>
      <w:r w:rsidR="00064668">
        <w:rPr>
          <w:color w:val="000000" w:themeColor="text1"/>
        </w:rPr>
        <w:t>,</w:t>
      </w:r>
      <w:r w:rsidRPr="001305BA">
        <w:rPr>
          <w:color w:val="000000" w:themeColor="text1"/>
        </w:rPr>
        <w:t xml:space="preserve"> </w:t>
      </w:r>
      <w:r w:rsidR="00064668">
        <w:rPr>
          <w:color w:val="000000" w:themeColor="text1"/>
        </w:rPr>
        <w:t xml:space="preserve">such </w:t>
      </w:r>
      <w:r w:rsidRPr="001305BA">
        <w:rPr>
          <w:color w:val="000000" w:themeColor="text1"/>
        </w:rPr>
        <w:t xml:space="preserve">as in </w:t>
      </w:r>
      <w:proofErr w:type="spellStart"/>
      <w:r w:rsidRPr="001305BA">
        <w:rPr>
          <w:color w:val="000000" w:themeColor="text1"/>
        </w:rPr>
        <w:t>Skocpol’s</w:t>
      </w:r>
      <w:proofErr w:type="spellEnd"/>
      <w:r w:rsidRPr="001305BA">
        <w:rPr>
          <w:color w:val="000000" w:themeColor="text1"/>
        </w:rPr>
        <w:t xml:space="preserve"> (1992, </w:t>
      </w:r>
      <w:r>
        <w:rPr>
          <w:color w:val="000000" w:themeColor="text1"/>
        </w:rPr>
        <w:t xml:space="preserve">pp. </w:t>
      </w:r>
      <w:r w:rsidRPr="001305BA">
        <w:rPr>
          <w:color w:val="000000" w:themeColor="text1"/>
        </w:rPr>
        <w:t>532-</w:t>
      </w:r>
      <w:r>
        <w:rPr>
          <w:color w:val="000000" w:themeColor="text1"/>
        </w:rPr>
        <w:t>53</w:t>
      </w:r>
      <w:r w:rsidRPr="001305BA">
        <w:rPr>
          <w:color w:val="000000" w:themeColor="text1"/>
        </w:rPr>
        <w:t>5) analysis</w:t>
      </w:r>
      <w:r w:rsidR="00064668">
        <w:rPr>
          <w:color w:val="000000" w:themeColor="text1"/>
        </w:rPr>
        <w:t xml:space="preserve"> </w:t>
      </w:r>
      <w:r w:rsidR="00B15E87">
        <w:rPr>
          <w:color w:val="000000" w:themeColor="text1"/>
        </w:rPr>
        <w:t>framed</w:t>
      </w:r>
      <w:r w:rsidRPr="001305BA">
        <w:rPr>
          <w:color w:val="000000" w:themeColor="text1"/>
        </w:rPr>
        <w:t xml:space="preserve"> early American </w:t>
      </w:r>
      <w:r>
        <w:rPr>
          <w:color w:val="000000" w:themeColor="text1"/>
        </w:rPr>
        <w:t xml:space="preserve">welfare </w:t>
      </w:r>
      <w:r w:rsidR="00B15E87">
        <w:rPr>
          <w:color w:val="000000" w:themeColor="text1"/>
        </w:rPr>
        <w:t>–</w:t>
      </w:r>
      <w:r w:rsidRPr="001305BA">
        <w:rPr>
          <w:color w:val="000000" w:themeColor="text1"/>
        </w:rPr>
        <w:t xml:space="preserve"> </w:t>
      </w:r>
      <w:r w:rsidR="00B15E87">
        <w:rPr>
          <w:color w:val="000000" w:themeColor="text1"/>
        </w:rPr>
        <w:t>whereas a gradual flattening of provision</w:t>
      </w:r>
      <w:r w:rsidRPr="001305BA">
        <w:rPr>
          <w:color w:val="000000" w:themeColor="text1"/>
        </w:rPr>
        <w:t xml:space="preserve"> (</w:t>
      </w:r>
      <w:proofErr w:type="spellStart"/>
      <w:r w:rsidR="00191CEC">
        <w:rPr>
          <w:color w:val="000000" w:themeColor="text1"/>
        </w:rPr>
        <w:t>Cl</w:t>
      </w:r>
      <w:r w:rsidR="00B15E87">
        <w:rPr>
          <w:color w:val="000000" w:themeColor="text1"/>
        </w:rPr>
        <w:t>asen</w:t>
      </w:r>
      <w:proofErr w:type="spellEnd"/>
      <w:r w:rsidR="000744CA">
        <w:rPr>
          <w:color w:val="000000" w:themeColor="text1"/>
        </w:rPr>
        <w:t>,</w:t>
      </w:r>
      <w:r w:rsidR="00B15E87">
        <w:rPr>
          <w:color w:val="000000" w:themeColor="text1"/>
        </w:rPr>
        <w:t xml:space="preserve"> 2001; </w:t>
      </w:r>
      <w:r w:rsidRPr="001305BA">
        <w:rPr>
          <w:color w:val="000000" w:themeColor="text1"/>
        </w:rPr>
        <w:t>Hay</w:t>
      </w:r>
      <w:r>
        <w:rPr>
          <w:color w:val="000000" w:themeColor="text1"/>
        </w:rPr>
        <w:t>,</w:t>
      </w:r>
      <w:r w:rsidRPr="001305BA">
        <w:rPr>
          <w:color w:val="000000" w:themeColor="text1"/>
        </w:rPr>
        <w:t xml:space="preserve"> 2014) </w:t>
      </w:r>
      <w:r w:rsidR="00B15E87">
        <w:rPr>
          <w:color w:val="000000" w:themeColor="text1"/>
        </w:rPr>
        <w:t xml:space="preserve">has shaped the </w:t>
      </w:r>
      <w:r>
        <w:rPr>
          <w:color w:val="000000" w:themeColor="text1"/>
        </w:rPr>
        <w:t>UK</w:t>
      </w:r>
      <w:r w:rsidR="00B15E87">
        <w:rPr>
          <w:color w:val="000000" w:themeColor="text1"/>
        </w:rPr>
        <w:t xml:space="preserve"> welfare state</w:t>
      </w:r>
      <w:r>
        <w:rPr>
          <w:color w:val="000000" w:themeColor="text1"/>
        </w:rPr>
        <w:t xml:space="preserve">. By contrast, the </w:t>
      </w:r>
      <w:r w:rsidRPr="001305BA">
        <w:rPr>
          <w:color w:val="000000" w:themeColor="text1"/>
        </w:rPr>
        <w:t xml:space="preserve">second </w:t>
      </w:r>
      <w:r>
        <w:rPr>
          <w:color w:val="000000" w:themeColor="text1"/>
        </w:rPr>
        <w:t xml:space="preserve">trajectory entailed </w:t>
      </w:r>
      <w:r w:rsidRPr="001305BA">
        <w:rPr>
          <w:color w:val="000000" w:themeColor="text1"/>
        </w:rPr>
        <w:t>a</w:t>
      </w:r>
      <w:r>
        <w:rPr>
          <w:color w:val="000000" w:themeColor="text1"/>
        </w:rPr>
        <w:t xml:space="preserve"> form of progressive and cumulative</w:t>
      </w:r>
      <w:r w:rsidRPr="001305BA">
        <w:rPr>
          <w:color w:val="000000" w:themeColor="text1"/>
        </w:rPr>
        <w:t xml:space="preserve"> systemic recognition of more human needs over time.</w:t>
      </w:r>
    </w:p>
    <w:p w14:paraId="6F455CB1" w14:textId="77777777" w:rsidR="00BE3FE3" w:rsidRDefault="00BE3FE3" w:rsidP="00532758">
      <w:pPr>
        <w:spacing w:line="360" w:lineRule="auto"/>
        <w:ind w:left="-397" w:right="-397"/>
        <w:jc w:val="both"/>
        <w:rPr>
          <w:color w:val="000000" w:themeColor="text1"/>
        </w:rPr>
      </w:pPr>
    </w:p>
    <w:p w14:paraId="5301D6C7" w14:textId="74EE1418" w:rsidR="00BE3FE3" w:rsidRPr="00532758" w:rsidRDefault="00BE3FE3" w:rsidP="00532758">
      <w:pPr>
        <w:spacing w:line="360" w:lineRule="auto"/>
        <w:ind w:left="-397" w:right="-397"/>
        <w:jc w:val="both"/>
        <w:rPr>
          <w:b/>
          <w:color w:val="000000" w:themeColor="text1"/>
        </w:rPr>
      </w:pPr>
      <w:r w:rsidRPr="002E355E">
        <w:rPr>
          <w:color w:val="000000" w:themeColor="text1"/>
        </w:rPr>
        <w:lastRenderedPageBreak/>
        <w:t xml:space="preserve">Notably, </w:t>
      </w:r>
      <w:proofErr w:type="spellStart"/>
      <w:r w:rsidRPr="002E355E">
        <w:rPr>
          <w:color w:val="000000" w:themeColor="text1"/>
        </w:rPr>
        <w:t>Korpi</w:t>
      </w:r>
      <w:proofErr w:type="spellEnd"/>
      <w:r w:rsidRPr="002E355E">
        <w:rPr>
          <w:color w:val="000000" w:themeColor="text1"/>
        </w:rPr>
        <w:t xml:space="preserve"> and Palme (1998) referred to how Nordic states lowered old-age poverty as a ‘paradox’, as public schemes (also) involved subsidizing (higher) earners’ savings</w:t>
      </w:r>
      <w:r>
        <w:rPr>
          <w:color w:val="000000" w:themeColor="text1"/>
        </w:rPr>
        <w:t>.</w:t>
      </w:r>
      <w:r w:rsidRPr="002E355E">
        <w:rPr>
          <w:color w:val="000000" w:themeColor="text1"/>
        </w:rPr>
        <w:t xml:space="preserve"> </w:t>
      </w:r>
      <w:r>
        <w:rPr>
          <w:color w:val="000000" w:themeColor="text1"/>
        </w:rPr>
        <w:t xml:space="preserve">Accordingly, </w:t>
      </w:r>
      <w:proofErr w:type="spellStart"/>
      <w:r w:rsidR="000744CA" w:rsidRPr="002E355E">
        <w:rPr>
          <w:color w:val="000000" w:themeColor="text1"/>
        </w:rPr>
        <w:t>Korpi</w:t>
      </w:r>
      <w:proofErr w:type="spellEnd"/>
      <w:r w:rsidR="000744CA" w:rsidRPr="002E355E">
        <w:rPr>
          <w:color w:val="000000" w:themeColor="text1"/>
        </w:rPr>
        <w:t xml:space="preserve"> and </w:t>
      </w:r>
      <w:proofErr w:type="gramStart"/>
      <w:r w:rsidR="000744CA" w:rsidRPr="002E355E">
        <w:rPr>
          <w:color w:val="000000" w:themeColor="text1"/>
        </w:rPr>
        <w:t xml:space="preserve">Palme </w:t>
      </w:r>
      <w:r>
        <w:rPr>
          <w:color w:val="000000" w:themeColor="text1"/>
        </w:rPr>
        <w:t xml:space="preserve"> (</w:t>
      </w:r>
      <w:proofErr w:type="gramEnd"/>
      <w:r w:rsidR="000744CA">
        <w:rPr>
          <w:color w:val="000000" w:themeColor="text1"/>
        </w:rPr>
        <w:t xml:space="preserve">op. cit., </w:t>
      </w:r>
      <w:r>
        <w:rPr>
          <w:color w:val="000000" w:themeColor="text1"/>
        </w:rPr>
        <w:t xml:space="preserve">p. 670) </w:t>
      </w:r>
      <w:r w:rsidRPr="002E355E">
        <w:rPr>
          <w:color w:val="000000" w:themeColor="text1"/>
        </w:rPr>
        <w:t xml:space="preserve">excluded Denmark from the ‘encompassing’ group because </w:t>
      </w:r>
      <w:r>
        <w:rPr>
          <w:color w:val="000000" w:themeColor="text1"/>
        </w:rPr>
        <w:t xml:space="preserve">of its simple pension model. However, </w:t>
      </w:r>
      <w:r w:rsidR="00C50B60">
        <w:rPr>
          <w:color w:val="000000" w:themeColor="text1"/>
        </w:rPr>
        <w:t xml:space="preserve">relatively </w:t>
      </w:r>
      <w:r w:rsidR="00B15E87">
        <w:rPr>
          <w:color w:val="000000" w:themeColor="text1"/>
        </w:rPr>
        <w:t xml:space="preserve">rights-based basic income assistance combined </w:t>
      </w:r>
      <w:r w:rsidR="00C50B60">
        <w:rPr>
          <w:color w:val="000000" w:themeColor="text1"/>
        </w:rPr>
        <w:t xml:space="preserve">with </w:t>
      </w:r>
      <w:r w:rsidRPr="002E355E">
        <w:rPr>
          <w:color w:val="000000" w:themeColor="text1"/>
        </w:rPr>
        <w:t xml:space="preserve">subsidy of generous second-tier unemployment insurance, housing stability, care, and all levels of education, training and early </w:t>
      </w:r>
      <w:r w:rsidRPr="00566433">
        <w:rPr>
          <w:color w:val="000000" w:themeColor="text1"/>
        </w:rPr>
        <w:t>retirement (Graphs 3</w:t>
      </w:r>
      <w:r>
        <w:rPr>
          <w:color w:val="000000" w:themeColor="text1"/>
        </w:rPr>
        <w:t xml:space="preserve"> and </w:t>
      </w:r>
      <w:r w:rsidRPr="00566433">
        <w:rPr>
          <w:color w:val="000000" w:themeColor="text1"/>
        </w:rPr>
        <w:t>5</w:t>
      </w:r>
      <w:r w:rsidRPr="002E355E">
        <w:rPr>
          <w:color w:val="000000" w:themeColor="text1"/>
        </w:rPr>
        <w:t xml:space="preserve">), mean Denmark easily </w:t>
      </w:r>
      <w:r>
        <w:rPr>
          <w:color w:val="000000" w:themeColor="text1"/>
        </w:rPr>
        <w:t xml:space="preserve">(if not better) </w:t>
      </w:r>
      <w:r w:rsidRPr="002E355E">
        <w:rPr>
          <w:color w:val="000000" w:themeColor="text1"/>
        </w:rPr>
        <w:t xml:space="preserve">fits </w:t>
      </w:r>
      <w:proofErr w:type="spellStart"/>
      <w:r>
        <w:rPr>
          <w:color w:val="000000" w:themeColor="text1"/>
        </w:rPr>
        <w:t>Korpi</w:t>
      </w:r>
      <w:proofErr w:type="spellEnd"/>
      <w:r>
        <w:rPr>
          <w:color w:val="000000" w:themeColor="text1"/>
        </w:rPr>
        <w:t xml:space="preserve"> and Palme’s (</w:t>
      </w:r>
      <w:r w:rsidR="002A6BC2">
        <w:rPr>
          <w:color w:val="000000" w:themeColor="text1"/>
        </w:rPr>
        <w:t>1998</w:t>
      </w:r>
      <w:r>
        <w:rPr>
          <w:color w:val="000000" w:themeColor="text1"/>
        </w:rPr>
        <w:t xml:space="preserve">) </w:t>
      </w:r>
      <w:r w:rsidRPr="002E355E">
        <w:rPr>
          <w:color w:val="000000" w:themeColor="text1"/>
        </w:rPr>
        <w:t>general model of complex incorporation throu</w:t>
      </w:r>
      <w:r>
        <w:rPr>
          <w:color w:val="000000" w:themeColor="text1"/>
        </w:rPr>
        <w:t>gh publicly supported services.</w:t>
      </w:r>
      <w:r w:rsidR="00C50B60">
        <w:rPr>
          <w:color w:val="000000" w:themeColor="text1"/>
        </w:rPr>
        <w:t xml:space="preserve"> Like other Nordic states, Denmark </w:t>
      </w:r>
      <w:r w:rsidR="0074585B">
        <w:rPr>
          <w:color w:val="000000" w:themeColor="text1"/>
        </w:rPr>
        <w:t xml:space="preserve">also </w:t>
      </w:r>
      <w:r w:rsidR="00C50B60">
        <w:rPr>
          <w:color w:val="000000" w:themeColor="text1"/>
        </w:rPr>
        <w:t>combined pre- and re-distribution.</w:t>
      </w:r>
    </w:p>
    <w:p w14:paraId="08998077" w14:textId="77777777" w:rsidR="00BE3FE3" w:rsidRPr="0058126E" w:rsidRDefault="00BE3FE3" w:rsidP="00B87760">
      <w:pPr>
        <w:spacing w:line="360" w:lineRule="auto"/>
        <w:ind w:right="-397"/>
        <w:jc w:val="both"/>
        <w:rPr>
          <w:color w:val="1F3864" w:themeColor="accent5" w:themeShade="80"/>
        </w:rPr>
      </w:pPr>
    </w:p>
    <w:p w14:paraId="03E2057D" w14:textId="6778D0D9" w:rsidR="00BE3FE3" w:rsidRDefault="00BE3FE3" w:rsidP="00B87760">
      <w:pPr>
        <w:spacing w:line="360" w:lineRule="auto"/>
        <w:ind w:left="-397" w:right="-397"/>
        <w:jc w:val="both"/>
        <w:rPr>
          <w:color w:val="000000" w:themeColor="text1"/>
        </w:rPr>
      </w:pPr>
      <w:r>
        <w:rPr>
          <w:color w:val="000000" w:themeColor="text1"/>
        </w:rPr>
        <w:t xml:space="preserve">Transcendence is also revealed </w:t>
      </w:r>
      <w:r w:rsidRPr="0058126E">
        <w:rPr>
          <w:color w:val="000000" w:themeColor="text1"/>
        </w:rPr>
        <w:t>in the general integration of more (educational, care) services from the 1950s on</w:t>
      </w:r>
      <w:r>
        <w:rPr>
          <w:color w:val="000000" w:themeColor="text1"/>
        </w:rPr>
        <w:t>,</w:t>
      </w:r>
      <w:r w:rsidRPr="0058126E">
        <w:rPr>
          <w:color w:val="000000" w:themeColor="text1"/>
        </w:rPr>
        <w:t xml:space="preserve"> and over time their progressive coverage of men (</w:t>
      </w:r>
      <w:r>
        <w:rPr>
          <w:color w:val="000000" w:themeColor="text1"/>
        </w:rPr>
        <w:t xml:space="preserve">see </w:t>
      </w:r>
      <w:r w:rsidRPr="0058126E">
        <w:rPr>
          <w:color w:val="000000" w:themeColor="text1"/>
        </w:rPr>
        <w:t>below), and - more recently - legal changes that promote the care status of fathers after divorce (</w:t>
      </w:r>
      <w:proofErr w:type="spellStart"/>
      <w:r w:rsidRPr="0058126E">
        <w:rPr>
          <w:color w:val="000000" w:themeColor="text1"/>
        </w:rPr>
        <w:t>Friðriksdóttir</w:t>
      </w:r>
      <w:proofErr w:type="spellEnd"/>
      <w:r w:rsidRPr="0058126E">
        <w:rPr>
          <w:color w:val="000000" w:themeColor="text1"/>
        </w:rPr>
        <w:t>,</w:t>
      </w:r>
      <w:r>
        <w:rPr>
          <w:color w:val="000000" w:themeColor="text1"/>
        </w:rPr>
        <w:t xml:space="preserve"> </w:t>
      </w:r>
      <w:r w:rsidRPr="0058126E">
        <w:rPr>
          <w:color w:val="000000" w:themeColor="text1"/>
        </w:rPr>
        <w:t xml:space="preserve">2015, </w:t>
      </w:r>
      <w:r>
        <w:rPr>
          <w:color w:val="000000" w:themeColor="text1"/>
        </w:rPr>
        <w:t xml:space="preserve">pp. </w:t>
      </w:r>
      <w:r w:rsidRPr="0058126E">
        <w:rPr>
          <w:color w:val="000000" w:themeColor="text1"/>
        </w:rPr>
        <w:t>64-8) and choice in publicly supported care (</w:t>
      </w:r>
      <w:r>
        <w:rPr>
          <w:color w:val="000000" w:themeColor="text1"/>
        </w:rPr>
        <w:t>see section 5</w:t>
      </w:r>
      <w:r w:rsidRPr="0058126E">
        <w:rPr>
          <w:color w:val="000000" w:themeColor="text1"/>
        </w:rPr>
        <w:t>).</w:t>
      </w:r>
      <w:r>
        <w:rPr>
          <w:color w:val="000000" w:themeColor="text1"/>
        </w:rPr>
        <w:t xml:space="preserve"> In the UK, </w:t>
      </w:r>
      <w:r w:rsidRPr="009C6F88">
        <w:rPr>
          <w:color w:val="000000" w:themeColor="text1"/>
        </w:rPr>
        <w:t>policies to support single mothers to become economically active did not take off till the 2000s, and again was a largely reactive development, on the back of a long period of falli</w:t>
      </w:r>
      <w:r>
        <w:rPr>
          <w:color w:val="000000" w:themeColor="text1"/>
        </w:rPr>
        <w:t>ng benefit levels (Atkinson, 2015</w:t>
      </w:r>
      <w:r w:rsidRPr="009C6F88">
        <w:rPr>
          <w:color w:val="000000" w:themeColor="text1"/>
        </w:rPr>
        <w:t xml:space="preserve">, </w:t>
      </w:r>
      <w:r>
        <w:rPr>
          <w:color w:val="000000" w:themeColor="text1"/>
        </w:rPr>
        <w:t xml:space="preserve">p. </w:t>
      </w:r>
      <w:r w:rsidRPr="009C6F88">
        <w:rPr>
          <w:color w:val="000000" w:themeColor="text1"/>
        </w:rPr>
        <w:t xml:space="preserve">66, </w:t>
      </w:r>
      <w:r>
        <w:rPr>
          <w:color w:val="000000" w:themeColor="text1"/>
        </w:rPr>
        <w:t xml:space="preserve">p. </w:t>
      </w:r>
      <w:r w:rsidRPr="009C6F88">
        <w:rPr>
          <w:color w:val="000000" w:themeColor="text1"/>
        </w:rPr>
        <w:t>226), and</w:t>
      </w:r>
      <w:r>
        <w:rPr>
          <w:color w:val="000000" w:themeColor="text1"/>
        </w:rPr>
        <w:t xml:space="preserve"> in the form of threats of benefit or housing </w:t>
      </w:r>
      <w:r w:rsidRPr="0043750D">
        <w:rPr>
          <w:color w:val="000000" w:themeColor="text1"/>
        </w:rPr>
        <w:t>withdrawal (</w:t>
      </w:r>
      <w:r>
        <w:rPr>
          <w:color w:val="000000" w:themeColor="text1"/>
        </w:rPr>
        <w:t xml:space="preserve">section </w:t>
      </w:r>
      <w:r w:rsidR="00C50B60">
        <w:rPr>
          <w:color w:val="000000" w:themeColor="text1"/>
        </w:rPr>
        <w:t>4</w:t>
      </w:r>
      <w:r>
        <w:rPr>
          <w:color w:val="000000" w:themeColor="text1"/>
        </w:rPr>
        <w:t>)</w:t>
      </w:r>
      <w:r w:rsidRPr="0043750D">
        <w:rPr>
          <w:color w:val="000000" w:themeColor="text1"/>
        </w:rPr>
        <w:t xml:space="preserve">. In comparison, in Nordic states, promotion of a </w:t>
      </w:r>
      <w:r w:rsidRPr="0043750D">
        <w:rPr>
          <w:i/>
          <w:color w:val="000000" w:themeColor="text1"/>
        </w:rPr>
        <w:t>developmental-allocative</w:t>
      </w:r>
      <w:r w:rsidRPr="0043750D">
        <w:rPr>
          <w:color w:val="000000" w:themeColor="text1"/>
        </w:rPr>
        <w:t xml:space="preserve"> model in education and occupational and family life (</w:t>
      </w:r>
      <w:r>
        <w:rPr>
          <w:color w:val="000000" w:themeColor="text1"/>
        </w:rPr>
        <w:t>see below</w:t>
      </w:r>
      <w:r w:rsidRPr="0043750D">
        <w:rPr>
          <w:color w:val="000000" w:themeColor="text1"/>
        </w:rPr>
        <w:t xml:space="preserve">), aligns </w:t>
      </w:r>
      <w:r w:rsidRPr="0043750D">
        <w:rPr>
          <w:i/>
          <w:color w:val="000000" w:themeColor="text1"/>
        </w:rPr>
        <w:t xml:space="preserve">distributions </w:t>
      </w:r>
      <w:r w:rsidRPr="0043750D">
        <w:rPr>
          <w:color w:val="000000" w:themeColor="text1"/>
        </w:rPr>
        <w:t>of resources (e.g. income) and opportunities more effectively than hierarchical-selective competitive systems</w:t>
      </w:r>
      <w:r>
        <w:rPr>
          <w:color w:val="000000" w:themeColor="text1"/>
        </w:rPr>
        <w:t xml:space="preserve"> can achieve</w:t>
      </w:r>
      <w:r w:rsidRPr="0043750D">
        <w:rPr>
          <w:color w:val="000000" w:themeColor="text1"/>
        </w:rPr>
        <w:t>. This embeds more equal social relations in different ways, e</w:t>
      </w:r>
      <w:r>
        <w:rPr>
          <w:color w:val="000000" w:themeColor="text1"/>
        </w:rPr>
        <w:t>.g. in so far as individuals</w:t>
      </w:r>
      <w:r w:rsidRPr="0043750D">
        <w:rPr>
          <w:color w:val="000000" w:themeColor="text1"/>
        </w:rPr>
        <w:t xml:space="preserve"> do not have to</w:t>
      </w:r>
      <w:r w:rsidRPr="0043750D">
        <w:rPr>
          <w:i/>
          <w:color w:val="000000" w:themeColor="text1"/>
        </w:rPr>
        <w:t xml:space="preserve"> </w:t>
      </w:r>
      <w:r w:rsidRPr="0043750D">
        <w:rPr>
          <w:color w:val="000000" w:themeColor="text1"/>
        </w:rPr>
        <w:t>participate directly (</w:t>
      </w:r>
      <w:r>
        <w:rPr>
          <w:color w:val="000000" w:themeColor="text1"/>
        </w:rPr>
        <w:t>though they can</w:t>
      </w:r>
      <w:r w:rsidR="00485CCA">
        <w:rPr>
          <w:color w:val="000000" w:themeColor="text1"/>
        </w:rPr>
        <w:t xml:space="preserve">; </w:t>
      </w:r>
      <w:proofErr w:type="spellStart"/>
      <w:r>
        <w:rPr>
          <w:color w:val="000000" w:themeColor="text1"/>
        </w:rPr>
        <w:t>Pettersson</w:t>
      </w:r>
      <w:proofErr w:type="spellEnd"/>
      <w:r>
        <w:rPr>
          <w:color w:val="000000" w:themeColor="text1"/>
        </w:rPr>
        <w:t xml:space="preserve">, 2007, p. 177; </w:t>
      </w:r>
      <w:proofErr w:type="spellStart"/>
      <w:r w:rsidRPr="0043750D">
        <w:rPr>
          <w:color w:val="000000" w:themeColor="text1"/>
        </w:rPr>
        <w:t>e.g</w:t>
      </w:r>
      <w:proofErr w:type="spellEnd"/>
      <w:r w:rsidRPr="0043750D">
        <w:rPr>
          <w:color w:val="000000" w:themeColor="text1"/>
        </w:rPr>
        <w:t xml:space="preserve"> in school boards, labour unions) to be part of (</w:t>
      </w:r>
      <w:r w:rsidRPr="0043750D">
        <w:rPr>
          <w:i/>
          <w:color w:val="000000" w:themeColor="text1"/>
        </w:rPr>
        <w:t>incorporated</w:t>
      </w:r>
      <w:r>
        <w:rPr>
          <w:color w:val="000000" w:themeColor="text1"/>
        </w:rPr>
        <w:t xml:space="preserve"> in) systems</w:t>
      </w:r>
      <w:r w:rsidRPr="0043750D">
        <w:rPr>
          <w:color w:val="000000" w:themeColor="text1"/>
        </w:rPr>
        <w:t xml:space="preserve">. </w:t>
      </w:r>
    </w:p>
    <w:p w14:paraId="10F93EFD" w14:textId="77777777" w:rsidR="00BE3FE3" w:rsidRPr="00C75C07" w:rsidRDefault="00BE3FE3" w:rsidP="00B87760">
      <w:pPr>
        <w:spacing w:line="360" w:lineRule="auto"/>
        <w:ind w:left="-397" w:right="-397"/>
        <w:jc w:val="both"/>
      </w:pPr>
    </w:p>
    <w:p w14:paraId="097A109B" w14:textId="77777777" w:rsidR="00BE3FE3" w:rsidRPr="0086583E" w:rsidRDefault="00BE3FE3" w:rsidP="00B87760">
      <w:pPr>
        <w:spacing w:line="360" w:lineRule="auto"/>
        <w:ind w:left="-397" w:right="-397"/>
        <w:jc w:val="both"/>
        <w:rPr>
          <w:b/>
          <w:color w:val="000000" w:themeColor="text1"/>
        </w:rPr>
      </w:pPr>
      <w:r>
        <w:rPr>
          <w:b/>
          <w:color w:val="000000" w:themeColor="text1"/>
        </w:rPr>
        <w:t>4</w:t>
      </w:r>
      <w:r w:rsidRPr="0086583E">
        <w:rPr>
          <w:b/>
          <w:color w:val="000000" w:themeColor="text1"/>
        </w:rPr>
        <w:t>. Public Finance, Systems of Institutions and Developmental Coherence in Capitalist States</w:t>
      </w:r>
    </w:p>
    <w:p w14:paraId="2ADBB399" w14:textId="77777777" w:rsidR="00BE3FE3" w:rsidRDefault="00BE3FE3" w:rsidP="00B87760">
      <w:pPr>
        <w:spacing w:line="360" w:lineRule="auto"/>
        <w:ind w:left="-397" w:right="-397"/>
        <w:jc w:val="both"/>
        <w:rPr>
          <w:color w:val="000000" w:themeColor="text1"/>
        </w:rPr>
      </w:pPr>
    </w:p>
    <w:p w14:paraId="4985AB48" w14:textId="2834157A" w:rsidR="00BE3FE3" w:rsidRPr="0043750D" w:rsidRDefault="00BE3FE3" w:rsidP="00CC0701">
      <w:pPr>
        <w:spacing w:line="360" w:lineRule="auto"/>
        <w:ind w:left="-397" w:right="-397"/>
        <w:jc w:val="both"/>
        <w:rPr>
          <w:color w:val="000000" w:themeColor="text1"/>
        </w:rPr>
      </w:pPr>
      <w:r>
        <w:rPr>
          <w:color w:val="000000" w:themeColor="text1"/>
        </w:rPr>
        <w:t xml:space="preserve">The point here, however, is not to </w:t>
      </w:r>
      <w:r w:rsidRPr="002E355E">
        <w:rPr>
          <w:color w:val="000000" w:themeColor="text1"/>
        </w:rPr>
        <w:t>establish single causes of developmental coherence</w:t>
      </w:r>
      <w:r>
        <w:rPr>
          <w:color w:val="000000" w:themeColor="text1"/>
        </w:rPr>
        <w:t xml:space="preserve">, since this can be </w:t>
      </w:r>
      <w:r w:rsidR="00191CEC">
        <w:rPr>
          <w:color w:val="000000" w:themeColor="text1"/>
        </w:rPr>
        <w:t>ascertained</w:t>
      </w:r>
      <w:r>
        <w:rPr>
          <w:color w:val="000000" w:themeColor="text1"/>
        </w:rPr>
        <w:t xml:space="preserve"> in different ways;</w:t>
      </w:r>
      <w:r w:rsidRPr="002E355E">
        <w:rPr>
          <w:color w:val="000000" w:themeColor="text1"/>
        </w:rPr>
        <w:t xml:space="preserve"> but rather e</w:t>
      </w:r>
      <w:r>
        <w:rPr>
          <w:color w:val="000000" w:themeColor="text1"/>
        </w:rPr>
        <w:t xml:space="preserve">xplore, however established, its functions. This includes investigating how in the contemporary (post-1980s) period in Anglo-liberal states greater propensity to pursue reform through the market, entails fragmentary processes that occur very rapidly. Comparably, institutional resilience in Nordic states is revealed in ways responses to restructuring have taken a more cooperative form. To exemplify, below I discuss how </w:t>
      </w:r>
      <w:r w:rsidRPr="002E355E">
        <w:rPr>
          <w:color w:val="000000" w:themeColor="text1"/>
        </w:rPr>
        <w:t>evidence points</w:t>
      </w:r>
      <w:r>
        <w:rPr>
          <w:color w:val="000000" w:themeColor="text1"/>
        </w:rPr>
        <w:t xml:space="preserve"> to ways public sector development is informed by its progressiveness as defined - in systemic terms - by a dynamic relation between the (</w:t>
      </w:r>
      <w:proofErr w:type="spellStart"/>
      <w:r>
        <w:rPr>
          <w:color w:val="000000" w:themeColor="text1"/>
        </w:rPr>
        <w:t>i</w:t>
      </w:r>
      <w:proofErr w:type="spellEnd"/>
      <w:r>
        <w:rPr>
          <w:color w:val="000000" w:themeColor="text1"/>
        </w:rPr>
        <w:t xml:space="preserve">) democratic </w:t>
      </w:r>
      <w:r w:rsidRPr="002E355E">
        <w:rPr>
          <w:color w:val="000000" w:themeColor="text1"/>
        </w:rPr>
        <w:t>structure – and related overall level - of tax</w:t>
      </w:r>
      <w:r>
        <w:rPr>
          <w:color w:val="000000" w:themeColor="text1"/>
        </w:rPr>
        <w:t>;</w:t>
      </w:r>
      <w:r w:rsidRPr="002E355E">
        <w:rPr>
          <w:color w:val="000000" w:themeColor="text1"/>
        </w:rPr>
        <w:t xml:space="preserve"> and (ii) developmental orientation of regulation and spending. </w:t>
      </w:r>
      <w:r w:rsidRPr="0043750D">
        <w:rPr>
          <w:color w:val="000000" w:themeColor="text1"/>
        </w:rPr>
        <w:t>Importantly, my understand</w:t>
      </w:r>
      <w:r>
        <w:rPr>
          <w:color w:val="000000" w:themeColor="text1"/>
        </w:rPr>
        <w:t>ing of progressiveness here</w:t>
      </w:r>
      <w:r w:rsidRPr="0043750D">
        <w:rPr>
          <w:color w:val="000000" w:themeColor="text1"/>
        </w:rPr>
        <w:t xml:space="preserve"> refers to overall system features (cooperative structure of tax, regulation and spend)</w:t>
      </w:r>
      <w:r>
        <w:rPr>
          <w:color w:val="000000" w:themeColor="text1"/>
        </w:rPr>
        <w:t>,</w:t>
      </w:r>
      <w:r w:rsidRPr="0043750D">
        <w:rPr>
          <w:color w:val="000000" w:themeColor="text1"/>
        </w:rPr>
        <w:t xml:space="preserve"> which contrasts with the </w:t>
      </w:r>
      <w:r w:rsidRPr="0043750D">
        <w:rPr>
          <w:color w:val="000000" w:themeColor="text1"/>
        </w:rPr>
        <w:lastRenderedPageBreak/>
        <w:t>OECD’s (2008e,</w:t>
      </w:r>
      <w:r>
        <w:rPr>
          <w:color w:val="000000" w:themeColor="text1"/>
        </w:rPr>
        <w:t xml:space="preserve"> pp.</w:t>
      </w:r>
      <w:r w:rsidR="00704F4E">
        <w:rPr>
          <w:color w:val="000000" w:themeColor="text1"/>
        </w:rPr>
        <w:t xml:space="preserve"> </w:t>
      </w:r>
      <w:r w:rsidRPr="0043750D">
        <w:rPr>
          <w:color w:val="000000" w:themeColor="text1"/>
        </w:rPr>
        <w:t>104-</w:t>
      </w:r>
      <w:r>
        <w:rPr>
          <w:color w:val="000000" w:themeColor="text1"/>
        </w:rPr>
        <w:t>10</w:t>
      </w:r>
      <w:r w:rsidRPr="0043750D">
        <w:rPr>
          <w:color w:val="000000" w:themeColor="text1"/>
        </w:rPr>
        <w:t>5</w:t>
      </w:r>
      <w:r>
        <w:rPr>
          <w:color w:val="000000" w:themeColor="text1"/>
        </w:rPr>
        <w:t xml:space="preserve">) </w:t>
      </w:r>
      <w:r w:rsidRPr="0043750D">
        <w:rPr>
          <w:color w:val="000000" w:themeColor="text1"/>
        </w:rPr>
        <w:t>strict or narrow definition of progressiveness</w:t>
      </w:r>
      <w:r>
        <w:rPr>
          <w:color w:val="000000" w:themeColor="text1"/>
        </w:rPr>
        <w:t xml:space="preserve">, </w:t>
      </w:r>
      <w:r w:rsidRPr="0043750D">
        <w:rPr>
          <w:color w:val="000000" w:themeColor="text1"/>
        </w:rPr>
        <w:t>as the relative share of tax pai</w:t>
      </w:r>
      <w:r>
        <w:rPr>
          <w:color w:val="000000" w:themeColor="text1"/>
        </w:rPr>
        <w:t>d by the highest earners.</w:t>
      </w:r>
      <w:r w:rsidRPr="0043750D">
        <w:rPr>
          <w:color w:val="000000" w:themeColor="text1"/>
        </w:rPr>
        <w:t xml:space="preserve"> I argue</w:t>
      </w:r>
      <w:r>
        <w:rPr>
          <w:color w:val="000000" w:themeColor="text1"/>
        </w:rPr>
        <w:t xml:space="preserve"> this latter model</w:t>
      </w:r>
      <w:r w:rsidRPr="0043750D">
        <w:rPr>
          <w:color w:val="000000" w:themeColor="text1"/>
        </w:rPr>
        <w:t xml:space="preserve"> forms part of a renewed political tendency to </w:t>
      </w:r>
      <w:r w:rsidR="00C50B60">
        <w:rPr>
          <w:color w:val="000000" w:themeColor="text1"/>
        </w:rPr>
        <w:t>suppress</w:t>
      </w:r>
      <w:r>
        <w:rPr>
          <w:color w:val="000000" w:themeColor="text1"/>
        </w:rPr>
        <w:t xml:space="preserve"> </w:t>
      </w:r>
      <w:r w:rsidRPr="0043750D">
        <w:rPr>
          <w:color w:val="000000" w:themeColor="text1"/>
        </w:rPr>
        <w:t xml:space="preserve">the </w:t>
      </w:r>
      <w:r w:rsidR="00C50B60">
        <w:rPr>
          <w:color w:val="000000" w:themeColor="text1"/>
        </w:rPr>
        <w:t xml:space="preserve">level and </w:t>
      </w:r>
      <w:r w:rsidRPr="0043750D">
        <w:rPr>
          <w:color w:val="000000" w:themeColor="text1"/>
        </w:rPr>
        <w:t>scope of common financ</w:t>
      </w:r>
      <w:r w:rsidR="00C50B60">
        <w:rPr>
          <w:color w:val="000000" w:themeColor="text1"/>
        </w:rPr>
        <w:t>e, through</w:t>
      </w:r>
      <w:r w:rsidRPr="0043750D">
        <w:rPr>
          <w:color w:val="000000" w:themeColor="text1"/>
        </w:rPr>
        <w:t xml:space="preserve"> targeting services in the form of compensatory </w:t>
      </w:r>
      <w:r>
        <w:rPr>
          <w:color w:val="000000" w:themeColor="text1"/>
        </w:rPr>
        <w:t>protection, along with promotion of adversarial and punitive governing as distinct from the promotion of mutual regard in</w:t>
      </w:r>
      <w:r w:rsidRPr="00CC3C3D">
        <w:rPr>
          <w:color w:val="000000" w:themeColor="text1"/>
        </w:rPr>
        <w:t xml:space="preserve"> </w:t>
      </w:r>
      <w:r>
        <w:rPr>
          <w:color w:val="000000" w:themeColor="text1"/>
        </w:rPr>
        <w:t>social relations</w:t>
      </w:r>
      <w:r w:rsidRPr="0043750D">
        <w:rPr>
          <w:color w:val="000000" w:themeColor="text1"/>
        </w:rPr>
        <w:t xml:space="preserve">. </w:t>
      </w:r>
    </w:p>
    <w:p w14:paraId="2808B390" w14:textId="77777777" w:rsidR="00BE3FE3" w:rsidRPr="0043750D" w:rsidRDefault="00BE3FE3" w:rsidP="00B87760">
      <w:pPr>
        <w:spacing w:line="360" w:lineRule="auto"/>
        <w:ind w:left="-397" w:right="-397"/>
        <w:jc w:val="both"/>
        <w:rPr>
          <w:color w:val="000000" w:themeColor="text1"/>
        </w:rPr>
      </w:pPr>
    </w:p>
    <w:p w14:paraId="70DD5CF2" w14:textId="050A980A" w:rsidR="00BE3FE3" w:rsidRPr="0043750D" w:rsidRDefault="00BE3FE3" w:rsidP="00B87760">
      <w:pPr>
        <w:spacing w:line="360" w:lineRule="auto"/>
        <w:ind w:left="-397" w:right="-397"/>
        <w:jc w:val="both"/>
        <w:rPr>
          <w:color w:val="000000" w:themeColor="text1"/>
        </w:rPr>
      </w:pPr>
      <w:r w:rsidRPr="0043750D">
        <w:rPr>
          <w:color w:val="000000" w:themeColor="text1"/>
        </w:rPr>
        <w:t xml:space="preserve">To illustrate, </w:t>
      </w:r>
      <w:r>
        <w:rPr>
          <w:color w:val="000000" w:themeColor="text1"/>
        </w:rPr>
        <w:t>in the US, t</w:t>
      </w:r>
      <w:r w:rsidRPr="0043750D">
        <w:rPr>
          <w:color w:val="000000" w:themeColor="text1"/>
        </w:rPr>
        <w:t>he high share of the rich’</w:t>
      </w:r>
      <w:r>
        <w:rPr>
          <w:color w:val="000000" w:themeColor="text1"/>
        </w:rPr>
        <w:t>s</w:t>
      </w:r>
      <w:r w:rsidRPr="0043750D">
        <w:rPr>
          <w:color w:val="000000" w:themeColor="text1"/>
        </w:rPr>
        <w:t xml:space="preserve"> </w:t>
      </w:r>
      <w:r>
        <w:rPr>
          <w:color w:val="000000" w:themeColor="text1"/>
        </w:rPr>
        <w:t xml:space="preserve">tax </w:t>
      </w:r>
      <w:r w:rsidRPr="0043750D">
        <w:rPr>
          <w:color w:val="000000" w:themeColor="text1"/>
        </w:rPr>
        <w:t xml:space="preserve">contribution stems from the high earnings threshold at which higher </w:t>
      </w:r>
      <w:r w:rsidR="00704F4E">
        <w:rPr>
          <w:color w:val="000000" w:themeColor="text1"/>
        </w:rPr>
        <w:t xml:space="preserve">tax </w:t>
      </w:r>
      <w:r w:rsidRPr="0043750D">
        <w:rPr>
          <w:color w:val="000000" w:themeColor="text1"/>
        </w:rPr>
        <w:t xml:space="preserve">rates </w:t>
      </w:r>
      <w:r>
        <w:rPr>
          <w:color w:val="000000" w:themeColor="text1"/>
        </w:rPr>
        <w:t xml:space="preserve">(notably lower however than the Nordic rate) </w:t>
      </w:r>
      <w:r w:rsidRPr="0043750D">
        <w:rPr>
          <w:color w:val="000000" w:themeColor="text1"/>
        </w:rPr>
        <w:t xml:space="preserve">set in (at 9.6 times the average wage in 2009, up from 8.9 in 2000, the highest in the OECD, Table A.1). </w:t>
      </w:r>
      <w:r w:rsidR="00E63D0C">
        <w:rPr>
          <w:color w:val="000000" w:themeColor="text1"/>
        </w:rPr>
        <w:t>T</w:t>
      </w:r>
      <w:r w:rsidRPr="0043750D">
        <w:rPr>
          <w:color w:val="000000" w:themeColor="text1"/>
        </w:rPr>
        <w:t xml:space="preserve">he way </w:t>
      </w:r>
      <w:r w:rsidR="00E63D0C">
        <w:rPr>
          <w:color w:val="000000" w:themeColor="text1"/>
        </w:rPr>
        <w:t xml:space="preserve">thus </w:t>
      </w:r>
      <w:r w:rsidRPr="0043750D">
        <w:rPr>
          <w:color w:val="000000" w:themeColor="text1"/>
        </w:rPr>
        <w:t>the better off appear to pay a lot only as others pay so little - against a background of high inequality (in part a function of the wide span of earnings),</w:t>
      </w:r>
      <w:r w:rsidRPr="0043750D">
        <w:rPr>
          <w:rStyle w:val="FootnoteReference"/>
          <w:color w:val="000000" w:themeColor="text1"/>
        </w:rPr>
        <w:footnoteReference w:id="5"/>
      </w:r>
      <w:r w:rsidRPr="0043750D">
        <w:rPr>
          <w:color w:val="000000" w:themeColor="text1"/>
        </w:rPr>
        <w:t xml:space="preserve"> </w:t>
      </w:r>
      <w:r w:rsidR="00E63D0C">
        <w:rPr>
          <w:color w:val="000000" w:themeColor="text1"/>
        </w:rPr>
        <w:t xml:space="preserve">means </w:t>
      </w:r>
      <w:r w:rsidRPr="0043750D">
        <w:rPr>
          <w:color w:val="000000" w:themeColor="text1"/>
        </w:rPr>
        <w:t>there is neither the fiscal means, nor political climate, to smooth out education and employment inequalities and thus enable a more even contributions base (for tax). In sum, the low-tax and low-regulation economy legitimises unequal entitlements by diminishing the reali</w:t>
      </w:r>
      <w:r>
        <w:rPr>
          <w:color w:val="000000" w:themeColor="text1"/>
        </w:rPr>
        <w:t xml:space="preserve">ty of shared production. </w:t>
      </w:r>
      <w:r w:rsidR="00E63D0C">
        <w:rPr>
          <w:color w:val="000000" w:themeColor="text1"/>
        </w:rPr>
        <w:t xml:space="preserve">A heavily class-redistributive tax structure is thus a source of a low-tax equilibrium. </w:t>
      </w:r>
      <w:r>
        <w:rPr>
          <w:color w:val="000000" w:themeColor="text1"/>
        </w:rPr>
        <w:t>I</w:t>
      </w:r>
      <w:r w:rsidRPr="0043750D">
        <w:rPr>
          <w:color w:val="000000" w:themeColor="text1"/>
        </w:rPr>
        <w:t>n contrast</w:t>
      </w:r>
      <w:r>
        <w:rPr>
          <w:color w:val="000000" w:themeColor="text1"/>
        </w:rPr>
        <w:t>,</w:t>
      </w:r>
      <w:r w:rsidRPr="0043750D">
        <w:rPr>
          <w:color w:val="000000" w:themeColor="text1"/>
        </w:rPr>
        <w:t xml:space="preserve"> the greater formality of sharing</w:t>
      </w:r>
      <w:r w:rsidR="008F6825">
        <w:rPr>
          <w:color w:val="000000" w:themeColor="text1"/>
        </w:rPr>
        <w:t xml:space="preserve"> under a </w:t>
      </w:r>
      <w:r w:rsidRPr="0043750D">
        <w:rPr>
          <w:color w:val="000000" w:themeColor="text1"/>
        </w:rPr>
        <w:t xml:space="preserve">progressive public finance </w:t>
      </w:r>
      <w:r w:rsidR="008F6825">
        <w:rPr>
          <w:color w:val="000000" w:themeColor="text1"/>
        </w:rPr>
        <w:t xml:space="preserve">model </w:t>
      </w:r>
      <w:r w:rsidRPr="0043750D">
        <w:rPr>
          <w:color w:val="000000" w:themeColor="text1"/>
        </w:rPr>
        <w:t xml:space="preserve">– as I </w:t>
      </w:r>
      <w:r w:rsidR="00191CEC">
        <w:rPr>
          <w:color w:val="000000" w:themeColor="text1"/>
        </w:rPr>
        <w:t>define progressiveness</w:t>
      </w:r>
      <w:r w:rsidRPr="0043750D">
        <w:rPr>
          <w:color w:val="000000" w:themeColor="text1"/>
        </w:rPr>
        <w:t xml:space="preserve"> - renders the reality of the inter-dependent nature of the modern economy (e.g. to include the human economy) visible. Britain is an intere</w:t>
      </w:r>
      <w:r>
        <w:rPr>
          <w:color w:val="000000" w:themeColor="text1"/>
        </w:rPr>
        <w:t xml:space="preserve">sting hybrid moving in a fragmentary direction </w:t>
      </w:r>
      <w:r w:rsidRPr="0043750D">
        <w:rPr>
          <w:color w:val="000000" w:themeColor="text1"/>
        </w:rPr>
        <w:t xml:space="preserve">by a different route, e.g. as more inclusive public services (health), better social </w:t>
      </w:r>
      <w:r w:rsidRPr="00C75C07">
        <w:rPr>
          <w:color w:val="000000" w:themeColor="text1"/>
        </w:rPr>
        <w:t xml:space="preserve">protection (income, </w:t>
      </w:r>
      <w:proofErr w:type="gramStart"/>
      <w:r w:rsidRPr="00C75C07">
        <w:rPr>
          <w:color w:val="000000" w:themeColor="text1"/>
        </w:rPr>
        <w:t>housing)  and</w:t>
      </w:r>
      <w:proofErr w:type="gramEnd"/>
      <w:r w:rsidRPr="00C75C07">
        <w:rPr>
          <w:color w:val="000000" w:themeColor="text1"/>
        </w:rPr>
        <w:t xml:space="preserve"> higher (intermediate) levels of public finance in GDP are more entrenched </w:t>
      </w:r>
      <w:r w:rsidR="00191CEC">
        <w:rPr>
          <w:color w:val="000000" w:themeColor="text1"/>
        </w:rPr>
        <w:t xml:space="preserve">(compared with the USA) </w:t>
      </w:r>
      <w:r w:rsidRPr="00C75C07">
        <w:rPr>
          <w:color w:val="000000" w:themeColor="text1"/>
        </w:rPr>
        <w:t>but public regulation and services have been over time further withdrawn from production.</w:t>
      </w:r>
      <w:r>
        <w:rPr>
          <w:color w:val="000000" w:themeColor="text1"/>
        </w:rPr>
        <w:t xml:space="preserve"> </w:t>
      </w:r>
      <w:r w:rsidRPr="0043750D">
        <w:rPr>
          <w:color w:val="000000" w:themeColor="text1"/>
        </w:rPr>
        <w:t>Median earners pay a higher relative share of tax (than in the US</w:t>
      </w:r>
      <w:r w:rsidR="00191CEC">
        <w:rPr>
          <w:color w:val="000000" w:themeColor="text1"/>
        </w:rPr>
        <w:t>A</w:t>
      </w:r>
      <w:r w:rsidRPr="0043750D">
        <w:rPr>
          <w:color w:val="000000" w:themeColor="text1"/>
        </w:rPr>
        <w:t xml:space="preserve">), but lower marginal rates, combined with declining real wages (and </w:t>
      </w:r>
      <w:proofErr w:type="gramStart"/>
      <w:r w:rsidRPr="0043750D">
        <w:rPr>
          <w:color w:val="000000" w:themeColor="text1"/>
        </w:rPr>
        <w:t>low income</w:t>
      </w:r>
      <w:proofErr w:type="gramEnd"/>
      <w:r w:rsidRPr="0043750D">
        <w:rPr>
          <w:color w:val="000000" w:themeColor="text1"/>
        </w:rPr>
        <w:t xml:space="preserve"> tax receipts), have reinforced deep cuts to universal (and middle-class inclus</w:t>
      </w:r>
      <w:r>
        <w:rPr>
          <w:color w:val="000000" w:themeColor="text1"/>
        </w:rPr>
        <w:t xml:space="preserve">ive) services over time. In turn this </w:t>
      </w:r>
      <w:r w:rsidR="00E63D0C">
        <w:rPr>
          <w:color w:val="000000" w:themeColor="text1"/>
        </w:rPr>
        <w:t xml:space="preserve">has </w:t>
      </w:r>
      <w:r w:rsidRPr="0043750D">
        <w:rPr>
          <w:color w:val="000000" w:themeColor="text1"/>
        </w:rPr>
        <w:t>contributed to bolst</w:t>
      </w:r>
      <w:r>
        <w:rPr>
          <w:color w:val="000000" w:themeColor="text1"/>
        </w:rPr>
        <w:t xml:space="preserve">er the strong </w:t>
      </w:r>
      <w:r w:rsidRPr="0043750D">
        <w:rPr>
          <w:color w:val="000000" w:themeColor="text1"/>
        </w:rPr>
        <w:t>hierarchical structure and exclusive nature of private provision (e.g. in schooling)</w:t>
      </w:r>
      <w:r>
        <w:rPr>
          <w:color w:val="000000" w:themeColor="text1"/>
        </w:rPr>
        <w:t>, and eventually changed the state</w:t>
      </w:r>
      <w:r w:rsidR="008F6825">
        <w:rPr>
          <w:color w:val="000000" w:themeColor="text1"/>
        </w:rPr>
        <w:t xml:space="preserve"> (section 5)</w:t>
      </w:r>
      <w:r w:rsidRPr="0043750D">
        <w:rPr>
          <w:color w:val="000000" w:themeColor="text1"/>
        </w:rPr>
        <w:t>.</w:t>
      </w:r>
      <w:r w:rsidRPr="0043750D">
        <w:rPr>
          <w:rStyle w:val="FootnoteReference"/>
          <w:color w:val="000000" w:themeColor="text1"/>
        </w:rPr>
        <w:footnoteReference w:id="6"/>
      </w:r>
      <w:r w:rsidRPr="0043750D">
        <w:rPr>
          <w:color w:val="000000" w:themeColor="text1"/>
        </w:rPr>
        <w:t xml:space="preserve"> </w:t>
      </w:r>
      <w:r w:rsidRPr="0043750D">
        <w:rPr>
          <w:color w:val="833C0B" w:themeColor="accent2" w:themeShade="80"/>
        </w:rPr>
        <w:t xml:space="preserve"> </w:t>
      </w:r>
    </w:p>
    <w:p w14:paraId="7743B49C" w14:textId="77777777" w:rsidR="00BE3FE3" w:rsidRPr="0043750D" w:rsidRDefault="00BE3FE3" w:rsidP="00B87760">
      <w:pPr>
        <w:spacing w:line="360" w:lineRule="auto"/>
        <w:ind w:left="-397" w:right="-397"/>
        <w:jc w:val="both"/>
        <w:rPr>
          <w:color w:val="000000" w:themeColor="text1"/>
        </w:rPr>
      </w:pPr>
    </w:p>
    <w:p w14:paraId="7B74B8E2" w14:textId="6771F1A5" w:rsidR="00BE3FE3" w:rsidRPr="007E06CA" w:rsidRDefault="00BE3FE3" w:rsidP="007E06CA">
      <w:pPr>
        <w:spacing w:line="360" w:lineRule="auto"/>
        <w:ind w:left="-397" w:right="-397"/>
        <w:jc w:val="both"/>
        <w:rPr>
          <w:rFonts w:cs="Times New Roman"/>
          <w:color w:val="000000" w:themeColor="text1"/>
          <w:sz w:val="20"/>
          <w:szCs w:val="20"/>
        </w:rPr>
      </w:pPr>
      <w:r w:rsidRPr="0043750D">
        <w:rPr>
          <w:color w:val="000000" w:themeColor="text1"/>
        </w:rPr>
        <w:t xml:space="preserve">As </w:t>
      </w:r>
      <w:proofErr w:type="spellStart"/>
      <w:r w:rsidRPr="0043750D">
        <w:rPr>
          <w:color w:val="000000" w:themeColor="text1"/>
        </w:rPr>
        <w:t>The</w:t>
      </w:r>
      <w:r>
        <w:rPr>
          <w:color w:val="000000" w:themeColor="text1"/>
        </w:rPr>
        <w:t>len</w:t>
      </w:r>
      <w:proofErr w:type="spellEnd"/>
      <w:r>
        <w:rPr>
          <w:color w:val="000000" w:themeColor="text1"/>
        </w:rPr>
        <w:t xml:space="preserve"> (2014) discusses, there are</w:t>
      </w:r>
      <w:r w:rsidR="00E63D0C">
        <w:rPr>
          <w:color w:val="000000" w:themeColor="text1"/>
        </w:rPr>
        <w:t xml:space="preserve"> </w:t>
      </w:r>
      <w:r w:rsidRPr="0043750D">
        <w:rPr>
          <w:color w:val="000000" w:themeColor="text1"/>
        </w:rPr>
        <w:t>significant d</w:t>
      </w:r>
      <w:r>
        <w:rPr>
          <w:color w:val="000000" w:themeColor="text1"/>
        </w:rPr>
        <w:t>ifferences between</w:t>
      </w:r>
      <w:r w:rsidRPr="0043750D">
        <w:rPr>
          <w:color w:val="000000" w:themeColor="text1"/>
        </w:rPr>
        <w:t xml:space="preserve"> countries’ liberalisation policies, e.g. investment in training</w:t>
      </w:r>
      <w:r>
        <w:rPr>
          <w:color w:val="000000" w:themeColor="text1"/>
        </w:rPr>
        <w:t xml:space="preserve">; </w:t>
      </w:r>
      <w:r w:rsidR="004F2835">
        <w:rPr>
          <w:color w:val="000000" w:themeColor="text1"/>
        </w:rPr>
        <w:t xml:space="preserve">differences, which, in contrast to </w:t>
      </w:r>
      <w:proofErr w:type="spellStart"/>
      <w:r w:rsidR="004F2835">
        <w:rPr>
          <w:color w:val="000000" w:themeColor="text1"/>
        </w:rPr>
        <w:t>Thelen</w:t>
      </w:r>
      <w:proofErr w:type="spellEnd"/>
      <w:r w:rsidR="004F2835">
        <w:rPr>
          <w:color w:val="000000" w:themeColor="text1"/>
        </w:rPr>
        <w:t xml:space="preserve"> (op. cit.), I argue are only in the second,</w:t>
      </w:r>
      <w:r w:rsidRPr="0043750D">
        <w:rPr>
          <w:color w:val="000000" w:themeColor="text1"/>
        </w:rPr>
        <w:t xml:space="preserve"> instance a </w:t>
      </w:r>
      <w:r w:rsidR="00E63D0C">
        <w:rPr>
          <w:color w:val="000000" w:themeColor="text1"/>
        </w:rPr>
        <w:t>(recent) response to</w:t>
      </w:r>
      <w:r w:rsidRPr="0043750D">
        <w:rPr>
          <w:color w:val="000000" w:themeColor="text1"/>
        </w:rPr>
        <w:t xml:space="preserve"> </w:t>
      </w:r>
      <w:r w:rsidR="00E63D0C">
        <w:rPr>
          <w:color w:val="000000" w:themeColor="text1"/>
        </w:rPr>
        <w:t xml:space="preserve">global </w:t>
      </w:r>
      <w:r w:rsidRPr="0043750D">
        <w:rPr>
          <w:color w:val="000000" w:themeColor="text1"/>
        </w:rPr>
        <w:t>competitio</w:t>
      </w:r>
      <w:r w:rsidR="00E63D0C">
        <w:rPr>
          <w:color w:val="000000" w:themeColor="text1"/>
        </w:rPr>
        <w:t>n</w:t>
      </w:r>
      <w:r w:rsidRPr="0043750D">
        <w:rPr>
          <w:color w:val="000000" w:themeColor="text1"/>
        </w:rPr>
        <w:t xml:space="preserve"> (flexicurity</w:t>
      </w:r>
      <w:r w:rsidR="004F2835">
        <w:rPr>
          <w:color w:val="000000" w:themeColor="text1"/>
        </w:rPr>
        <w:t xml:space="preserve">). </w:t>
      </w:r>
      <w:proofErr w:type="spellStart"/>
      <w:r w:rsidRPr="0043750D">
        <w:rPr>
          <w:color w:val="000000" w:themeColor="text1"/>
        </w:rPr>
        <w:t>Kongshø</w:t>
      </w:r>
      <w:r>
        <w:rPr>
          <w:color w:val="000000" w:themeColor="text1"/>
        </w:rPr>
        <w:t>j</w:t>
      </w:r>
      <w:proofErr w:type="spellEnd"/>
      <w:r>
        <w:rPr>
          <w:color w:val="000000" w:themeColor="text1"/>
        </w:rPr>
        <w:t>-Madsen, 2003)</w:t>
      </w:r>
      <w:r w:rsidR="00E63D0C">
        <w:rPr>
          <w:color w:val="000000" w:themeColor="text1"/>
        </w:rPr>
        <w:t xml:space="preserve"> being </w:t>
      </w:r>
      <w:r>
        <w:rPr>
          <w:color w:val="000000" w:themeColor="text1"/>
        </w:rPr>
        <w:t xml:space="preserve">in the </w:t>
      </w:r>
      <w:r w:rsidRPr="0043750D">
        <w:rPr>
          <w:color w:val="000000" w:themeColor="text1"/>
        </w:rPr>
        <w:t>first</w:t>
      </w:r>
      <w:r>
        <w:rPr>
          <w:color w:val="000000" w:themeColor="text1"/>
        </w:rPr>
        <w:t xml:space="preserve"> instance the outcome of longer-running </w:t>
      </w:r>
      <w:r w:rsidRPr="0043750D">
        <w:rPr>
          <w:color w:val="000000" w:themeColor="text1"/>
        </w:rPr>
        <w:t>systemic feature</w:t>
      </w:r>
      <w:r>
        <w:rPr>
          <w:color w:val="000000" w:themeColor="text1"/>
        </w:rPr>
        <w:t>s</w:t>
      </w:r>
      <w:r w:rsidRPr="0043750D">
        <w:rPr>
          <w:color w:val="000000" w:themeColor="text1"/>
        </w:rPr>
        <w:t xml:space="preserve"> of HE responsiveness, e.g. of Nordic states’ more deliberate developmental forms of education, occu</w:t>
      </w:r>
      <w:r>
        <w:rPr>
          <w:color w:val="000000" w:themeColor="text1"/>
        </w:rPr>
        <w:t xml:space="preserve">pation and integration of </w:t>
      </w:r>
      <w:r>
        <w:rPr>
          <w:color w:val="000000" w:themeColor="text1"/>
        </w:rPr>
        <w:lastRenderedPageBreak/>
        <w:t xml:space="preserve">women. This includes as </w:t>
      </w:r>
      <w:r w:rsidRPr="007E06CA">
        <w:rPr>
          <w:color w:val="000000" w:themeColor="text1"/>
        </w:rPr>
        <w:t xml:space="preserve">indicated, </w:t>
      </w:r>
      <w:r w:rsidR="00E63D0C">
        <w:rPr>
          <w:color w:val="000000" w:themeColor="text1"/>
        </w:rPr>
        <w:t>a</w:t>
      </w:r>
      <w:r w:rsidRPr="007E06CA">
        <w:rPr>
          <w:color w:val="000000" w:themeColor="text1"/>
        </w:rPr>
        <w:t xml:space="preserve"> developmental orientation (through regulation and spending) in areas </w:t>
      </w:r>
      <w:r w:rsidR="00E63D0C">
        <w:rPr>
          <w:color w:val="000000" w:themeColor="text1"/>
        </w:rPr>
        <w:t xml:space="preserve">of public policy </w:t>
      </w:r>
      <w:r w:rsidRPr="007E06CA">
        <w:rPr>
          <w:color w:val="000000" w:themeColor="text1"/>
        </w:rPr>
        <w:t>more central to the organising of human activities, to include leave, training, subsidy of employment</w:t>
      </w:r>
      <w:r w:rsidR="00E63D0C">
        <w:rPr>
          <w:color w:val="000000" w:themeColor="text1"/>
        </w:rPr>
        <w:t>,</w:t>
      </w:r>
      <w:r w:rsidRPr="007E06CA">
        <w:rPr>
          <w:color w:val="000000" w:themeColor="text1"/>
        </w:rPr>
        <w:t xml:space="preserve"> and child-</w:t>
      </w:r>
      <w:r w:rsidRPr="00566433">
        <w:rPr>
          <w:color w:val="000000" w:themeColor="text1"/>
        </w:rPr>
        <w:t>care (Table A.1).</w:t>
      </w:r>
      <w:r w:rsidRPr="007E06CA">
        <w:rPr>
          <w:color w:val="000000" w:themeColor="text1"/>
        </w:rPr>
        <w:t xml:space="preserve"> </w:t>
      </w:r>
      <w:proofErr w:type="spellStart"/>
      <w:r w:rsidRPr="007E06CA">
        <w:rPr>
          <w:color w:val="000000" w:themeColor="text1"/>
        </w:rPr>
        <w:t>Thelen’s</w:t>
      </w:r>
      <w:proofErr w:type="spellEnd"/>
      <w:r w:rsidRPr="007E06CA">
        <w:rPr>
          <w:color w:val="000000" w:themeColor="text1"/>
        </w:rPr>
        <w:t xml:space="preserve"> </w:t>
      </w:r>
      <w:r>
        <w:rPr>
          <w:color w:val="000000" w:themeColor="text1"/>
        </w:rPr>
        <w:t xml:space="preserve">(2014) </w:t>
      </w:r>
      <w:r w:rsidRPr="007E06CA">
        <w:rPr>
          <w:color w:val="000000" w:themeColor="text1"/>
        </w:rPr>
        <w:t>characterisation may also be argued to overlook negative aspects of neo-liberalisation in Nordic st</w:t>
      </w:r>
      <w:r>
        <w:rPr>
          <w:color w:val="000000" w:themeColor="text1"/>
        </w:rPr>
        <w:t xml:space="preserve">ates, such as how the </w:t>
      </w:r>
      <w:r w:rsidRPr="007E06CA">
        <w:rPr>
          <w:rFonts w:cs="Times New Roman"/>
          <w:color w:val="000000" w:themeColor="text1"/>
        </w:rPr>
        <w:t xml:space="preserve">element of labour </w:t>
      </w:r>
      <w:proofErr w:type="spellStart"/>
      <w:r w:rsidRPr="007E06CA">
        <w:rPr>
          <w:rFonts w:cs="Times New Roman"/>
          <w:color w:val="000000" w:themeColor="text1"/>
        </w:rPr>
        <w:t>flexibilisation</w:t>
      </w:r>
      <w:proofErr w:type="spellEnd"/>
      <w:r w:rsidRPr="007E06CA">
        <w:rPr>
          <w:rFonts w:cs="Times New Roman"/>
          <w:color w:val="000000" w:themeColor="text1"/>
        </w:rPr>
        <w:t xml:space="preserve"> involved</w:t>
      </w:r>
      <w:r w:rsidR="00191CEC">
        <w:rPr>
          <w:rFonts w:cs="Times New Roman"/>
          <w:color w:val="000000" w:themeColor="text1"/>
        </w:rPr>
        <w:t xml:space="preserve"> </w:t>
      </w:r>
      <w:r w:rsidR="008F6825">
        <w:rPr>
          <w:rFonts w:cs="Times New Roman"/>
          <w:color w:val="000000" w:themeColor="text1"/>
        </w:rPr>
        <w:t xml:space="preserve">has </w:t>
      </w:r>
      <w:r w:rsidRPr="007E06CA">
        <w:rPr>
          <w:rFonts w:cs="Times New Roman"/>
          <w:color w:val="000000" w:themeColor="text1"/>
        </w:rPr>
        <w:t>challenge</w:t>
      </w:r>
      <w:r w:rsidR="008F6825">
        <w:rPr>
          <w:rFonts w:cs="Times New Roman"/>
          <w:color w:val="000000" w:themeColor="text1"/>
        </w:rPr>
        <w:t>d</w:t>
      </w:r>
      <w:r w:rsidRPr="007E06CA">
        <w:rPr>
          <w:rFonts w:cs="Times New Roman"/>
          <w:color w:val="000000" w:themeColor="text1"/>
        </w:rPr>
        <w:t xml:space="preserve"> the developmental model of governance rather than enhance</w:t>
      </w:r>
      <w:r w:rsidR="008F6825">
        <w:rPr>
          <w:rFonts w:cs="Times New Roman"/>
          <w:color w:val="000000" w:themeColor="text1"/>
        </w:rPr>
        <w:t>d</w:t>
      </w:r>
      <w:r w:rsidRPr="007E06CA">
        <w:rPr>
          <w:rFonts w:cs="Times New Roman"/>
          <w:color w:val="000000" w:themeColor="text1"/>
        </w:rPr>
        <w:t xml:space="preserve"> it</w:t>
      </w:r>
      <w:r>
        <w:rPr>
          <w:rFonts w:cs="Times New Roman"/>
          <w:color w:val="000000" w:themeColor="text1"/>
        </w:rPr>
        <w:t xml:space="preserve"> (Haagh, 2019a). </w:t>
      </w:r>
      <w:r w:rsidRPr="009A3FEE">
        <w:rPr>
          <w:rFonts w:cs="Times New Roman"/>
          <w:color w:val="000000" w:themeColor="text1"/>
        </w:rPr>
        <w:t>Cuts in entitlement to unemployment insurance (such as from four to two years in 2010) meant a large share of the labour market – between 2010 and 2014 an estimated 80,000 persons (Kirk, </w:t>
      </w:r>
      <w:hyperlink r:id="rId8" w:anchor="ref042" w:history="1">
        <w:r w:rsidRPr="009A3FEE">
          <w:rPr>
            <w:rStyle w:val="Hyperlink"/>
            <w:rFonts w:cs="Times New Roman"/>
            <w:color w:val="000000" w:themeColor="text1"/>
            <w:u w:val="none"/>
            <w:bdr w:val="none" w:sz="0" w:space="0" w:color="auto" w:frame="1"/>
          </w:rPr>
          <w:t>2015</w:t>
        </w:r>
      </w:hyperlink>
      <w:r w:rsidRPr="009A3FEE">
        <w:rPr>
          <w:rFonts w:cs="Times New Roman"/>
          <w:color w:val="000000" w:themeColor="text1"/>
        </w:rPr>
        <w:t xml:space="preserve">) </w:t>
      </w:r>
      <w:r w:rsidR="00191CEC">
        <w:rPr>
          <w:rFonts w:cs="Times New Roman"/>
          <w:color w:val="000000" w:themeColor="text1"/>
        </w:rPr>
        <w:t xml:space="preserve">- </w:t>
      </w:r>
      <w:r w:rsidRPr="009A3FEE">
        <w:rPr>
          <w:rFonts w:cs="Times New Roman"/>
          <w:color w:val="000000" w:themeColor="text1"/>
        </w:rPr>
        <w:t>fell</w:t>
      </w:r>
      <w:r w:rsidRPr="007E06CA">
        <w:rPr>
          <w:rFonts w:cs="Times New Roman"/>
          <w:color w:val="000000" w:themeColor="text1"/>
        </w:rPr>
        <w:t xml:space="preserve"> out of the developmental (UI) system to become instead reliant on means-tested support</w:t>
      </w:r>
      <w:r w:rsidRPr="007E06CA">
        <w:rPr>
          <w:rFonts w:ascii="Helvetica" w:hAnsi="Helvetica"/>
          <w:color w:val="000000" w:themeColor="text1"/>
          <w:sz w:val="26"/>
          <w:szCs w:val="26"/>
        </w:rPr>
        <w:t xml:space="preserve">. </w:t>
      </w:r>
      <w:r w:rsidRPr="007E06CA">
        <w:rPr>
          <w:color w:val="000000" w:themeColor="text1"/>
        </w:rPr>
        <w:t xml:space="preserve">On the other hand, </w:t>
      </w:r>
      <w:r>
        <w:rPr>
          <w:color w:val="000000" w:themeColor="text1"/>
        </w:rPr>
        <w:t>a</w:t>
      </w:r>
      <w:r w:rsidRPr="007E06CA">
        <w:rPr>
          <w:color w:val="000000" w:themeColor="text1"/>
        </w:rPr>
        <w:t xml:space="preserve"> sustained high level of spending on training (Haagh</w:t>
      </w:r>
      <w:r>
        <w:rPr>
          <w:color w:val="000000" w:themeColor="text1"/>
        </w:rPr>
        <w:t>,</w:t>
      </w:r>
      <w:r w:rsidRPr="007E06CA">
        <w:rPr>
          <w:color w:val="000000" w:themeColor="text1"/>
        </w:rPr>
        <w:t xml:space="preserve"> 2019e) has played a key role in sustaining a developmental model</w:t>
      </w:r>
      <w:r>
        <w:rPr>
          <w:color w:val="000000" w:themeColor="text1"/>
        </w:rPr>
        <w:t>,</w:t>
      </w:r>
      <w:r w:rsidRPr="007E06CA">
        <w:rPr>
          <w:color w:val="000000" w:themeColor="text1"/>
        </w:rPr>
        <w:t xml:space="preserve"> even as this has been challenged.</w:t>
      </w:r>
    </w:p>
    <w:p w14:paraId="47E5ABD0" w14:textId="77777777" w:rsidR="00BE3FE3" w:rsidRDefault="00BE3FE3" w:rsidP="00345D3D">
      <w:pPr>
        <w:spacing w:line="360" w:lineRule="auto"/>
        <w:ind w:left="-397" w:right="-397"/>
        <w:jc w:val="both"/>
        <w:rPr>
          <w:color w:val="000000" w:themeColor="text1"/>
        </w:rPr>
      </w:pPr>
    </w:p>
    <w:p w14:paraId="50FD3230" w14:textId="47C88832" w:rsidR="00BE3FE3" w:rsidRDefault="00BE3FE3" w:rsidP="00B87760">
      <w:pPr>
        <w:spacing w:line="360" w:lineRule="auto"/>
        <w:ind w:left="-397" w:right="-397"/>
        <w:jc w:val="both"/>
        <w:rPr>
          <w:color w:val="000000" w:themeColor="text1"/>
          <w:u w:val="single"/>
        </w:rPr>
      </w:pPr>
      <w:r w:rsidRPr="00C75C07">
        <w:rPr>
          <w:color w:val="000000" w:themeColor="text1"/>
        </w:rPr>
        <w:t xml:space="preserve">Accordingly, my composite indices below of trends in public sector development give data indicating </w:t>
      </w:r>
      <w:r w:rsidR="008F6825">
        <w:rPr>
          <w:color w:val="000000" w:themeColor="text1"/>
        </w:rPr>
        <w:t xml:space="preserve">both </w:t>
      </w:r>
      <w:r w:rsidRPr="00C75C07">
        <w:rPr>
          <w:color w:val="000000" w:themeColor="text1"/>
        </w:rPr>
        <w:t xml:space="preserve">HE orientation (tax, regulation and spending) and impact greater weight. Use of composite indices to draw out key traits of public finance, </w:t>
      </w:r>
      <w:r w:rsidR="002D7AC1">
        <w:rPr>
          <w:color w:val="000000" w:themeColor="text1"/>
        </w:rPr>
        <w:t xml:space="preserve">and </w:t>
      </w:r>
      <w:r w:rsidRPr="00C75C07">
        <w:rPr>
          <w:color w:val="000000" w:themeColor="text1"/>
        </w:rPr>
        <w:t xml:space="preserve">education, labour market and other institutions, and to characterise patterns of opportunity, </w:t>
      </w:r>
      <w:r w:rsidR="002D7AC1">
        <w:rPr>
          <w:color w:val="000000" w:themeColor="text1"/>
        </w:rPr>
        <w:t xml:space="preserve">and </w:t>
      </w:r>
      <w:r w:rsidRPr="00C75C07">
        <w:rPr>
          <w:color w:val="000000" w:themeColor="text1"/>
        </w:rPr>
        <w:t>distributive and cooperative outcomes, reflects the institutional f</w:t>
      </w:r>
      <w:r>
        <w:rPr>
          <w:color w:val="000000" w:themeColor="text1"/>
        </w:rPr>
        <w:t xml:space="preserve">orm of explanation pursued. Hence, </w:t>
      </w:r>
      <w:r w:rsidRPr="00C75C07">
        <w:rPr>
          <w:color w:val="000000" w:themeColor="text1"/>
        </w:rPr>
        <w:t xml:space="preserve">the graphs to follow </w:t>
      </w:r>
      <w:r w:rsidRPr="00A60BCC">
        <w:rPr>
          <w:color w:val="000000" w:themeColor="text1"/>
        </w:rPr>
        <w:t>depict relevant com</w:t>
      </w:r>
      <w:r>
        <w:rPr>
          <w:color w:val="000000" w:themeColor="text1"/>
        </w:rPr>
        <w:t xml:space="preserve">pound features of systems, and </w:t>
      </w:r>
      <w:r w:rsidRPr="00C75C07">
        <w:rPr>
          <w:color w:val="000000" w:themeColor="text1"/>
        </w:rPr>
        <w:t xml:space="preserve">do not indicate direct </w:t>
      </w:r>
      <w:r>
        <w:rPr>
          <w:color w:val="000000" w:themeColor="text1"/>
        </w:rPr>
        <w:t xml:space="preserve">– but rather mediated - </w:t>
      </w:r>
      <w:r w:rsidRPr="00C75C07">
        <w:rPr>
          <w:color w:val="000000" w:themeColor="text1"/>
        </w:rPr>
        <w:t>lines of</w:t>
      </w:r>
      <w:r w:rsidRPr="00A60BCC">
        <w:rPr>
          <w:color w:val="000000" w:themeColor="text1"/>
        </w:rPr>
        <w:t xml:space="preserve"> causality between individual policies and </w:t>
      </w:r>
      <w:r>
        <w:rPr>
          <w:color w:val="000000" w:themeColor="text1"/>
        </w:rPr>
        <w:t>outcomes.</w:t>
      </w:r>
      <w:r w:rsidRPr="00A60BCC">
        <w:rPr>
          <w:color w:val="000000" w:themeColor="text1"/>
        </w:rPr>
        <w:t xml:space="preserve"> </w:t>
      </w:r>
      <w:r>
        <w:rPr>
          <w:color w:val="000000" w:themeColor="text1"/>
        </w:rPr>
        <w:t>This is</w:t>
      </w:r>
      <w:r w:rsidRPr="00A60BCC">
        <w:rPr>
          <w:color w:val="000000" w:themeColor="text1"/>
        </w:rPr>
        <w:t xml:space="preserve"> as mutual effects between general </w:t>
      </w:r>
      <w:r w:rsidRPr="00E02462">
        <w:rPr>
          <w:i/>
          <w:color w:val="000000" w:themeColor="text1"/>
        </w:rPr>
        <w:t>opportunity structures</w:t>
      </w:r>
      <w:r w:rsidRPr="00A60BCC">
        <w:rPr>
          <w:color w:val="000000" w:themeColor="text1"/>
        </w:rPr>
        <w:t xml:space="preserve"> and stratification of </w:t>
      </w:r>
      <w:r w:rsidRPr="00E02462">
        <w:rPr>
          <w:i/>
          <w:color w:val="000000" w:themeColor="text1"/>
        </w:rPr>
        <w:t xml:space="preserve">attainments </w:t>
      </w:r>
      <w:r>
        <w:rPr>
          <w:color w:val="000000" w:themeColor="text1"/>
        </w:rPr>
        <w:t>are argued to s</w:t>
      </w:r>
      <w:r w:rsidRPr="00A60BCC">
        <w:rPr>
          <w:color w:val="000000" w:themeColor="text1"/>
        </w:rPr>
        <w:t xml:space="preserve">hape </w:t>
      </w:r>
      <w:r w:rsidR="002D7AC1">
        <w:rPr>
          <w:color w:val="000000" w:themeColor="text1"/>
        </w:rPr>
        <w:t>interactions between</w:t>
      </w:r>
      <w:r w:rsidRPr="00A60BCC">
        <w:rPr>
          <w:color w:val="000000" w:themeColor="text1"/>
        </w:rPr>
        <w:t xml:space="preserve"> incentives, cooperation, policy effectiveness and legitimacy, e.g. </w:t>
      </w:r>
      <w:r>
        <w:rPr>
          <w:color w:val="000000" w:themeColor="text1"/>
        </w:rPr>
        <w:t>the</w:t>
      </w:r>
      <w:r w:rsidR="00E63D0C">
        <w:rPr>
          <w:color w:val="000000" w:themeColor="text1"/>
        </w:rPr>
        <w:t xml:space="preserve"> </w:t>
      </w:r>
      <w:r>
        <w:rPr>
          <w:color w:val="000000" w:themeColor="text1"/>
        </w:rPr>
        <w:t>pattern</w:t>
      </w:r>
      <w:r w:rsidR="00E63D0C">
        <w:rPr>
          <w:color w:val="000000" w:themeColor="text1"/>
        </w:rPr>
        <w:t>ing</w:t>
      </w:r>
      <w:r>
        <w:rPr>
          <w:color w:val="000000" w:themeColor="text1"/>
        </w:rPr>
        <w:t xml:space="preserve"> </w:t>
      </w:r>
      <w:r w:rsidR="00E63D0C">
        <w:rPr>
          <w:color w:val="000000" w:themeColor="text1"/>
        </w:rPr>
        <w:t xml:space="preserve">of HE responsiveness in </w:t>
      </w:r>
      <w:r w:rsidRPr="00A60BCC">
        <w:rPr>
          <w:color w:val="000000" w:themeColor="text1"/>
        </w:rPr>
        <w:t>systems</w:t>
      </w:r>
      <w:r w:rsidR="00E63D0C">
        <w:rPr>
          <w:color w:val="000000" w:themeColor="text1"/>
        </w:rPr>
        <w:t>’ evolution</w:t>
      </w:r>
      <w:r w:rsidRPr="00A60BCC">
        <w:rPr>
          <w:color w:val="000000" w:themeColor="text1"/>
        </w:rPr>
        <w:t>.</w:t>
      </w:r>
      <w:r w:rsidRPr="00AA60F0">
        <w:rPr>
          <w:color w:val="000000" w:themeColor="text1"/>
          <w:u w:val="single"/>
        </w:rPr>
        <w:t xml:space="preserve"> </w:t>
      </w:r>
    </w:p>
    <w:p w14:paraId="1C7B3D4C" w14:textId="77777777" w:rsidR="00BE3FE3" w:rsidRDefault="00BE3FE3" w:rsidP="00B87760">
      <w:pPr>
        <w:spacing w:line="360" w:lineRule="auto"/>
        <w:ind w:left="-397" w:right="-397"/>
        <w:jc w:val="both"/>
        <w:rPr>
          <w:color w:val="000000" w:themeColor="text1"/>
          <w:u w:val="single"/>
        </w:rPr>
      </w:pPr>
    </w:p>
    <w:p w14:paraId="2CF46326" w14:textId="77777777" w:rsidR="00BE3FE3" w:rsidRPr="00327C34" w:rsidRDefault="00BE3FE3" w:rsidP="00B87760">
      <w:pPr>
        <w:spacing w:line="360" w:lineRule="auto"/>
        <w:ind w:left="-397" w:right="-397"/>
        <w:jc w:val="both"/>
        <w:rPr>
          <w:b/>
          <w:color w:val="000000" w:themeColor="text1"/>
        </w:rPr>
      </w:pPr>
      <w:r w:rsidRPr="00327C34">
        <w:rPr>
          <w:b/>
          <w:color w:val="000000" w:themeColor="text1"/>
        </w:rPr>
        <w:t>4.1 Progressive public finance and horizontal-developmental versus hierarchical-competitive systems</w:t>
      </w:r>
    </w:p>
    <w:p w14:paraId="368C62BA" w14:textId="77777777" w:rsidR="00BE3FE3" w:rsidRPr="006707EA" w:rsidRDefault="00BE3FE3" w:rsidP="00B87760">
      <w:pPr>
        <w:spacing w:line="360" w:lineRule="auto"/>
        <w:ind w:left="-397" w:right="-397"/>
        <w:jc w:val="both"/>
        <w:rPr>
          <w:color w:val="000000" w:themeColor="text1"/>
        </w:rPr>
      </w:pPr>
    </w:p>
    <w:p w14:paraId="42B43CB5" w14:textId="731DB536" w:rsidR="00BE3FE3" w:rsidRPr="00D3452D" w:rsidRDefault="00BE3FE3" w:rsidP="00B87760">
      <w:pPr>
        <w:spacing w:line="360" w:lineRule="auto"/>
        <w:ind w:left="-397" w:right="-397"/>
        <w:jc w:val="both"/>
        <w:rPr>
          <w:color w:val="000000" w:themeColor="text1"/>
        </w:rPr>
      </w:pPr>
      <w:r w:rsidRPr="00D3452D">
        <w:rPr>
          <w:color w:val="000000" w:themeColor="text1"/>
        </w:rPr>
        <w:t xml:space="preserve">Then, first, to depict the democratic-developmental structure of public finance that </w:t>
      </w:r>
      <w:r>
        <w:rPr>
          <w:color w:val="000000" w:themeColor="text1"/>
        </w:rPr>
        <w:t xml:space="preserve">the </w:t>
      </w:r>
      <w:r w:rsidRPr="00D3452D">
        <w:rPr>
          <w:color w:val="000000" w:themeColor="text1"/>
        </w:rPr>
        <w:t>above discussion suggests is indicative of systemic differences</w:t>
      </w:r>
      <w:r>
        <w:rPr>
          <w:color w:val="000000" w:themeColor="text1"/>
        </w:rPr>
        <w:t>.</w:t>
      </w:r>
      <w:r w:rsidRPr="00D3452D">
        <w:rPr>
          <w:color w:val="000000" w:themeColor="text1"/>
        </w:rPr>
        <w:t xml:space="preserve"> Graph 1 presents indices of (y axis) the level and egalitarian dimensions of tax and (x axis) developmental public expenditures in GDP.</w:t>
      </w:r>
      <w:r w:rsidRPr="00D3452D">
        <w:rPr>
          <w:rStyle w:val="FootnoteReference"/>
          <w:color w:val="000000" w:themeColor="text1"/>
        </w:rPr>
        <w:t xml:space="preserve"> </w:t>
      </w:r>
      <w:r>
        <w:rPr>
          <w:color w:val="000000" w:themeColor="text1"/>
        </w:rPr>
        <w:t xml:space="preserve">I focus on the immediately preceding 2008-crises period to show how variant patterns were both well-established and deepened during the </w:t>
      </w:r>
      <w:r w:rsidR="00A06861">
        <w:rPr>
          <w:color w:val="000000" w:themeColor="text1"/>
        </w:rPr>
        <w:t xml:space="preserve">intermediate (1990s-2000s) </w:t>
      </w:r>
      <w:r>
        <w:rPr>
          <w:color w:val="000000" w:themeColor="text1"/>
        </w:rPr>
        <w:t>period of neo-liberal globalisation, independently of the effect of the 2008 crash.</w:t>
      </w:r>
      <w:r>
        <w:rPr>
          <w:rStyle w:val="FootnoteReference"/>
          <w:color w:val="000000" w:themeColor="text1"/>
        </w:rPr>
        <w:footnoteReference w:id="7"/>
      </w:r>
    </w:p>
    <w:p w14:paraId="1789BC01" w14:textId="77777777" w:rsidR="00BE3FE3" w:rsidRDefault="00BE3FE3" w:rsidP="00B87760">
      <w:pPr>
        <w:spacing w:line="360" w:lineRule="auto"/>
        <w:ind w:left="-397" w:right="-397"/>
        <w:jc w:val="both"/>
        <w:rPr>
          <w:color w:val="000000" w:themeColor="text1"/>
        </w:rPr>
      </w:pPr>
    </w:p>
    <w:p w14:paraId="264BD635" w14:textId="5D787535" w:rsidR="009E1217" w:rsidRPr="008801B4" w:rsidRDefault="009E1217" w:rsidP="00B87760">
      <w:pPr>
        <w:spacing w:line="360" w:lineRule="auto"/>
        <w:ind w:left="-397" w:right="-397"/>
        <w:jc w:val="both"/>
        <w:rPr>
          <w:color w:val="C00000"/>
        </w:rPr>
      </w:pPr>
      <w:r w:rsidRPr="008801B4">
        <w:rPr>
          <w:color w:val="C00000"/>
        </w:rPr>
        <w:t>INSERT GRAPH</w:t>
      </w:r>
      <w:r w:rsidR="008801B4" w:rsidRPr="008801B4">
        <w:rPr>
          <w:color w:val="C00000"/>
        </w:rPr>
        <w:t>s 1 and 2</w:t>
      </w:r>
      <w:r w:rsidR="00501545">
        <w:rPr>
          <w:color w:val="C00000"/>
        </w:rPr>
        <w:t xml:space="preserve"> HERE</w:t>
      </w:r>
    </w:p>
    <w:p w14:paraId="19FE3A72" w14:textId="55BDCAA8" w:rsidR="00BE3FE3" w:rsidRPr="006707EA" w:rsidRDefault="00BE3FE3" w:rsidP="00B87760">
      <w:pPr>
        <w:spacing w:line="360" w:lineRule="auto"/>
        <w:ind w:left="-397" w:right="-397"/>
        <w:jc w:val="both"/>
        <w:rPr>
          <w:color w:val="000000" w:themeColor="text1"/>
        </w:rPr>
      </w:pPr>
      <w:r w:rsidRPr="00D3452D">
        <w:rPr>
          <w:color w:val="000000" w:themeColor="text1"/>
        </w:rPr>
        <w:lastRenderedPageBreak/>
        <w:t xml:space="preserve">The index of </w:t>
      </w:r>
      <w:r>
        <w:rPr>
          <w:color w:val="000000" w:themeColor="text1"/>
        </w:rPr>
        <w:t>Progressive Public Finance (</w:t>
      </w:r>
      <w:r w:rsidRPr="00D3452D">
        <w:rPr>
          <w:color w:val="000000" w:themeColor="text1"/>
        </w:rPr>
        <w:t>PPF</w:t>
      </w:r>
      <w:r>
        <w:rPr>
          <w:color w:val="000000" w:themeColor="text1"/>
        </w:rPr>
        <w:t>)</w:t>
      </w:r>
      <w:r w:rsidRPr="00D3452D">
        <w:rPr>
          <w:color w:val="000000" w:themeColor="text1"/>
        </w:rPr>
        <w:t xml:space="preserve"> in the dimension of tax (Table A.1) includes marginal rates, the level at which they apply, and the total tax level in GD</w:t>
      </w:r>
      <w:r>
        <w:rPr>
          <w:color w:val="000000" w:themeColor="text1"/>
        </w:rPr>
        <w:t xml:space="preserve">P: </w:t>
      </w:r>
      <w:r w:rsidR="008F24A1">
        <w:rPr>
          <w:color w:val="000000" w:themeColor="text1"/>
        </w:rPr>
        <w:t>T</w:t>
      </w:r>
      <w:r>
        <w:rPr>
          <w:color w:val="000000" w:themeColor="text1"/>
        </w:rPr>
        <w:t xml:space="preserve">able </w:t>
      </w:r>
      <w:r w:rsidR="008F24A1">
        <w:rPr>
          <w:color w:val="000000" w:themeColor="text1"/>
        </w:rPr>
        <w:t xml:space="preserve">A1 </w:t>
      </w:r>
      <w:r>
        <w:rPr>
          <w:color w:val="000000" w:themeColor="text1"/>
        </w:rPr>
        <w:t>(and Graph 1) indicates</w:t>
      </w:r>
      <w:r w:rsidRPr="00D3452D">
        <w:rPr>
          <w:color w:val="000000" w:themeColor="text1"/>
        </w:rPr>
        <w:t xml:space="preserve"> an up-scaling effect between the two. Also included are taxes on production and profits, showing these are </w:t>
      </w:r>
      <w:r>
        <w:rPr>
          <w:color w:val="000000" w:themeColor="text1"/>
        </w:rPr>
        <w:t>geared to incentivise (</w:t>
      </w:r>
      <w:r w:rsidR="008F6825">
        <w:rPr>
          <w:color w:val="000000" w:themeColor="text1"/>
        </w:rPr>
        <w:t xml:space="preserve">being </w:t>
      </w:r>
      <w:r>
        <w:rPr>
          <w:color w:val="000000" w:themeColor="text1"/>
        </w:rPr>
        <w:t xml:space="preserve">higher on dividends and marginal income) </w:t>
      </w:r>
      <w:r w:rsidRPr="00D3452D">
        <w:rPr>
          <w:color w:val="000000" w:themeColor="text1"/>
        </w:rPr>
        <w:t>in Nordic states. The spending index of PPF (Table A.2) contains in</w:t>
      </w:r>
      <w:r w:rsidRPr="006707EA">
        <w:rPr>
          <w:color w:val="000000" w:themeColor="text1"/>
        </w:rPr>
        <w:t xml:space="preserve"> addition to the level of social expenditure, public spending in GDP on education and services to support occupation stability and balanced time (child-care).</w:t>
      </w:r>
      <w:r w:rsidRPr="006707EA">
        <w:rPr>
          <w:rStyle w:val="FootnoteReference"/>
          <w:color w:val="000000" w:themeColor="text1"/>
        </w:rPr>
        <w:footnoteReference w:id="8"/>
      </w:r>
      <w:r w:rsidRPr="006707EA">
        <w:rPr>
          <w:color w:val="000000" w:themeColor="text1"/>
        </w:rPr>
        <w:t xml:space="preserve">  </w:t>
      </w:r>
      <w:r w:rsidRPr="00566433">
        <w:rPr>
          <w:color w:val="000000" w:themeColor="text1"/>
        </w:rPr>
        <w:t>Graphs 1 and 2 use comparable (thus more compressed) data for 2000 and 2007, indicating that the Anglo-Saxon countries show the most dramatic change, especially the UK, due to the rapidly rising influence of educational fees and a significant fall in spending on training and job creation (Table A.1). In</w:t>
      </w:r>
      <w:r w:rsidRPr="006707EA">
        <w:rPr>
          <w:color w:val="000000" w:themeColor="text1"/>
        </w:rPr>
        <w:t xml:space="preserve"> the US, where spending commitments are already low, change occurs on the side of taxation, with a significant drop of the top marginal rate (the </w:t>
      </w:r>
      <w:r w:rsidRPr="00191232">
        <w:rPr>
          <w:color w:val="000000" w:themeColor="text1"/>
        </w:rPr>
        <w:t>o</w:t>
      </w:r>
      <w:r>
        <w:rPr>
          <w:color w:val="000000" w:themeColor="text1"/>
        </w:rPr>
        <w:t xml:space="preserve">pposite occurs in Britain). This difference </w:t>
      </w:r>
      <w:r w:rsidRPr="00191232">
        <w:rPr>
          <w:color w:val="000000" w:themeColor="text1"/>
        </w:rPr>
        <w:t>reflect</w:t>
      </w:r>
      <w:r>
        <w:rPr>
          <w:color w:val="000000" w:themeColor="text1"/>
        </w:rPr>
        <w:t>s</w:t>
      </w:r>
      <w:r w:rsidRPr="00191232">
        <w:rPr>
          <w:color w:val="000000" w:themeColor="text1"/>
        </w:rPr>
        <w:t xml:space="preserve"> the (as discussed) different </w:t>
      </w:r>
      <w:r>
        <w:rPr>
          <w:color w:val="000000" w:themeColor="text1"/>
        </w:rPr>
        <w:t xml:space="preserve">form of </w:t>
      </w:r>
      <w:r w:rsidRPr="00191232">
        <w:rPr>
          <w:color w:val="000000" w:themeColor="text1"/>
        </w:rPr>
        <w:t>stratifica</w:t>
      </w:r>
      <w:r>
        <w:rPr>
          <w:color w:val="000000" w:themeColor="text1"/>
        </w:rPr>
        <w:t>tion of cooperative interests. C</w:t>
      </w:r>
      <w:r w:rsidRPr="00191232">
        <w:rPr>
          <w:color w:val="000000" w:themeColor="text1"/>
        </w:rPr>
        <w:t>oncentration of tax in the US on top earners is politically unsustainable, whereas, in the UK - where tax is already higher and broader, the top marginal rate – effective at a lower threshold – is temporarily increased in response to the (2007 onwards) crisis.</w:t>
      </w:r>
    </w:p>
    <w:p w14:paraId="4914F736" w14:textId="77777777" w:rsidR="00BE3FE3" w:rsidRPr="006707EA" w:rsidRDefault="00BE3FE3" w:rsidP="00B87760">
      <w:pPr>
        <w:spacing w:line="360" w:lineRule="auto"/>
        <w:ind w:left="-397" w:right="-397"/>
        <w:jc w:val="both"/>
        <w:rPr>
          <w:color w:val="000000" w:themeColor="text1"/>
          <w:sz w:val="16"/>
          <w:szCs w:val="16"/>
        </w:rPr>
      </w:pPr>
    </w:p>
    <w:p w14:paraId="445CBD9D" w14:textId="02B9885F" w:rsidR="00BE3FE3" w:rsidRDefault="00BE3FE3" w:rsidP="00B87760">
      <w:pPr>
        <w:spacing w:line="360" w:lineRule="auto"/>
        <w:ind w:left="-397" w:right="-397"/>
        <w:jc w:val="both"/>
        <w:rPr>
          <w:color w:val="000000" w:themeColor="text1"/>
        </w:rPr>
      </w:pPr>
      <w:r w:rsidRPr="006707EA">
        <w:rPr>
          <w:color w:val="000000" w:themeColor="text1"/>
        </w:rPr>
        <w:t xml:space="preserve">A </w:t>
      </w:r>
      <w:r w:rsidRPr="001B0B56">
        <w:rPr>
          <w:color w:val="000000" w:themeColor="text1"/>
        </w:rPr>
        <w:t>depiction of impact on distributional outcomes is shown in Graph 3, illustrating how countries with features of more PPF, combining tax and spend in one index</w:t>
      </w:r>
      <w:r>
        <w:rPr>
          <w:color w:val="000000" w:themeColor="text1"/>
        </w:rPr>
        <w:t xml:space="preserve"> (</w:t>
      </w:r>
      <w:r w:rsidRPr="001B0B56">
        <w:rPr>
          <w:color w:val="000000" w:themeColor="text1"/>
        </w:rPr>
        <w:t>from Table A.1)</w:t>
      </w:r>
      <w:r w:rsidR="00A06861">
        <w:rPr>
          <w:color w:val="000000" w:themeColor="text1"/>
        </w:rPr>
        <w:t>, a</w:t>
      </w:r>
      <w:r w:rsidRPr="001B0B56">
        <w:rPr>
          <w:color w:val="000000" w:themeColor="text1"/>
        </w:rPr>
        <w:t>lso tend to have more diversified structures of shared security and more effective targeted policies (column 2.b, Table A.2), lower inequality (Columns 1, 3, 4) and more universal coverage of services (Column 6).</w:t>
      </w:r>
    </w:p>
    <w:p w14:paraId="333D9E1B" w14:textId="77777777" w:rsidR="00501545" w:rsidRDefault="00501545" w:rsidP="00B87760">
      <w:pPr>
        <w:spacing w:line="360" w:lineRule="auto"/>
        <w:ind w:left="-397" w:right="-397"/>
        <w:jc w:val="both"/>
        <w:rPr>
          <w:color w:val="000000" w:themeColor="text1"/>
        </w:rPr>
      </w:pPr>
    </w:p>
    <w:p w14:paraId="5DE72FFF" w14:textId="23826C10" w:rsidR="00501545" w:rsidRPr="00501545" w:rsidRDefault="00501545" w:rsidP="00B87760">
      <w:pPr>
        <w:spacing w:line="360" w:lineRule="auto"/>
        <w:ind w:left="-397" w:right="-397"/>
        <w:jc w:val="both"/>
        <w:rPr>
          <w:color w:val="C00000"/>
        </w:rPr>
      </w:pPr>
      <w:r w:rsidRPr="00501545">
        <w:rPr>
          <w:color w:val="C00000"/>
        </w:rPr>
        <w:t>INSERT GRAPH 3 HERE</w:t>
      </w:r>
    </w:p>
    <w:p w14:paraId="34E31890" w14:textId="77777777" w:rsidR="00BE3FE3" w:rsidRPr="006707EA" w:rsidRDefault="00BE3FE3" w:rsidP="00B87760">
      <w:pPr>
        <w:spacing w:line="360" w:lineRule="auto"/>
        <w:ind w:right="-397"/>
        <w:jc w:val="both"/>
        <w:rPr>
          <w:color w:val="000000" w:themeColor="text1"/>
          <w:sz w:val="20"/>
          <w:szCs w:val="20"/>
        </w:rPr>
      </w:pPr>
    </w:p>
    <w:p w14:paraId="07320EB4" w14:textId="633AC5A3" w:rsidR="00BE3FE3" w:rsidRDefault="00BE3FE3" w:rsidP="00D968DB">
      <w:pPr>
        <w:spacing w:line="360" w:lineRule="auto"/>
        <w:ind w:left="-397" w:right="-397"/>
        <w:jc w:val="both"/>
        <w:rPr>
          <w:rFonts w:cs="Times New Roman"/>
          <w:color w:val="000000" w:themeColor="text1"/>
        </w:rPr>
      </w:pPr>
      <w:r w:rsidRPr="006707EA">
        <w:rPr>
          <w:color w:val="000000" w:themeColor="text1"/>
        </w:rPr>
        <w:t xml:space="preserve">Ways </w:t>
      </w:r>
      <w:r>
        <w:rPr>
          <w:color w:val="000000" w:themeColor="text1"/>
        </w:rPr>
        <w:t>in turn</w:t>
      </w:r>
      <w:r w:rsidRPr="006707EA">
        <w:rPr>
          <w:color w:val="000000" w:themeColor="text1"/>
        </w:rPr>
        <w:t xml:space="preserve"> cooperative features of public finance support developme</w:t>
      </w:r>
      <w:r>
        <w:rPr>
          <w:color w:val="000000" w:themeColor="text1"/>
        </w:rPr>
        <w:t xml:space="preserve">ntal-allocative institutions, mutual </w:t>
      </w:r>
      <w:r w:rsidR="004F2835">
        <w:rPr>
          <w:color w:val="000000" w:themeColor="text1"/>
        </w:rPr>
        <w:t xml:space="preserve">regard, everyday forms of control in this context include as redistributive properties of </w:t>
      </w:r>
      <w:proofErr w:type="gramStart"/>
      <w:r w:rsidR="004F2835">
        <w:rPr>
          <w:color w:val="000000" w:themeColor="text1"/>
        </w:rPr>
        <w:t>PPF,</w:t>
      </w:r>
      <w:r w:rsidRPr="006707EA">
        <w:rPr>
          <w:color w:val="000000" w:themeColor="text1"/>
        </w:rPr>
        <w:t xml:space="preserve"> and</w:t>
      </w:r>
      <w:proofErr w:type="gramEnd"/>
      <w:r w:rsidRPr="006707EA">
        <w:rPr>
          <w:color w:val="000000" w:themeColor="text1"/>
        </w:rPr>
        <w:t xml:space="preserve"> incorporating initiatives in public policy reinforce each other.</w:t>
      </w:r>
      <w:r w:rsidRPr="00CA44AE">
        <w:rPr>
          <w:rStyle w:val="FootnoteReference"/>
          <w:color w:val="000000" w:themeColor="text1"/>
        </w:rPr>
        <w:footnoteReference w:id="9"/>
      </w:r>
      <w:r w:rsidRPr="00CA44AE">
        <w:rPr>
          <w:color w:val="000000" w:themeColor="text1"/>
          <w:sz w:val="20"/>
          <w:szCs w:val="20"/>
        </w:rPr>
        <w:t xml:space="preserve"> </w:t>
      </w:r>
      <w:r w:rsidRPr="006707EA">
        <w:rPr>
          <w:color w:val="000000" w:themeColor="text1"/>
        </w:rPr>
        <w:t xml:space="preserve"> In the case of education, broad-based tax raises available resources and the legitimacy of promoting universal (for instance e</w:t>
      </w:r>
      <w:r>
        <w:rPr>
          <w:color w:val="000000" w:themeColor="text1"/>
        </w:rPr>
        <w:t>qual quality) schooling. Meanwhile,</w:t>
      </w:r>
      <w:r w:rsidRPr="006707EA">
        <w:rPr>
          <w:color w:val="000000" w:themeColor="text1"/>
        </w:rPr>
        <w:t xml:space="preserve"> high average but also progressive tax reinforces this effect by keeping income inequalities that give rise to e</w:t>
      </w:r>
      <w:r>
        <w:rPr>
          <w:color w:val="000000" w:themeColor="text1"/>
        </w:rPr>
        <w:t>lite education at bay. U</w:t>
      </w:r>
      <w:r w:rsidRPr="006707EA">
        <w:rPr>
          <w:color w:val="000000" w:themeColor="text1"/>
        </w:rPr>
        <w:t>nusually high public spending on</w:t>
      </w:r>
      <w:r>
        <w:rPr>
          <w:color w:val="000000" w:themeColor="text1"/>
        </w:rPr>
        <w:t xml:space="preserve"> education in </w:t>
      </w:r>
      <w:r w:rsidRPr="003025CF">
        <w:rPr>
          <w:color w:val="000000" w:themeColor="text1"/>
        </w:rPr>
        <w:t>GDP (A.1, column 4) is evidence of this dynamic</w:t>
      </w:r>
      <w:r>
        <w:rPr>
          <w:color w:val="000000" w:themeColor="text1"/>
        </w:rPr>
        <w:t>. I</w:t>
      </w:r>
      <w:r>
        <w:rPr>
          <w:color w:val="000000" w:themeColor="text1"/>
          <w:sz w:val="22"/>
          <w:szCs w:val="22"/>
        </w:rPr>
        <w:t xml:space="preserve">n </w:t>
      </w:r>
      <w:r w:rsidRPr="006707EA">
        <w:rPr>
          <w:color w:val="000000" w:themeColor="text1"/>
          <w:sz w:val="22"/>
          <w:szCs w:val="22"/>
        </w:rPr>
        <w:t xml:space="preserve">Nordic states </w:t>
      </w:r>
      <w:r>
        <w:rPr>
          <w:color w:val="000000" w:themeColor="text1"/>
        </w:rPr>
        <w:t>e</w:t>
      </w:r>
      <w:r w:rsidRPr="006707EA">
        <w:rPr>
          <w:color w:val="000000" w:themeColor="text1"/>
        </w:rPr>
        <w:t>ither or both a direct cap on fees (ban in Sweden</w:t>
      </w:r>
      <w:r>
        <w:rPr>
          <w:color w:val="000000" w:themeColor="text1"/>
        </w:rPr>
        <w:t>,</w:t>
      </w:r>
      <w:r w:rsidRPr="006707EA">
        <w:rPr>
          <w:color w:val="000000" w:themeColor="text1"/>
        </w:rPr>
        <w:t xml:space="preserve"> </w:t>
      </w:r>
      <w:proofErr w:type="spellStart"/>
      <w:r w:rsidRPr="006707EA">
        <w:rPr>
          <w:color w:val="000000" w:themeColor="text1"/>
        </w:rPr>
        <w:t>Steinmo</w:t>
      </w:r>
      <w:proofErr w:type="spellEnd"/>
      <w:r>
        <w:rPr>
          <w:color w:val="000000" w:themeColor="text1"/>
        </w:rPr>
        <w:t>,</w:t>
      </w:r>
      <w:r w:rsidRPr="006707EA">
        <w:rPr>
          <w:color w:val="000000" w:themeColor="text1"/>
        </w:rPr>
        <w:t xml:space="preserve"> </w:t>
      </w:r>
      <w:r>
        <w:rPr>
          <w:color w:val="000000" w:themeColor="text1"/>
        </w:rPr>
        <w:t xml:space="preserve">2010, p. </w:t>
      </w:r>
      <w:r w:rsidRPr="006707EA">
        <w:rPr>
          <w:color w:val="000000" w:themeColor="text1"/>
        </w:rPr>
        <w:t xml:space="preserve">73) or/and a policy to reduce incentives for schools to charge fees </w:t>
      </w:r>
      <w:r w:rsidRPr="006707EA">
        <w:rPr>
          <w:color w:val="000000" w:themeColor="text1"/>
        </w:rPr>
        <w:lastRenderedPageBreak/>
        <w:t>(by public subsidy) as well as strong co</w:t>
      </w:r>
      <w:r>
        <w:rPr>
          <w:color w:val="000000" w:themeColor="text1"/>
        </w:rPr>
        <w:t xml:space="preserve">mmon curricula requirements and </w:t>
      </w:r>
      <w:r w:rsidRPr="006707EA">
        <w:rPr>
          <w:color w:val="000000" w:themeColor="text1"/>
        </w:rPr>
        <w:t>elimination of grading</w:t>
      </w:r>
      <w:r>
        <w:rPr>
          <w:color w:val="000000" w:themeColor="text1"/>
        </w:rPr>
        <w:t xml:space="preserve"> </w:t>
      </w:r>
      <w:r w:rsidRPr="006707EA">
        <w:rPr>
          <w:color w:val="000000" w:themeColor="text1"/>
        </w:rPr>
        <w:t>(</w:t>
      </w:r>
      <w:r>
        <w:rPr>
          <w:color w:val="000000" w:themeColor="text1"/>
        </w:rPr>
        <w:t xml:space="preserve">ibid., p. </w:t>
      </w:r>
      <w:r w:rsidRPr="006707EA">
        <w:rPr>
          <w:color w:val="000000" w:themeColor="text1"/>
        </w:rPr>
        <w:t>71)</w:t>
      </w:r>
      <w:r>
        <w:rPr>
          <w:color w:val="000000" w:themeColor="text1"/>
        </w:rPr>
        <w:t xml:space="preserve"> also promote </w:t>
      </w:r>
      <w:r w:rsidRPr="006707EA">
        <w:rPr>
          <w:i/>
          <w:color w:val="000000" w:themeColor="text1"/>
        </w:rPr>
        <w:t xml:space="preserve">general opportunity </w:t>
      </w:r>
      <w:r w:rsidRPr="006707EA">
        <w:rPr>
          <w:color w:val="000000" w:themeColor="text1"/>
        </w:rPr>
        <w:t>(e.g. to discover different talen</w:t>
      </w:r>
      <w:r>
        <w:rPr>
          <w:color w:val="000000" w:themeColor="text1"/>
        </w:rPr>
        <w:t>ts through delayed exam</w:t>
      </w:r>
      <w:r w:rsidR="008F24A1">
        <w:rPr>
          <w:color w:val="000000" w:themeColor="text1"/>
        </w:rPr>
        <w:t>ination</w:t>
      </w:r>
      <w:r>
        <w:rPr>
          <w:color w:val="000000" w:themeColor="text1"/>
        </w:rPr>
        <w:t>s). These measures are a source of</w:t>
      </w:r>
      <w:r w:rsidRPr="006707EA">
        <w:rPr>
          <w:color w:val="000000" w:themeColor="text1"/>
        </w:rPr>
        <w:t xml:space="preserve"> more widely </w:t>
      </w:r>
      <w:r w:rsidRPr="00D968DB">
        <w:rPr>
          <w:color w:val="000000" w:themeColor="text1"/>
        </w:rPr>
        <w:t xml:space="preserve">dispersing occupational </w:t>
      </w:r>
      <w:r w:rsidRPr="00D968DB">
        <w:rPr>
          <w:i/>
          <w:color w:val="000000" w:themeColor="text1"/>
        </w:rPr>
        <w:t>attainments,</w:t>
      </w:r>
      <w:r w:rsidRPr="00D968DB">
        <w:rPr>
          <w:color w:val="000000" w:themeColor="text1"/>
        </w:rPr>
        <w:t xml:space="preserve"> as this structure generates support for high spending on di</w:t>
      </w:r>
      <w:r w:rsidR="002D7AC1">
        <w:rPr>
          <w:color w:val="000000" w:themeColor="text1"/>
        </w:rPr>
        <w:t>fferent</w:t>
      </w:r>
      <w:r w:rsidRPr="00D968DB">
        <w:rPr>
          <w:color w:val="000000" w:themeColor="text1"/>
        </w:rPr>
        <w:t xml:space="preserve"> opportunities (university and vocational); with apprenticeships covering up to 40 per cent of school leavers in Denmark, and 21 per cent of private firms participating, in the late 1990s (Anker</w:t>
      </w:r>
      <w:r>
        <w:rPr>
          <w:color w:val="000000" w:themeColor="text1"/>
        </w:rPr>
        <w:t>,</w:t>
      </w:r>
      <w:r w:rsidRPr="00D968DB">
        <w:rPr>
          <w:color w:val="000000" w:themeColor="text1"/>
        </w:rPr>
        <w:t xml:space="preserve"> 1998).</w:t>
      </w:r>
      <w:r w:rsidRPr="00D968DB">
        <w:rPr>
          <w:rStyle w:val="FootnoteReference"/>
          <w:color w:val="000000" w:themeColor="text1"/>
        </w:rPr>
        <w:footnoteReference w:id="10"/>
      </w:r>
      <w:r w:rsidRPr="00D968DB">
        <w:rPr>
          <w:color w:val="000000" w:themeColor="text1"/>
        </w:rPr>
        <w:t xml:space="preserve"> Mixed-ability teaching within and across classes and schools embed forms of mutual regard in the relation of </w:t>
      </w:r>
      <w:r w:rsidRPr="00D968DB">
        <w:rPr>
          <w:rFonts w:cs="Times New Roman"/>
          <w:color w:val="000000" w:themeColor="text1"/>
        </w:rPr>
        <w:t>peers through the educational process – and extension into occupational life of public policies embeds support across generations. Flexicurity corroded this system to some extent, with a fall in youth participation in manual occupational training systems to around 20 % by the late 2010s (</w:t>
      </w:r>
      <w:r w:rsidRPr="001B0B56">
        <w:rPr>
          <w:rFonts w:cs="Times New Roman"/>
          <w:color w:val="000000" w:themeColor="text1"/>
        </w:rPr>
        <w:t>Tesfaye, </w:t>
      </w:r>
      <w:hyperlink r:id="rId9" w:anchor="ref075" w:history="1">
        <w:r w:rsidRPr="001B0B56">
          <w:rPr>
            <w:rStyle w:val="Hyperlink"/>
            <w:rFonts w:cs="Times New Roman"/>
            <w:color w:val="000000" w:themeColor="text1"/>
            <w:u w:val="none"/>
            <w:bdr w:val="none" w:sz="0" w:space="0" w:color="auto" w:frame="1"/>
          </w:rPr>
          <w:t>2013</w:t>
        </w:r>
      </w:hyperlink>
      <w:r w:rsidRPr="001B0B56">
        <w:rPr>
          <w:rFonts w:cs="Times New Roman"/>
          <w:color w:val="000000" w:themeColor="text1"/>
        </w:rPr>
        <w:t>). A</w:t>
      </w:r>
      <w:r w:rsidRPr="00D968DB">
        <w:rPr>
          <w:rFonts w:cs="Times New Roman"/>
          <w:color w:val="000000" w:themeColor="text1"/>
        </w:rPr>
        <w:t xml:space="preserve"> government long-term target of upping participation to 30 % (</w:t>
      </w:r>
      <w:proofErr w:type="spellStart"/>
      <w:r w:rsidRPr="00D968DB">
        <w:rPr>
          <w:rFonts w:cs="Times New Roman"/>
          <w:color w:val="000000" w:themeColor="text1"/>
        </w:rPr>
        <w:t>Jyllandsposten</w:t>
      </w:r>
      <w:proofErr w:type="spellEnd"/>
      <w:r>
        <w:rPr>
          <w:rFonts w:cs="Times New Roman"/>
          <w:color w:val="000000" w:themeColor="text1"/>
        </w:rPr>
        <w:t>,</w:t>
      </w:r>
      <w:r w:rsidRPr="00D968DB">
        <w:rPr>
          <w:rFonts w:cs="Times New Roman"/>
          <w:color w:val="000000" w:themeColor="text1"/>
        </w:rPr>
        <w:t xml:space="preserve"> 2018)</w:t>
      </w:r>
      <w:r>
        <w:rPr>
          <w:rFonts w:cs="Times New Roman"/>
          <w:color w:val="000000" w:themeColor="text1"/>
        </w:rPr>
        <w:t>,</w:t>
      </w:r>
      <w:r w:rsidRPr="00D968DB">
        <w:rPr>
          <w:rFonts w:cs="Times New Roman"/>
          <w:color w:val="000000" w:themeColor="text1"/>
        </w:rPr>
        <w:t xml:space="preserve"> </w:t>
      </w:r>
      <w:r>
        <w:rPr>
          <w:rFonts w:cs="Times New Roman"/>
          <w:color w:val="000000" w:themeColor="text1"/>
        </w:rPr>
        <w:t xml:space="preserve">however, </w:t>
      </w:r>
      <w:r w:rsidRPr="00D968DB">
        <w:rPr>
          <w:rFonts w:cs="Times New Roman"/>
          <w:color w:val="000000" w:themeColor="text1"/>
        </w:rPr>
        <w:t>suggests continued efforts to evolve and maintain the developmental systems of occupational</w:t>
      </w:r>
      <w:r>
        <w:rPr>
          <w:rFonts w:cs="Times New Roman"/>
          <w:color w:val="000000" w:themeColor="text1"/>
        </w:rPr>
        <w:t xml:space="preserve"> inclusion in the face of strain.</w:t>
      </w:r>
    </w:p>
    <w:p w14:paraId="266AC052" w14:textId="77777777" w:rsidR="00BE3FE3" w:rsidRPr="00D968DB" w:rsidRDefault="00BE3FE3" w:rsidP="00D968DB">
      <w:pPr>
        <w:spacing w:line="360" w:lineRule="auto"/>
        <w:ind w:left="-397" w:right="-397"/>
        <w:jc w:val="both"/>
        <w:rPr>
          <w:rFonts w:cs="Times New Roman"/>
          <w:color w:val="000000" w:themeColor="text1"/>
        </w:rPr>
      </w:pPr>
    </w:p>
    <w:p w14:paraId="6860D4B7" w14:textId="71355276" w:rsidR="00BE3FE3" w:rsidRDefault="00BE3FE3" w:rsidP="00B87760">
      <w:pPr>
        <w:spacing w:line="360" w:lineRule="auto"/>
        <w:ind w:left="-397" w:right="-397"/>
        <w:jc w:val="both"/>
        <w:rPr>
          <w:color w:val="000000" w:themeColor="text1"/>
        </w:rPr>
      </w:pPr>
      <w:r w:rsidRPr="006707EA">
        <w:rPr>
          <w:color w:val="000000" w:themeColor="text1"/>
        </w:rPr>
        <w:t>By counterfactual reference, a long-standing practice in the UK</w:t>
      </w:r>
      <w:r>
        <w:rPr>
          <w:color w:val="000000" w:themeColor="text1"/>
        </w:rPr>
        <w:t xml:space="preserve"> education system</w:t>
      </w:r>
      <w:r w:rsidRPr="006707EA">
        <w:rPr>
          <w:color w:val="000000" w:themeColor="text1"/>
        </w:rPr>
        <w:t xml:space="preserve"> leaves the fee-paying sector outside the purview of public subsidy (except indirectly through the claiming of non-tax charitable status) in exchange for</w:t>
      </w:r>
      <w:r>
        <w:rPr>
          <w:color w:val="000000" w:themeColor="text1"/>
        </w:rPr>
        <w:t xml:space="preserve"> a framework of self-regulation.</w:t>
      </w:r>
      <w:r w:rsidRPr="006707EA">
        <w:rPr>
          <w:color w:val="000000" w:themeColor="text1"/>
        </w:rPr>
        <w:t xml:space="preserve"> </w:t>
      </w:r>
      <w:r>
        <w:rPr>
          <w:color w:val="000000" w:themeColor="text1"/>
        </w:rPr>
        <w:t>This exemplifies the</w:t>
      </w:r>
      <w:r w:rsidRPr="006707EA">
        <w:rPr>
          <w:color w:val="000000" w:themeColor="text1"/>
        </w:rPr>
        <w:t xml:space="preserve"> emphasis on the distributive frame in Anglo-liberal pub</w:t>
      </w:r>
      <w:r>
        <w:rPr>
          <w:color w:val="000000" w:themeColor="text1"/>
        </w:rPr>
        <w:t>lic policy (and analysis, as above</w:t>
      </w:r>
      <w:r w:rsidRPr="006707EA">
        <w:rPr>
          <w:color w:val="000000" w:themeColor="text1"/>
        </w:rPr>
        <w:t>) and systemic impacts it has, e.g. as weak regulatory capacity has undermined effectiveness of individual policies and lowered incentives for common finance of higher education and training.</w:t>
      </w:r>
      <w:r w:rsidRPr="006707EA">
        <w:rPr>
          <w:rStyle w:val="FootnoteReference"/>
          <w:color w:val="000000" w:themeColor="text1"/>
        </w:rPr>
        <w:footnoteReference w:id="11"/>
      </w:r>
      <w:r>
        <w:rPr>
          <w:color w:val="000000" w:themeColor="text1"/>
        </w:rPr>
        <w:t xml:space="preserve"> To illustrate</w:t>
      </w:r>
      <w:r w:rsidRPr="006707EA">
        <w:rPr>
          <w:color w:val="000000" w:themeColor="text1"/>
        </w:rPr>
        <w:t>, rapidly rising fees to independent schools meant growth of private finance in the UK between the mid-1990s and 2005 (at 174 %) discounted effects of public investment in the same period (at 146 %, OECD</w:t>
      </w:r>
      <w:r>
        <w:rPr>
          <w:color w:val="000000" w:themeColor="text1"/>
        </w:rPr>
        <w:t>,</w:t>
      </w:r>
      <w:r w:rsidRPr="006707EA">
        <w:rPr>
          <w:color w:val="000000" w:themeColor="text1"/>
        </w:rPr>
        <w:t xml:space="preserve"> 2008a), as the opportunity structure grew more vertical.</w:t>
      </w:r>
      <w:r w:rsidRPr="006707EA">
        <w:rPr>
          <w:rStyle w:val="FootnoteReference"/>
          <w:color w:val="000000" w:themeColor="text1"/>
        </w:rPr>
        <w:footnoteReference w:id="12"/>
      </w:r>
      <w:r w:rsidRPr="006707EA">
        <w:rPr>
          <w:color w:val="000000" w:themeColor="text1"/>
        </w:rPr>
        <w:t xml:space="preserve"> In 2006, Britain had one of the most unequal distributions of class sizes between the public and fee-paying sector in the OECD (a ratio of 18.6 to 7.2 betwee</w:t>
      </w:r>
      <w:r>
        <w:rPr>
          <w:color w:val="000000" w:themeColor="text1"/>
        </w:rPr>
        <w:t>n state and fee-paying schools</w:t>
      </w:r>
      <w:r w:rsidRPr="00F539AF">
        <w:rPr>
          <w:b/>
          <w:color w:val="000000" w:themeColor="text1"/>
        </w:rPr>
        <w:t>).</w:t>
      </w:r>
      <w:r w:rsidRPr="00CC41ED">
        <w:rPr>
          <w:rStyle w:val="FootnoteReference"/>
          <w:color w:val="000000" w:themeColor="text1"/>
        </w:rPr>
        <w:t xml:space="preserve"> </w:t>
      </w:r>
      <w:r w:rsidRPr="006707EA">
        <w:rPr>
          <w:rStyle w:val="FootnoteReference"/>
          <w:color w:val="000000" w:themeColor="text1"/>
        </w:rPr>
        <w:footnoteReference w:id="13"/>
      </w:r>
      <w:r w:rsidRPr="00F539AF">
        <w:rPr>
          <w:color w:val="000000" w:themeColor="text1"/>
        </w:rPr>
        <w:t xml:space="preserve"> Private pupils’ chances of entering elite universities (Oxbridge) (as compared with others pupils) was estimated at about 55 to 1 in the late 2000s (Sutton Trust</w:t>
      </w:r>
      <w:r w:rsidR="007A7015">
        <w:rPr>
          <w:color w:val="000000" w:themeColor="text1"/>
        </w:rPr>
        <w:t>,</w:t>
      </w:r>
      <w:r w:rsidRPr="00F539AF">
        <w:rPr>
          <w:color w:val="000000" w:themeColor="text1"/>
        </w:rPr>
        <w:t xml:space="preserve"> 2014b, </w:t>
      </w:r>
      <w:r>
        <w:rPr>
          <w:color w:val="000000" w:themeColor="text1"/>
        </w:rPr>
        <w:t xml:space="preserve">p. </w:t>
      </w:r>
      <w:r w:rsidRPr="00F539AF">
        <w:rPr>
          <w:color w:val="000000" w:themeColor="text1"/>
        </w:rPr>
        <w:lastRenderedPageBreak/>
        <w:t>7). Reinforcing the effect of this inequality at the base was a more radical shift in higher education funding, where the share of public spending dropped radically, from 80 per cent to 36 per cent, transforming the UK from a continental European to a US model in the space of 12 years (1995-2007). Inequalities of access to top professions in Britain, already high, rose as well</w:t>
      </w:r>
      <w:r>
        <w:rPr>
          <w:color w:val="000000" w:themeColor="text1"/>
        </w:rPr>
        <w:t xml:space="preserve"> (Sutton Trust, 2007, p. 7)</w:t>
      </w:r>
      <w:r w:rsidRPr="00F539AF">
        <w:rPr>
          <w:color w:val="000000" w:themeColor="text1"/>
        </w:rPr>
        <w:t>.</w:t>
      </w:r>
      <w:r w:rsidRPr="00F539AF">
        <w:rPr>
          <w:rStyle w:val="FootnoteReference"/>
          <w:color w:val="000000" w:themeColor="text1"/>
        </w:rPr>
        <w:t xml:space="preserve"> </w:t>
      </w:r>
      <w:r w:rsidRPr="00F539AF">
        <w:rPr>
          <w:color w:val="000000" w:themeColor="text1"/>
        </w:rPr>
        <w:t xml:space="preserve"> These trends are captured and compared with other </w:t>
      </w:r>
      <w:r w:rsidRPr="003025CF">
        <w:rPr>
          <w:color w:val="000000" w:themeColor="text1"/>
        </w:rPr>
        <w:t>OECD countries in an index of education inequality, covering</w:t>
      </w:r>
      <w:r w:rsidRPr="006707EA">
        <w:rPr>
          <w:color w:val="000000" w:themeColor="text1"/>
        </w:rPr>
        <w:t xml:space="preserve"> 22 OECD countries giving an overview of inequality structur</w:t>
      </w:r>
      <w:r>
        <w:rPr>
          <w:color w:val="000000" w:themeColor="text1"/>
        </w:rPr>
        <w:t>e and direction of change.</w:t>
      </w:r>
      <w:r w:rsidRPr="006707EA">
        <w:rPr>
          <w:color w:val="000000" w:themeColor="text1"/>
        </w:rPr>
        <w:t xml:space="preserve"> Notably, a fragmentary trait of the HC trajectory is how at the same time it permits new</w:t>
      </w:r>
      <w:r>
        <w:rPr>
          <w:color w:val="000000" w:themeColor="text1"/>
        </w:rPr>
        <w:t xml:space="preserve"> (e.g. schooling, income)</w:t>
      </w:r>
      <w:r w:rsidRPr="006707EA">
        <w:rPr>
          <w:color w:val="000000" w:themeColor="text1"/>
        </w:rPr>
        <w:t xml:space="preserve"> inequalities to rise that </w:t>
      </w:r>
      <w:r w:rsidR="00A06861">
        <w:rPr>
          <w:color w:val="000000" w:themeColor="text1"/>
        </w:rPr>
        <w:t>l</w:t>
      </w:r>
      <w:r w:rsidRPr="006707EA">
        <w:rPr>
          <w:color w:val="000000" w:themeColor="text1"/>
        </w:rPr>
        <w:t>ess developmentally-focussed public policie</w:t>
      </w:r>
      <w:r w:rsidR="002D7AC1">
        <w:rPr>
          <w:color w:val="000000" w:themeColor="text1"/>
        </w:rPr>
        <w:t>s</w:t>
      </w:r>
      <w:r w:rsidR="00A06861">
        <w:rPr>
          <w:color w:val="000000" w:themeColor="text1"/>
        </w:rPr>
        <w:t xml:space="preserve"> are in turn </w:t>
      </w:r>
      <w:r>
        <w:rPr>
          <w:color w:val="000000" w:themeColor="text1"/>
        </w:rPr>
        <w:t xml:space="preserve">less </w:t>
      </w:r>
      <w:r w:rsidR="00A06861">
        <w:rPr>
          <w:color w:val="000000" w:themeColor="text1"/>
        </w:rPr>
        <w:t xml:space="preserve">able </w:t>
      </w:r>
      <w:r>
        <w:rPr>
          <w:color w:val="000000" w:themeColor="text1"/>
        </w:rPr>
        <w:t xml:space="preserve">to contain. Furthermore, in the UK as </w:t>
      </w:r>
      <w:r w:rsidRPr="006707EA">
        <w:rPr>
          <w:color w:val="000000" w:themeColor="text1"/>
        </w:rPr>
        <w:t>employment policy spend</w:t>
      </w:r>
      <w:r>
        <w:rPr>
          <w:color w:val="000000" w:themeColor="text1"/>
        </w:rPr>
        <w:t>ing</w:t>
      </w:r>
      <w:r w:rsidRPr="006707EA">
        <w:rPr>
          <w:color w:val="000000" w:themeColor="text1"/>
        </w:rPr>
        <w:t xml:space="preserve"> </w:t>
      </w:r>
      <w:r>
        <w:rPr>
          <w:color w:val="000000" w:themeColor="text1"/>
        </w:rPr>
        <w:t xml:space="preserve">was dramatically cut </w:t>
      </w:r>
      <w:r w:rsidRPr="006707EA">
        <w:rPr>
          <w:color w:val="000000" w:themeColor="text1"/>
        </w:rPr>
        <w:t>(from 0.37 to 0.05 per cent in GDP</w:t>
      </w:r>
      <w:r>
        <w:rPr>
          <w:color w:val="000000" w:themeColor="text1"/>
        </w:rPr>
        <w:t xml:space="preserve"> in the 2000s), </w:t>
      </w:r>
      <w:r w:rsidRPr="006707EA">
        <w:rPr>
          <w:color w:val="000000" w:themeColor="text1"/>
        </w:rPr>
        <w:t>real c</w:t>
      </w:r>
      <w:r>
        <w:rPr>
          <w:color w:val="000000" w:themeColor="text1"/>
        </w:rPr>
        <w:t>osts of private care g</w:t>
      </w:r>
      <w:r w:rsidRPr="001B0B56">
        <w:rPr>
          <w:color w:val="000000" w:themeColor="text1"/>
        </w:rPr>
        <w:t>rew (along with Switzerland and Ireland</w:t>
      </w:r>
      <w:r>
        <w:rPr>
          <w:color w:val="000000" w:themeColor="text1"/>
        </w:rPr>
        <w:t>)</w:t>
      </w:r>
      <w:r w:rsidRPr="001B0B56">
        <w:rPr>
          <w:color w:val="000000" w:themeColor="text1"/>
        </w:rPr>
        <w:t xml:space="preserve">, seeing the highest net costs to parents </w:t>
      </w:r>
      <w:r w:rsidR="00A06861">
        <w:rPr>
          <w:color w:val="000000" w:themeColor="text1"/>
        </w:rPr>
        <w:t>(</w:t>
      </w:r>
      <w:r w:rsidRPr="001B0B56">
        <w:rPr>
          <w:color w:val="000000" w:themeColor="text1"/>
        </w:rPr>
        <w:t xml:space="preserve">Table </w:t>
      </w:r>
      <w:r w:rsidR="00501545">
        <w:rPr>
          <w:color w:val="000000" w:themeColor="text1"/>
        </w:rPr>
        <w:t>A.</w:t>
      </w:r>
      <w:r w:rsidRPr="001B0B56">
        <w:rPr>
          <w:color w:val="000000" w:themeColor="text1"/>
        </w:rPr>
        <w:t>6</w:t>
      </w:r>
      <w:r w:rsidR="00A06861">
        <w:rPr>
          <w:color w:val="000000" w:themeColor="text1"/>
        </w:rPr>
        <w:t>)</w:t>
      </w:r>
      <w:r w:rsidRPr="001B0B56">
        <w:rPr>
          <w:color w:val="000000" w:themeColor="text1"/>
        </w:rPr>
        <w:t>.</w:t>
      </w:r>
      <w:r w:rsidRPr="001B0B56">
        <w:rPr>
          <w:rStyle w:val="FootnoteReference"/>
          <w:color w:val="000000" w:themeColor="text1"/>
        </w:rPr>
        <w:footnoteReference w:id="14"/>
      </w:r>
      <w:r w:rsidRPr="009D0215">
        <w:rPr>
          <w:color w:val="000000" w:themeColor="text1"/>
        </w:rPr>
        <w:t xml:space="preserve"> </w:t>
      </w:r>
    </w:p>
    <w:p w14:paraId="65CD62E5" w14:textId="77777777" w:rsidR="00BE3FE3" w:rsidRDefault="00BE3FE3" w:rsidP="00B87760">
      <w:pPr>
        <w:spacing w:line="360" w:lineRule="auto"/>
        <w:ind w:left="-397" w:right="-397"/>
        <w:jc w:val="both"/>
        <w:rPr>
          <w:color w:val="000000" w:themeColor="text1"/>
        </w:rPr>
      </w:pPr>
    </w:p>
    <w:p w14:paraId="1357D30C" w14:textId="3524B1C9" w:rsidR="00BE3FE3" w:rsidRDefault="00BE3FE3" w:rsidP="00B87760">
      <w:pPr>
        <w:spacing w:line="360" w:lineRule="auto"/>
        <w:ind w:left="-397" w:right="-397"/>
        <w:jc w:val="both"/>
        <w:rPr>
          <w:color w:val="000000" w:themeColor="text1"/>
        </w:rPr>
      </w:pPr>
      <w:r>
        <w:rPr>
          <w:color w:val="000000" w:themeColor="text1"/>
        </w:rPr>
        <w:t xml:space="preserve">As developmental policies are not </w:t>
      </w:r>
      <w:r w:rsidRPr="001B0B56">
        <w:rPr>
          <w:color w:val="000000" w:themeColor="text1"/>
        </w:rPr>
        <w:t xml:space="preserve">extended into occupational life, in turn female equal standing in education is hard to sustain, as care – and so employment – become less affordable at lower levels of education and income. To accordingly reflect the difference life-cycle policies in particular make for women’s positions, an index of occupational inclusion (Table A.4) compares female return rates in addition to the level and stratification of employment security in the form of data on unemployment and earnings, showing the Nordic states are distinctive - and the UK’s position is extreme </w:t>
      </w:r>
      <w:r w:rsidR="00A06861">
        <w:rPr>
          <w:color w:val="000000" w:themeColor="text1"/>
        </w:rPr>
        <w:t>(</w:t>
      </w:r>
      <w:r w:rsidRPr="001B0B56">
        <w:rPr>
          <w:color w:val="000000" w:themeColor="text1"/>
        </w:rPr>
        <w:t>Graph 4). The upshot is to show how a more effective</w:t>
      </w:r>
      <w:r w:rsidRPr="00391876">
        <w:rPr>
          <w:color w:val="000000" w:themeColor="text1"/>
        </w:rPr>
        <w:t xml:space="preserve"> developmental –allocative institutional structure – reflecting </w:t>
      </w:r>
      <w:r>
        <w:rPr>
          <w:color w:val="000000" w:themeColor="text1"/>
        </w:rPr>
        <w:t>HE responsiveness, appears to contribute elements of</w:t>
      </w:r>
      <w:r w:rsidRPr="00391876">
        <w:rPr>
          <w:color w:val="000000" w:themeColor="text1"/>
        </w:rPr>
        <w:t xml:space="preserve"> a systemic explanation for</w:t>
      </w:r>
      <w:r>
        <w:rPr>
          <w:color w:val="000000" w:themeColor="text1"/>
        </w:rPr>
        <w:t xml:space="preserve"> more equal</w:t>
      </w:r>
      <w:r w:rsidRPr="00391876">
        <w:rPr>
          <w:color w:val="000000" w:themeColor="text1"/>
        </w:rPr>
        <w:t xml:space="preserve"> occupational inclusion in Nordic (HD) states.</w:t>
      </w:r>
    </w:p>
    <w:p w14:paraId="25A95B66" w14:textId="77777777" w:rsidR="00501545" w:rsidRDefault="00501545" w:rsidP="00B87760">
      <w:pPr>
        <w:spacing w:line="360" w:lineRule="auto"/>
        <w:ind w:left="-397" w:right="-397"/>
        <w:jc w:val="both"/>
        <w:rPr>
          <w:color w:val="000000" w:themeColor="text1"/>
        </w:rPr>
      </w:pPr>
    </w:p>
    <w:p w14:paraId="6D242C7F" w14:textId="1FCBF92D" w:rsidR="00501545" w:rsidRPr="00501545" w:rsidRDefault="00501545" w:rsidP="00B87760">
      <w:pPr>
        <w:spacing w:line="360" w:lineRule="auto"/>
        <w:ind w:left="-397" w:right="-397"/>
        <w:jc w:val="both"/>
        <w:rPr>
          <w:color w:val="C00000"/>
        </w:rPr>
      </w:pPr>
      <w:r w:rsidRPr="00501545">
        <w:rPr>
          <w:color w:val="C00000"/>
        </w:rPr>
        <w:t>INSERT GRAPH 4 HERE</w:t>
      </w:r>
    </w:p>
    <w:p w14:paraId="2B481D65" w14:textId="77777777" w:rsidR="00BE3FE3" w:rsidRPr="001B0B56" w:rsidRDefault="00BE3FE3" w:rsidP="00B87760">
      <w:pPr>
        <w:spacing w:line="360" w:lineRule="auto"/>
        <w:ind w:left="-397" w:right="-397"/>
        <w:jc w:val="both"/>
        <w:rPr>
          <w:color w:val="000000" w:themeColor="text1"/>
        </w:rPr>
      </w:pPr>
    </w:p>
    <w:p w14:paraId="7728EAAC" w14:textId="72D48E9B" w:rsidR="00BE3FE3" w:rsidRDefault="00BE3FE3" w:rsidP="00B87760">
      <w:pPr>
        <w:spacing w:line="360" w:lineRule="auto"/>
        <w:ind w:left="-397" w:right="-397"/>
        <w:jc w:val="both"/>
        <w:rPr>
          <w:color w:val="000000" w:themeColor="text1"/>
        </w:rPr>
      </w:pPr>
      <w:r w:rsidRPr="001B0B56">
        <w:rPr>
          <w:color w:val="000000" w:themeColor="text1"/>
        </w:rPr>
        <w:t>Assessing underlying factors is also revealing, (Table A.3, column 4), e.g., the UK’s low position in 2007 is shaped by structurally deeper shifts in core background distributions like schooling.</w:t>
      </w:r>
      <w:r w:rsidRPr="001B0B56">
        <w:rPr>
          <w:rStyle w:val="FootnoteReference"/>
          <w:color w:val="000000" w:themeColor="text1"/>
        </w:rPr>
        <w:footnoteReference w:id="15"/>
      </w:r>
      <w:r w:rsidRPr="001B0B56">
        <w:rPr>
          <w:color w:val="000000" w:themeColor="text1"/>
        </w:rPr>
        <w:t xml:space="preserve"> In Nordic countries</w:t>
      </w:r>
      <w:r w:rsidR="00A06861">
        <w:rPr>
          <w:color w:val="000000" w:themeColor="text1"/>
        </w:rPr>
        <w:t>,</w:t>
      </w:r>
      <w:r w:rsidRPr="001B0B56">
        <w:rPr>
          <w:color w:val="000000" w:themeColor="text1"/>
        </w:rPr>
        <w:t xml:space="preserve"> what above I called dynamic control – e.g. of occupational life in particular, is noticeably higher, with several different dimensions of dynamic control - tied to equality in education and occupational life - contributing to this (Table A 3), as I now further examine.</w:t>
      </w:r>
    </w:p>
    <w:p w14:paraId="5F6FB5FD" w14:textId="53E4D842" w:rsidR="004F2835" w:rsidRDefault="004F2835" w:rsidP="00B87760">
      <w:pPr>
        <w:spacing w:line="360" w:lineRule="auto"/>
        <w:ind w:left="-397" w:right="-397"/>
        <w:jc w:val="both"/>
        <w:rPr>
          <w:color w:val="000000" w:themeColor="text1"/>
        </w:rPr>
      </w:pPr>
    </w:p>
    <w:p w14:paraId="0D49391E" w14:textId="2A4486F7" w:rsidR="004F2835" w:rsidRDefault="004F2835" w:rsidP="00B87760">
      <w:pPr>
        <w:spacing w:line="360" w:lineRule="auto"/>
        <w:ind w:left="-397" w:right="-397"/>
        <w:jc w:val="both"/>
        <w:rPr>
          <w:color w:val="000000" w:themeColor="text1"/>
        </w:rPr>
      </w:pPr>
    </w:p>
    <w:p w14:paraId="21FA75FE" w14:textId="77777777" w:rsidR="004F2835" w:rsidRPr="002A3E91" w:rsidRDefault="004F2835" w:rsidP="00B87760">
      <w:pPr>
        <w:spacing w:line="360" w:lineRule="auto"/>
        <w:ind w:left="-397" w:right="-397"/>
        <w:jc w:val="both"/>
        <w:rPr>
          <w:color w:val="000000" w:themeColor="text1"/>
          <w:u w:val="single"/>
        </w:rPr>
      </w:pPr>
    </w:p>
    <w:p w14:paraId="77BFB43A" w14:textId="77777777" w:rsidR="00BE3FE3" w:rsidRDefault="00BE3FE3" w:rsidP="00B87760">
      <w:pPr>
        <w:spacing w:line="360" w:lineRule="auto"/>
        <w:ind w:left="-397" w:right="-397"/>
        <w:jc w:val="both"/>
        <w:rPr>
          <w:color w:val="000000" w:themeColor="text1"/>
          <w:sz w:val="20"/>
          <w:szCs w:val="20"/>
          <w:u w:val="single"/>
        </w:rPr>
      </w:pPr>
    </w:p>
    <w:p w14:paraId="10721D12" w14:textId="77777777" w:rsidR="00A06861" w:rsidRPr="00851B95" w:rsidRDefault="00A06861" w:rsidP="00B87760">
      <w:pPr>
        <w:spacing w:line="360" w:lineRule="auto"/>
        <w:ind w:left="-397" w:right="-397"/>
        <w:jc w:val="both"/>
        <w:rPr>
          <w:color w:val="000000" w:themeColor="text1"/>
          <w:sz w:val="20"/>
          <w:szCs w:val="20"/>
          <w:u w:val="single"/>
        </w:rPr>
      </w:pPr>
    </w:p>
    <w:p w14:paraId="04D1E2BB" w14:textId="77777777" w:rsidR="00BE3FE3" w:rsidRPr="0086583E" w:rsidRDefault="00BE3FE3" w:rsidP="00B87760">
      <w:pPr>
        <w:spacing w:line="360" w:lineRule="auto"/>
        <w:ind w:left="-397" w:right="-397"/>
        <w:jc w:val="both"/>
        <w:rPr>
          <w:b/>
          <w:color w:val="000000" w:themeColor="text1"/>
        </w:rPr>
      </w:pPr>
      <w:r>
        <w:rPr>
          <w:b/>
          <w:color w:val="000000" w:themeColor="text1"/>
        </w:rPr>
        <w:t>5</w:t>
      </w:r>
      <w:r w:rsidRPr="0086583E">
        <w:rPr>
          <w:b/>
          <w:color w:val="000000" w:themeColor="text1"/>
        </w:rPr>
        <w:t>. Public Sector Incorporation and Control of Time, Activities and Social Relations</w:t>
      </w:r>
    </w:p>
    <w:p w14:paraId="02F3D357" w14:textId="77777777" w:rsidR="00BE3FE3" w:rsidRDefault="00BE3FE3" w:rsidP="00B87760">
      <w:pPr>
        <w:spacing w:line="360" w:lineRule="auto"/>
        <w:ind w:left="-397" w:right="-397"/>
        <w:jc w:val="both"/>
        <w:rPr>
          <w:color w:val="000000" w:themeColor="text1"/>
        </w:rPr>
      </w:pPr>
    </w:p>
    <w:p w14:paraId="5EFF54F2" w14:textId="03359189" w:rsidR="00BE3FE3" w:rsidRDefault="00BE3FE3" w:rsidP="00B87760">
      <w:pPr>
        <w:spacing w:line="360" w:lineRule="auto"/>
        <w:ind w:left="-397" w:right="-397"/>
        <w:jc w:val="both"/>
        <w:rPr>
          <w:color w:val="000000" w:themeColor="text1"/>
        </w:rPr>
      </w:pPr>
      <w:r w:rsidRPr="007C4F66">
        <w:rPr>
          <w:color w:val="000000" w:themeColor="text1"/>
        </w:rPr>
        <w:t>System varieties are – as indicated – shaped by – amon</w:t>
      </w:r>
      <w:r>
        <w:rPr>
          <w:color w:val="000000" w:themeColor="text1"/>
        </w:rPr>
        <w:t>g other factors – the composite</w:t>
      </w:r>
      <w:r w:rsidRPr="007C4F66">
        <w:rPr>
          <w:color w:val="000000" w:themeColor="text1"/>
        </w:rPr>
        <w:t xml:space="preserve"> form of their respo</w:t>
      </w:r>
      <w:r>
        <w:rPr>
          <w:color w:val="000000" w:themeColor="text1"/>
        </w:rPr>
        <w:t xml:space="preserve">nsiveness to the human economy </w:t>
      </w:r>
      <w:r w:rsidRPr="007C4F66">
        <w:rPr>
          <w:color w:val="000000" w:themeColor="text1"/>
        </w:rPr>
        <w:t xml:space="preserve">and in turn, this shapes the incidence of more opportunities for </w:t>
      </w:r>
      <w:r>
        <w:rPr>
          <w:color w:val="000000" w:themeColor="text1"/>
        </w:rPr>
        <w:t>control</w:t>
      </w:r>
      <w:r w:rsidRPr="007C4F66">
        <w:rPr>
          <w:color w:val="000000" w:themeColor="text1"/>
        </w:rPr>
        <w:t xml:space="preserve">.  </w:t>
      </w:r>
      <w:r>
        <w:rPr>
          <w:color w:val="000000" w:themeColor="text1"/>
        </w:rPr>
        <w:t>I</w:t>
      </w:r>
      <w:r w:rsidRPr="007C4F66">
        <w:rPr>
          <w:color w:val="000000" w:themeColor="text1"/>
        </w:rPr>
        <w:t xml:space="preserve">n </w:t>
      </w:r>
      <w:r>
        <w:rPr>
          <w:color w:val="000000" w:themeColor="text1"/>
        </w:rPr>
        <w:t xml:space="preserve">the case of </w:t>
      </w:r>
      <w:r w:rsidRPr="007C4F66">
        <w:rPr>
          <w:color w:val="000000" w:themeColor="text1"/>
        </w:rPr>
        <w:t>education in Britain</w:t>
      </w:r>
      <w:r>
        <w:rPr>
          <w:color w:val="000000" w:themeColor="text1"/>
        </w:rPr>
        <w:t>,</w:t>
      </w:r>
      <w:r w:rsidRPr="007C4F66">
        <w:rPr>
          <w:color w:val="000000" w:themeColor="text1"/>
        </w:rPr>
        <w:t xml:space="preserve"> growing competition with the fee-paying sector in the 1990s</w:t>
      </w:r>
      <w:r w:rsidR="00C46EDF">
        <w:rPr>
          <w:color w:val="000000" w:themeColor="text1"/>
        </w:rPr>
        <w:t>,</w:t>
      </w:r>
      <w:r w:rsidRPr="007C4F66">
        <w:rPr>
          <w:color w:val="000000" w:themeColor="text1"/>
        </w:rPr>
        <w:t xml:space="preserve"> meant state-led practices of early de-selection of weaker students intensified with more segregated ability-teaching. A scheme of school competition for pupils and funding through league tables had schools working to statistical projections of children’s grades from entry to exit, where then students’ initial performance levels set (and delimited) their personal targets and peer groups (Sutton Trust,</w:t>
      </w:r>
      <w:r>
        <w:rPr>
          <w:color w:val="000000" w:themeColor="text1"/>
        </w:rPr>
        <w:t xml:space="preserve"> </w:t>
      </w:r>
      <w:r w:rsidRPr="007C4F66">
        <w:rPr>
          <w:color w:val="000000" w:themeColor="text1"/>
        </w:rPr>
        <w:t xml:space="preserve">2014a). </w:t>
      </w:r>
    </w:p>
    <w:p w14:paraId="046AA56E" w14:textId="77777777" w:rsidR="00BE3FE3" w:rsidRPr="006707EA" w:rsidRDefault="00BE3FE3" w:rsidP="00B87760">
      <w:pPr>
        <w:spacing w:line="360" w:lineRule="auto"/>
        <w:ind w:right="-397"/>
        <w:jc w:val="both"/>
        <w:rPr>
          <w:color w:val="000000" w:themeColor="text1"/>
        </w:rPr>
      </w:pPr>
    </w:p>
    <w:p w14:paraId="0A592B74" w14:textId="11350FA5" w:rsidR="00BE3FE3" w:rsidRPr="007C4F66" w:rsidRDefault="00BE3FE3" w:rsidP="00B87760">
      <w:pPr>
        <w:spacing w:line="360" w:lineRule="auto"/>
        <w:ind w:left="-397" w:right="-397"/>
        <w:jc w:val="both"/>
        <w:rPr>
          <w:color w:val="000000" w:themeColor="text1"/>
        </w:rPr>
      </w:pPr>
      <w:r w:rsidRPr="006707EA">
        <w:rPr>
          <w:color w:val="000000" w:themeColor="text1"/>
        </w:rPr>
        <w:t>Counterfactually, developmental emphasis at the level of systems can be shown, in Nordic states, to have been a source of integrating the function, quality and effectiveness of services</w:t>
      </w:r>
      <w:r w:rsidR="00A06861">
        <w:rPr>
          <w:color w:val="000000" w:themeColor="text1"/>
        </w:rPr>
        <w:t xml:space="preserve">, and of </w:t>
      </w:r>
      <w:r w:rsidRPr="006707EA">
        <w:rPr>
          <w:color w:val="000000" w:themeColor="text1"/>
        </w:rPr>
        <w:t>increas</w:t>
      </w:r>
      <w:r w:rsidR="00A06861">
        <w:rPr>
          <w:color w:val="000000" w:themeColor="text1"/>
        </w:rPr>
        <w:t>ing</w:t>
      </w:r>
      <w:r w:rsidRPr="006707EA">
        <w:rPr>
          <w:color w:val="000000" w:themeColor="text1"/>
        </w:rPr>
        <w:t xml:space="preserve"> cooperative control, </w:t>
      </w:r>
      <w:r w:rsidR="00A27506">
        <w:rPr>
          <w:color w:val="000000" w:themeColor="text1"/>
        </w:rPr>
        <w:t xml:space="preserve">through </w:t>
      </w:r>
      <w:r w:rsidRPr="006707EA">
        <w:rPr>
          <w:color w:val="000000" w:themeColor="text1"/>
        </w:rPr>
        <w:t xml:space="preserve">embedded voice opportunities (e.g. in services like schools, </w:t>
      </w:r>
      <w:proofErr w:type="spellStart"/>
      <w:r w:rsidRPr="006707EA">
        <w:rPr>
          <w:color w:val="000000" w:themeColor="text1"/>
        </w:rPr>
        <w:t>Petersson</w:t>
      </w:r>
      <w:proofErr w:type="spellEnd"/>
      <w:r>
        <w:rPr>
          <w:color w:val="000000" w:themeColor="text1"/>
        </w:rPr>
        <w:t>,</w:t>
      </w:r>
      <w:r w:rsidRPr="006707EA">
        <w:rPr>
          <w:color w:val="000000" w:themeColor="text1"/>
        </w:rPr>
        <w:t xml:space="preserve"> 2007, </w:t>
      </w:r>
      <w:r>
        <w:rPr>
          <w:color w:val="000000" w:themeColor="text1"/>
        </w:rPr>
        <w:t xml:space="preserve">pp. </w:t>
      </w:r>
      <w:r w:rsidRPr="006707EA">
        <w:rPr>
          <w:color w:val="000000" w:themeColor="text1"/>
        </w:rPr>
        <w:t>155-164</w:t>
      </w:r>
      <w:r>
        <w:rPr>
          <w:color w:val="000000" w:themeColor="text1"/>
        </w:rPr>
        <w:t xml:space="preserve">; </w:t>
      </w:r>
      <w:r w:rsidRPr="006707EA">
        <w:rPr>
          <w:color w:val="000000" w:themeColor="text1"/>
        </w:rPr>
        <w:t xml:space="preserve">OECD, </w:t>
      </w:r>
      <w:r w:rsidRPr="007C4F66">
        <w:rPr>
          <w:color w:val="000000" w:themeColor="text1"/>
        </w:rPr>
        <w:t xml:space="preserve">2007e, </w:t>
      </w:r>
      <w:r>
        <w:rPr>
          <w:color w:val="000000" w:themeColor="text1"/>
        </w:rPr>
        <w:t xml:space="preserve">p. </w:t>
      </w:r>
      <w:r w:rsidRPr="007C4F66">
        <w:rPr>
          <w:color w:val="000000" w:themeColor="text1"/>
        </w:rPr>
        <w:t>147; Piketty 2014,</w:t>
      </w:r>
      <w:r>
        <w:rPr>
          <w:color w:val="000000" w:themeColor="text1"/>
        </w:rPr>
        <w:t xml:space="preserve"> p. </w:t>
      </w:r>
      <w:r w:rsidRPr="007C4F66">
        <w:rPr>
          <w:color w:val="000000" w:themeColor="text1"/>
        </w:rPr>
        <w:t>486).</w:t>
      </w:r>
      <w:r w:rsidRPr="007C4F66">
        <w:rPr>
          <w:rStyle w:val="FootnoteReference"/>
          <w:color w:val="000000" w:themeColor="text1"/>
        </w:rPr>
        <w:t xml:space="preserve"> </w:t>
      </w:r>
      <w:r w:rsidRPr="001B0B56">
        <w:rPr>
          <w:color w:val="000000" w:themeColor="text1"/>
        </w:rPr>
        <w:t>Integration is exemplified in how the high spending on family services and child-care already observed (Table A.1, c 8.b) has been driven</w:t>
      </w:r>
      <w:r w:rsidRPr="007C4F66">
        <w:rPr>
          <w:color w:val="000000" w:themeColor="text1"/>
        </w:rPr>
        <w:t xml:space="preserve"> by the educational content of care (OECD</w:t>
      </w:r>
      <w:r>
        <w:rPr>
          <w:color w:val="000000" w:themeColor="text1"/>
        </w:rPr>
        <w:t>,</w:t>
      </w:r>
      <w:r w:rsidRPr="007C4F66">
        <w:rPr>
          <w:color w:val="000000" w:themeColor="text1"/>
        </w:rPr>
        <w:t xml:space="preserve"> 2007e, </w:t>
      </w:r>
      <w:r>
        <w:rPr>
          <w:color w:val="000000" w:themeColor="text1"/>
        </w:rPr>
        <w:t xml:space="preserve">p. </w:t>
      </w:r>
      <w:r w:rsidRPr="007C4F66">
        <w:rPr>
          <w:color w:val="000000" w:themeColor="text1"/>
        </w:rPr>
        <w:t>138</w:t>
      </w:r>
      <w:r>
        <w:rPr>
          <w:color w:val="000000" w:themeColor="text1"/>
        </w:rPr>
        <w:t>, pp. 144-146</w:t>
      </w:r>
      <w:r w:rsidRPr="007C4F66">
        <w:rPr>
          <w:color w:val="000000" w:themeColor="text1"/>
        </w:rPr>
        <w:t>). A qualifications-driven approach is cited as reason the quality of care for under 3s is highest in Denmark, followed by Sweden (European Commission</w:t>
      </w:r>
      <w:r>
        <w:rPr>
          <w:color w:val="000000" w:themeColor="text1"/>
        </w:rPr>
        <w:t>,</w:t>
      </w:r>
      <w:r w:rsidRPr="007C4F66">
        <w:rPr>
          <w:color w:val="000000" w:themeColor="text1"/>
        </w:rPr>
        <w:t xml:space="preserve"> 2013, </w:t>
      </w:r>
      <w:r>
        <w:rPr>
          <w:color w:val="000000" w:themeColor="text1"/>
        </w:rPr>
        <w:t xml:space="preserve">p. </w:t>
      </w:r>
      <w:r w:rsidRPr="007C4F66">
        <w:rPr>
          <w:color w:val="000000" w:themeColor="text1"/>
        </w:rPr>
        <w:t>7; Mahon</w:t>
      </w:r>
      <w:r>
        <w:rPr>
          <w:color w:val="000000" w:themeColor="text1"/>
        </w:rPr>
        <w:t>,</w:t>
      </w:r>
      <w:r w:rsidR="00A27506">
        <w:rPr>
          <w:color w:val="000000" w:themeColor="text1"/>
        </w:rPr>
        <w:t xml:space="preserve"> 2010) and (gradually) </w:t>
      </w:r>
      <w:r w:rsidRPr="007C4F66">
        <w:rPr>
          <w:color w:val="000000" w:themeColor="text1"/>
        </w:rPr>
        <w:t>men are drawn to the profession (ibid.</w:t>
      </w:r>
      <w:r>
        <w:rPr>
          <w:color w:val="000000" w:themeColor="text1"/>
        </w:rPr>
        <w:t>,</w:t>
      </w:r>
      <w:r w:rsidRPr="007C4F66">
        <w:rPr>
          <w:color w:val="000000" w:themeColor="text1"/>
        </w:rPr>
        <w:t xml:space="preserve"> </w:t>
      </w:r>
      <w:r>
        <w:rPr>
          <w:color w:val="000000" w:themeColor="text1"/>
        </w:rPr>
        <w:t xml:space="preserve">p. </w:t>
      </w:r>
      <w:r w:rsidRPr="007C4F66">
        <w:rPr>
          <w:color w:val="000000" w:themeColor="text1"/>
        </w:rPr>
        <w:t>15) as well.</w:t>
      </w:r>
      <w:r w:rsidRPr="007C4F66">
        <w:rPr>
          <w:rStyle w:val="FootnoteReference"/>
          <w:color w:val="000000" w:themeColor="text1"/>
        </w:rPr>
        <w:footnoteReference w:id="16"/>
      </w:r>
      <w:r w:rsidRPr="007C4F66">
        <w:rPr>
          <w:color w:val="000000" w:themeColor="text1"/>
        </w:rPr>
        <w:t xml:space="preserve"> A more prevalent use of school buildings for afterschool care (OECD, 2007e, </w:t>
      </w:r>
      <w:r>
        <w:rPr>
          <w:color w:val="000000" w:themeColor="text1"/>
        </w:rPr>
        <w:t xml:space="preserve">p. </w:t>
      </w:r>
      <w:r w:rsidRPr="007C4F66">
        <w:rPr>
          <w:color w:val="000000" w:themeColor="text1"/>
        </w:rPr>
        <w:t>146) shows concern to prioritise and align children’s and parents’ needs. Class stratification of formal child-care is highest in the UK and Italy, high in mid-European countries, and almost negligible in Denmark and low in other Nordic states (European Commission</w:t>
      </w:r>
      <w:r>
        <w:rPr>
          <w:color w:val="000000" w:themeColor="text1"/>
        </w:rPr>
        <w:t>,</w:t>
      </w:r>
      <w:r w:rsidRPr="007C4F66">
        <w:rPr>
          <w:color w:val="000000" w:themeColor="text1"/>
        </w:rPr>
        <w:t xml:space="preserve"> 2013, </w:t>
      </w:r>
      <w:r>
        <w:rPr>
          <w:color w:val="000000" w:themeColor="text1"/>
        </w:rPr>
        <w:t xml:space="preserve">p. </w:t>
      </w:r>
      <w:r w:rsidRPr="007C4F66">
        <w:rPr>
          <w:color w:val="000000" w:themeColor="text1"/>
        </w:rPr>
        <w:t>7).</w:t>
      </w:r>
      <w:r w:rsidRPr="00B72122">
        <w:rPr>
          <w:color w:val="000000" w:themeColor="text1"/>
        </w:rPr>
        <w:t xml:space="preserve"> </w:t>
      </w:r>
      <w:r w:rsidRPr="00396EA0">
        <w:rPr>
          <w:color w:val="000000" w:themeColor="text1"/>
        </w:rPr>
        <w:t xml:space="preserve">Time spent in care activity is more equal between </w:t>
      </w:r>
      <w:r w:rsidR="00744001">
        <w:rPr>
          <w:color w:val="000000" w:themeColor="text1"/>
        </w:rPr>
        <w:t>men and women in Nordic states. G</w:t>
      </w:r>
      <w:r w:rsidRPr="00396EA0">
        <w:rPr>
          <w:color w:val="000000" w:themeColor="text1"/>
        </w:rPr>
        <w:t xml:space="preserve">reater public support for life-work balance combined with greater gender equality and senses of </w:t>
      </w:r>
      <w:r w:rsidRPr="001B0B56">
        <w:rPr>
          <w:color w:val="000000" w:themeColor="text1"/>
        </w:rPr>
        <w:t>control and well-being in work generate combined more overall control of time in Nordic states (Table A.6, col. 7).</w:t>
      </w:r>
    </w:p>
    <w:p w14:paraId="19E4C75A" w14:textId="77777777" w:rsidR="00BE3FE3" w:rsidRPr="006707EA" w:rsidRDefault="00BE3FE3" w:rsidP="00B87760">
      <w:pPr>
        <w:spacing w:line="360" w:lineRule="auto"/>
        <w:ind w:left="-397" w:right="-397"/>
        <w:jc w:val="both"/>
        <w:rPr>
          <w:color w:val="000000" w:themeColor="text1"/>
        </w:rPr>
      </w:pPr>
    </w:p>
    <w:p w14:paraId="78C082BC" w14:textId="0226FE9F" w:rsidR="00BE3FE3" w:rsidRPr="001B0B56" w:rsidRDefault="00BE3FE3" w:rsidP="00B87760">
      <w:pPr>
        <w:spacing w:line="360" w:lineRule="auto"/>
        <w:ind w:left="-397" w:right="-397"/>
        <w:jc w:val="both"/>
        <w:rPr>
          <w:color w:val="000000" w:themeColor="text1"/>
        </w:rPr>
      </w:pPr>
      <w:r w:rsidRPr="006707EA">
        <w:rPr>
          <w:color w:val="000000" w:themeColor="text1"/>
        </w:rPr>
        <w:lastRenderedPageBreak/>
        <w:t xml:space="preserve">What results </w:t>
      </w:r>
      <w:r w:rsidR="00964366">
        <w:rPr>
          <w:color w:val="000000" w:themeColor="text1"/>
        </w:rPr>
        <w:t>in the form of</w:t>
      </w:r>
      <w:r w:rsidRPr="006707EA">
        <w:rPr>
          <w:color w:val="000000" w:themeColor="text1"/>
        </w:rPr>
        <w:t xml:space="preserve"> a broad scaffolding of embedding of cooperative interests</w:t>
      </w:r>
      <w:r>
        <w:rPr>
          <w:color w:val="000000" w:themeColor="text1"/>
        </w:rPr>
        <w:t>,</w:t>
      </w:r>
      <w:r w:rsidRPr="006707EA">
        <w:rPr>
          <w:color w:val="000000" w:themeColor="text1"/>
        </w:rPr>
        <w:t xml:space="preserve"> has implications for the overall level and structure of control of core activities, forms of time and social relations. As noted earlier, much of the literatur</w:t>
      </w:r>
      <w:r>
        <w:rPr>
          <w:color w:val="000000" w:themeColor="text1"/>
        </w:rPr>
        <w:t>e on control of time in the WAF</w:t>
      </w:r>
      <w:r w:rsidRPr="006707EA">
        <w:rPr>
          <w:color w:val="000000" w:themeColor="text1"/>
        </w:rPr>
        <w:t xml:space="preserve"> has focussed on leisure defined as non-work time.  Including this measure, my index also covers the </w:t>
      </w:r>
      <w:r w:rsidRPr="001B0B56">
        <w:rPr>
          <w:color w:val="000000" w:themeColor="text1"/>
        </w:rPr>
        <w:t xml:space="preserve">gender structure of (part-time) work, sources of reproductive control (parental leave access and cost of child-care), and data presented earlier of stability in occupational life (dynamic control).  </w:t>
      </w:r>
    </w:p>
    <w:p w14:paraId="0C646B99" w14:textId="77777777" w:rsidR="00BE3FE3" w:rsidRPr="001B0B56" w:rsidRDefault="00BE3FE3" w:rsidP="00B72122">
      <w:pPr>
        <w:spacing w:line="360" w:lineRule="auto"/>
        <w:ind w:left="-397" w:right="-397"/>
        <w:jc w:val="both"/>
        <w:rPr>
          <w:color w:val="000000" w:themeColor="text1"/>
        </w:rPr>
      </w:pPr>
    </w:p>
    <w:p w14:paraId="03808575" w14:textId="2D02BDA7" w:rsidR="00BE3FE3" w:rsidRPr="001B0B56" w:rsidRDefault="00BE3FE3" w:rsidP="00B72122">
      <w:pPr>
        <w:spacing w:line="360" w:lineRule="auto"/>
        <w:ind w:left="-397" w:right="-397"/>
        <w:jc w:val="both"/>
        <w:rPr>
          <w:color w:val="000000" w:themeColor="text1"/>
        </w:rPr>
      </w:pPr>
      <w:r w:rsidRPr="001B0B56">
        <w:rPr>
          <w:color w:val="000000" w:themeColor="text1"/>
        </w:rPr>
        <w:t>Graphs 5 and 6 show how countries are positioned on this composite index (x axis) as set against an index (y axis) of the public finance nexus as it extends property rights in stability through the school system and public support for occupation, employment transitions</w:t>
      </w:r>
      <w:r w:rsidR="00964366">
        <w:rPr>
          <w:color w:val="000000" w:themeColor="text1"/>
        </w:rPr>
        <w:t>,</w:t>
      </w:r>
      <w:r w:rsidRPr="001B0B56">
        <w:rPr>
          <w:color w:val="000000" w:themeColor="text1"/>
        </w:rPr>
        <w:t xml:space="preserve"> and families (combining the indices of Table A.1, A.3, and A.5).</w:t>
      </w:r>
      <w:r w:rsidRPr="001B0B56">
        <w:rPr>
          <w:i/>
          <w:color w:val="000000" w:themeColor="text1"/>
        </w:rPr>
        <w:t xml:space="preserve"> </w:t>
      </w:r>
    </w:p>
    <w:p w14:paraId="748C87CF" w14:textId="77777777" w:rsidR="00BE3FE3" w:rsidRDefault="00BE3FE3" w:rsidP="00B72122">
      <w:pPr>
        <w:spacing w:line="360" w:lineRule="auto"/>
        <w:ind w:right="-397"/>
        <w:jc w:val="both"/>
        <w:rPr>
          <w:i/>
          <w:color w:val="000000" w:themeColor="text1"/>
        </w:rPr>
      </w:pPr>
    </w:p>
    <w:p w14:paraId="4E42F3C7" w14:textId="5D3289BC" w:rsidR="00BE3FE3" w:rsidRDefault="00BE3FE3" w:rsidP="00B72122">
      <w:pPr>
        <w:spacing w:line="360" w:lineRule="auto"/>
        <w:ind w:left="-397" w:right="-397"/>
        <w:jc w:val="both"/>
        <w:rPr>
          <w:color w:val="000000" w:themeColor="text1"/>
        </w:rPr>
      </w:pPr>
      <w:r w:rsidRPr="006707EA">
        <w:rPr>
          <w:color w:val="000000" w:themeColor="text1"/>
        </w:rPr>
        <w:t>This points to a tendency for more forms of (static, dynamic and reproductive) control</w:t>
      </w:r>
      <w:r>
        <w:rPr>
          <w:color w:val="000000" w:themeColor="text1"/>
        </w:rPr>
        <w:t xml:space="preserve"> – e.g. embedded forms of empowerment - </w:t>
      </w:r>
      <w:r w:rsidRPr="006707EA">
        <w:rPr>
          <w:color w:val="000000" w:themeColor="text1"/>
        </w:rPr>
        <w:t xml:space="preserve">to be higher in countries where property rights in stability are stronger. The </w:t>
      </w:r>
      <w:r w:rsidR="00964366">
        <w:rPr>
          <w:color w:val="000000" w:themeColor="text1"/>
        </w:rPr>
        <w:t xml:space="preserve">more </w:t>
      </w:r>
      <w:r w:rsidRPr="006707EA">
        <w:rPr>
          <w:color w:val="000000" w:themeColor="text1"/>
        </w:rPr>
        <w:t>equal sharing of housework in Nordic states shows the direct impact on female empowerment – e.g</w:t>
      </w:r>
      <w:r w:rsidR="00964366">
        <w:rPr>
          <w:color w:val="000000" w:themeColor="text1"/>
        </w:rPr>
        <w:t>.</w:t>
      </w:r>
      <w:r w:rsidRPr="006707EA">
        <w:rPr>
          <w:color w:val="000000" w:themeColor="text1"/>
        </w:rPr>
        <w:t xml:space="preserve"> in informal settings – of institutions’ design.</w:t>
      </w:r>
    </w:p>
    <w:p w14:paraId="71646F04" w14:textId="77777777" w:rsidR="00501545" w:rsidRDefault="00501545" w:rsidP="00B72122">
      <w:pPr>
        <w:spacing w:line="360" w:lineRule="auto"/>
        <w:ind w:left="-397" w:right="-397"/>
        <w:jc w:val="both"/>
        <w:rPr>
          <w:color w:val="000000" w:themeColor="text1"/>
        </w:rPr>
      </w:pPr>
    </w:p>
    <w:p w14:paraId="6F2302B2" w14:textId="13D033B1" w:rsidR="00501545" w:rsidRPr="00501545" w:rsidRDefault="00501545" w:rsidP="00501545">
      <w:pPr>
        <w:spacing w:line="360" w:lineRule="auto"/>
        <w:ind w:left="-397" w:right="-397"/>
        <w:jc w:val="both"/>
        <w:rPr>
          <w:color w:val="C00000"/>
        </w:rPr>
      </w:pPr>
      <w:bookmarkStart w:id="0" w:name="_GoBack"/>
      <w:r w:rsidRPr="00501545">
        <w:rPr>
          <w:color w:val="C00000"/>
        </w:rPr>
        <w:t>INSERT GRAPHS 5 and 6 HERE</w:t>
      </w:r>
    </w:p>
    <w:bookmarkEnd w:id="0"/>
    <w:p w14:paraId="2D2B4E37" w14:textId="77777777" w:rsidR="00501545" w:rsidRPr="006707EA" w:rsidRDefault="00501545" w:rsidP="00F401D6">
      <w:pPr>
        <w:spacing w:line="360" w:lineRule="auto"/>
        <w:ind w:right="-397"/>
        <w:jc w:val="both"/>
        <w:rPr>
          <w:color w:val="000000" w:themeColor="text1"/>
        </w:rPr>
      </w:pPr>
    </w:p>
    <w:p w14:paraId="7E625661" w14:textId="6354050C" w:rsidR="00BE3FE3" w:rsidRPr="00B72122" w:rsidRDefault="00BE3FE3" w:rsidP="00B72122">
      <w:pPr>
        <w:spacing w:line="360" w:lineRule="auto"/>
        <w:ind w:left="-397" w:right="-397"/>
        <w:jc w:val="both"/>
        <w:rPr>
          <w:color w:val="000000" w:themeColor="text1"/>
        </w:rPr>
      </w:pPr>
      <w:r w:rsidRPr="006707EA">
        <w:rPr>
          <w:color w:val="000000" w:themeColor="text1"/>
        </w:rPr>
        <w:t xml:space="preserve">Relatedly, the way overall </w:t>
      </w:r>
      <w:r w:rsidRPr="00900C91">
        <w:rPr>
          <w:color w:val="000000" w:themeColor="text1"/>
        </w:rPr>
        <w:t>developmental coherence shapes the developmental nature of institutions can also be depicted</w:t>
      </w:r>
      <w:r>
        <w:rPr>
          <w:color w:val="000000" w:themeColor="text1"/>
        </w:rPr>
        <w:t xml:space="preserve"> as a likely factor behind</w:t>
      </w:r>
      <w:r w:rsidRPr="00900C91">
        <w:rPr>
          <w:color w:val="000000" w:themeColor="text1"/>
        </w:rPr>
        <w:t xml:space="preserve"> </w:t>
      </w:r>
      <w:r>
        <w:rPr>
          <w:color w:val="000000" w:themeColor="text1"/>
        </w:rPr>
        <w:t xml:space="preserve">(relatively) </w:t>
      </w:r>
      <w:r w:rsidRPr="00900C91">
        <w:rPr>
          <w:color w:val="000000" w:themeColor="text1"/>
        </w:rPr>
        <w:t xml:space="preserve">less punitive employment systems of Nordic states. </w:t>
      </w:r>
      <w:r w:rsidRPr="006707EA">
        <w:rPr>
          <w:color w:val="000000" w:themeColor="text1"/>
        </w:rPr>
        <w:t xml:space="preserve">In Holland, a target-based, contracted out model of job placement </w:t>
      </w:r>
      <w:r>
        <w:rPr>
          <w:color w:val="000000" w:themeColor="text1"/>
        </w:rPr>
        <w:t>is reported to generate</w:t>
      </w:r>
      <w:r w:rsidRPr="006707EA">
        <w:rPr>
          <w:color w:val="000000" w:themeColor="text1"/>
        </w:rPr>
        <w:t xml:space="preserve"> more intense control over persons (compared with Denmark and Sweden, OECD</w:t>
      </w:r>
      <w:r>
        <w:rPr>
          <w:color w:val="000000" w:themeColor="text1"/>
        </w:rPr>
        <w:t>,</w:t>
      </w:r>
      <w:r w:rsidRPr="006707EA">
        <w:rPr>
          <w:color w:val="000000" w:themeColor="text1"/>
        </w:rPr>
        <w:t xml:space="preserve"> 2007a,</w:t>
      </w:r>
      <w:r>
        <w:rPr>
          <w:color w:val="000000" w:themeColor="text1"/>
        </w:rPr>
        <w:t xml:space="preserve"> p.</w:t>
      </w:r>
      <w:r w:rsidR="001E0C78">
        <w:rPr>
          <w:color w:val="000000" w:themeColor="text1"/>
        </w:rPr>
        <w:t xml:space="preserve"> </w:t>
      </w:r>
      <w:r w:rsidRPr="006707EA">
        <w:rPr>
          <w:color w:val="000000" w:themeColor="text1"/>
        </w:rPr>
        <w:t>215</w:t>
      </w:r>
      <w:r>
        <w:rPr>
          <w:color w:val="000000" w:themeColor="text1"/>
        </w:rPr>
        <w:t>)</w:t>
      </w:r>
      <w:r w:rsidRPr="006707EA">
        <w:rPr>
          <w:color w:val="000000" w:themeColor="text1"/>
        </w:rPr>
        <w:t>, though less than in the UK</w:t>
      </w:r>
      <w:r>
        <w:rPr>
          <w:color w:val="000000" w:themeColor="text1"/>
        </w:rPr>
        <w:t xml:space="preserve"> (OECD</w:t>
      </w:r>
      <w:r w:rsidRPr="006707EA">
        <w:rPr>
          <w:color w:val="000000" w:themeColor="text1"/>
        </w:rPr>
        <w:t xml:space="preserve">, </w:t>
      </w:r>
      <w:r>
        <w:rPr>
          <w:color w:val="000000" w:themeColor="text1"/>
        </w:rPr>
        <w:t xml:space="preserve">op. cit., p. </w:t>
      </w:r>
      <w:r w:rsidRPr="006707EA">
        <w:rPr>
          <w:color w:val="000000" w:themeColor="text1"/>
        </w:rPr>
        <w:t>223)</w:t>
      </w:r>
      <w:r>
        <w:rPr>
          <w:color w:val="000000" w:themeColor="text1"/>
        </w:rPr>
        <w:t xml:space="preserve">. </w:t>
      </w:r>
      <w:r w:rsidRPr="00234207">
        <w:rPr>
          <w:color w:val="000000" w:themeColor="text1"/>
        </w:rPr>
        <w:t xml:space="preserve">Finally, in the Nordic states, dynamic responsiveness to new HE-referent needs and choices is indicated in early expansion of life-style options through </w:t>
      </w:r>
      <w:r>
        <w:rPr>
          <w:color w:val="000000" w:themeColor="text1"/>
        </w:rPr>
        <w:t>H</w:t>
      </w:r>
      <w:r w:rsidRPr="00234207">
        <w:rPr>
          <w:color w:val="000000" w:themeColor="text1"/>
        </w:rPr>
        <w:t xml:space="preserve">ome </w:t>
      </w:r>
      <w:r>
        <w:rPr>
          <w:color w:val="000000" w:themeColor="text1"/>
        </w:rPr>
        <w:t>C</w:t>
      </w:r>
      <w:r w:rsidRPr="00234207">
        <w:rPr>
          <w:color w:val="000000" w:themeColor="text1"/>
        </w:rPr>
        <w:t xml:space="preserve">hildcare </w:t>
      </w:r>
      <w:r>
        <w:rPr>
          <w:color w:val="000000" w:themeColor="text1"/>
        </w:rPr>
        <w:t>A</w:t>
      </w:r>
      <w:r w:rsidRPr="00234207">
        <w:rPr>
          <w:color w:val="000000" w:themeColor="text1"/>
        </w:rPr>
        <w:t xml:space="preserve">llowance </w:t>
      </w:r>
      <w:r>
        <w:rPr>
          <w:color w:val="000000" w:themeColor="text1"/>
        </w:rPr>
        <w:t xml:space="preserve">(HCAs) </w:t>
      </w:r>
      <w:r w:rsidRPr="00234207">
        <w:rPr>
          <w:color w:val="000000" w:themeColor="text1"/>
        </w:rPr>
        <w:t>systems</w:t>
      </w:r>
      <w:r>
        <w:rPr>
          <w:color w:val="000000" w:themeColor="text1"/>
        </w:rPr>
        <w:t>,</w:t>
      </w:r>
      <w:r w:rsidRPr="00234207">
        <w:rPr>
          <w:color w:val="000000" w:themeColor="text1"/>
        </w:rPr>
        <w:t xml:space="preserve"> alongside subsidized (and so less class-differentiated, Meagher and </w:t>
      </w:r>
      <w:proofErr w:type="spellStart"/>
      <w:r w:rsidRPr="00234207">
        <w:rPr>
          <w:color w:val="000000" w:themeColor="text1"/>
        </w:rPr>
        <w:t>Szebehely</w:t>
      </w:r>
      <w:proofErr w:type="spellEnd"/>
      <w:r>
        <w:rPr>
          <w:color w:val="000000" w:themeColor="text1"/>
        </w:rPr>
        <w:t>,</w:t>
      </w:r>
      <w:r w:rsidRPr="00234207">
        <w:rPr>
          <w:color w:val="000000" w:themeColor="text1"/>
        </w:rPr>
        <w:t xml:space="preserve"> 2009,</w:t>
      </w:r>
      <w:r>
        <w:rPr>
          <w:color w:val="000000" w:themeColor="text1"/>
        </w:rPr>
        <w:t xml:space="preserve"> p. </w:t>
      </w:r>
      <w:r w:rsidRPr="00234207">
        <w:rPr>
          <w:color w:val="000000" w:themeColor="text1"/>
        </w:rPr>
        <w:t>102) high quality formal care (ibid.</w:t>
      </w:r>
      <w:r>
        <w:rPr>
          <w:color w:val="000000" w:themeColor="text1"/>
        </w:rPr>
        <w:t xml:space="preserve">, pp. </w:t>
      </w:r>
      <w:r w:rsidRPr="00234207">
        <w:rPr>
          <w:color w:val="000000" w:themeColor="text1"/>
        </w:rPr>
        <w:t xml:space="preserve">90-97). </w:t>
      </w:r>
      <w:r>
        <w:rPr>
          <w:color w:val="000000" w:themeColor="text1"/>
        </w:rPr>
        <w:t>Notably, male t</w:t>
      </w:r>
      <w:r w:rsidRPr="00234207">
        <w:rPr>
          <w:color w:val="000000" w:themeColor="text1"/>
        </w:rPr>
        <w:t>ake-up is</w:t>
      </w:r>
      <w:r>
        <w:rPr>
          <w:color w:val="000000" w:themeColor="text1"/>
        </w:rPr>
        <w:t xml:space="preserve"> greater in longer standing and </w:t>
      </w:r>
      <w:r w:rsidRPr="00234207">
        <w:rPr>
          <w:color w:val="000000" w:themeColor="text1"/>
        </w:rPr>
        <w:t>more fully funded care-leave</w:t>
      </w:r>
      <w:r>
        <w:rPr>
          <w:color w:val="000000" w:themeColor="text1"/>
        </w:rPr>
        <w:t xml:space="preserve"> schemes (</w:t>
      </w:r>
      <w:proofErr w:type="spellStart"/>
      <w:r>
        <w:rPr>
          <w:color w:val="000000" w:themeColor="text1"/>
        </w:rPr>
        <w:t>Leira</w:t>
      </w:r>
      <w:proofErr w:type="spellEnd"/>
      <w:r>
        <w:rPr>
          <w:color w:val="000000" w:themeColor="text1"/>
        </w:rPr>
        <w:t>, 2006;</w:t>
      </w:r>
      <w:r w:rsidRPr="006E3562">
        <w:rPr>
          <w:color w:val="000000" w:themeColor="text1"/>
        </w:rPr>
        <w:t xml:space="preserve"> </w:t>
      </w:r>
      <w:proofErr w:type="spellStart"/>
      <w:r>
        <w:rPr>
          <w:color w:val="000000" w:themeColor="text1"/>
        </w:rPr>
        <w:t>Duvander</w:t>
      </w:r>
      <w:proofErr w:type="spellEnd"/>
      <w:r>
        <w:rPr>
          <w:color w:val="000000" w:themeColor="text1"/>
        </w:rPr>
        <w:t xml:space="preserve"> and Johansson, 2015, p. 361) – and more so when embedded in legally enshrined occupational norms (in Sweden; </w:t>
      </w:r>
      <w:proofErr w:type="spellStart"/>
      <w:r>
        <w:rPr>
          <w:color w:val="000000" w:themeColor="text1"/>
        </w:rPr>
        <w:t>Duvander</w:t>
      </w:r>
      <w:proofErr w:type="spellEnd"/>
      <w:r>
        <w:rPr>
          <w:color w:val="000000" w:themeColor="text1"/>
        </w:rPr>
        <w:t xml:space="preserve"> and Johansson, 2015, pp. 352-353). The way women’s equal standing in occupational life positively affects fathers’ view of care and housework </w:t>
      </w:r>
      <w:r w:rsidRPr="007C4F66">
        <w:rPr>
          <w:color w:val="000000" w:themeColor="text1"/>
        </w:rPr>
        <w:t>(</w:t>
      </w:r>
      <w:proofErr w:type="spellStart"/>
      <w:r w:rsidRPr="007C4F66">
        <w:rPr>
          <w:color w:val="000000" w:themeColor="text1"/>
        </w:rPr>
        <w:t>Nordenmark</w:t>
      </w:r>
      <w:proofErr w:type="spellEnd"/>
      <w:r>
        <w:rPr>
          <w:color w:val="000000" w:themeColor="text1"/>
        </w:rPr>
        <w:t>,</w:t>
      </w:r>
      <w:r w:rsidRPr="007C4F66">
        <w:rPr>
          <w:color w:val="000000" w:themeColor="text1"/>
        </w:rPr>
        <w:t xml:space="preserve"> 2015,</w:t>
      </w:r>
      <w:r>
        <w:rPr>
          <w:color w:val="000000" w:themeColor="text1"/>
        </w:rPr>
        <w:t xml:space="preserve"> p. </w:t>
      </w:r>
      <w:r w:rsidRPr="007C4F66">
        <w:rPr>
          <w:color w:val="000000" w:themeColor="text1"/>
        </w:rPr>
        <w:t>181)</w:t>
      </w:r>
      <w:r>
        <w:rPr>
          <w:color w:val="000000" w:themeColor="text1"/>
        </w:rPr>
        <w:t>, indicates how in general men’s choice to suppress time for care has a strong institutional basis</w:t>
      </w:r>
      <w:r w:rsidRPr="007C4F66">
        <w:rPr>
          <w:color w:val="000000" w:themeColor="text1"/>
          <w:sz w:val="20"/>
          <w:szCs w:val="20"/>
        </w:rPr>
        <w:t>.</w:t>
      </w:r>
    </w:p>
    <w:p w14:paraId="1D98C20C" w14:textId="77777777" w:rsidR="00BE3FE3" w:rsidRPr="007C4F66" w:rsidRDefault="00BE3FE3" w:rsidP="00B87760">
      <w:pPr>
        <w:spacing w:line="360" w:lineRule="auto"/>
        <w:ind w:right="-397"/>
        <w:jc w:val="both"/>
        <w:rPr>
          <w:color w:val="000000" w:themeColor="text1"/>
          <w:sz w:val="20"/>
          <w:szCs w:val="20"/>
        </w:rPr>
      </w:pPr>
    </w:p>
    <w:p w14:paraId="0859151D" w14:textId="57888177" w:rsidR="00BE3FE3" w:rsidRPr="000D06E0" w:rsidRDefault="00BE3FE3" w:rsidP="00B87760">
      <w:pPr>
        <w:spacing w:line="360" w:lineRule="auto"/>
        <w:ind w:left="-397" w:right="-397"/>
        <w:jc w:val="both"/>
        <w:rPr>
          <w:color w:val="000000" w:themeColor="text1"/>
        </w:rPr>
      </w:pPr>
      <w:r w:rsidRPr="006707EA">
        <w:rPr>
          <w:color w:val="000000" w:themeColor="text1"/>
        </w:rPr>
        <w:lastRenderedPageBreak/>
        <w:t>The Br</w:t>
      </w:r>
      <w:r>
        <w:rPr>
          <w:color w:val="000000" w:themeColor="text1"/>
        </w:rPr>
        <w:t xml:space="preserve">itish case </w:t>
      </w:r>
      <w:r w:rsidRPr="006707EA">
        <w:rPr>
          <w:color w:val="000000" w:themeColor="text1"/>
        </w:rPr>
        <w:t xml:space="preserve">illustrates </w:t>
      </w:r>
      <w:r>
        <w:rPr>
          <w:color w:val="000000" w:themeColor="text1"/>
        </w:rPr>
        <w:t xml:space="preserve">counterfactually </w:t>
      </w:r>
      <w:r w:rsidRPr="006707EA">
        <w:rPr>
          <w:color w:val="000000" w:themeColor="text1"/>
        </w:rPr>
        <w:t>how prioritising the distributive frame is a precarious</w:t>
      </w:r>
      <w:r>
        <w:rPr>
          <w:color w:val="000000" w:themeColor="text1"/>
        </w:rPr>
        <w:t xml:space="preserve"> and incoherent </w:t>
      </w:r>
      <w:r w:rsidRPr="006707EA">
        <w:rPr>
          <w:color w:val="000000" w:themeColor="text1"/>
        </w:rPr>
        <w:t>redistributive strategy</w:t>
      </w:r>
      <w:r>
        <w:rPr>
          <w:color w:val="000000" w:themeColor="text1"/>
        </w:rPr>
        <w:t xml:space="preserve">. For example, </w:t>
      </w:r>
      <w:r w:rsidRPr="006707EA">
        <w:rPr>
          <w:color w:val="000000" w:themeColor="text1"/>
        </w:rPr>
        <w:t>deregulation begun in the 1980s over time saw the rapid expansion of</w:t>
      </w:r>
      <w:r>
        <w:rPr>
          <w:color w:val="000000" w:themeColor="text1"/>
        </w:rPr>
        <w:t xml:space="preserve"> use of</w:t>
      </w:r>
      <w:r w:rsidRPr="006707EA">
        <w:rPr>
          <w:color w:val="000000" w:themeColor="text1"/>
        </w:rPr>
        <w:t xml:space="preserve"> (‘zero-hour’) contracts that do not guarantee regular work or pay, led by sectors (care services) in which both (primarily female and many foreign) workers and users are vulnerable.</w:t>
      </w:r>
      <w:r w:rsidRPr="006707EA">
        <w:rPr>
          <w:rStyle w:val="FootnoteReference"/>
          <w:color w:val="000000" w:themeColor="text1"/>
        </w:rPr>
        <w:footnoteReference w:id="17"/>
      </w:r>
      <w:r>
        <w:rPr>
          <w:color w:val="000000" w:themeColor="text1"/>
        </w:rPr>
        <w:t xml:space="preserve"> On the other hand, as real wages have fallen</w:t>
      </w:r>
      <w:r w:rsidRPr="00A6169B">
        <w:rPr>
          <w:color w:val="000000" w:themeColor="text1"/>
        </w:rPr>
        <w:t>, the value of i</w:t>
      </w:r>
      <w:r>
        <w:rPr>
          <w:color w:val="000000" w:themeColor="text1"/>
        </w:rPr>
        <w:t xml:space="preserve">ncome assistance in Britain </w:t>
      </w:r>
      <w:r w:rsidRPr="00A6169B">
        <w:rPr>
          <w:color w:val="000000" w:themeColor="text1"/>
        </w:rPr>
        <w:t xml:space="preserve">over time </w:t>
      </w:r>
      <w:r>
        <w:rPr>
          <w:color w:val="000000" w:themeColor="text1"/>
        </w:rPr>
        <w:t>came to exceed</w:t>
      </w:r>
      <w:r w:rsidRPr="00A6169B">
        <w:rPr>
          <w:color w:val="000000" w:themeColor="text1"/>
        </w:rPr>
        <w:t xml:space="preserve"> that of low-paid employment – the </w:t>
      </w:r>
      <w:r w:rsidRPr="000D06E0">
        <w:rPr>
          <w:color w:val="000000" w:themeColor="text1"/>
        </w:rPr>
        <w:t>o</w:t>
      </w:r>
      <w:r>
        <w:rPr>
          <w:color w:val="000000" w:themeColor="text1"/>
        </w:rPr>
        <w:t>nly OECD country in which this wa</w:t>
      </w:r>
      <w:r w:rsidRPr="000D06E0">
        <w:rPr>
          <w:color w:val="000000" w:themeColor="text1"/>
        </w:rPr>
        <w:t xml:space="preserve">s the case; and not because </w:t>
      </w:r>
      <w:r>
        <w:rPr>
          <w:color w:val="000000" w:themeColor="text1"/>
        </w:rPr>
        <w:t>the value of income assistance wa</w:t>
      </w:r>
      <w:r w:rsidRPr="000D06E0">
        <w:rPr>
          <w:color w:val="000000" w:themeColor="text1"/>
        </w:rPr>
        <w:t>s high (Atkinson</w:t>
      </w:r>
      <w:r>
        <w:rPr>
          <w:color w:val="000000" w:themeColor="text1"/>
        </w:rPr>
        <w:t>,</w:t>
      </w:r>
      <w:r w:rsidRPr="000D06E0">
        <w:rPr>
          <w:color w:val="000000" w:themeColor="text1"/>
        </w:rPr>
        <w:t xml:space="preserve"> 2015, </w:t>
      </w:r>
      <w:r>
        <w:rPr>
          <w:color w:val="000000" w:themeColor="text1"/>
        </w:rPr>
        <w:t xml:space="preserve">pp. </w:t>
      </w:r>
      <w:r w:rsidRPr="000D06E0">
        <w:rPr>
          <w:color w:val="000000" w:themeColor="text1"/>
        </w:rPr>
        <w:t>226-9</w:t>
      </w:r>
      <w:r>
        <w:rPr>
          <w:color w:val="000000" w:themeColor="text1"/>
        </w:rPr>
        <w:t>; Haagh, 2019b</w:t>
      </w:r>
      <w:r w:rsidRPr="000D06E0">
        <w:rPr>
          <w:color w:val="000000" w:themeColor="text1"/>
        </w:rPr>
        <w:t>). More so than in other countries</w:t>
      </w:r>
      <w:r>
        <w:rPr>
          <w:color w:val="000000" w:themeColor="text1"/>
        </w:rPr>
        <w:t>,</w:t>
      </w:r>
      <w:r w:rsidRPr="000D06E0">
        <w:rPr>
          <w:color w:val="000000" w:themeColor="text1"/>
        </w:rPr>
        <w:t xml:space="preserve"> educational stratifications determine labour mar</w:t>
      </w:r>
      <w:r>
        <w:rPr>
          <w:color w:val="000000" w:themeColor="text1"/>
        </w:rPr>
        <w:t>ket outcomes, as already shown,</w:t>
      </w:r>
      <w:r w:rsidRPr="000D06E0">
        <w:rPr>
          <w:color w:val="000000" w:themeColor="text1"/>
        </w:rPr>
        <w:t xml:space="preserve"> reproducing stratifications including among women</w:t>
      </w:r>
      <w:r>
        <w:rPr>
          <w:color w:val="000000" w:themeColor="text1"/>
        </w:rPr>
        <w:t>, and increasingly youth.</w:t>
      </w:r>
      <w:r w:rsidRPr="00EC6460">
        <w:rPr>
          <w:rStyle w:val="FootnoteReference"/>
          <w:color w:val="000000" w:themeColor="text1"/>
        </w:rPr>
        <w:t xml:space="preserve"> </w:t>
      </w:r>
      <w:r w:rsidRPr="000D06E0">
        <w:rPr>
          <w:rStyle w:val="FootnoteReference"/>
          <w:color w:val="000000" w:themeColor="text1"/>
        </w:rPr>
        <w:footnoteReference w:id="18"/>
      </w:r>
      <w:r w:rsidRPr="000D06E0">
        <w:rPr>
          <w:color w:val="000000" w:themeColor="text1"/>
        </w:rPr>
        <w:t xml:space="preserve"> </w:t>
      </w:r>
      <w:r>
        <w:rPr>
          <w:color w:val="000000" w:themeColor="text1"/>
        </w:rPr>
        <w:t xml:space="preserve"> </w:t>
      </w:r>
      <w:r w:rsidRPr="000D06E0">
        <w:rPr>
          <w:color w:val="000000" w:themeColor="text1"/>
        </w:rPr>
        <w:t>In this context, Britain’s unusual systemic stratification of work time – whereby high</w:t>
      </w:r>
      <w:r>
        <w:rPr>
          <w:color w:val="000000" w:themeColor="text1"/>
        </w:rPr>
        <w:t>-</w:t>
      </w:r>
      <w:r w:rsidRPr="000D06E0">
        <w:rPr>
          <w:color w:val="000000" w:themeColor="text1"/>
        </w:rPr>
        <w:t>income groups over-work and low-income groups under-work, in international comparison, is worthy of note.</w:t>
      </w:r>
      <w:r w:rsidRPr="000D06E0">
        <w:rPr>
          <w:rStyle w:val="FootnoteReference"/>
          <w:color w:val="000000" w:themeColor="text1"/>
        </w:rPr>
        <w:footnoteReference w:id="19"/>
      </w:r>
      <w:r w:rsidRPr="000D06E0">
        <w:rPr>
          <w:color w:val="000000" w:themeColor="text1"/>
        </w:rPr>
        <w:t xml:space="preserve">  This indicates how choices and options to parent are structured by occupational class, and so care has become </w:t>
      </w:r>
      <w:proofErr w:type="spellStart"/>
      <w:r w:rsidRPr="000D06E0">
        <w:rPr>
          <w:color w:val="000000" w:themeColor="text1"/>
        </w:rPr>
        <w:t>informalised</w:t>
      </w:r>
      <w:proofErr w:type="spellEnd"/>
      <w:r w:rsidRPr="000D06E0">
        <w:rPr>
          <w:color w:val="000000" w:themeColor="text1"/>
        </w:rPr>
        <w:t xml:space="preserve"> and stratified at the same time as formal work has grown more precarious. </w:t>
      </w:r>
    </w:p>
    <w:p w14:paraId="5C8BA957" w14:textId="77777777" w:rsidR="00BE3FE3" w:rsidRPr="000D06E0" w:rsidRDefault="00BE3FE3" w:rsidP="00B87760">
      <w:pPr>
        <w:spacing w:line="360" w:lineRule="auto"/>
        <w:ind w:right="-397"/>
        <w:jc w:val="both"/>
        <w:rPr>
          <w:color w:val="000000" w:themeColor="text1"/>
        </w:rPr>
      </w:pPr>
    </w:p>
    <w:p w14:paraId="74EC4419" w14:textId="575CA7B0" w:rsidR="00BE3FE3" w:rsidRPr="006707EA" w:rsidRDefault="00BE3FE3" w:rsidP="00B87760">
      <w:pPr>
        <w:spacing w:line="360" w:lineRule="auto"/>
        <w:ind w:left="-397" w:right="-397"/>
        <w:jc w:val="both"/>
        <w:rPr>
          <w:color w:val="000000" w:themeColor="text1"/>
        </w:rPr>
      </w:pPr>
      <w:r w:rsidRPr="000D06E0">
        <w:rPr>
          <w:color w:val="000000" w:themeColor="text1"/>
        </w:rPr>
        <w:t>The period after the economic crisis saw state policies to condition benefits on return to work for single parents (the vast majority women) increase, without</w:t>
      </w:r>
      <w:r>
        <w:rPr>
          <w:color w:val="000000" w:themeColor="text1"/>
        </w:rPr>
        <w:t>,</w:t>
      </w:r>
      <w:r w:rsidRPr="000D06E0">
        <w:rPr>
          <w:color w:val="000000" w:themeColor="text1"/>
        </w:rPr>
        <w:t xml:space="preserve"> however</w:t>
      </w:r>
      <w:r>
        <w:rPr>
          <w:color w:val="000000" w:themeColor="text1"/>
        </w:rPr>
        <w:t>,</w:t>
      </w:r>
      <w:r w:rsidRPr="000D06E0">
        <w:rPr>
          <w:color w:val="000000" w:themeColor="text1"/>
        </w:rPr>
        <w:t xml:space="preserve"> the accompanying role of occupational policies of Nordic states. </w:t>
      </w:r>
      <w:r w:rsidR="00AF05BC" w:rsidRPr="003025CF">
        <w:rPr>
          <w:color w:val="000000" w:themeColor="text1"/>
        </w:rPr>
        <w:t>Though the UK spent</w:t>
      </w:r>
      <w:r w:rsidR="00AF05BC">
        <w:rPr>
          <w:color w:val="000000" w:themeColor="text1"/>
        </w:rPr>
        <w:t xml:space="preserve"> one-sixth</w:t>
      </w:r>
      <w:r w:rsidR="00AF05BC" w:rsidRPr="003025CF">
        <w:rPr>
          <w:color w:val="000000" w:themeColor="text1"/>
        </w:rPr>
        <w:t xml:space="preserve"> on passive (income) support</w:t>
      </w:r>
      <w:r w:rsidR="00AF05BC" w:rsidRPr="000D06E0">
        <w:rPr>
          <w:color w:val="000000" w:themeColor="text1"/>
        </w:rPr>
        <w:t xml:space="preserve"> </w:t>
      </w:r>
      <w:r w:rsidR="00AF05BC">
        <w:rPr>
          <w:color w:val="000000" w:themeColor="text1"/>
        </w:rPr>
        <w:t>as compared with Denmark (in 2010, at 0.3</w:t>
      </w:r>
      <w:r w:rsidR="00FB23C5">
        <w:rPr>
          <w:color w:val="000000" w:themeColor="text1"/>
        </w:rPr>
        <w:t>%</w:t>
      </w:r>
      <w:r w:rsidR="00AF05BC">
        <w:rPr>
          <w:color w:val="000000" w:themeColor="text1"/>
        </w:rPr>
        <w:t xml:space="preserve"> and 1.78% of GDP</w:t>
      </w:r>
      <w:r w:rsidR="00FB23C5">
        <w:rPr>
          <w:color w:val="000000" w:themeColor="text1"/>
        </w:rPr>
        <w:t xml:space="preserve">; </w:t>
      </w:r>
      <w:r w:rsidR="00AF05BC">
        <w:rPr>
          <w:color w:val="000000" w:themeColor="text1"/>
        </w:rPr>
        <w:t>OECD, 2013), and 20</w:t>
      </w:r>
      <w:r w:rsidR="00AF05BC" w:rsidRPr="000D06E0">
        <w:rPr>
          <w:color w:val="000000" w:themeColor="text1"/>
        </w:rPr>
        <w:t xml:space="preserve"> time</w:t>
      </w:r>
      <w:r w:rsidR="00AF05BC">
        <w:rPr>
          <w:color w:val="000000" w:themeColor="text1"/>
        </w:rPr>
        <w:t>s less on training (in 2007)</w:t>
      </w:r>
      <w:r w:rsidR="00FB23C5">
        <w:rPr>
          <w:color w:val="000000" w:themeColor="text1"/>
        </w:rPr>
        <w:t>;</w:t>
      </w:r>
      <w:r w:rsidR="00AF05BC">
        <w:rPr>
          <w:color w:val="000000" w:themeColor="text1"/>
        </w:rPr>
        <w:t xml:space="preserve"> the UK spent</w:t>
      </w:r>
      <w:r w:rsidR="00AF05BC" w:rsidRPr="000D06E0">
        <w:rPr>
          <w:color w:val="000000" w:themeColor="text1"/>
        </w:rPr>
        <w:t xml:space="preserve"> five times more than Denmark on the administration of benefits and recipients’ behaviour (at 0.21% of GDP against 0.04% in Denmark). </w:t>
      </w:r>
      <w:r w:rsidRPr="000D06E0">
        <w:rPr>
          <w:color w:val="000000" w:themeColor="text1"/>
        </w:rPr>
        <w:t>In the same year as a unification of benefits proceeded</w:t>
      </w:r>
      <w:r w:rsidR="00232998">
        <w:rPr>
          <w:color w:val="000000" w:themeColor="text1"/>
        </w:rPr>
        <w:t xml:space="preserve">, and </w:t>
      </w:r>
      <w:r w:rsidRPr="000D06E0">
        <w:rPr>
          <w:color w:val="000000" w:themeColor="text1"/>
        </w:rPr>
        <w:t>in 2013, previously universal (child) benefits became subject to heavier means tests (introduced for the first time in 2009). Access to income assistance became detached from housing stability (the so-called bedroom tax) and punitive conditions on benefits were strengthened.</w:t>
      </w:r>
      <w:r w:rsidRPr="000D06E0">
        <w:rPr>
          <w:rStyle w:val="FootnoteReference"/>
          <w:color w:val="000000" w:themeColor="text1"/>
        </w:rPr>
        <w:footnoteReference w:id="20"/>
      </w:r>
      <w:r w:rsidRPr="000D06E0">
        <w:rPr>
          <w:color w:val="000000" w:themeColor="text1"/>
        </w:rPr>
        <w:t xml:space="preserve"> </w:t>
      </w:r>
      <w:r>
        <w:rPr>
          <w:color w:val="000000" w:themeColor="text1"/>
        </w:rPr>
        <w:t>U</w:t>
      </w:r>
      <w:r w:rsidRPr="000D06E0">
        <w:rPr>
          <w:color w:val="000000" w:themeColor="text1"/>
        </w:rPr>
        <w:t>nification of schemes (Universal Credit) was combined with an intent</w:t>
      </w:r>
      <w:r>
        <w:rPr>
          <w:color w:val="000000" w:themeColor="text1"/>
        </w:rPr>
        <w:t>ion to align benefits</w:t>
      </w:r>
      <w:r w:rsidRPr="000D06E0">
        <w:rPr>
          <w:color w:val="000000" w:themeColor="text1"/>
        </w:rPr>
        <w:t xml:space="preserve"> with flex</w:t>
      </w:r>
      <w:r w:rsidR="00755329">
        <w:rPr>
          <w:color w:val="000000" w:themeColor="text1"/>
        </w:rPr>
        <w:t xml:space="preserve">ible </w:t>
      </w:r>
      <w:r w:rsidRPr="000D06E0">
        <w:rPr>
          <w:color w:val="000000" w:themeColor="text1"/>
        </w:rPr>
        <w:t>w</w:t>
      </w:r>
      <w:r>
        <w:rPr>
          <w:color w:val="000000" w:themeColor="text1"/>
        </w:rPr>
        <w:t xml:space="preserve">ork (raising the frequency of </w:t>
      </w:r>
      <w:r w:rsidRPr="000D06E0">
        <w:rPr>
          <w:color w:val="000000" w:themeColor="text1"/>
        </w:rPr>
        <w:t>reporting of earnings – the ‘real</w:t>
      </w:r>
      <w:r>
        <w:rPr>
          <w:color w:val="000000" w:themeColor="text1"/>
        </w:rPr>
        <w:t>-</w:t>
      </w:r>
      <w:r w:rsidRPr="000D06E0">
        <w:rPr>
          <w:color w:val="000000" w:themeColor="text1"/>
        </w:rPr>
        <w:t>time</w:t>
      </w:r>
      <w:r>
        <w:rPr>
          <w:color w:val="000000" w:themeColor="text1"/>
        </w:rPr>
        <w:t xml:space="preserve"> information system’). New measures were introduced to remove benefits where claimants refuse</w:t>
      </w:r>
      <w:r w:rsidRPr="006707EA">
        <w:rPr>
          <w:color w:val="000000" w:themeColor="text1"/>
        </w:rPr>
        <w:t xml:space="preserve"> to take work on zer</w:t>
      </w:r>
      <w:r>
        <w:rPr>
          <w:color w:val="000000" w:themeColor="text1"/>
        </w:rPr>
        <w:t xml:space="preserve">o-hour contracts, </w:t>
      </w:r>
      <w:r w:rsidR="00F31A64">
        <w:rPr>
          <w:color w:val="000000" w:themeColor="text1"/>
        </w:rPr>
        <w:t xml:space="preserve">which were </w:t>
      </w:r>
      <w:r>
        <w:rPr>
          <w:color w:val="000000" w:themeColor="text1"/>
        </w:rPr>
        <w:t>considered</w:t>
      </w:r>
      <w:r w:rsidRPr="006707EA">
        <w:rPr>
          <w:color w:val="000000" w:themeColor="text1"/>
        </w:rPr>
        <w:t xml:space="preserve"> a form of ‘enabling’ work by the </w:t>
      </w:r>
      <w:r>
        <w:rPr>
          <w:color w:val="000000" w:themeColor="text1"/>
        </w:rPr>
        <w:t xml:space="preserve">then </w:t>
      </w:r>
      <w:r w:rsidRPr="006707EA">
        <w:rPr>
          <w:color w:val="000000" w:themeColor="text1"/>
        </w:rPr>
        <w:t>Employment Minister, Ms. McVey (Guardian, 8</w:t>
      </w:r>
      <w:r w:rsidRPr="006707EA">
        <w:rPr>
          <w:color w:val="000000" w:themeColor="text1"/>
          <w:vertAlign w:val="superscript"/>
        </w:rPr>
        <w:t>th</w:t>
      </w:r>
      <w:r w:rsidRPr="006707EA">
        <w:rPr>
          <w:color w:val="000000" w:themeColor="text1"/>
        </w:rPr>
        <w:t xml:space="preserve"> May 2014).</w:t>
      </w:r>
    </w:p>
    <w:p w14:paraId="26FD5697" w14:textId="77777777" w:rsidR="00BE3FE3" w:rsidRPr="006707EA" w:rsidRDefault="00BE3FE3" w:rsidP="00B87760">
      <w:pPr>
        <w:spacing w:line="360" w:lineRule="auto"/>
        <w:ind w:right="-397"/>
        <w:jc w:val="both"/>
        <w:rPr>
          <w:color w:val="000000" w:themeColor="text1"/>
          <w:sz w:val="16"/>
          <w:szCs w:val="16"/>
        </w:rPr>
      </w:pPr>
    </w:p>
    <w:p w14:paraId="060F8A12" w14:textId="053AC3DA" w:rsidR="00BE3FE3" w:rsidRDefault="00BE3FE3" w:rsidP="00327C34">
      <w:pPr>
        <w:spacing w:line="360" w:lineRule="auto"/>
        <w:ind w:left="-397" w:right="-397"/>
        <w:jc w:val="both"/>
        <w:rPr>
          <w:color w:val="000000" w:themeColor="text1"/>
        </w:rPr>
      </w:pPr>
      <w:r>
        <w:rPr>
          <w:color w:val="000000" w:themeColor="text1"/>
        </w:rPr>
        <w:t>Again, it is relevant</w:t>
      </w:r>
      <w:r w:rsidRPr="006707EA">
        <w:rPr>
          <w:color w:val="000000" w:themeColor="text1"/>
        </w:rPr>
        <w:t xml:space="preserve"> to compare</w:t>
      </w:r>
      <w:r w:rsidR="00BF799C">
        <w:rPr>
          <w:color w:val="000000" w:themeColor="text1"/>
        </w:rPr>
        <w:t xml:space="preserve"> this pattern of </w:t>
      </w:r>
      <w:proofErr w:type="gramStart"/>
      <w:r w:rsidR="00BF799C">
        <w:rPr>
          <w:color w:val="000000" w:themeColor="text1"/>
        </w:rPr>
        <w:t xml:space="preserve">change </w:t>
      </w:r>
      <w:r w:rsidR="00572C88">
        <w:rPr>
          <w:color w:val="000000" w:themeColor="text1"/>
        </w:rPr>
        <w:t xml:space="preserve"> </w:t>
      </w:r>
      <w:r w:rsidRPr="006707EA">
        <w:rPr>
          <w:color w:val="000000" w:themeColor="text1"/>
        </w:rPr>
        <w:t>with</w:t>
      </w:r>
      <w:proofErr w:type="gramEnd"/>
      <w:r w:rsidRPr="006707EA">
        <w:rPr>
          <w:color w:val="000000" w:themeColor="text1"/>
        </w:rPr>
        <w:t xml:space="preserve"> Denmark where, despite a radical</w:t>
      </w:r>
      <w:r>
        <w:rPr>
          <w:color w:val="000000" w:themeColor="text1"/>
        </w:rPr>
        <w:t xml:space="preserve"> cut, in 2010, to </w:t>
      </w:r>
      <w:r w:rsidRPr="006707EA">
        <w:rPr>
          <w:color w:val="000000" w:themeColor="text1"/>
        </w:rPr>
        <w:t>coverage of earnings-related benefits (from four to two years), the level and length of protection</w:t>
      </w:r>
      <w:r w:rsidR="004F2835">
        <w:rPr>
          <w:color w:val="000000" w:themeColor="text1"/>
        </w:rPr>
        <w:t xml:space="preserve">, </w:t>
      </w:r>
      <w:r>
        <w:rPr>
          <w:color w:val="000000" w:themeColor="text1"/>
        </w:rPr>
        <w:t xml:space="preserve">along with </w:t>
      </w:r>
      <w:r w:rsidRPr="000259C3">
        <w:rPr>
          <w:color w:val="000000" w:themeColor="text1"/>
        </w:rPr>
        <w:t xml:space="preserve">investment in re-education </w:t>
      </w:r>
      <w:r>
        <w:rPr>
          <w:color w:val="000000" w:themeColor="text1"/>
        </w:rPr>
        <w:t xml:space="preserve">and child-care (OECD, 2014, p. 115), </w:t>
      </w:r>
      <w:r w:rsidRPr="006707EA">
        <w:rPr>
          <w:color w:val="000000" w:themeColor="text1"/>
        </w:rPr>
        <w:t xml:space="preserve">remained the most generous (bar </w:t>
      </w:r>
      <w:r>
        <w:rPr>
          <w:color w:val="000000" w:themeColor="text1"/>
        </w:rPr>
        <w:t xml:space="preserve">for Luxembourg, for the </w:t>
      </w:r>
      <w:r w:rsidRPr="006707EA">
        <w:rPr>
          <w:color w:val="000000" w:themeColor="text1"/>
        </w:rPr>
        <w:t>level</w:t>
      </w:r>
      <w:r>
        <w:rPr>
          <w:color w:val="000000" w:themeColor="text1"/>
        </w:rPr>
        <w:t xml:space="preserve"> of Unemployment Insurance- UI</w:t>
      </w:r>
      <w:r w:rsidRPr="006707EA">
        <w:rPr>
          <w:color w:val="000000" w:themeColor="text1"/>
        </w:rPr>
        <w:t xml:space="preserve">) in the OECD. </w:t>
      </w:r>
      <w:r>
        <w:rPr>
          <w:color w:val="000000" w:themeColor="text1"/>
        </w:rPr>
        <w:t xml:space="preserve"> This contrasts with </w:t>
      </w:r>
      <w:r w:rsidRPr="00234207">
        <w:rPr>
          <w:color w:val="000000" w:themeColor="text1"/>
        </w:rPr>
        <w:t>the way collapse</w:t>
      </w:r>
      <w:r>
        <w:rPr>
          <w:color w:val="000000" w:themeColor="text1"/>
        </w:rPr>
        <w:t xml:space="preserve">, </w:t>
      </w:r>
      <w:r w:rsidRPr="00234207">
        <w:rPr>
          <w:color w:val="000000" w:themeColor="text1"/>
        </w:rPr>
        <w:t>in</w:t>
      </w:r>
      <w:r>
        <w:rPr>
          <w:color w:val="000000" w:themeColor="text1"/>
        </w:rPr>
        <w:t xml:space="preserve"> the 1980s, of</w:t>
      </w:r>
      <w:r w:rsidRPr="00234207">
        <w:rPr>
          <w:color w:val="000000" w:themeColor="text1"/>
        </w:rPr>
        <w:t xml:space="preserve"> wage-related coverage in Britain </w:t>
      </w:r>
      <w:r w:rsidR="008B595B">
        <w:rPr>
          <w:color w:val="000000" w:themeColor="text1"/>
        </w:rPr>
        <w:t>was followed</w:t>
      </w:r>
      <w:r w:rsidRPr="00234207">
        <w:rPr>
          <w:color w:val="000000" w:themeColor="text1"/>
        </w:rPr>
        <w:t xml:space="preserve"> by the state imposing </w:t>
      </w:r>
      <w:r w:rsidR="00BF799C">
        <w:rPr>
          <w:color w:val="000000" w:themeColor="text1"/>
        </w:rPr>
        <w:t xml:space="preserve">what amounted to </w:t>
      </w:r>
      <w:r w:rsidR="00A27506">
        <w:rPr>
          <w:color w:val="000000" w:themeColor="text1"/>
        </w:rPr>
        <w:t>a flat-rate system</w:t>
      </w:r>
      <w:r w:rsidR="00BF799C">
        <w:rPr>
          <w:color w:val="000000" w:themeColor="text1"/>
        </w:rPr>
        <w:t xml:space="preserve"> </w:t>
      </w:r>
      <w:r w:rsidRPr="00234207">
        <w:rPr>
          <w:color w:val="000000" w:themeColor="text1"/>
        </w:rPr>
        <w:t>(</w:t>
      </w:r>
      <w:proofErr w:type="spellStart"/>
      <w:r w:rsidRPr="00234207">
        <w:rPr>
          <w:color w:val="000000" w:themeColor="text1"/>
        </w:rPr>
        <w:t>Clasen</w:t>
      </w:r>
      <w:proofErr w:type="spellEnd"/>
      <w:r>
        <w:rPr>
          <w:color w:val="000000" w:themeColor="text1"/>
        </w:rPr>
        <w:t>,</w:t>
      </w:r>
      <w:r w:rsidRPr="00234207">
        <w:rPr>
          <w:color w:val="000000" w:themeColor="text1"/>
        </w:rPr>
        <w:t xml:space="preserve"> 2001)</w:t>
      </w:r>
      <w:r>
        <w:rPr>
          <w:color w:val="000000" w:themeColor="text1"/>
        </w:rPr>
        <w:t xml:space="preserve">. These policy initiatives induced policy incoherence and were at the same time counterintuitive given the stress in </w:t>
      </w:r>
      <w:r w:rsidR="00964366">
        <w:rPr>
          <w:color w:val="000000" w:themeColor="text1"/>
        </w:rPr>
        <w:t xml:space="preserve">the </w:t>
      </w:r>
      <w:r>
        <w:rPr>
          <w:color w:val="000000" w:themeColor="text1"/>
        </w:rPr>
        <w:t xml:space="preserve">dominant discourse on work incentives. They involved ending the added risk pooling and structured incentives that can be linked with contribution-based top-up of basic entitlements (e.g. as Atkinson, 2015, pp. 229-230, stresses; Haagh, 2013, 2019b). </w:t>
      </w:r>
      <w:r w:rsidRPr="006707EA">
        <w:rPr>
          <w:color w:val="000000" w:themeColor="text1"/>
        </w:rPr>
        <w:t>Notably,</w:t>
      </w:r>
      <w:r w:rsidR="00964366">
        <w:rPr>
          <w:color w:val="000000" w:themeColor="text1"/>
        </w:rPr>
        <w:t xml:space="preserve"> </w:t>
      </w:r>
      <w:r>
        <w:rPr>
          <w:color w:val="000000" w:themeColor="text1"/>
        </w:rPr>
        <w:t xml:space="preserve">in Nordic states, </w:t>
      </w:r>
      <w:r w:rsidRPr="006707EA">
        <w:rPr>
          <w:color w:val="000000" w:themeColor="text1"/>
        </w:rPr>
        <w:t xml:space="preserve">the crisis also entailed introduction of new means-tests, including in Denmark child benefit (for the first time, in 2014). But whilst in Britain the benefit falls away altogether with higher earnings, in Denmark it </w:t>
      </w:r>
      <w:r w:rsidR="008B595B">
        <w:rPr>
          <w:color w:val="000000" w:themeColor="text1"/>
        </w:rPr>
        <w:t>wa</w:t>
      </w:r>
      <w:r w:rsidRPr="006707EA">
        <w:rPr>
          <w:color w:val="000000" w:themeColor="text1"/>
        </w:rPr>
        <w:t xml:space="preserve">s cut by 2 per cent of high earnings (e.g. about the equivalent cut-off point of </w:t>
      </w:r>
      <w:proofErr w:type="spellStart"/>
      <w:r w:rsidRPr="006707EA">
        <w:rPr>
          <w:color w:val="000000" w:themeColor="text1"/>
        </w:rPr>
        <w:t>Dkr</w:t>
      </w:r>
      <w:proofErr w:type="spellEnd"/>
      <w:r w:rsidRPr="006707EA">
        <w:rPr>
          <w:color w:val="000000" w:themeColor="text1"/>
        </w:rPr>
        <w:t>. 712,000), i</w:t>
      </w:r>
      <w:r>
        <w:rPr>
          <w:color w:val="000000" w:themeColor="text1"/>
        </w:rPr>
        <w:t>ndicating continuation of a universalist structure</w:t>
      </w:r>
      <w:r w:rsidRPr="006707EA">
        <w:rPr>
          <w:color w:val="000000" w:themeColor="text1"/>
        </w:rPr>
        <w:t>.</w:t>
      </w:r>
      <w:r w:rsidRPr="006707EA">
        <w:rPr>
          <w:rStyle w:val="FootnoteReference"/>
          <w:color w:val="000000" w:themeColor="text1"/>
        </w:rPr>
        <w:footnoteReference w:id="21"/>
      </w:r>
      <w:r>
        <w:rPr>
          <w:color w:val="000000" w:themeColor="text1"/>
        </w:rPr>
        <w:t xml:space="preserve"> Danish neo-liberalisation has thus been notable but systematically less penetrative compared with the UK’s. </w:t>
      </w:r>
    </w:p>
    <w:p w14:paraId="1D30865E" w14:textId="77777777" w:rsidR="00BE3FE3" w:rsidRPr="004B7179" w:rsidRDefault="00BE3FE3" w:rsidP="00F63C74">
      <w:pPr>
        <w:spacing w:line="360" w:lineRule="auto"/>
        <w:ind w:right="-397"/>
        <w:jc w:val="both"/>
        <w:rPr>
          <w:color w:val="000000" w:themeColor="text1"/>
        </w:rPr>
      </w:pPr>
    </w:p>
    <w:p w14:paraId="699F95F8" w14:textId="77777777" w:rsidR="00BE3FE3" w:rsidRPr="0086583E" w:rsidRDefault="00BE3FE3" w:rsidP="00F63C74">
      <w:pPr>
        <w:spacing w:line="360" w:lineRule="auto"/>
        <w:ind w:left="-397" w:right="-397"/>
        <w:jc w:val="both"/>
        <w:rPr>
          <w:b/>
          <w:color w:val="000000" w:themeColor="text1"/>
        </w:rPr>
      </w:pPr>
      <w:r>
        <w:rPr>
          <w:b/>
          <w:color w:val="000000" w:themeColor="text1"/>
        </w:rPr>
        <w:t>6</w:t>
      </w:r>
      <w:r w:rsidRPr="0086583E">
        <w:rPr>
          <w:b/>
          <w:color w:val="000000" w:themeColor="text1"/>
        </w:rPr>
        <w:t xml:space="preserve">. Universal Basic Income and </w:t>
      </w:r>
      <w:r>
        <w:rPr>
          <w:b/>
          <w:color w:val="000000" w:themeColor="text1"/>
        </w:rPr>
        <w:t>Systems of Well-Being</w:t>
      </w:r>
    </w:p>
    <w:p w14:paraId="2A49326C" w14:textId="77777777" w:rsidR="00BE3FE3" w:rsidRPr="004B7179" w:rsidRDefault="00BE3FE3" w:rsidP="00F63C74">
      <w:pPr>
        <w:spacing w:line="360" w:lineRule="auto"/>
        <w:ind w:left="-397" w:right="-397"/>
        <w:jc w:val="both"/>
        <w:rPr>
          <w:color w:val="000000" w:themeColor="text1"/>
        </w:rPr>
      </w:pPr>
    </w:p>
    <w:p w14:paraId="55201F37" w14:textId="40223F00" w:rsidR="00BE3FE3" w:rsidRDefault="00BE3FE3" w:rsidP="00F63C74">
      <w:pPr>
        <w:spacing w:line="360" w:lineRule="auto"/>
        <w:ind w:left="-397" w:right="-397"/>
        <w:jc w:val="both"/>
        <w:rPr>
          <w:color w:val="000000" w:themeColor="text1"/>
        </w:rPr>
      </w:pPr>
      <w:r>
        <w:rPr>
          <w:color w:val="000000" w:themeColor="text1"/>
        </w:rPr>
        <w:t>Alternative arguments for basic income as a response to contemporary changes in capitalism</w:t>
      </w:r>
      <w:r w:rsidR="002C2032">
        <w:rPr>
          <w:color w:val="000000" w:themeColor="text1"/>
        </w:rPr>
        <w:t>,</w:t>
      </w:r>
      <w:r>
        <w:rPr>
          <w:color w:val="000000" w:themeColor="text1"/>
        </w:rPr>
        <w:t xml:space="preserve"> illustrate the importance of placing freedom-oriented analysis within a well-being systems perspective. A Universal Basic Income is an institutional reform</w:t>
      </w:r>
      <w:r w:rsidR="002C2032">
        <w:rPr>
          <w:color w:val="000000" w:themeColor="text1"/>
        </w:rPr>
        <w:t>,</w:t>
      </w:r>
      <w:r>
        <w:rPr>
          <w:color w:val="000000" w:themeColor="text1"/>
        </w:rPr>
        <w:t xml:space="preserve"> which would entail guaranteeing a small regular income to all individuals in a </w:t>
      </w:r>
      <w:r w:rsidRPr="009A1DD1">
        <w:rPr>
          <w:color w:val="000000" w:themeColor="text1"/>
        </w:rPr>
        <w:t>territory (Standing</w:t>
      </w:r>
      <w:r>
        <w:rPr>
          <w:color w:val="000000" w:themeColor="text1"/>
        </w:rPr>
        <w:t>,</w:t>
      </w:r>
      <w:r w:rsidRPr="009A1DD1">
        <w:rPr>
          <w:color w:val="000000" w:themeColor="text1"/>
        </w:rPr>
        <w:t xml:space="preserve"> 2017) and</w:t>
      </w:r>
      <w:r>
        <w:rPr>
          <w:color w:val="000000" w:themeColor="text1"/>
        </w:rPr>
        <w:t xml:space="preserve"> for life (Haagh, 2019e). The proposal for UBI has been central to debates in WAF in ways which involve a critical view of the role of the state. Alternatively, I argue it is plausible to consider the relevance of UBI historically and today as contributing to consolidate systems of well-being, by enabling the political security </w:t>
      </w:r>
      <w:r w:rsidRPr="00ED4F1E">
        <w:rPr>
          <w:i/>
          <w:color w:val="000000" w:themeColor="text1"/>
        </w:rPr>
        <w:t xml:space="preserve">of </w:t>
      </w:r>
      <w:r>
        <w:rPr>
          <w:color w:val="000000" w:themeColor="text1"/>
        </w:rPr>
        <w:t xml:space="preserve">well-being. Institutional literatures conceive of political security historically in terms of the establishment of effective insurance of social risk by the state (Bates, 2006). </w:t>
      </w:r>
      <w:r w:rsidRPr="003025CF">
        <w:rPr>
          <w:color w:val="000000" w:themeColor="text1"/>
        </w:rPr>
        <w:t>Recognizing the constraint of human economy on human function and social cooperation</w:t>
      </w:r>
      <w:r w:rsidR="002C2032">
        <w:rPr>
          <w:color w:val="000000" w:themeColor="text1"/>
        </w:rPr>
        <w:t>,</w:t>
      </w:r>
      <w:r w:rsidRPr="003025CF">
        <w:rPr>
          <w:color w:val="000000" w:themeColor="text1"/>
        </w:rPr>
        <w:t xml:space="preserve"> entails state insurance of developmental security</w:t>
      </w:r>
      <w:r w:rsidR="00675FA0">
        <w:rPr>
          <w:color w:val="000000" w:themeColor="text1"/>
        </w:rPr>
        <w:t xml:space="preserve"> should be recognized as a </w:t>
      </w:r>
      <w:r w:rsidRPr="003025CF">
        <w:rPr>
          <w:color w:val="000000" w:themeColor="text1"/>
        </w:rPr>
        <w:t>central</w:t>
      </w:r>
      <w:r w:rsidR="00675FA0">
        <w:rPr>
          <w:color w:val="000000" w:themeColor="text1"/>
        </w:rPr>
        <w:t xml:space="preserve"> component of</w:t>
      </w:r>
      <w:r>
        <w:rPr>
          <w:color w:val="000000" w:themeColor="text1"/>
        </w:rPr>
        <w:t xml:space="preserve"> political security in terms of relatedly</w:t>
      </w:r>
      <w:r w:rsidRPr="003025CF">
        <w:rPr>
          <w:color w:val="000000" w:themeColor="text1"/>
        </w:rPr>
        <w:t xml:space="preserve"> effective governance and states of well-being. Viewed from this angle, insuring individuals’</w:t>
      </w:r>
      <w:r>
        <w:rPr>
          <w:color w:val="000000" w:themeColor="text1"/>
        </w:rPr>
        <w:t xml:space="preserve"> subsistence is arguably a long overdue development. Its importance can be demonstrated by failings in the systems </w:t>
      </w:r>
      <w:r>
        <w:rPr>
          <w:color w:val="000000" w:themeColor="text1"/>
        </w:rPr>
        <w:lastRenderedPageBreak/>
        <w:t xml:space="preserve">we have that are based in policing access to income security through means-tests and behaviour controls, that inevitably leave gaps, the more so as the labour market has become more </w:t>
      </w:r>
      <w:r w:rsidRPr="00666D58">
        <w:rPr>
          <w:color w:val="000000" w:themeColor="text1"/>
        </w:rPr>
        <w:t>complex</w:t>
      </w:r>
      <w:r>
        <w:rPr>
          <w:color w:val="000000" w:themeColor="text1"/>
        </w:rPr>
        <w:t xml:space="preserve"> (Haagh, 2019e; section 5 above)</w:t>
      </w:r>
      <w:r w:rsidRPr="00666D58">
        <w:rPr>
          <w:color w:val="000000" w:themeColor="text1"/>
        </w:rPr>
        <w:t>.</w:t>
      </w:r>
    </w:p>
    <w:p w14:paraId="4C5A73D8" w14:textId="77777777" w:rsidR="00BE3FE3" w:rsidRDefault="00BE3FE3" w:rsidP="00F63C74">
      <w:pPr>
        <w:spacing w:line="360" w:lineRule="auto"/>
        <w:ind w:left="-397" w:right="-397"/>
        <w:jc w:val="both"/>
        <w:rPr>
          <w:color w:val="000000" w:themeColor="text1"/>
        </w:rPr>
      </w:pPr>
    </w:p>
    <w:p w14:paraId="451B10C4" w14:textId="37E9A782" w:rsidR="00BE3FE3" w:rsidRPr="00AB14CD" w:rsidRDefault="00BE3FE3" w:rsidP="00F63C74">
      <w:pPr>
        <w:spacing w:line="360" w:lineRule="auto"/>
        <w:ind w:left="-397" w:right="-397"/>
        <w:jc w:val="both"/>
        <w:rPr>
          <w:color w:val="000000" w:themeColor="text1"/>
          <w:sz w:val="20"/>
          <w:szCs w:val="20"/>
        </w:rPr>
      </w:pPr>
      <w:r w:rsidRPr="00666D58">
        <w:rPr>
          <w:color w:val="000000" w:themeColor="text1"/>
        </w:rPr>
        <w:t xml:space="preserve"> </w:t>
      </w:r>
      <w:r>
        <w:rPr>
          <w:color w:val="000000" w:themeColor="text1"/>
        </w:rPr>
        <w:t xml:space="preserve">Seeing basic income as contributing to political security of well-being is basis for critique of </w:t>
      </w:r>
      <w:r w:rsidR="008B595B">
        <w:rPr>
          <w:color w:val="000000" w:themeColor="text1"/>
        </w:rPr>
        <w:t>a</w:t>
      </w:r>
      <w:r>
        <w:rPr>
          <w:color w:val="000000" w:themeColor="text1"/>
        </w:rPr>
        <w:t xml:space="preserve"> neutralist defence of basic income.</w:t>
      </w:r>
      <w:r>
        <w:rPr>
          <w:color w:val="000000" w:themeColor="text1"/>
          <w:sz w:val="20"/>
          <w:szCs w:val="20"/>
        </w:rPr>
        <w:t xml:space="preserve"> </w:t>
      </w:r>
      <w:r w:rsidRPr="005D7C5D">
        <w:rPr>
          <w:color w:val="000000" w:themeColor="text1"/>
        </w:rPr>
        <w:t xml:space="preserve">As far as both </w:t>
      </w:r>
      <w:r>
        <w:rPr>
          <w:color w:val="000000" w:themeColor="text1"/>
        </w:rPr>
        <w:t xml:space="preserve">orthodox economics and post-libertarian egalitarianisms </w:t>
      </w:r>
      <w:r w:rsidRPr="005D7C5D">
        <w:rPr>
          <w:color w:val="000000" w:themeColor="text1"/>
        </w:rPr>
        <w:t>tie freedom to personal choice, they conceal how translating choice into well-being is parasitic on developmental measures and institutions</w:t>
      </w:r>
      <w:r>
        <w:rPr>
          <w:color w:val="000000" w:themeColor="text1"/>
        </w:rPr>
        <w:t>,</w:t>
      </w:r>
      <w:r w:rsidRPr="005D7C5D">
        <w:rPr>
          <w:color w:val="000000" w:themeColor="text1"/>
        </w:rPr>
        <w:t xml:space="preserve"> which both approaches deny or take for granted</w:t>
      </w:r>
      <w:r>
        <w:rPr>
          <w:color w:val="000000" w:themeColor="text1"/>
        </w:rPr>
        <w:t>, and which are eroding today.</w:t>
      </w:r>
      <w:r>
        <w:rPr>
          <w:color w:val="000000" w:themeColor="text1"/>
          <w:sz w:val="20"/>
          <w:szCs w:val="20"/>
        </w:rPr>
        <w:t xml:space="preserve"> </w:t>
      </w:r>
      <w:r>
        <w:rPr>
          <w:color w:val="000000" w:themeColor="text1"/>
        </w:rPr>
        <w:t>Indeed, o</w:t>
      </w:r>
      <w:r w:rsidRPr="005D7C5D">
        <w:rPr>
          <w:color w:val="000000" w:themeColor="text1"/>
        </w:rPr>
        <w:t>utcomes of Anglo-liberal globalisa</w:t>
      </w:r>
      <w:r>
        <w:rPr>
          <w:color w:val="000000" w:themeColor="text1"/>
        </w:rPr>
        <w:t>tion have revealed weaknesses</w:t>
      </w:r>
      <w:r w:rsidRPr="005D7C5D">
        <w:rPr>
          <w:color w:val="000000" w:themeColor="text1"/>
        </w:rPr>
        <w:t xml:space="preserve"> </w:t>
      </w:r>
      <w:r>
        <w:rPr>
          <w:color w:val="000000" w:themeColor="text1"/>
        </w:rPr>
        <w:t xml:space="preserve">at the same time </w:t>
      </w:r>
      <w:r w:rsidRPr="005D7C5D">
        <w:rPr>
          <w:color w:val="000000" w:themeColor="text1"/>
        </w:rPr>
        <w:t>in the neutralist defence of UBI</w:t>
      </w:r>
      <w:r>
        <w:rPr>
          <w:color w:val="000000" w:themeColor="text1"/>
        </w:rPr>
        <w:t xml:space="preserve">, which has been influential in freedom-oriented conceptions of welfare, and in the orthodox development economics, which forms a background for the neutralist case. </w:t>
      </w:r>
      <w:r w:rsidRPr="005D7C5D">
        <w:rPr>
          <w:color w:val="000000" w:themeColor="text1"/>
        </w:rPr>
        <w:t>The preceding sections have shown how policies and institutions that support outcomes linked with control of time</w:t>
      </w:r>
      <w:r>
        <w:rPr>
          <w:color w:val="000000" w:themeColor="text1"/>
        </w:rPr>
        <w:t>, and</w:t>
      </w:r>
      <w:r w:rsidRPr="005D7C5D">
        <w:rPr>
          <w:color w:val="000000" w:themeColor="text1"/>
        </w:rPr>
        <w:t xml:space="preserve"> valued in new freedom-oriented welfare approaches, are more developed in horizontal capitalist states. </w:t>
      </w:r>
      <w:r>
        <w:rPr>
          <w:color w:val="000000" w:themeColor="text1"/>
        </w:rPr>
        <w:t>The upshot is to call</w:t>
      </w:r>
      <w:r w:rsidRPr="005D7C5D">
        <w:rPr>
          <w:color w:val="000000" w:themeColor="text1"/>
        </w:rPr>
        <w:t xml:space="preserve"> </w:t>
      </w:r>
      <w:r>
        <w:rPr>
          <w:color w:val="000000" w:themeColor="text1"/>
        </w:rPr>
        <w:t>post-</w:t>
      </w:r>
      <w:r w:rsidRPr="005D7C5D">
        <w:rPr>
          <w:color w:val="000000" w:themeColor="text1"/>
        </w:rPr>
        <w:t>libertarian forms of defence of basic income, which frame t</w:t>
      </w:r>
      <w:r>
        <w:rPr>
          <w:color w:val="000000" w:themeColor="text1"/>
        </w:rPr>
        <w:t>he case</w:t>
      </w:r>
      <w:r w:rsidRPr="005D7C5D">
        <w:rPr>
          <w:color w:val="000000" w:themeColor="text1"/>
        </w:rPr>
        <w:t xml:space="preserve"> </w:t>
      </w:r>
      <w:r w:rsidRPr="005D7C5D">
        <w:rPr>
          <w:i/>
          <w:color w:val="000000" w:themeColor="text1"/>
        </w:rPr>
        <w:t>at the same time</w:t>
      </w:r>
      <w:r w:rsidRPr="005D7C5D">
        <w:rPr>
          <w:color w:val="000000" w:themeColor="text1"/>
        </w:rPr>
        <w:t xml:space="preserve"> on development neutralist grounds and as a defence</w:t>
      </w:r>
      <w:r>
        <w:rPr>
          <w:color w:val="000000" w:themeColor="text1"/>
        </w:rPr>
        <w:t xml:space="preserve"> of control of time, in question</w:t>
      </w:r>
      <w:r w:rsidRPr="005D7C5D">
        <w:rPr>
          <w:color w:val="000000" w:themeColor="text1"/>
        </w:rPr>
        <w:t xml:space="preserve">. </w:t>
      </w:r>
    </w:p>
    <w:p w14:paraId="3A5F0D3D" w14:textId="77777777" w:rsidR="00BE3FE3" w:rsidRDefault="00BE3FE3" w:rsidP="00F63C74">
      <w:pPr>
        <w:spacing w:line="360" w:lineRule="auto"/>
        <w:ind w:left="-397" w:right="-397"/>
        <w:jc w:val="both"/>
        <w:rPr>
          <w:i/>
          <w:color w:val="000000" w:themeColor="text1"/>
        </w:rPr>
      </w:pPr>
    </w:p>
    <w:p w14:paraId="6B8BB56C" w14:textId="77777777" w:rsidR="00BE3FE3" w:rsidRDefault="00BE3FE3" w:rsidP="00F63C74">
      <w:pPr>
        <w:spacing w:line="360" w:lineRule="auto"/>
        <w:ind w:left="-397" w:right="-397"/>
        <w:jc w:val="both"/>
        <w:rPr>
          <w:color w:val="000000" w:themeColor="text1"/>
        </w:rPr>
      </w:pPr>
      <w:r w:rsidRPr="005D7C5D">
        <w:rPr>
          <w:color w:val="000000" w:themeColor="text1"/>
        </w:rPr>
        <w:t>Neutralist normativity (‘non-perfectionism’, Birnbaum</w:t>
      </w:r>
      <w:r>
        <w:rPr>
          <w:color w:val="000000" w:themeColor="text1"/>
        </w:rPr>
        <w:t>,</w:t>
      </w:r>
      <w:r w:rsidRPr="005D7C5D">
        <w:rPr>
          <w:color w:val="000000" w:themeColor="text1"/>
        </w:rPr>
        <w:t xml:space="preserve"> 2</w:t>
      </w:r>
      <w:r>
        <w:rPr>
          <w:color w:val="000000" w:themeColor="text1"/>
        </w:rPr>
        <w:t xml:space="preserve">012, pp. 9-10) can </w:t>
      </w:r>
      <w:r w:rsidRPr="005D7C5D">
        <w:rPr>
          <w:color w:val="000000" w:themeColor="text1"/>
        </w:rPr>
        <w:t>be considered heavily prescriptive in terms of advocating a market-neutralist normativity</w:t>
      </w:r>
      <w:r>
        <w:rPr>
          <w:color w:val="000000" w:themeColor="text1"/>
        </w:rPr>
        <w:t xml:space="preserve"> today</w:t>
      </w:r>
      <w:r w:rsidRPr="005D7C5D">
        <w:rPr>
          <w:color w:val="000000" w:themeColor="text1"/>
        </w:rPr>
        <w:t>, even</w:t>
      </w:r>
      <w:r w:rsidRPr="004B7179">
        <w:rPr>
          <w:color w:val="000000" w:themeColor="text1"/>
        </w:rPr>
        <w:t xml:space="preserve"> whilst adapting this defence to include</w:t>
      </w:r>
      <w:r>
        <w:rPr>
          <w:color w:val="000000" w:themeColor="text1"/>
        </w:rPr>
        <w:t xml:space="preserve"> more explicit recognition</w:t>
      </w:r>
      <w:r w:rsidRPr="004B7179">
        <w:rPr>
          <w:color w:val="000000" w:themeColor="text1"/>
        </w:rPr>
        <w:t xml:space="preserve"> (Birnbaum</w:t>
      </w:r>
      <w:r>
        <w:rPr>
          <w:color w:val="000000" w:themeColor="text1"/>
        </w:rPr>
        <w:t>,</w:t>
      </w:r>
      <w:r w:rsidRPr="004B7179">
        <w:rPr>
          <w:color w:val="000000" w:themeColor="text1"/>
        </w:rPr>
        <w:t xml:space="preserve"> 2012) of the need for universal services. </w:t>
      </w:r>
      <w:r>
        <w:rPr>
          <w:color w:val="000000" w:themeColor="text1"/>
        </w:rPr>
        <w:t xml:space="preserve">A risk inherent in a neutralist defence of basic income is to exaggerate a basic income’s viability and impact within the system of institutions. Whilst there is a strong moral case for basic income in more insecure and unequal societies, the very grounds for inequality, e.g. weak public finances, compromise the likelihood and freedom-enhancing effect of a basic income reform. This generates what I have referred to as equality and crises paradoxes in basic income narrative, </w:t>
      </w:r>
      <w:r w:rsidRPr="00D443B1">
        <w:rPr>
          <w:color w:val="000000" w:themeColor="text1"/>
        </w:rPr>
        <w:t>characterised by a tendency to overdraw a basic income’s effects precisely where such effects are least likely (Haagh</w:t>
      </w:r>
      <w:r>
        <w:rPr>
          <w:color w:val="000000" w:themeColor="text1"/>
        </w:rPr>
        <w:t>,</w:t>
      </w:r>
      <w:r w:rsidRPr="00D443B1">
        <w:rPr>
          <w:color w:val="000000" w:themeColor="text1"/>
        </w:rPr>
        <w:t xml:space="preserve"> </w:t>
      </w:r>
      <w:r>
        <w:rPr>
          <w:color w:val="000000" w:themeColor="text1"/>
        </w:rPr>
        <w:t>2019d</w:t>
      </w:r>
      <w:r w:rsidRPr="00D443B1">
        <w:rPr>
          <w:color w:val="000000" w:themeColor="text1"/>
        </w:rPr>
        <w:t>).</w:t>
      </w:r>
    </w:p>
    <w:p w14:paraId="69BBEF63" w14:textId="77777777" w:rsidR="00BE3FE3" w:rsidRDefault="00BE3FE3" w:rsidP="00F63C74">
      <w:pPr>
        <w:spacing w:line="360" w:lineRule="auto"/>
        <w:ind w:left="-397" w:right="-397"/>
        <w:jc w:val="both"/>
        <w:rPr>
          <w:color w:val="000000" w:themeColor="text1"/>
        </w:rPr>
      </w:pPr>
    </w:p>
    <w:p w14:paraId="69DB8C3E" w14:textId="3F8473C1" w:rsidR="00BE3FE3" w:rsidRPr="005D7C5D" w:rsidRDefault="00BE3FE3" w:rsidP="00F63C74">
      <w:pPr>
        <w:spacing w:line="360" w:lineRule="auto"/>
        <w:ind w:left="-397" w:right="-397"/>
        <w:jc w:val="both"/>
        <w:rPr>
          <w:color w:val="000000" w:themeColor="text1"/>
        </w:rPr>
      </w:pPr>
      <w:r w:rsidRPr="005D7C5D">
        <w:rPr>
          <w:color w:val="000000" w:themeColor="text1"/>
        </w:rPr>
        <w:t>As occupation-based education, stable employment and state support for secure relocation and education are weaker and corroding at a more rapid rate in Anglo-liberal states, a moral case for basic income – tied to alleviating poverty - may not translate into an effective one – linked with securing control of time. To the extent the latter is true</w:t>
      </w:r>
      <w:r w:rsidR="00964366">
        <w:rPr>
          <w:color w:val="000000" w:themeColor="text1"/>
        </w:rPr>
        <w:t>,</w:t>
      </w:r>
      <w:r w:rsidRPr="005D7C5D">
        <w:rPr>
          <w:color w:val="000000" w:themeColor="text1"/>
        </w:rPr>
        <w:t xml:space="preserve"> this undermines the case for basic income as a feasible mechanism of ‘exit’</w:t>
      </w:r>
      <w:r>
        <w:rPr>
          <w:color w:val="000000" w:themeColor="text1"/>
        </w:rPr>
        <w:t xml:space="preserve"> (</w:t>
      </w:r>
      <w:r w:rsidRPr="005D7C5D">
        <w:rPr>
          <w:color w:val="000000" w:themeColor="text1"/>
        </w:rPr>
        <w:t>Haagh, 2007, 2011</w:t>
      </w:r>
      <w:proofErr w:type="gramStart"/>
      <w:r w:rsidRPr="005D7C5D">
        <w:rPr>
          <w:color w:val="000000" w:themeColor="text1"/>
        </w:rPr>
        <w:t>a</w:t>
      </w:r>
      <w:r w:rsidR="002C2032">
        <w:rPr>
          <w:color w:val="000000" w:themeColor="text1"/>
        </w:rPr>
        <w:t>,</w:t>
      </w:r>
      <w:r w:rsidRPr="005D7C5D">
        <w:rPr>
          <w:color w:val="000000" w:themeColor="text1"/>
        </w:rPr>
        <w:t>b</w:t>
      </w:r>
      <w:proofErr w:type="gramEnd"/>
      <w:r w:rsidRPr="005D7C5D">
        <w:rPr>
          <w:color w:val="000000" w:themeColor="text1"/>
        </w:rPr>
        <w:t>),</w:t>
      </w:r>
      <w:r>
        <w:rPr>
          <w:color w:val="000000" w:themeColor="text1"/>
        </w:rPr>
        <w:t xml:space="preserve"> </w:t>
      </w:r>
      <w:r w:rsidRPr="005D7C5D">
        <w:rPr>
          <w:color w:val="000000" w:themeColor="text1"/>
        </w:rPr>
        <w:t xml:space="preserve"> </w:t>
      </w:r>
      <w:r w:rsidR="0032024C">
        <w:rPr>
          <w:color w:val="000000" w:themeColor="text1"/>
        </w:rPr>
        <w:t>which involves an</w:t>
      </w:r>
      <w:r w:rsidRPr="005D7C5D">
        <w:rPr>
          <w:color w:val="000000" w:themeColor="text1"/>
        </w:rPr>
        <w:t xml:space="preserve"> underlying premise </w:t>
      </w:r>
      <w:r w:rsidR="00A239C2">
        <w:rPr>
          <w:color w:val="000000" w:themeColor="text1"/>
        </w:rPr>
        <w:t xml:space="preserve">that implies </w:t>
      </w:r>
      <w:r>
        <w:rPr>
          <w:color w:val="000000" w:themeColor="text1"/>
        </w:rPr>
        <w:t>freedom lies in movement</w:t>
      </w:r>
      <w:r w:rsidR="00A239C2">
        <w:rPr>
          <w:color w:val="000000" w:themeColor="text1"/>
        </w:rPr>
        <w:t>,</w:t>
      </w:r>
      <w:r>
        <w:rPr>
          <w:color w:val="000000" w:themeColor="text1"/>
        </w:rPr>
        <w:t xml:space="preserve"> which </w:t>
      </w:r>
      <w:r w:rsidR="00A239C2">
        <w:rPr>
          <w:color w:val="000000" w:themeColor="text1"/>
        </w:rPr>
        <w:t xml:space="preserve">thereby </w:t>
      </w:r>
      <w:r>
        <w:rPr>
          <w:color w:val="000000" w:themeColor="text1"/>
        </w:rPr>
        <w:t>enables control (Taylor</w:t>
      </w:r>
      <w:r w:rsidR="00FF673A">
        <w:rPr>
          <w:color w:val="000000" w:themeColor="text1"/>
        </w:rPr>
        <w:t>,</w:t>
      </w:r>
      <w:r>
        <w:rPr>
          <w:color w:val="000000" w:themeColor="text1"/>
        </w:rPr>
        <w:t xml:space="preserve"> 2017). The effectiveness of this argument relies (unrealistically) on individuals being able to directly control their surrounding </w:t>
      </w:r>
      <w:r>
        <w:rPr>
          <w:color w:val="000000" w:themeColor="text1"/>
        </w:rPr>
        <w:lastRenderedPageBreak/>
        <w:t xml:space="preserve">environment, or – alternatively - </w:t>
      </w:r>
      <w:r w:rsidRPr="005D7C5D">
        <w:rPr>
          <w:color w:val="000000" w:themeColor="text1"/>
        </w:rPr>
        <w:t>that conditions</w:t>
      </w:r>
      <w:r>
        <w:rPr>
          <w:color w:val="000000" w:themeColor="text1"/>
        </w:rPr>
        <w:t xml:space="preserve"> both</w:t>
      </w:r>
      <w:r w:rsidRPr="005D7C5D">
        <w:rPr>
          <w:color w:val="000000" w:themeColor="text1"/>
        </w:rPr>
        <w:t xml:space="preserve"> </w:t>
      </w:r>
      <w:r w:rsidRPr="005D7C5D">
        <w:rPr>
          <w:i/>
          <w:color w:val="000000" w:themeColor="text1"/>
        </w:rPr>
        <w:t xml:space="preserve">in </w:t>
      </w:r>
      <w:r w:rsidRPr="005D7C5D">
        <w:rPr>
          <w:color w:val="000000" w:themeColor="text1"/>
        </w:rPr>
        <w:t xml:space="preserve">jobs </w:t>
      </w:r>
      <w:r>
        <w:rPr>
          <w:color w:val="000000" w:themeColor="text1"/>
        </w:rPr>
        <w:t>and</w:t>
      </w:r>
      <w:r w:rsidRPr="003C490F">
        <w:rPr>
          <w:i/>
          <w:color w:val="000000" w:themeColor="text1"/>
        </w:rPr>
        <w:t xml:space="preserve"> in</w:t>
      </w:r>
      <w:r>
        <w:rPr>
          <w:color w:val="000000" w:themeColor="text1"/>
        </w:rPr>
        <w:t xml:space="preserve"> informal activities </w:t>
      </w:r>
      <w:r w:rsidRPr="005D7C5D">
        <w:rPr>
          <w:color w:val="000000" w:themeColor="text1"/>
        </w:rPr>
        <w:t>are universally good</w:t>
      </w:r>
      <w:r>
        <w:rPr>
          <w:color w:val="000000" w:themeColor="text1"/>
        </w:rPr>
        <w:t>.</w:t>
      </w:r>
      <w:r w:rsidRPr="005D7C5D">
        <w:rPr>
          <w:color w:val="000000" w:themeColor="text1"/>
        </w:rPr>
        <w:t xml:space="preserve"> </w:t>
      </w:r>
      <w:r>
        <w:rPr>
          <w:color w:val="000000" w:themeColor="text1"/>
        </w:rPr>
        <w:t>This in turn depends on a strategically incorporating form of public sector development, which then weakens the neutralist defence of basic income reform.</w:t>
      </w:r>
    </w:p>
    <w:p w14:paraId="26A01A37" w14:textId="77777777" w:rsidR="00BE3FE3" w:rsidRDefault="00BE3FE3" w:rsidP="00F63C74">
      <w:pPr>
        <w:spacing w:line="360" w:lineRule="auto"/>
        <w:ind w:right="-397"/>
        <w:jc w:val="both"/>
        <w:rPr>
          <w:color w:val="000000" w:themeColor="text1"/>
        </w:rPr>
      </w:pPr>
    </w:p>
    <w:p w14:paraId="671A74D6" w14:textId="442D0E96" w:rsidR="00BE3FE3" w:rsidRPr="005D7C5D" w:rsidRDefault="00BE3FE3" w:rsidP="00F63C74">
      <w:pPr>
        <w:spacing w:line="360" w:lineRule="auto"/>
        <w:ind w:left="-397" w:right="-397"/>
        <w:jc w:val="both"/>
        <w:rPr>
          <w:color w:val="000000" w:themeColor="text1"/>
        </w:rPr>
      </w:pPr>
      <w:r w:rsidRPr="004B7179">
        <w:rPr>
          <w:color w:val="000000" w:themeColor="text1"/>
        </w:rPr>
        <w:t>A predominant neutralist-universalist perspective has contributed to shape subsequent and contemporary polemics, including the idea that a case for basic income specifically raises concerns about reciprocity (White</w:t>
      </w:r>
      <w:r>
        <w:rPr>
          <w:color w:val="000000" w:themeColor="text1"/>
        </w:rPr>
        <w:t>,</w:t>
      </w:r>
      <w:r w:rsidRPr="004B7179">
        <w:rPr>
          <w:color w:val="000000" w:themeColor="text1"/>
        </w:rPr>
        <w:t xml:space="preserve"> 2003; Atkinson</w:t>
      </w:r>
      <w:r>
        <w:rPr>
          <w:color w:val="000000" w:themeColor="text1"/>
        </w:rPr>
        <w:t>,</w:t>
      </w:r>
      <w:r w:rsidRPr="004B7179">
        <w:rPr>
          <w:color w:val="000000" w:themeColor="text1"/>
        </w:rPr>
        <w:t xml:space="preserve"> 2015, </w:t>
      </w:r>
      <w:r>
        <w:rPr>
          <w:color w:val="000000" w:themeColor="text1"/>
        </w:rPr>
        <w:t xml:space="preserve">p. </w:t>
      </w:r>
      <w:r w:rsidRPr="004B7179">
        <w:rPr>
          <w:color w:val="000000" w:themeColor="text1"/>
        </w:rPr>
        <w:t>121), community (Anderson</w:t>
      </w:r>
      <w:r>
        <w:rPr>
          <w:color w:val="000000" w:themeColor="text1"/>
        </w:rPr>
        <w:t>,</w:t>
      </w:r>
      <w:r w:rsidRPr="004B7179">
        <w:rPr>
          <w:color w:val="000000" w:themeColor="text1"/>
        </w:rPr>
        <w:t xml:space="preserve"> 1999), </w:t>
      </w:r>
      <w:r>
        <w:rPr>
          <w:color w:val="000000" w:themeColor="text1"/>
        </w:rPr>
        <w:t xml:space="preserve">equity (Sen, 2002), </w:t>
      </w:r>
      <w:r w:rsidRPr="004B7179">
        <w:rPr>
          <w:color w:val="000000" w:themeColor="text1"/>
        </w:rPr>
        <w:t xml:space="preserve">or a more expanded view of basic public services (Universal Basic Service, or UBS, </w:t>
      </w:r>
      <w:proofErr w:type="spellStart"/>
      <w:r w:rsidRPr="004B7179">
        <w:rPr>
          <w:color w:val="000000" w:themeColor="text1"/>
        </w:rPr>
        <w:t>Portes</w:t>
      </w:r>
      <w:proofErr w:type="spellEnd"/>
      <w:r w:rsidRPr="004B7179">
        <w:rPr>
          <w:color w:val="000000" w:themeColor="text1"/>
        </w:rPr>
        <w:t xml:space="preserve"> et al</w:t>
      </w:r>
      <w:r>
        <w:rPr>
          <w:color w:val="000000" w:themeColor="text1"/>
        </w:rPr>
        <w:t xml:space="preserve">., </w:t>
      </w:r>
      <w:r w:rsidRPr="004B7179">
        <w:rPr>
          <w:color w:val="000000" w:themeColor="text1"/>
        </w:rPr>
        <w:t xml:space="preserve">2017, </w:t>
      </w:r>
      <w:r>
        <w:rPr>
          <w:color w:val="000000" w:themeColor="text1"/>
        </w:rPr>
        <w:t xml:space="preserve">p. </w:t>
      </w:r>
      <w:proofErr w:type="gramStart"/>
      <w:r w:rsidRPr="004B7179">
        <w:rPr>
          <w:color w:val="000000" w:themeColor="text1"/>
        </w:rPr>
        <w:t xml:space="preserve">6, </w:t>
      </w:r>
      <w:r>
        <w:rPr>
          <w:color w:val="000000" w:themeColor="text1"/>
        </w:rPr>
        <w:t xml:space="preserve"> p.</w:t>
      </w:r>
      <w:proofErr w:type="gramEnd"/>
      <w:r>
        <w:rPr>
          <w:color w:val="000000" w:themeColor="text1"/>
        </w:rPr>
        <w:t xml:space="preserve"> 13). An outcome of the polemical character of basic income debates has been to leave out of view</w:t>
      </w:r>
      <w:r w:rsidRPr="005D7C5D">
        <w:rPr>
          <w:color w:val="000000" w:themeColor="text1"/>
        </w:rPr>
        <w:t xml:space="preserve"> the </w:t>
      </w:r>
      <w:r>
        <w:rPr>
          <w:color w:val="000000" w:themeColor="text1"/>
        </w:rPr>
        <w:t xml:space="preserve">broader </w:t>
      </w:r>
      <w:r w:rsidRPr="005D7C5D">
        <w:rPr>
          <w:color w:val="000000" w:themeColor="text1"/>
        </w:rPr>
        <w:t>importance of basic income</w:t>
      </w:r>
      <w:r w:rsidR="004F2835">
        <w:rPr>
          <w:color w:val="000000" w:themeColor="text1"/>
        </w:rPr>
        <w:t>;</w:t>
      </w:r>
      <w:r w:rsidRPr="005D7C5D">
        <w:rPr>
          <w:color w:val="000000" w:themeColor="text1"/>
        </w:rPr>
        <w:t xml:space="preserve"> as both</w:t>
      </w:r>
      <w:r>
        <w:rPr>
          <w:color w:val="000000" w:themeColor="text1"/>
        </w:rPr>
        <w:t>,</w:t>
      </w:r>
      <w:r w:rsidRPr="005D7C5D">
        <w:rPr>
          <w:color w:val="000000" w:themeColor="text1"/>
        </w:rPr>
        <w:t xml:space="preserve"> (</w:t>
      </w:r>
      <w:proofErr w:type="spellStart"/>
      <w:r w:rsidRPr="005D7C5D">
        <w:rPr>
          <w:color w:val="000000" w:themeColor="text1"/>
        </w:rPr>
        <w:t>i</w:t>
      </w:r>
      <w:proofErr w:type="spellEnd"/>
      <w:r w:rsidRPr="005D7C5D">
        <w:rPr>
          <w:color w:val="000000" w:themeColor="text1"/>
        </w:rPr>
        <w:t xml:space="preserve">) a missing piece in the post-war </w:t>
      </w:r>
      <w:r w:rsidR="00675FA0">
        <w:rPr>
          <w:color w:val="000000" w:themeColor="text1"/>
        </w:rPr>
        <w:t xml:space="preserve">universal </w:t>
      </w:r>
      <w:r w:rsidRPr="005D7C5D">
        <w:rPr>
          <w:color w:val="000000" w:themeColor="text1"/>
        </w:rPr>
        <w:t>welfare state (Haagh</w:t>
      </w:r>
      <w:r>
        <w:rPr>
          <w:color w:val="000000" w:themeColor="text1"/>
        </w:rPr>
        <w:t>,</w:t>
      </w:r>
      <w:r w:rsidRPr="005D7C5D">
        <w:rPr>
          <w:color w:val="000000" w:themeColor="text1"/>
        </w:rPr>
        <w:t xml:space="preserve"> 2011a, 2017), and (ii) as an important but not omni-potent response to the consolidation of a more illiberal state in the wake of post-crisis global public austerity.</w:t>
      </w:r>
      <w:r w:rsidRPr="00692231">
        <w:rPr>
          <w:color w:val="000000" w:themeColor="text1"/>
        </w:rPr>
        <w:t xml:space="preserve"> </w:t>
      </w:r>
    </w:p>
    <w:p w14:paraId="7D01332B" w14:textId="77777777" w:rsidR="00BE3FE3" w:rsidRDefault="00BE3FE3" w:rsidP="00F63C74">
      <w:pPr>
        <w:spacing w:line="360" w:lineRule="auto"/>
        <w:ind w:right="-397"/>
        <w:jc w:val="both"/>
        <w:rPr>
          <w:color w:val="000000" w:themeColor="text1"/>
        </w:rPr>
      </w:pPr>
    </w:p>
    <w:p w14:paraId="3214FB5F" w14:textId="4823DFE7" w:rsidR="00BE3FE3" w:rsidRPr="004B7179" w:rsidRDefault="00BE3FE3" w:rsidP="00F63C74">
      <w:pPr>
        <w:spacing w:line="360" w:lineRule="auto"/>
        <w:ind w:left="-397" w:right="-397"/>
        <w:jc w:val="both"/>
        <w:rPr>
          <w:color w:val="000000" w:themeColor="text1"/>
        </w:rPr>
      </w:pPr>
      <w:r w:rsidRPr="004B7179">
        <w:rPr>
          <w:color w:val="000000" w:themeColor="text1"/>
        </w:rPr>
        <w:t>Framed as an addendum to the post-war rights project, a basic income could help resolve contradictions in it (Haagh</w:t>
      </w:r>
      <w:r>
        <w:rPr>
          <w:color w:val="000000" w:themeColor="text1"/>
        </w:rPr>
        <w:t>,</w:t>
      </w:r>
      <w:r w:rsidRPr="004B7179">
        <w:rPr>
          <w:color w:val="000000" w:themeColor="text1"/>
        </w:rPr>
        <w:t xml:space="preserve"> 2017). These arise from the way post-war state policies sought to promote stability in human development, by limiting market corrosion of rights in housing, employment, and welfare, but failed to do so with regards to the right to subsistence. Once labour protections began to fall away after the 1980s</w:t>
      </w:r>
      <w:r>
        <w:rPr>
          <w:color w:val="000000" w:themeColor="text1"/>
        </w:rPr>
        <w:t>,</w:t>
      </w:r>
      <w:r w:rsidRPr="004B7179">
        <w:rPr>
          <w:color w:val="000000" w:themeColor="text1"/>
        </w:rPr>
        <w:t xml:space="preserve"> and access to housing and income support became more restricted, the way modern systems reinforce direct market-dependence has been laid bare. Consider that individuals in contemporary economies have in some ways less security than serfs in feudal systems, who - albeit in expectation of labour contributions - enjoyed some property in productive capital and place – through access to dwellings </w:t>
      </w:r>
      <w:r>
        <w:rPr>
          <w:color w:val="000000" w:themeColor="text1"/>
        </w:rPr>
        <w:t>and land and thus livelihoods. I</w:t>
      </w:r>
      <w:r w:rsidRPr="004B7179">
        <w:rPr>
          <w:color w:val="000000" w:themeColor="text1"/>
        </w:rPr>
        <w:t>ndependent secur</w:t>
      </w:r>
      <w:r>
        <w:rPr>
          <w:color w:val="000000" w:themeColor="text1"/>
        </w:rPr>
        <w:t>ity is necessary for autonomy. Even i</w:t>
      </w:r>
      <w:r w:rsidRPr="004B7179">
        <w:rPr>
          <w:color w:val="000000" w:themeColor="text1"/>
        </w:rPr>
        <w:t>ndividuals who enjoy a high wage in today’s economy may have very little real autonomy, if untied to a local community, losing jobs or becoming ill</w:t>
      </w:r>
      <w:r>
        <w:rPr>
          <w:color w:val="000000" w:themeColor="text1"/>
        </w:rPr>
        <w:t>,</w:t>
      </w:r>
      <w:r w:rsidRPr="004B7179">
        <w:rPr>
          <w:color w:val="000000" w:themeColor="text1"/>
        </w:rPr>
        <w:t xml:space="preserve"> they face losing housing and everything they own</w:t>
      </w:r>
      <w:r w:rsidR="000F0C3A">
        <w:rPr>
          <w:color w:val="000000" w:themeColor="text1"/>
        </w:rPr>
        <w:t>.</w:t>
      </w:r>
    </w:p>
    <w:p w14:paraId="69FC4400" w14:textId="77777777" w:rsidR="00BE3FE3" w:rsidRPr="00AB14CD" w:rsidRDefault="00BE3FE3" w:rsidP="00F63C74">
      <w:pPr>
        <w:spacing w:line="360" w:lineRule="auto"/>
        <w:ind w:right="-397"/>
        <w:jc w:val="both"/>
        <w:rPr>
          <w:color w:val="000000" w:themeColor="text1"/>
        </w:rPr>
      </w:pPr>
    </w:p>
    <w:p w14:paraId="0DC9A1B3" w14:textId="4B7F7D46" w:rsidR="00F63C74" w:rsidRPr="00AB14CD" w:rsidRDefault="00BE3FE3" w:rsidP="00F63C74">
      <w:pPr>
        <w:spacing w:line="360" w:lineRule="auto"/>
        <w:ind w:left="-397" w:right="-397"/>
        <w:jc w:val="both"/>
        <w:rPr>
          <w:color w:val="000000" w:themeColor="text1"/>
        </w:rPr>
      </w:pPr>
      <w:r w:rsidRPr="00AB14CD">
        <w:rPr>
          <w:color w:val="000000" w:themeColor="text1"/>
        </w:rPr>
        <w:t xml:space="preserve">There is no inherent reason why the value or form of basic income should be defended in anti-perfectionist terms. Basic income can be defended pragmatically as a contribution to the development and political security of well-being systems. An institutional, developmental defence of basic income is consistent with actual institutional dynamics – e.g. developmental policies tend to enable </w:t>
      </w:r>
      <w:r w:rsidR="00F50EB6">
        <w:rPr>
          <w:color w:val="000000" w:themeColor="text1"/>
        </w:rPr>
        <w:t>u</w:t>
      </w:r>
      <w:r w:rsidRPr="00AB14CD">
        <w:rPr>
          <w:color w:val="000000" w:themeColor="text1"/>
        </w:rPr>
        <w:t xml:space="preserve">niversalist policies (Haagh, </w:t>
      </w:r>
      <w:r>
        <w:rPr>
          <w:color w:val="000000" w:themeColor="text1"/>
        </w:rPr>
        <w:t>2011a</w:t>
      </w:r>
      <w:r w:rsidR="00FF673A">
        <w:rPr>
          <w:color w:val="000000" w:themeColor="text1"/>
        </w:rPr>
        <w:t xml:space="preserve">, </w:t>
      </w:r>
      <w:r w:rsidRPr="00AB14CD">
        <w:rPr>
          <w:color w:val="000000" w:themeColor="text1"/>
        </w:rPr>
        <w:t>2019e). The alleged trade-offs between basic income and social democracy are objectively false, even if stacking up the case this way has become a self-fulfilling prophecy, generating opposition to basic income among social democrats (Haagh, 2019d). We have evidence (Sections 4, 5) that multiple sources</w:t>
      </w:r>
      <w:r w:rsidRPr="002628EA">
        <w:rPr>
          <w:color w:val="000000" w:themeColor="text1"/>
        </w:rPr>
        <w:t xml:space="preserve"> of more independent economic security support intrinsic motivation. In addition, basic income can bolster the stability of other institutions and policies – including health policies - by </w:t>
      </w:r>
      <w:r w:rsidRPr="002628EA">
        <w:rPr>
          <w:color w:val="000000" w:themeColor="text1"/>
        </w:rPr>
        <w:lastRenderedPageBreak/>
        <w:t>embedding a stable layer of financial security within the economy (Haagh</w:t>
      </w:r>
      <w:r>
        <w:rPr>
          <w:color w:val="000000" w:themeColor="text1"/>
        </w:rPr>
        <w:t>,</w:t>
      </w:r>
      <w:r w:rsidRPr="002628EA">
        <w:rPr>
          <w:color w:val="000000" w:themeColor="text1"/>
        </w:rPr>
        <w:t xml:space="preserve"> 2013</w:t>
      </w:r>
      <w:r w:rsidR="00FF673A">
        <w:rPr>
          <w:color w:val="000000" w:themeColor="text1"/>
        </w:rPr>
        <w:t xml:space="preserve">; </w:t>
      </w:r>
      <w:r w:rsidRPr="002628EA">
        <w:rPr>
          <w:color w:val="000000" w:themeColor="text1"/>
        </w:rPr>
        <w:t xml:space="preserve">Haagh and </w:t>
      </w:r>
      <w:proofErr w:type="spellStart"/>
      <w:r w:rsidRPr="002628EA">
        <w:rPr>
          <w:color w:val="000000" w:themeColor="text1"/>
        </w:rPr>
        <w:t>Rohregger</w:t>
      </w:r>
      <w:proofErr w:type="spellEnd"/>
      <w:r>
        <w:rPr>
          <w:color w:val="000000" w:themeColor="text1"/>
        </w:rPr>
        <w:t>,</w:t>
      </w:r>
      <w:r w:rsidRPr="002628EA">
        <w:rPr>
          <w:color w:val="000000" w:themeColor="text1"/>
        </w:rPr>
        <w:t xml:space="preserve"> 2019</w:t>
      </w:r>
      <w:r w:rsidR="00FF673A">
        <w:rPr>
          <w:color w:val="000000" w:themeColor="text1"/>
        </w:rPr>
        <w:t>;</w:t>
      </w:r>
      <w:r w:rsidRPr="002628EA">
        <w:rPr>
          <w:color w:val="000000" w:themeColor="text1"/>
        </w:rPr>
        <w:t xml:space="preserve"> Haagh</w:t>
      </w:r>
      <w:r>
        <w:rPr>
          <w:color w:val="000000" w:themeColor="text1"/>
        </w:rPr>
        <w:t>,</w:t>
      </w:r>
      <w:r w:rsidRPr="002628EA">
        <w:rPr>
          <w:color w:val="000000" w:themeColor="text1"/>
        </w:rPr>
        <w:t xml:space="preserve"> 2019e). Having such a system in place would also contribute to generate more resilient responses to crises such as presented by the 2008 crash and coronavirus, where we have seen countries with </w:t>
      </w:r>
      <w:r w:rsidR="003C7537">
        <w:rPr>
          <w:color w:val="000000" w:themeColor="text1"/>
        </w:rPr>
        <w:t xml:space="preserve">more plan-rational economies and </w:t>
      </w:r>
      <w:r w:rsidRPr="002628EA">
        <w:rPr>
          <w:color w:val="000000" w:themeColor="text1"/>
        </w:rPr>
        <w:t xml:space="preserve">established social funds and systems </w:t>
      </w:r>
      <w:r w:rsidR="003C7537">
        <w:rPr>
          <w:color w:val="000000" w:themeColor="text1"/>
        </w:rPr>
        <w:t>– e.g. East Asian and Nordic states, respectively</w:t>
      </w:r>
      <w:r w:rsidR="00A27506">
        <w:rPr>
          <w:color w:val="000000" w:themeColor="text1"/>
        </w:rPr>
        <w:t>,</w:t>
      </w:r>
      <w:r w:rsidR="003C7537">
        <w:rPr>
          <w:color w:val="000000" w:themeColor="text1"/>
        </w:rPr>
        <w:t xml:space="preserve"> </w:t>
      </w:r>
      <w:r w:rsidRPr="002628EA">
        <w:rPr>
          <w:color w:val="000000" w:themeColor="text1"/>
        </w:rPr>
        <w:t>have been better placed</w:t>
      </w:r>
      <w:r w:rsidR="003C7537">
        <w:rPr>
          <w:color w:val="000000" w:themeColor="text1"/>
        </w:rPr>
        <w:t>. For example, i</w:t>
      </w:r>
      <w:r w:rsidRPr="002628EA">
        <w:rPr>
          <w:color w:val="000000" w:themeColor="text1"/>
        </w:rPr>
        <w:t xml:space="preserve">n response to </w:t>
      </w:r>
      <w:r>
        <w:rPr>
          <w:color w:val="000000" w:themeColor="text1"/>
        </w:rPr>
        <w:t>c</w:t>
      </w:r>
      <w:r w:rsidR="00A27506">
        <w:rPr>
          <w:color w:val="000000" w:themeColor="text1"/>
        </w:rPr>
        <w:t>oronavirus,</w:t>
      </w:r>
      <w:r w:rsidR="003C7537">
        <w:rPr>
          <w:color w:val="000000" w:themeColor="text1"/>
        </w:rPr>
        <w:t xml:space="preserve"> in Denmark, all </w:t>
      </w:r>
      <w:r>
        <w:t>behaviour conditionalities on claimants were lifted</w:t>
      </w:r>
      <w:r w:rsidR="003C7537">
        <w:t xml:space="preserve"> in early March to synchronize with social distancing measures, and</w:t>
      </w:r>
      <w:r>
        <w:t xml:space="preserve"> </w:t>
      </w:r>
      <w:r w:rsidR="00A27506">
        <w:t>anyone losing their employment would get</w:t>
      </w:r>
      <w:r>
        <w:t xml:space="preserve"> access to income support via electronic systems up and running already (DR, 20</w:t>
      </w:r>
      <w:r w:rsidR="00F50EB6">
        <w:t>20</w:t>
      </w:r>
      <w:r>
        <w:t>).</w:t>
      </w:r>
      <w:r>
        <w:rPr>
          <w:rStyle w:val="FootnoteReference"/>
        </w:rPr>
        <w:footnoteReference w:id="22"/>
      </w:r>
      <w:r>
        <w:t xml:space="preserve"> </w:t>
      </w:r>
      <w:r w:rsidR="00F63C74">
        <w:t xml:space="preserve">Nordic states benefit from electronic citizens’ registers, whereas financial information about citizens in Britain is weak and patchy, on some estimates covering between half to three-quarters of the population – and there is not a single integrated system. Consequently, it would be </w:t>
      </w:r>
      <w:proofErr w:type="gramStart"/>
      <w:r w:rsidR="00F63C74">
        <w:t>more costly</w:t>
      </w:r>
      <w:proofErr w:type="gramEnd"/>
      <w:r w:rsidR="00F63C74">
        <w:t xml:space="preserve"> and very difficult for Britain to enact an equivalent effective response to guarantee individuals’ financial security</w:t>
      </w:r>
      <w:r w:rsidR="0032024C">
        <w:t>, and sustain it</w:t>
      </w:r>
      <w:r w:rsidR="00F63C74">
        <w:t>.</w:t>
      </w:r>
    </w:p>
    <w:p w14:paraId="0B4D0082" w14:textId="77777777" w:rsidR="00F63C74" w:rsidRDefault="00F63C74" w:rsidP="00F63C74">
      <w:pPr>
        <w:spacing w:line="360" w:lineRule="auto"/>
        <w:ind w:left="-397" w:right="-397"/>
        <w:jc w:val="both"/>
        <w:rPr>
          <w:color w:val="000000" w:themeColor="text1"/>
          <w:sz w:val="21"/>
          <w:szCs w:val="21"/>
        </w:rPr>
      </w:pPr>
    </w:p>
    <w:p w14:paraId="241942B6" w14:textId="71DE1619" w:rsidR="00F63C74" w:rsidRDefault="00F63C74" w:rsidP="00F63C74">
      <w:pPr>
        <w:spacing w:line="360" w:lineRule="auto"/>
        <w:ind w:left="-397" w:right="-397"/>
        <w:jc w:val="both"/>
        <w:rPr>
          <w:color w:val="000000" w:themeColor="text1"/>
        </w:rPr>
      </w:pPr>
      <w:r>
        <w:rPr>
          <w:color w:val="000000" w:themeColor="text1"/>
        </w:rPr>
        <w:t xml:space="preserve">The potential contribution of basic income to support the political security of well-being is also counterfactually demonstrated in the recent transformation of especially Anglo-liberal states towards a more illiberal form.  </w:t>
      </w:r>
      <w:r w:rsidR="00A27506" w:rsidRPr="004B7179">
        <w:rPr>
          <w:color w:val="000000" w:themeColor="text1"/>
        </w:rPr>
        <w:t xml:space="preserve">The fact that income security as a right was never guaranteed on the same basis as education or health made legal encroachment on the security of the poor </w:t>
      </w:r>
      <w:r w:rsidR="00A27506">
        <w:rPr>
          <w:color w:val="000000" w:themeColor="text1"/>
        </w:rPr>
        <w:t xml:space="preserve">and vulnerable groups </w:t>
      </w:r>
      <w:r w:rsidR="00A27506" w:rsidRPr="004B7179">
        <w:rPr>
          <w:color w:val="000000" w:themeColor="text1"/>
        </w:rPr>
        <w:t>a hallmark of every economic downturn</w:t>
      </w:r>
      <w:r w:rsidR="00A27506">
        <w:rPr>
          <w:color w:val="000000" w:themeColor="text1"/>
        </w:rPr>
        <w:t>. T</w:t>
      </w:r>
      <w:r w:rsidR="00A27506" w:rsidRPr="004B7179">
        <w:rPr>
          <w:color w:val="000000" w:themeColor="text1"/>
        </w:rPr>
        <w:t xml:space="preserve">he intensification under austerity </w:t>
      </w:r>
      <w:r w:rsidR="00A27506">
        <w:rPr>
          <w:color w:val="000000" w:themeColor="text1"/>
        </w:rPr>
        <w:t xml:space="preserve">in the period after the financial crisis of 2008 </w:t>
      </w:r>
      <w:r w:rsidR="00A27506" w:rsidRPr="004B7179">
        <w:rPr>
          <w:color w:val="000000" w:themeColor="text1"/>
        </w:rPr>
        <w:t>of sanctions policies</w:t>
      </w:r>
      <w:r w:rsidR="00A27506">
        <w:rPr>
          <w:color w:val="000000" w:themeColor="text1"/>
        </w:rPr>
        <w:t xml:space="preserve"> </w:t>
      </w:r>
      <w:r w:rsidR="00A27506" w:rsidRPr="004B7179">
        <w:rPr>
          <w:color w:val="000000" w:themeColor="text1"/>
        </w:rPr>
        <w:t xml:space="preserve">– which entail using state policies to compel individuals’ labour market participation on the pain of </w:t>
      </w:r>
      <w:proofErr w:type="gramStart"/>
      <w:r w:rsidR="00A27506" w:rsidRPr="004B7179">
        <w:rPr>
          <w:color w:val="000000" w:themeColor="text1"/>
        </w:rPr>
        <w:t xml:space="preserve">subsistence </w:t>
      </w:r>
      <w:r w:rsidR="00A27506">
        <w:rPr>
          <w:color w:val="000000" w:themeColor="text1"/>
        </w:rPr>
        <w:t xml:space="preserve"> -</w:t>
      </w:r>
      <w:proofErr w:type="gramEnd"/>
      <w:r w:rsidR="00A27506">
        <w:rPr>
          <w:color w:val="000000" w:themeColor="text1"/>
        </w:rPr>
        <w:t xml:space="preserve"> </w:t>
      </w:r>
      <w:r w:rsidR="00A27506" w:rsidRPr="004B7179">
        <w:rPr>
          <w:color w:val="000000" w:themeColor="text1"/>
        </w:rPr>
        <w:t>marks the emergence of a new illiberal state as a form of adaptation to financial globalisation (Haagh</w:t>
      </w:r>
      <w:r w:rsidR="00A27506">
        <w:rPr>
          <w:color w:val="000000" w:themeColor="text1"/>
        </w:rPr>
        <w:t>,</w:t>
      </w:r>
      <w:r w:rsidR="00A27506" w:rsidRPr="004B7179">
        <w:rPr>
          <w:color w:val="000000" w:themeColor="text1"/>
        </w:rPr>
        <w:t xml:space="preserve"> 2019e). </w:t>
      </w:r>
      <w:r w:rsidR="00A27506">
        <w:rPr>
          <w:color w:val="000000" w:themeColor="text1"/>
        </w:rPr>
        <w:t xml:space="preserve"> </w:t>
      </w:r>
      <w:r w:rsidR="00A27506" w:rsidRPr="004B7179">
        <w:rPr>
          <w:color w:val="000000" w:themeColor="text1"/>
        </w:rPr>
        <w:t xml:space="preserve">At the height of sanctions policies during the 2010s, one quarter of benefit claimants in both the UK and Denmark received at least one sanction – one episode of reduction in income assistance payments or of curtailment of entitlement for a </w:t>
      </w:r>
      <w:r w:rsidR="00A27506">
        <w:rPr>
          <w:color w:val="000000" w:themeColor="text1"/>
        </w:rPr>
        <w:t xml:space="preserve">time </w:t>
      </w:r>
      <w:r w:rsidR="00A27506" w:rsidRPr="004B7179">
        <w:rPr>
          <w:color w:val="000000" w:themeColor="text1"/>
        </w:rPr>
        <w:t xml:space="preserve">period – </w:t>
      </w:r>
      <w:r w:rsidR="00A27506">
        <w:rPr>
          <w:color w:val="000000" w:themeColor="text1"/>
        </w:rPr>
        <w:t>every</w:t>
      </w:r>
      <w:r w:rsidR="00A27506" w:rsidRPr="004B7179">
        <w:rPr>
          <w:color w:val="000000" w:themeColor="text1"/>
        </w:rPr>
        <w:t xml:space="preserve"> year. </w:t>
      </w:r>
      <w:r w:rsidR="00A27506">
        <w:rPr>
          <w:color w:val="000000" w:themeColor="text1"/>
        </w:rPr>
        <w:t xml:space="preserve">Sanctioning involves </w:t>
      </w:r>
      <w:r w:rsidR="00A27506" w:rsidRPr="004B7179">
        <w:rPr>
          <w:color w:val="000000" w:themeColor="text1"/>
        </w:rPr>
        <w:t xml:space="preserve">a flaw rate of 40 per cent or more in appealed </w:t>
      </w:r>
      <w:proofErr w:type="gramStart"/>
      <w:r w:rsidR="00A27506" w:rsidRPr="004B7179">
        <w:rPr>
          <w:color w:val="000000" w:themeColor="text1"/>
        </w:rPr>
        <w:t>case, and</w:t>
      </w:r>
      <w:proofErr w:type="gramEnd"/>
      <w:r w:rsidR="00A27506" w:rsidRPr="004B7179">
        <w:rPr>
          <w:color w:val="000000" w:themeColor="text1"/>
        </w:rPr>
        <w:t xml:space="preserve"> </w:t>
      </w:r>
      <w:r w:rsidR="00A27506">
        <w:rPr>
          <w:color w:val="000000" w:themeColor="text1"/>
        </w:rPr>
        <w:t xml:space="preserve">has been found </w:t>
      </w:r>
      <w:r w:rsidR="00A27506" w:rsidRPr="004B7179">
        <w:rPr>
          <w:color w:val="000000" w:themeColor="text1"/>
        </w:rPr>
        <w:t>to be overly reliant on agent discretion in all states practising such policies (Adler</w:t>
      </w:r>
      <w:r w:rsidR="00A27506">
        <w:rPr>
          <w:color w:val="000000" w:themeColor="text1"/>
        </w:rPr>
        <w:t>,</w:t>
      </w:r>
      <w:r w:rsidR="00A27506" w:rsidRPr="004B7179">
        <w:rPr>
          <w:color w:val="000000" w:themeColor="text1"/>
        </w:rPr>
        <w:t xml:space="preserve"> 2016</w:t>
      </w:r>
      <w:r w:rsidR="00A27506">
        <w:rPr>
          <w:color w:val="000000" w:themeColor="text1"/>
        </w:rPr>
        <w:t xml:space="preserve">; </w:t>
      </w:r>
      <w:r w:rsidR="00A27506" w:rsidRPr="004B7179">
        <w:rPr>
          <w:color w:val="000000" w:themeColor="text1"/>
        </w:rPr>
        <w:t>Haagh</w:t>
      </w:r>
      <w:r w:rsidR="00A27506">
        <w:rPr>
          <w:color w:val="000000" w:themeColor="text1"/>
        </w:rPr>
        <w:t>,</w:t>
      </w:r>
      <w:r w:rsidR="00A27506" w:rsidRPr="004B7179">
        <w:rPr>
          <w:color w:val="000000" w:themeColor="text1"/>
        </w:rPr>
        <w:t xml:space="preserve"> 2019b).</w:t>
      </w:r>
      <w:r w:rsidR="00A27506">
        <w:rPr>
          <w:color w:val="000000" w:themeColor="text1"/>
        </w:rPr>
        <w:t xml:space="preserve"> </w:t>
      </w:r>
      <w:r>
        <w:rPr>
          <w:color w:val="000000" w:themeColor="text1"/>
        </w:rPr>
        <w:t>The impact of austerity on this illiberal form in the UK is evidenced through</w:t>
      </w:r>
      <w:r w:rsidR="0032024C">
        <w:rPr>
          <w:color w:val="000000" w:themeColor="text1"/>
        </w:rPr>
        <w:t xml:space="preserve"> a</w:t>
      </w:r>
      <w:r>
        <w:rPr>
          <w:color w:val="000000" w:themeColor="text1"/>
        </w:rPr>
        <w:t xml:space="preserve"> </w:t>
      </w:r>
      <w:r w:rsidR="00B944A0">
        <w:rPr>
          <w:color w:val="000000" w:themeColor="text1"/>
        </w:rPr>
        <w:t xml:space="preserve">documented </w:t>
      </w:r>
      <w:r>
        <w:rPr>
          <w:color w:val="000000" w:themeColor="text1"/>
        </w:rPr>
        <w:t xml:space="preserve">lack of research into the effects of </w:t>
      </w:r>
      <w:r w:rsidR="00675FA0">
        <w:rPr>
          <w:color w:val="000000" w:themeColor="text1"/>
        </w:rPr>
        <w:t xml:space="preserve">sanctions-based </w:t>
      </w:r>
      <w:r>
        <w:rPr>
          <w:color w:val="000000" w:themeColor="text1"/>
        </w:rPr>
        <w:t>income assistance reforms (NAO</w:t>
      </w:r>
      <w:r w:rsidR="005243AB">
        <w:rPr>
          <w:color w:val="000000" w:themeColor="text1"/>
        </w:rPr>
        <w:t xml:space="preserve">, </w:t>
      </w:r>
      <w:r w:rsidR="003D5887">
        <w:rPr>
          <w:color w:val="000000" w:themeColor="text1"/>
        </w:rPr>
        <w:t xml:space="preserve">2016) </w:t>
      </w:r>
      <w:r>
        <w:rPr>
          <w:color w:val="000000" w:themeColor="text1"/>
        </w:rPr>
        <w:t>as compared with other countries</w:t>
      </w:r>
      <w:r w:rsidRPr="002628EA">
        <w:rPr>
          <w:color w:val="000000" w:themeColor="text1"/>
        </w:rPr>
        <w:t xml:space="preserve"> </w:t>
      </w:r>
      <w:r>
        <w:rPr>
          <w:color w:val="000000" w:themeColor="text1"/>
        </w:rPr>
        <w:t>(</w:t>
      </w:r>
      <w:r w:rsidRPr="002628EA">
        <w:rPr>
          <w:color w:val="000000" w:themeColor="text1"/>
        </w:rPr>
        <w:t>Haagh</w:t>
      </w:r>
      <w:r w:rsidR="003D5887">
        <w:rPr>
          <w:color w:val="000000" w:themeColor="text1"/>
        </w:rPr>
        <w:t>,</w:t>
      </w:r>
      <w:r w:rsidRPr="002628EA">
        <w:rPr>
          <w:color w:val="000000" w:themeColor="text1"/>
        </w:rPr>
        <w:t xml:space="preserve"> 2019</w:t>
      </w:r>
      <w:proofErr w:type="gramStart"/>
      <w:r w:rsidRPr="002628EA">
        <w:rPr>
          <w:color w:val="000000" w:themeColor="text1"/>
        </w:rPr>
        <w:t>b</w:t>
      </w:r>
      <w:r>
        <w:rPr>
          <w:color w:val="000000" w:themeColor="text1"/>
        </w:rPr>
        <w:t>,e</w:t>
      </w:r>
      <w:proofErr w:type="gramEnd"/>
      <w:r w:rsidRPr="002628EA">
        <w:rPr>
          <w:color w:val="000000" w:themeColor="text1"/>
        </w:rPr>
        <w:t>).</w:t>
      </w:r>
      <w:r>
        <w:rPr>
          <w:color w:val="000000" w:themeColor="text1"/>
        </w:rPr>
        <w:t xml:space="preserve"> </w:t>
      </w:r>
      <w:r w:rsidRPr="004B7179">
        <w:rPr>
          <w:color w:val="000000" w:themeColor="text1"/>
        </w:rPr>
        <w:t xml:space="preserve">Guaranteeing a share of income as a right is in this </w:t>
      </w:r>
      <w:r w:rsidRPr="004B7179">
        <w:rPr>
          <w:color w:val="000000" w:themeColor="text1"/>
        </w:rPr>
        <w:lastRenderedPageBreak/>
        <w:t>context a way of remedying design flaws in the emergence of modern income assistance schemes as reactive structures in the course of the 19</w:t>
      </w:r>
      <w:r w:rsidRPr="004B7179">
        <w:rPr>
          <w:color w:val="000000" w:themeColor="text1"/>
          <w:vertAlign w:val="superscript"/>
        </w:rPr>
        <w:t>th</w:t>
      </w:r>
      <w:r w:rsidRPr="004B7179">
        <w:rPr>
          <w:color w:val="000000" w:themeColor="text1"/>
        </w:rPr>
        <w:t xml:space="preserve"> and 20</w:t>
      </w:r>
      <w:r w:rsidRPr="004B7179">
        <w:rPr>
          <w:color w:val="000000" w:themeColor="text1"/>
          <w:vertAlign w:val="superscript"/>
        </w:rPr>
        <w:t>th</w:t>
      </w:r>
      <w:r>
        <w:rPr>
          <w:color w:val="000000" w:themeColor="text1"/>
        </w:rPr>
        <w:t xml:space="preserve"> centuries</w:t>
      </w:r>
      <w:r w:rsidRPr="004B7179">
        <w:rPr>
          <w:color w:val="000000" w:themeColor="text1"/>
        </w:rPr>
        <w:t xml:space="preserve">. </w:t>
      </w:r>
    </w:p>
    <w:p w14:paraId="7820FE88" w14:textId="77777777" w:rsidR="00F63C74" w:rsidRDefault="00F63C74" w:rsidP="00F63C74">
      <w:pPr>
        <w:spacing w:line="360" w:lineRule="auto"/>
        <w:ind w:left="-397" w:right="-397"/>
        <w:jc w:val="both"/>
        <w:rPr>
          <w:color w:val="000000" w:themeColor="text1"/>
        </w:rPr>
      </w:pPr>
    </w:p>
    <w:p w14:paraId="24D18D03" w14:textId="33615718" w:rsidR="00F63C74" w:rsidRPr="00B07858" w:rsidRDefault="00F63C74" w:rsidP="00F63C74">
      <w:pPr>
        <w:spacing w:line="360" w:lineRule="auto"/>
        <w:ind w:left="-397" w:right="-397"/>
        <w:jc w:val="both"/>
        <w:rPr>
          <w:color w:val="000000" w:themeColor="text1"/>
          <w:sz w:val="18"/>
          <w:szCs w:val="18"/>
        </w:rPr>
      </w:pPr>
      <w:r>
        <w:rPr>
          <w:color w:val="000000" w:themeColor="text1"/>
        </w:rPr>
        <w:t>At the same time, the case for basic income needs</w:t>
      </w:r>
      <w:r w:rsidRPr="00981ED0">
        <w:rPr>
          <w:color w:val="000000" w:themeColor="text1"/>
          <w:sz w:val="18"/>
          <w:szCs w:val="18"/>
        </w:rPr>
        <w:t xml:space="preserve"> </w:t>
      </w:r>
      <w:r w:rsidRPr="00521EB8">
        <w:rPr>
          <w:color w:val="000000" w:themeColor="text1"/>
        </w:rPr>
        <w:t xml:space="preserve">to be carefully interpreted in the context of the alternative paths of hierarchical and horizontal capitalist development discussed in this </w:t>
      </w:r>
      <w:r w:rsidR="00D13DDE">
        <w:rPr>
          <w:color w:val="000000" w:themeColor="text1"/>
        </w:rPr>
        <w:t>chapter</w:t>
      </w:r>
      <w:r w:rsidRPr="00521EB8">
        <w:rPr>
          <w:color w:val="000000" w:themeColor="text1"/>
        </w:rPr>
        <w:t xml:space="preserve">. </w:t>
      </w:r>
      <w:r>
        <w:rPr>
          <w:color w:val="000000" w:themeColor="text1"/>
        </w:rPr>
        <w:t>A relevant</w:t>
      </w:r>
      <w:r w:rsidRPr="004B7179">
        <w:rPr>
          <w:color w:val="000000" w:themeColor="text1"/>
        </w:rPr>
        <w:t xml:space="preserve"> diff</w:t>
      </w:r>
      <w:r>
        <w:rPr>
          <w:color w:val="000000" w:themeColor="text1"/>
        </w:rPr>
        <w:t xml:space="preserve">erence between </w:t>
      </w:r>
      <w:r w:rsidRPr="004B7179">
        <w:rPr>
          <w:color w:val="000000" w:themeColor="text1"/>
        </w:rPr>
        <w:t>the British and Nordic states is that the latter are not just – as Britain has been recently depicted (</w:t>
      </w:r>
      <w:proofErr w:type="spellStart"/>
      <w:r w:rsidRPr="004B7179">
        <w:rPr>
          <w:color w:val="000000" w:themeColor="text1"/>
        </w:rPr>
        <w:t>Sloman</w:t>
      </w:r>
      <w:proofErr w:type="spellEnd"/>
      <w:r>
        <w:rPr>
          <w:color w:val="000000" w:themeColor="text1"/>
        </w:rPr>
        <w:t>,</w:t>
      </w:r>
      <w:r w:rsidRPr="004B7179">
        <w:rPr>
          <w:color w:val="000000" w:themeColor="text1"/>
        </w:rPr>
        <w:t xml:space="preserve"> 2019) - ‘transfer states’</w:t>
      </w:r>
      <w:r>
        <w:rPr>
          <w:color w:val="000000" w:themeColor="text1"/>
        </w:rPr>
        <w:t xml:space="preserve"> – dominated by a monetary redistributive perspective</w:t>
      </w:r>
      <w:r w:rsidRPr="004B7179">
        <w:rPr>
          <w:color w:val="000000" w:themeColor="text1"/>
        </w:rPr>
        <w:t xml:space="preserve">. </w:t>
      </w:r>
      <w:r>
        <w:rPr>
          <w:color w:val="000000" w:themeColor="text1"/>
        </w:rPr>
        <w:t xml:space="preserve">This </w:t>
      </w:r>
      <w:r w:rsidR="00D13DDE">
        <w:rPr>
          <w:color w:val="000000" w:themeColor="text1"/>
        </w:rPr>
        <w:t xml:space="preserve">chapter </w:t>
      </w:r>
      <w:r>
        <w:rPr>
          <w:color w:val="000000" w:themeColor="text1"/>
        </w:rPr>
        <w:t xml:space="preserve">has argued that the UK’s ‘transfer state’ status is a feature of the hierarchical capitalist trajectory. If a transfer state is insufficient it is not on account of using transfers (Denmark spends more money on transfers in GDP) but because of what it is </w:t>
      </w:r>
      <w:r w:rsidRPr="0086583E">
        <w:rPr>
          <w:i/>
          <w:color w:val="000000" w:themeColor="text1"/>
        </w:rPr>
        <w:t>not</w:t>
      </w:r>
      <w:r>
        <w:rPr>
          <w:color w:val="000000" w:themeColor="text1"/>
        </w:rPr>
        <w:t xml:space="preserve">; e.g. transfers are not accompanied by </w:t>
      </w:r>
      <w:r w:rsidRPr="004B7179">
        <w:rPr>
          <w:color w:val="000000" w:themeColor="text1"/>
        </w:rPr>
        <w:t xml:space="preserve">wider efforts to stabilise conditions for control of skills, time, social relations, and cooperation in society. </w:t>
      </w:r>
    </w:p>
    <w:p w14:paraId="161B6B42" w14:textId="77777777" w:rsidR="00F63C74" w:rsidRDefault="00F63C74" w:rsidP="00F63C74">
      <w:pPr>
        <w:spacing w:line="360" w:lineRule="auto"/>
        <w:ind w:right="-397"/>
        <w:jc w:val="both"/>
        <w:rPr>
          <w:color w:val="000000" w:themeColor="text1"/>
        </w:rPr>
      </w:pPr>
    </w:p>
    <w:p w14:paraId="34EE7B2C" w14:textId="7BD0ABE6" w:rsidR="00F63C74" w:rsidRPr="004B7179" w:rsidRDefault="00F63C74" w:rsidP="00F63C74">
      <w:pPr>
        <w:spacing w:line="360" w:lineRule="auto"/>
        <w:ind w:left="-397" w:right="-397"/>
        <w:jc w:val="both"/>
        <w:rPr>
          <w:color w:val="000000" w:themeColor="text1"/>
        </w:rPr>
      </w:pPr>
      <w:r>
        <w:rPr>
          <w:color w:val="000000" w:themeColor="text1"/>
        </w:rPr>
        <w:t>A compensatory</w:t>
      </w:r>
      <w:r w:rsidRPr="004B7179">
        <w:rPr>
          <w:color w:val="000000" w:themeColor="text1"/>
        </w:rPr>
        <w:t xml:space="preserve"> logic when embedded in welfare state evolution</w:t>
      </w:r>
      <w:r w:rsidR="00DA4316">
        <w:rPr>
          <w:color w:val="000000" w:themeColor="text1"/>
        </w:rPr>
        <w:t>,</w:t>
      </w:r>
      <w:r w:rsidRPr="004B7179">
        <w:rPr>
          <w:color w:val="000000" w:themeColor="text1"/>
        </w:rPr>
        <w:t xml:space="preserve"> affects the treatment the poor receive.</w:t>
      </w:r>
      <w:r w:rsidRPr="00F27044">
        <w:rPr>
          <w:color w:val="000000" w:themeColor="text1"/>
        </w:rPr>
        <w:t xml:space="preserve"> </w:t>
      </w:r>
      <w:r>
        <w:rPr>
          <w:color w:val="000000" w:themeColor="text1"/>
        </w:rPr>
        <w:t>R</w:t>
      </w:r>
      <w:r w:rsidRPr="004B7179">
        <w:rPr>
          <w:color w:val="000000" w:themeColor="text1"/>
        </w:rPr>
        <w:t>ecent studies confirm the connection between punitive welfare designs and ill mental health in Britain (Whitehead</w:t>
      </w:r>
      <w:r w:rsidR="00D13DDE">
        <w:rPr>
          <w:color w:val="000000" w:themeColor="text1"/>
        </w:rPr>
        <w:t>,</w:t>
      </w:r>
      <w:r w:rsidRPr="004B7179">
        <w:rPr>
          <w:color w:val="000000" w:themeColor="text1"/>
        </w:rPr>
        <w:t xml:space="preserve"> 2020), and elsewhere (Haagh and </w:t>
      </w:r>
      <w:proofErr w:type="spellStart"/>
      <w:r w:rsidRPr="004B7179">
        <w:rPr>
          <w:color w:val="000000" w:themeColor="text1"/>
        </w:rPr>
        <w:t>Rohregger</w:t>
      </w:r>
      <w:proofErr w:type="spellEnd"/>
      <w:r>
        <w:rPr>
          <w:color w:val="000000" w:themeColor="text1"/>
        </w:rPr>
        <w:t>,</w:t>
      </w:r>
      <w:r w:rsidRPr="004B7179">
        <w:rPr>
          <w:color w:val="000000" w:themeColor="text1"/>
        </w:rPr>
        <w:t xml:space="preserve"> 2019</w:t>
      </w:r>
      <w:r>
        <w:rPr>
          <w:color w:val="000000" w:themeColor="text1"/>
        </w:rPr>
        <w:t xml:space="preserve">). </w:t>
      </w:r>
      <w:r w:rsidRPr="004B7179">
        <w:rPr>
          <w:color w:val="000000" w:themeColor="text1"/>
        </w:rPr>
        <w:t>Comparison of sanctions policies in the UK and Denmark h</w:t>
      </w:r>
      <w:r w:rsidR="00A27506">
        <w:rPr>
          <w:color w:val="000000" w:themeColor="text1"/>
        </w:rPr>
        <w:t xml:space="preserve">as shown that </w:t>
      </w:r>
      <w:r w:rsidRPr="004B7179">
        <w:rPr>
          <w:color w:val="000000" w:themeColor="text1"/>
        </w:rPr>
        <w:t>the</w:t>
      </w:r>
      <w:r w:rsidR="00A27506">
        <w:rPr>
          <w:color w:val="000000" w:themeColor="text1"/>
        </w:rPr>
        <w:t>ir</w:t>
      </w:r>
      <w:r w:rsidRPr="004B7179">
        <w:rPr>
          <w:color w:val="000000" w:themeColor="text1"/>
        </w:rPr>
        <w:t xml:space="preserve"> form </w:t>
      </w:r>
      <w:r w:rsidR="00A27506">
        <w:rPr>
          <w:color w:val="000000" w:themeColor="text1"/>
        </w:rPr>
        <w:t>and effect</w:t>
      </w:r>
      <w:r w:rsidRPr="004B7179">
        <w:rPr>
          <w:color w:val="000000" w:themeColor="text1"/>
        </w:rPr>
        <w:t xml:space="preserve"> are systemically highly variant between the two cases (Haagh</w:t>
      </w:r>
      <w:r>
        <w:rPr>
          <w:color w:val="000000" w:themeColor="text1"/>
        </w:rPr>
        <w:t>,</w:t>
      </w:r>
      <w:r w:rsidRPr="004B7179">
        <w:rPr>
          <w:color w:val="000000" w:themeColor="text1"/>
        </w:rPr>
        <w:t xml:space="preserve"> 2019</w:t>
      </w:r>
      <w:proofErr w:type="gramStart"/>
      <w:r w:rsidRPr="004B7179">
        <w:rPr>
          <w:color w:val="000000" w:themeColor="text1"/>
        </w:rPr>
        <w:t>b</w:t>
      </w:r>
      <w:r w:rsidR="00DA4316">
        <w:rPr>
          <w:color w:val="000000" w:themeColor="text1"/>
        </w:rPr>
        <w:t>,</w:t>
      </w:r>
      <w:r w:rsidRPr="004B7179">
        <w:rPr>
          <w:color w:val="000000" w:themeColor="text1"/>
        </w:rPr>
        <w:t>e</w:t>
      </w:r>
      <w:proofErr w:type="gramEnd"/>
      <w:r w:rsidRPr="004B7179">
        <w:rPr>
          <w:color w:val="000000" w:themeColor="text1"/>
        </w:rPr>
        <w:t>).</w:t>
      </w:r>
      <w:r w:rsidRPr="006A72D1">
        <w:rPr>
          <w:color w:val="000000" w:themeColor="text1"/>
        </w:rPr>
        <w:t xml:space="preserve"> </w:t>
      </w:r>
      <w:r>
        <w:rPr>
          <w:color w:val="000000" w:themeColor="text1"/>
        </w:rPr>
        <w:t>T</w:t>
      </w:r>
      <w:r w:rsidRPr="004B7179">
        <w:rPr>
          <w:color w:val="000000" w:themeColor="text1"/>
        </w:rPr>
        <w:t xml:space="preserve">his reinforces the need to recognize a basic income’s importance contextually. Recent debates about UBI in Britain is evidence of the danger that UBI becomes a part and indeed the source of a new diminished welfare reform debate centred on </w:t>
      </w:r>
      <w:r w:rsidRPr="004B7179">
        <w:rPr>
          <w:i/>
          <w:color w:val="000000" w:themeColor="text1"/>
        </w:rPr>
        <w:t>basic universalism</w:t>
      </w:r>
      <w:r w:rsidRPr="004B7179">
        <w:rPr>
          <w:color w:val="000000" w:themeColor="text1"/>
        </w:rPr>
        <w:t xml:space="preserve">. Although </w:t>
      </w:r>
      <w:r w:rsidR="008B595B">
        <w:rPr>
          <w:color w:val="000000" w:themeColor="text1"/>
        </w:rPr>
        <w:t>Universal Basic Services (</w:t>
      </w:r>
      <w:r w:rsidRPr="004B7179">
        <w:rPr>
          <w:color w:val="000000" w:themeColor="text1"/>
        </w:rPr>
        <w:t>UBS</w:t>
      </w:r>
      <w:r w:rsidR="008B595B">
        <w:rPr>
          <w:color w:val="000000" w:themeColor="text1"/>
        </w:rPr>
        <w:t>)</w:t>
      </w:r>
      <w:r w:rsidRPr="004B7179">
        <w:rPr>
          <w:color w:val="000000" w:themeColor="text1"/>
        </w:rPr>
        <w:t xml:space="preserve"> has been pitted against UBI (</w:t>
      </w:r>
      <w:proofErr w:type="spellStart"/>
      <w:r w:rsidRPr="004B7179">
        <w:rPr>
          <w:color w:val="000000" w:themeColor="text1"/>
        </w:rPr>
        <w:t>Portes</w:t>
      </w:r>
      <w:proofErr w:type="spellEnd"/>
      <w:r w:rsidRPr="004B7179">
        <w:rPr>
          <w:color w:val="000000" w:themeColor="text1"/>
        </w:rPr>
        <w:t xml:space="preserve"> et al</w:t>
      </w:r>
      <w:r>
        <w:rPr>
          <w:color w:val="000000" w:themeColor="text1"/>
        </w:rPr>
        <w:t>.,</w:t>
      </w:r>
      <w:r w:rsidRPr="004B7179">
        <w:rPr>
          <w:color w:val="000000" w:themeColor="text1"/>
        </w:rPr>
        <w:t xml:space="preserve"> 2017)</w:t>
      </w:r>
      <w:r w:rsidR="001C46FD">
        <w:rPr>
          <w:color w:val="000000" w:themeColor="text1"/>
        </w:rPr>
        <w:t xml:space="preserve">, </w:t>
      </w:r>
      <w:r w:rsidRPr="004B7179">
        <w:rPr>
          <w:color w:val="000000" w:themeColor="text1"/>
        </w:rPr>
        <w:t xml:space="preserve">both proposals can be situated as a familiar conflict within a very British anti-poverty paradigm. </w:t>
      </w:r>
      <w:r>
        <w:rPr>
          <w:color w:val="000000" w:themeColor="text1"/>
        </w:rPr>
        <w:t>A concern is</w:t>
      </w:r>
      <w:r w:rsidR="00D00190">
        <w:rPr>
          <w:color w:val="000000" w:themeColor="text1"/>
        </w:rPr>
        <w:t xml:space="preserve"> that </w:t>
      </w:r>
      <w:r>
        <w:rPr>
          <w:color w:val="000000" w:themeColor="text1"/>
        </w:rPr>
        <w:t>a basic income</w:t>
      </w:r>
      <w:r w:rsidR="001C46FD">
        <w:rPr>
          <w:color w:val="000000" w:themeColor="text1"/>
        </w:rPr>
        <w:t>,</w:t>
      </w:r>
      <w:r>
        <w:rPr>
          <w:color w:val="000000" w:themeColor="text1"/>
        </w:rPr>
        <w:t xml:space="preserve"> which supports a welfare state construct aiming primarily at securing against absolute poverty</w:t>
      </w:r>
      <w:r w:rsidR="008B595B">
        <w:rPr>
          <w:color w:val="000000" w:themeColor="text1"/>
        </w:rPr>
        <w:t>,</w:t>
      </w:r>
      <w:r>
        <w:rPr>
          <w:color w:val="000000" w:themeColor="text1"/>
        </w:rPr>
        <w:t xml:space="preserve"> might not in fact eradicate coercive forms of economic organisation, in the labour market or even the state. Whilst a basic income would in principle get rid of punitive sanctions and behaviour-testing policies on </w:t>
      </w:r>
      <w:r w:rsidRPr="006116E0">
        <w:rPr>
          <w:i/>
          <w:color w:val="000000" w:themeColor="text1"/>
        </w:rPr>
        <w:t xml:space="preserve">basic </w:t>
      </w:r>
      <w:r>
        <w:rPr>
          <w:color w:val="000000" w:themeColor="text1"/>
        </w:rPr>
        <w:t>support, it may do nothing to alleviate punishing competition systems</w:t>
      </w:r>
      <w:r w:rsidR="001C46FD">
        <w:rPr>
          <w:color w:val="000000" w:themeColor="text1"/>
        </w:rPr>
        <w:t>,</w:t>
      </w:r>
      <w:r>
        <w:rPr>
          <w:color w:val="000000" w:themeColor="text1"/>
        </w:rPr>
        <w:t xml:space="preserve"> which</w:t>
      </w:r>
      <w:r w:rsidR="00516265">
        <w:rPr>
          <w:color w:val="000000" w:themeColor="text1"/>
        </w:rPr>
        <w:t xml:space="preserve"> </w:t>
      </w:r>
      <w:r>
        <w:rPr>
          <w:color w:val="000000" w:themeColor="text1"/>
        </w:rPr>
        <w:t xml:space="preserve">crush well-being in </w:t>
      </w:r>
      <w:r w:rsidRPr="00566433">
        <w:rPr>
          <w:color w:val="000000" w:themeColor="text1"/>
        </w:rPr>
        <w:t>work (Section 5)</w:t>
      </w:r>
      <w:r w:rsidR="00516265">
        <w:rPr>
          <w:color w:val="000000" w:themeColor="text1"/>
        </w:rPr>
        <w:t>, and drive down tax (Section 4)</w:t>
      </w:r>
      <w:r w:rsidRPr="00566433">
        <w:rPr>
          <w:color w:val="000000" w:themeColor="text1"/>
        </w:rPr>
        <w:t xml:space="preserve">. On this </w:t>
      </w:r>
      <w:r w:rsidR="001C46FD" w:rsidRPr="00566433">
        <w:rPr>
          <w:color w:val="000000" w:themeColor="text1"/>
        </w:rPr>
        <w:t>basis,</w:t>
      </w:r>
      <w:r w:rsidRPr="00566433">
        <w:rPr>
          <w:color w:val="000000" w:themeColor="text1"/>
        </w:rPr>
        <w:t xml:space="preserve"> a basic income cannot be itself a solution to contemporary crises. If rising insecurity is caused by the pursuit of orthodoxy and neutralism in economic governance, a basic income cannot be a response to the failure of that orthodoxy</w:t>
      </w:r>
      <w:r w:rsidR="001C46FD">
        <w:rPr>
          <w:color w:val="000000" w:themeColor="text1"/>
        </w:rPr>
        <w:t>.</w:t>
      </w:r>
      <w:r w:rsidRPr="00566433">
        <w:rPr>
          <w:color w:val="000000" w:themeColor="text1"/>
        </w:rPr>
        <w:t xml:space="preserve"> Whilst the case for basic income is to end </w:t>
      </w:r>
      <w:proofErr w:type="spellStart"/>
      <w:r w:rsidRPr="00566433">
        <w:rPr>
          <w:color w:val="000000" w:themeColor="text1"/>
        </w:rPr>
        <w:t>assistentialism</w:t>
      </w:r>
      <w:proofErr w:type="spellEnd"/>
      <w:r w:rsidRPr="00566433">
        <w:rPr>
          <w:color w:val="000000" w:themeColor="text1"/>
        </w:rPr>
        <w:t xml:space="preserve"> and enable individual independence, in a context of Anglo-liberal globalisation a singular case for basic income may in fact be a case for </w:t>
      </w:r>
      <w:proofErr w:type="spellStart"/>
      <w:r w:rsidRPr="00566433">
        <w:rPr>
          <w:color w:val="000000" w:themeColor="text1"/>
        </w:rPr>
        <w:t>assistentalism</w:t>
      </w:r>
      <w:proofErr w:type="spellEnd"/>
      <w:r w:rsidRPr="00566433">
        <w:rPr>
          <w:color w:val="000000" w:themeColor="text1"/>
        </w:rPr>
        <w:t xml:space="preserve"> </w:t>
      </w:r>
      <w:r w:rsidR="008E533B">
        <w:rPr>
          <w:color w:val="000000" w:themeColor="text1"/>
        </w:rPr>
        <w:t xml:space="preserve">- and thus orthodoxy - </w:t>
      </w:r>
      <w:r w:rsidRPr="00566433">
        <w:rPr>
          <w:color w:val="000000" w:themeColor="text1"/>
        </w:rPr>
        <w:t>in a new form</w:t>
      </w:r>
      <w:r w:rsidRPr="008E533B">
        <w:rPr>
          <w:color w:val="000000" w:themeColor="text1"/>
        </w:rPr>
        <w:t>. To illustrate,</w:t>
      </w:r>
      <w:r w:rsidRPr="00327C34">
        <w:rPr>
          <w:color w:val="000000" w:themeColor="text1"/>
          <w:sz w:val="20"/>
          <w:szCs w:val="20"/>
        </w:rPr>
        <w:t xml:space="preserve"> </w:t>
      </w:r>
      <w:r>
        <w:rPr>
          <w:color w:val="000000" w:themeColor="text1"/>
        </w:rPr>
        <w:t xml:space="preserve">the </w:t>
      </w:r>
      <w:r w:rsidRPr="004B7179">
        <w:rPr>
          <w:color w:val="000000" w:themeColor="text1"/>
        </w:rPr>
        <w:t>present-day polemic surrounding the alleged conflict between UBI and U</w:t>
      </w:r>
      <w:r w:rsidR="0044256E">
        <w:rPr>
          <w:color w:val="000000" w:themeColor="text1"/>
        </w:rPr>
        <w:t>BS</w:t>
      </w:r>
      <w:r w:rsidRPr="004B7179">
        <w:rPr>
          <w:color w:val="000000" w:themeColor="text1"/>
        </w:rPr>
        <w:t xml:space="preserve"> (</w:t>
      </w:r>
      <w:proofErr w:type="spellStart"/>
      <w:r w:rsidRPr="004B7179">
        <w:rPr>
          <w:color w:val="000000" w:themeColor="text1"/>
        </w:rPr>
        <w:t>Portes</w:t>
      </w:r>
      <w:proofErr w:type="spellEnd"/>
      <w:r w:rsidRPr="004B7179">
        <w:rPr>
          <w:color w:val="000000" w:themeColor="text1"/>
        </w:rPr>
        <w:t xml:space="preserve"> et al</w:t>
      </w:r>
      <w:r>
        <w:rPr>
          <w:color w:val="000000" w:themeColor="text1"/>
        </w:rPr>
        <w:t xml:space="preserve">., 2017) arguably </w:t>
      </w:r>
      <w:r w:rsidRPr="004B7179">
        <w:rPr>
          <w:color w:val="000000" w:themeColor="text1"/>
        </w:rPr>
        <w:t xml:space="preserve">represents an extension of the austerity paradigm by seemingly endorsing the view that the public ought </w:t>
      </w:r>
      <w:r w:rsidRPr="004B7179">
        <w:rPr>
          <w:color w:val="000000" w:themeColor="text1"/>
        </w:rPr>
        <w:lastRenderedPageBreak/>
        <w:t xml:space="preserve">to choose between services or cash under conditions of rationing of public expenditure. Global pressure to induce countries into low tax equilibria through low tax competition are made to appear as a natural and moral constraint under the paradigm that states’ adaptation to global constraints is a social utilitarian feature of competitiveness, which demands public restraint. </w:t>
      </w:r>
    </w:p>
    <w:p w14:paraId="3BF829AA" w14:textId="77777777" w:rsidR="00F63C74" w:rsidRPr="004B7179" w:rsidRDefault="00F63C74" w:rsidP="00F63C74">
      <w:pPr>
        <w:spacing w:line="360" w:lineRule="auto"/>
        <w:ind w:right="-397"/>
        <w:jc w:val="both"/>
        <w:rPr>
          <w:color w:val="000000" w:themeColor="text1"/>
        </w:rPr>
      </w:pPr>
    </w:p>
    <w:p w14:paraId="3A634110" w14:textId="578ACA29" w:rsidR="00F63C74" w:rsidRDefault="00F63C74" w:rsidP="00F63C74">
      <w:pPr>
        <w:spacing w:line="360" w:lineRule="auto"/>
        <w:ind w:left="-397" w:right="-397"/>
        <w:jc w:val="both"/>
        <w:rPr>
          <w:rFonts w:cs="Times New Roman"/>
          <w:color w:val="000000" w:themeColor="text1"/>
        </w:rPr>
      </w:pPr>
      <w:r>
        <w:rPr>
          <w:color w:val="000000" w:themeColor="text1"/>
        </w:rPr>
        <w:t>In all, t</w:t>
      </w:r>
      <w:r w:rsidRPr="004B7179">
        <w:rPr>
          <w:color w:val="000000" w:themeColor="text1"/>
        </w:rPr>
        <w:t>he ways in which changes in the welfare state has generated a new basis for a defence of universal basic income</w:t>
      </w:r>
      <w:r w:rsidRPr="004B7179">
        <w:rPr>
          <w:rFonts w:cs="Times New Roman"/>
          <w:color w:val="000000" w:themeColor="text1"/>
        </w:rPr>
        <w:t>, yet this defence is also</w:t>
      </w:r>
      <w:r>
        <w:rPr>
          <w:rFonts w:cs="Times New Roman"/>
          <w:color w:val="000000" w:themeColor="text1"/>
        </w:rPr>
        <w:t xml:space="preserve"> potentially treacherous</w:t>
      </w:r>
      <w:r w:rsidR="008E533B">
        <w:rPr>
          <w:rFonts w:cs="Times New Roman"/>
          <w:color w:val="000000" w:themeColor="text1"/>
        </w:rPr>
        <w:t xml:space="preserve">, </w:t>
      </w:r>
      <w:r>
        <w:rPr>
          <w:rFonts w:cs="Times New Roman"/>
          <w:color w:val="000000" w:themeColor="text1"/>
        </w:rPr>
        <w:t xml:space="preserve">reveals the importance of seeing a basic income’s contribution to political security </w:t>
      </w:r>
      <w:r w:rsidR="008E533B">
        <w:rPr>
          <w:rFonts w:cs="Times New Roman"/>
          <w:color w:val="000000" w:themeColor="text1"/>
        </w:rPr>
        <w:t>from</w:t>
      </w:r>
      <w:r>
        <w:rPr>
          <w:rFonts w:cs="Times New Roman"/>
          <w:color w:val="000000" w:themeColor="text1"/>
        </w:rPr>
        <w:t xml:space="preserve"> a well-being systems perspective. </w:t>
      </w:r>
    </w:p>
    <w:p w14:paraId="0CC3E8A5" w14:textId="77777777" w:rsidR="00F63C74" w:rsidRDefault="00F63C74" w:rsidP="00F63C74">
      <w:pPr>
        <w:spacing w:line="360" w:lineRule="auto"/>
        <w:ind w:left="-397" w:right="-397"/>
        <w:jc w:val="both"/>
        <w:rPr>
          <w:rFonts w:cs="Times New Roman"/>
          <w:color w:val="000000" w:themeColor="text1"/>
        </w:rPr>
      </w:pPr>
    </w:p>
    <w:p w14:paraId="451F4580" w14:textId="00015B8F" w:rsidR="00516265" w:rsidRPr="00327C34" w:rsidRDefault="00F63C74" w:rsidP="00F63C74">
      <w:pPr>
        <w:spacing w:line="360" w:lineRule="auto"/>
        <w:ind w:left="-397" w:right="-397"/>
        <w:jc w:val="both"/>
        <w:rPr>
          <w:rFonts w:cs="Times New Roman"/>
          <w:color w:val="000000" w:themeColor="text1"/>
          <w:sz w:val="16"/>
          <w:szCs w:val="16"/>
        </w:rPr>
      </w:pPr>
      <w:r>
        <w:rPr>
          <w:rFonts w:cs="Times New Roman"/>
          <w:color w:val="000000" w:themeColor="text1"/>
        </w:rPr>
        <w:t>On the one hand, it is possible to make the</w:t>
      </w:r>
      <w:r w:rsidRPr="004B7179">
        <w:rPr>
          <w:rFonts w:cs="Times New Roman"/>
          <w:color w:val="000000" w:themeColor="text1"/>
        </w:rPr>
        <w:t xml:space="preserve"> case </w:t>
      </w:r>
      <w:r>
        <w:rPr>
          <w:rFonts w:cs="Times New Roman"/>
          <w:color w:val="000000" w:themeColor="text1"/>
        </w:rPr>
        <w:t xml:space="preserve">for basic income as a form of political security </w:t>
      </w:r>
      <w:r w:rsidR="00A27506">
        <w:rPr>
          <w:rFonts w:cs="Times New Roman"/>
          <w:color w:val="000000" w:themeColor="text1"/>
        </w:rPr>
        <w:t xml:space="preserve">in terms of the importance of </w:t>
      </w:r>
      <w:r>
        <w:rPr>
          <w:rFonts w:cs="Times New Roman"/>
          <w:color w:val="000000" w:themeColor="text1"/>
        </w:rPr>
        <w:t>stabilising</w:t>
      </w:r>
      <w:r w:rsidRPr="00135EC1">
        <w:rPr>
          <w:rFonts w:cs="Times New Roman"/>
          <w:color w:val="000000" w:themeColor="text1"/>
        </w:rPr>
        <w:t xml:space="preserve"> institutional foundations for </w:t>
      </w:r>
      <w:r w:rsidRPr="002628EA">
        <w:rPr>
          <w:rFonts w:cs="Times New Roman"/>
          <w:color w:val="000000" w:themeColor="text1"/>
        </w:rPr>
        <w:t xml:space="preserve">individual inclusion in society. Crisis and epidemics – including the recent </w:t>
      </w:r>
      <w:r w:rsidR="0044256E">
        <w:rPr>
          <w:rFonts w:cs="Times New Roman"/>
          <w:color w:val="000000" w:themeColor="text1"/>
        </w:rPr>
        <w:t>C</w:t>
      </w:r>
      <w:r w:rsidRPr="002628EA">
        <w:rPr>
          <w:rFonts w:cs="Times New Roman"/>
          <w:color w:val="000000" w:themeColor="text1"/>
        </w:rPr>
        <w:t xml:space="preserve">oronavirus – which in Britain </w:t>
      </w:r>
      <w:r w:rsidR="00F54B27">
        <w:rPr>
          <w:rFonts w:cs="Times New Roman"/>
          <w:color w:val="000000" w:themeColor="text1"/>
        </w:rPr>
        <w:t>immediatel</w:t>
      </w:r>
      <w:r w:rsidR="008E533B">
        <w:rPr>
          <w:rFonts w:cs="Times New Roman"/>
          <w:color w:val="000000" w:themeColor="text1"/>
        </w:rPr>
        <w:t xml:space="preserve">y </w:t>
      </w:r>
      <w:r w:rsidRPr="002628EA">
        <w:rPr>
          <w:rFonts w:cs="Times New Roman"/>
          <w:color w:val="000000" w:themeColor="text1"/>
        </w:rPr>
        <w:t>generated a debate about entitlement to sick-pay – because the poor in society could not afford to self-isolate - to help contain the virus</w:t>
      </w:r>
      <w:r>
        <w:rPr>
          <w:rFonts w:cs="Times New Roman"/>
          <w:color w:val="000000" w:themeColor="text1"/>
        </w:rPr>
        <w:t xml:space="preserve"> (Daily Mirror</w:t>
      </w:r>
      <w:r w:rsidR="001C46FD">
        <w:rPr>
          <w:rFonts w:cs="Times New Roman"/>
          <w:color w:val="000000" w:themeColor="text1"/>
        </w:rPr>
        <w:t>,</w:t>
      </w:r>
      <w:r>
        <w:rPr>
          <w:rFonts w:cs="Times New Roman"/>
          <w:color w:val="000000" w:themeColor="text1"/>
        </w:rPr>
        <w:t xml:space="preserve"> 2019)</w:t>
      </w:r>
      <w:r w:rsidRPr="002628EA">
        <w:rPr>
          <w:rFonts w:cs="Times New Roman"/>
          <w:color w:val="000000" w:themeColor="text1"/>
        </w:rPr>
        <w:t>, shows how fragile societies wholly tied to the labour market</w:t>
      </w:r>
      <w:r w:rsidR="0044256E">
        <w:rPr>
          <w:rFonts w:cs="Times New Roman"/>
          <w:color w:val="000000" w:themeColor="text1"/>
        </w:rPr>
        <w:t>,</w:t>
      </w:r>
      <w:r w:rsidRPr="002628EA">
        <w:rPr>
          <w:rFonts w:cs="Times New Roman"/>
          <w:color w:val="000000" w:themeColor="text1"/>
        </w:rPr>
        <w:t xml:space="preserve"> a</w:t>
      </w:r>
      <w:r w:rsidR="008E533B">
        <w:rPr>
          <w:rFonts w:cs="Times New Roman"/>
          <w:color w:val="000000" w:themeColor="text1"/>
        </w:rPr>
        <w:t xml:space="preserve">nd with </w:t>
      </w:r>
      <w:r w:rsidRPr="002628EA">
        <w:rPr>
          <w:rFonts w:cs="Times New Roman"/>
          <w:color w:val="000000" w:themeColor="text1"/>
        </w:rPr>
        <w:t xml:space="preserve">no common universal security structures </w:t>
      </w:r>
      <w:r w:rsidR="00516265">
        <w:rPr>
          <w:rFonts w:cs="Times New Roman"/>
          <w:color w:val="000000" w:themeColor="text1"/>
        </w:rPr>
        <w:t>or citizens registers</w:t>
      </w:r>
      <w:r w:rsidR="0044256E">
        <w:rPr>
          <w:rFonts w:cs="Times New Roman"/>
          <w:color w:val="000000" w:themeColor="text1"/>
        </w:rPr>
        <w:t>,</w:t>
      </w:r>
      <w:r w:rsidR="00516265">
        <w:rPr>
          <w:rFonts w:cs="Times New Roman"/>
          <w:color w:val="000000" w:themeColor="text1"/>
        </w:rPr>
        <w:t xml:space="preserve"> </w:t>
      </w:r>
      <w:r w:rsidR="008E533B">
        <w:rPr>
          <w:rFonts w:cs="Times New Roman"/>
          <w:color w:val="000000" w:themeColor="text1"/>
        </w:rPr>
        <w:t>are</w:t>
      </w:r>
      <w:r w:rsidRPr="002628EA">
        <w:rPr>
          <w:rFonts w:cs="Times New Roman"/>
          <w:color w:val="000000" w:themeColor="text1"/>
        </w:rPr>
        <w:t xml:space="preserve">. </w:t>
      </w:r>
      <w:r>
        <w:rPr>
          <w:color w:val="000000" w:themeColor="text1"/>
        </w:rPr>
        <w:t>Weak i</w:t>
      </w:r>
      <w:r w:rsidRPr="002628EA">
        <w:rPr>
          <w:color w:val="000000" w:themeColor="text1"/>
        </w:rPr>
        <w:t>ncorporation of society, involving the social s</w:t>
      </w:r>
      <w:r>
        <w:rPr>
          <w:color w:val="000000" w:themeColor="text1"/>
        </w:rPr>
        <w:t>ecurity of the persons in it, has been</w:t>
      </w:r>
      <w:r w:rsidRPr="002628EA">
        <w:rPr>
          <w:color w:val="000000" w:themeColor="text1"/>
        </w:rPr>
        <w:t xml:space="preserve"> at stake </w:t>
      </w:r>
      <w:r w:rsidR="001C46FD" w:rsidRPr="002628EA">
        <w:rPr>
          <w:color w:val="000000" w:themeColor="text1"/>
        </w:rPr>
        <w:t>in both the rise of economic precarity and how</w:t>
      </w:r>
      <w:r w:rsidRPr="002628EA">
        <w:rPr>
          <w:color w:val="000000" w:themeColor="text1"/>
        </w:rPr>
        <w:t xml:space="preserve"> this has affected the state. </w:t>
      </w:r>
    </w:p>
    <w:p w14:paraId="5BBA234E" w14:textId="77777777" w:rsidR="00F63C74" w:rsidRPr="00327C34" w:rsidRDefault="00F63C74" w:rsidP="00F63C74">
      <w:pPr>
        <w:spacing w:line="360" w:lineRule="auto"/>
        <w:ind w:left="-397" w:right="-397"/>
        <w:jc w:val="both"/>
        <w:rPr>
          <w:rFonts w:cs="Times New Roman"/>
          <w:color w:val="000000" w:themeColor="text1"/>
          <w:sz w:val="16"/>
          <w:szCs w:val="16"/>
        </w:rPr>
      </w:pPr>
    </w:p>
    <w:p w14:paraId="0EE93F15" w14:textId="0BFD7098" w:rsidR="00F63C74" w:rsidRDefault="00F63C74" w:rsidP="00566433">
      <w:pPr>
        <w:spacing w:line="360" w:lineRule="auto"/>
        <w:ind w:left="-397" w:right="-397"/>
        <w:jc w:val="both"/>
        <w:rPr>
          <w:rFonts w:cs="Times New Roman"/>
          <w:color w:val="000000" w:themeColor="text1"/>
        </w:rPr>
      </w:pPr>
      <w:r w:rsidRPr="002628EA">
        <w:rPr>
          <w:rFonts w:cs="Times New Roman"/>
          <w:color w:val="000000" w:themeColor="text1"/>
        </w:rPr>
        <w:t>On the othe</w:t>
      </w:r>
      <w:r>
        <w:rPr>
          <w:rFonts w:cs="Times New Roman"/>
          <w:color w:val="000000" w:themeColor="text1"/>
        </w:rPr>
        <w:t xml:space="preserve">r hand, </w:t>
      </w:r>
      <w:r w:rsidR="00A27506">
        <w:rPr>
          <w:rFonts w:cs="Times New Roman"/>
          <w:color w:val="000000" w:themeColor="text1"/>
        </w:rPr>
        <w:t xml:space="preserve">contemporary </w:t>
      </w:r>
      <w:r w:rsidR="000F0C3A" w:rsidRPr="002628EA">
        <w:rPr>
          <w:color w:val="000000" w:themeColor="text1"/>
        </w:rPr>
        <w:t>downward pressure on public finance and rising precarity are not good conditions for basic income in terms of its sustainability or effects</w:t>
      </w:r>
      <w:r w:rsidR="000F0C3A">
        <w:rPr>
          <w:color w:val="000000" w:themeColor="text1"/>
        </w:rPr>
        <w:t>, which rely on also promoting other developmental policies</w:t>
      </w:r>
      <w:r w:rsidR="00C87F87">
        <w:rPr>
          <w:color w:val="000000" w:themeColor="text1"/>
        </w:rPr>
        <w:t xml:space="preserve"> and collective savings systems</w:t>
      </w:r>
      <w:r w:rsidR="000F0C3A">
        <w:rPr>
          <w:color w:val="000000" w:themeColor="text1"/>
        </w:rPr>
        <w:t xml:space="preserve">. </w:t>
      </w:r>
      <w:r w:rsidR="009705B7">
        <w:rPr>
          <w:color w:val="000000" w:themeColor="text1"/>
        </w:rPr>
        <w:t xml:space="preserve">Hence, the need to support people financially during the Corona lock-down should not lead UBI advocates to make a case for UI </w:t>
      </w:r>
      <w:r w:rsidR="009705B7" w:rsidRPr="00652093">
        <w:rPr>
          <w:i/>
          <w:color w:val="000000" w:themeColor="text1"/>
        </w:rPr>
        <w:t xml:space="preserve">contra </w:t>
      </w:r>
      <w:r w:rsidR="009705B7">
        <w:rPr>
          <w:color w:val="000000" w:themeColor="text1"/>
        </w:rPr>
        <w:t xml:space="preserve">other measures to stabilise employment and services. </w:t>
      </w:r>
      <w:r w:rsidR="006C429B">
        <w:rPr>
          <w:color w:val="000000" w:themeColor="text1"/>
        </w:rPr>
        <w:t xml:space="preserve">The biggest </w:t>
      </w:r>
      <w:r w:rsidR="00516265">
        <w:rPr>
          <w:color w:val="000000" w:themeColor="text1"/>
        </w:rPr>
        <w:t xml:space="preserve">long-term </w:t>
      </w:r>
      <w:r w:rsidR="006C429B">
        <w:rPr>
          <w:color w:val="000000" w:themeColor="text1"/>
        </w:rPr>
        <w:t xml:space="preserve">risk from Coronavirus may be the disappearance on a mass scale of cooperative structures of production in favour of deregulated work and a flat assistance structure. </w:t>
      </w:r>
      <w:r w:rsidRPr="002628EA">
        <w:rPr>
          <w:rFonts w:cs="Times New Roman"/>
          <w:color w:val="000000" w:themeColor="text1"/>
        </w:rPr>
        <w:t xml:space="preserve">The implication is that a robust case for basic income reform </w:t>
      </w:r>
      <w:r w:rsidR="009705B7">
        <w:rPr>
          <w:rFonts w:cs="Times New Roman"/>
          <w:color w:val="000000" w:themeColor="text1"/>
        </w:rPr>
        <w:t>wil</w:t>
      </w:r>
      <w:r w:rsidR="00707045">
        <w:rPr>
          <w:rFonts w:cs="Times New Roman"/>
          <w:color w:val="000000" w:themeColor="text1"/>
        </w:rPr>
        <w:t>l</w:t>
      </w:r>
      <w:r w:rsidR="009705B7">
        <w:rPr>
          <w:rFonts w:cs="Times New Roman"/>
          <w:color w:val="000000" w:themeColor="text1"/>
        </w:rPr>
        <w:t xml:space="preserve"> continue to</w:t>
      </w:r>
      <w:r w:rsidRPr="002628EA">
        <w:rPr>
          <w:rFonts w:cs="Times New Roman"/>
          <w:color w:val="000000" w:themeColor="text1"/>
        </w:rPr>
        <w:t xml:space="preserve"> depend on the success of wider efforts with respect to raising the level of public </w:t>
      </w:r>
      <w:r w:rsidR="009705B7">
        <w:rPr>
          <w:rFonts w:cs="Times New Roman"/>
          <w:color w:val="000000" w:themeColor="text1"/>
        </w:rPr>
        <w:t xml:space="preserve">finance and </w:t>
      </w:r>
      <w:r w:rsidRPr="002628EA">
        <w:rPr>
          <w:rFonts w:cs="Times New Roman"/>
          <w:color w:val="000000" w:themeColor="text1"/>
        </w:rPr>
        <w:t>ownership</w:t>
      </w:r>
      <w:r w:rsidR="00A27506">
        <w:rPr>
          <w:rFonts w:cs="Times New Roman"/>
          <w:color w:val="000000" w:themeColor="text1"/>
        </w:rPr>
        <w:t xml:space="preserve"> in GDP</w:t>
      </w:r>
      <w:r w:rsidRPr="002628EA">
        <w:rPr>
          <w:rFonts w:cs="Times New Roman"/>
          <w:color w:val="000000" w:themeColor="text1"/>
        </w:rPr>
        <w:t xml:space="preserve">. </w:t>
      </w:r>
    </w:p>
    <w:p w14:paraId="31F65D45" w14:textId="77777777" w:rsidR="00F63C74" w:rsidRDefault="00F63C74" w:rsidP="00F63C74">
      <w:pPr>
        <w:spacing w:line="360" w:lineRule="auto"/>
        <w:ind w:left="-397" w:right="-397"/>
        <w:jc w:val="both"/>
        <w:rPr>
          <w:color w:val="000000" w:themeColor="text1"/>
        </w:rPr>
      </w:pPr>
    </w:p>
    <w:p w14:paraId="5364E3CD" w14:textId="77777777" w:rsidR="00F63C74" w:rsidRPr="0086583E" w:rsidRDefault="00F63C74" w:rsidP="00F63C74">
      <w:pPr>
        <w:spacing w:line="360" w:lineRule="auto"/>
        <w:ind w:left="-397" w:right="-397"/>
        <w:jc w:val="both"/>
        <w:rPr>
          <w:b/>
          <w:color w:val="000000" w:themeColor="text1"/>
        </w:rPr>
      </w:pPr>
      <w:r>
        <w:rPr>
          <w:b/>
          <w:color w:val="000000" w:themeColor="text1"/>
        </w:rPr>
        <w:t>7</w:t>
      </w:r>
      <w:r w:rsidRPr="0086583E">
        <w:rPr>
          <w:b/>
          <w:color w:val="000000" w:themeColor="text1"/>
        </w:rPr>
        <w:t>. Summary and Conclusions</w:t>
      </w:r>
    </w:p>
    <w:p w14:paraId="6084111A" w14:textId="77777777" w:rsidR="00F63C74" w:rsidRDefault="00F63C74" w:rsidP="00F63C74">
      <w:pPr>
        <w:spacing w:line="360" w:lineRule="auto"/>
        <w:ind w:left="-397" w:right="-397"/>
        <w:jc w:val="both"/>
        <w:rPr>
          <w:b/>
          <w:color w:val="538135" w:themeColor="accent6" w:themeShade="BF"/>
        </w:rPr>
      </w:pPr>
    </w:p>
    <w:p w14:paraId="45910649" w14:textId="72B793F1" w:rsidR="00F63C74" w:rsidRDefault="00F63C74" w:rsidP="00F63C74">
      <w:pPr>
        <w:spacing w:after="200" w:line="360" w:lineRule="auto"/>
        <w:ind w:left="-397" w:right="-397"/>
        <w:jc w:val="both"/>
        <w:rPr>
          <w:color w:val="000000" w:themeColor="text1"/>
        </w:rPr>
      </w:pPr>
      <w:r w:rsidRPr="006707EA">
        <w:rPr>
          <w:color w:val="000000" w:themeColor="text1"/>
        </w:rPr>
        <w:t>In sum</w:t>
      </w:r>
      <w:r>
        <w:rPr>
          <w:color w:val="000000" w:themeColor="text1"/>
        </w:rPr>
        <w:t>mary</w:t>
      </w:r>
      <w:r w:rsidRPr="006707EA">
        <w:rPr>
          <w:color w:val="000000" w:themeColor="text1"/>
        </w:rPr>
        <w:t xml:space="preserve">, this </w:t>
      </w:r>
      <w:r w:rsidR="001B58B2">
        <w:rPr>
          <w:color w:val="000000" w:themeColor="text1"/>
        </w:rPr>
        <w:t xml:space="preserve">contribution </w:t>
      </w:r>
      <w:r w:rsidRPr="006707EA">
        <w:rPr>
          <w:color w:val="000000" w:themeColor="text1"/>
        </w:rPr>
        <w:t xml:space="preserve">has compared cases of </w:t>
      </w:r>
      <w:r w:rsidRPr="00CC0701">
        <w:rPr>
          <w:color w:val="000000" w:themeColor="text1"/>
        </w:rPr>
        <w:t>mature capitalist democracies in terms of their systemic promotion of</w:t>
      </w:r>
      <w:r>
        <w:rPr>
          <w:color w:val="000000" w:themeColor="text1"/>
        </w:rPr>
        <w:t xml:space="preserve"> well-being, arguing that reference to constraints exerted by human economy aids our understanding of systems’ character, evolution</w:t>
      </w:r>
      <w:r w:rsidR="009705B7">
        <w:rPr>
          <w:color w:val="000000" w:themeColor="text1"/>
        </w:rPr>
        <w:t>,</w:t>
      </w:r>
      <w:r>
        <w:rPr>
          <w:color w:val="000000" w:themeColor="text1"/>
        </w:rPr>
        <w:t xml:space="preserve"> and function</w:t>
      </w:r>
      <w:r w:rsidRPr="00CC0701">
        <w:rPr>
          <w:color w:val="000000" w:themeColor="text1"/>
        </w:rPr>
        <w:t>. I have argued</w:t>
      </w:r>
      <w:r w:rsidRPr="00CC0701">
        <w:rPr>
          <w:rStyle w:val="FootnoteReference"/>
          <w:color w:val="000000" w:themeColor="text1"/>
        </w:rPr>
        <w:t xml:space="preserve"> </w:t>
      </w:r>
      <w:r w:rsidRPr="00CC0701">
        <w:rPr>
          <w:color w:val="000000" w:themeColor="text1"/>
        </w:rPr>
        <w:t>reference to the human economy adds new dimensions to the contr</w:t>
      </w:r>
      <w:r>
        <w:rPr>
          <w:color w:val="000000" w:themeColor="text1"/>
        </w:rPr>
        <w:t xml:space="preserve">ibutions of the SVL and WAF, by clarifying how the </w:t>
      </w:r>
      <w:r>
        <w:rPr>
          <w:color w:val="000000" w:themeColor="text1"/>
        </w:rPr>
        <w:lastRenderedPageBreak/>
        <w:t xml:space="preserve">pattern of human economy generates </w:t>
      </w:r>
      <w:r w:rsidR="004D5171">
        <w:rPr>
          <w:color w:val="000000" w:themeColor="text1"/>
        </w:rPr>
        <w:t xml:space="preserve">general </w:t>
      </w:r>
      <w:r>
        <w:rPr>
          <w:color w:val="000000" w:themeColor="text1"/>
        </w:rPr>
        <w:t>cooperative interests</w:t>
      </w:r>
      <w:r w:rsidR="004D5171">
        <w:rPr>
          <w:color w:val="000000" w:themeColor="text1"/>
        </w:rPr>
        <w:t xml:space="preserve"> yet</w:t>
      </w:r>
      <w:r>
        <w:rPr>
          <w:color w:val="000000" w:themeColor="text1"/>
        </w:rPr>
        <w:t xml:space="preserve"> varied political responses. W</w:t>
      </w:r>
      <w:r w:rsidRPr="00CC0701">
        <w:rPr>
          <w:color w:val="000000" w:themeColor="text1"/>
        </w:rPr>
        <w:t xml:space="preserve">here these </w:t>
      </w:r>
      <w:r w:rsidR="004D5171">
        <w:rPr>
          <w:color w:val="000000" w:themeColor="text1"/>
        </w:rPr>
        <w:t xml:space="preserve">general </w:t>
      </w:r>
      <w:r w:rsidRPr="00CC0701">
        <w:rPr>
          <w:color w:val="000000" w:themeColor="text1"/>
        </w:rPr>
        <w:t xml:space="preserve">interests have greater representation in common institutions and mechanisms of shared security, transcendental effects in terms of the systemic promotion of developmental policies </w:t>
      </w:r>
      <w:r>
        <w:rPr>
          <w:color w:val="000000" w:themeColor="text1"/>
        </w:rPr>
        <w:t>are more likely</w:t>
      </w:r>
      <w:r w:rsidRPr="00CC0701">
        <w:rPr>
          <w:color w:val="000000" w:themeColor="text1"/>
        </w:rPr>
        <w:t>. Conversely, where political systems</w:t>
      </w:r>
      <w:r w:rsidRPr="00504895">
        <w:rPr>
          <w:color w:val="000000" w:themeColor="text1"/>
        </w:rPr>
        <w:t xml:space="preserve"> promote</w:t>
      </w:r>
      <w:r>
        <w:rPr>
          <w:color w:val="000000" w:themeColor="text1"/>
        </w:rPr>
        <w:t xml:space="preserve"> more market-compensating institutions, the outcome is a tendency towards </w:t>
      </w:r>
      <w:r w:rsidRPr="00504895">
        <w:rPr>
          <w:color w:val="000000" w:themeColor="text1"/>
        </w:rPr>
        <w:t xml:space="preserve">fragmentation of cooperative interests and </w:t>
      </w:r>
      <w:r>
        <w:rPr>
          <w:color w:val="000000" w:themeColor="text1"/>
        </w:rPr>
        <w:t>to reinforce sources of incoherence in governance.</w:t>
      </w:r>
    </w:p>
    <w:p w14:paraId="67AAF150" w14:textId="07B37B3E" w:rsidR="00F63C74" w:rsidRDefault="00F63C74" w:rsidP="00F63C74">
      <w:pPr>
        <w:spacing w:after="200" w:line="360" w:lineRule="auto"/>
        <w:ind w:left="-397" w:right="-397"/>
        <w:jc w:val="both"/>
        <w:rPr>
          <w:color w:val="000000" w:themeColor="text1"/>
        </w:rPr>
      </w:pPr>
      <w:r>
        <w:rPr>
          <w:color w:val="000000" w:themeColor="text1"/>
        </w:rPr>
        <w:t>System incoherence can be shown to affect the effectiveness of individual policies</w:t>
      </w:r>
      <w:r w:rsidR="00873C9C">
        <w:rPr>
          <w:color w:val="000000" w:themeColor="text1"/>
        </w:rPr>
        <w:t>.</w:t>
      </w:r>
      <w:r>
        <w:rPr>
          <w:color w:val="000000" w:themeColor="text1"/>
        </w:rPr>
        <w:t xml:space="preserve"> </w:t>
      </w:r>
      <w:r w:rsidRPr="00504895">
        <w:rPr>
          <w:color w:val="000000" w:themeColor="text1"/>
        </w:rPr>
        <w:t xml:space="preserve">In Britain, </w:t>
      </w:r>
      <w:r>
        <w:rPr>
          <w:color w:val="000000" w:themeColor="text1"/>
        </w:rPr>
        <w:t>effects of growing public education spending were</w:t>
      </w:r>
      <w:r w:rsidRPr="00504895">
        <w:rPr>
          <w:color w:val="000000" w:themeColor="text1"/>
        </w:rPr>
        <w:t xml:space="preserve"> und</w:t>
      </w:r>
      <w:r>
        <w:rPr>
          <w:color w:val="000000" w:themeColor="text1"/>
        </w:rPr>
        <w:t>ermined by hierarchy</w:t>
      </w:r>
      <w:r w:rsidRPr="00504895">
        <w:rPr>
          <w:color w:val="000000" w:themeColor="text1"/>
        </w:rPr>
        <w:t>. In the employment system, spending less (on training and production</w:t>
      </w:r>
      <w:r w:rsidRPr="006707EA">
        <w:rPr>
          <w:color w:val="000000" w:themeColor="text1"/>
        </w:rPr>
        <w:t xml:space="preserve"> strategies) undermined the effectiveness of (relatively high) spending on administration to allocate persons to jobs.</w:t>
      </w:r>
      <w:r w:rsidRPr="006707EA">
        <w:rPr>
          <w:rStyle w:val="FootnoteReference"/>
          <w:color w:val="000000" w:themeColor="text1"/>
        </w:rPr>
        <w:t xml:space="preserve"> </w:t>
      </w:r>
    </w:p>
    <w:p w14:paraId="23F87F41" w14:textId="77777777" w:rsidR="00F63C74" w:rsidRPr="009A1DD1" w:rsidRDefault="00F63C74" w:rsidP="00F63C74">
      <w:pPr>
        <w:spacing w:after="200" w:line="360" w:lineRule="auto"/>
        <w:ind w:left="-397" w:right="-397"/>
        <w:jc w:val="both"/>
        <w:rPr>
          <w:color w:val="000000" w:themeColor="text1"/>
        </w:rPr>
      </w:pPr>
      <w:r w:rsidRPr="002C25A2">
        <w:rPr>
          <w:color w:val="000000" w:themeColor="text1"/>
        </w:rPr>
        <w:t>Finally, I set</w:t>
      </w:r>
      <w:r w:rsidRPr="002C25A2">
        <w:rPr>
          <w:color w:val="000000" w:themeColor="text1"/>
          <w:sz w:val="16"/>
          <w:szCs w:val="16"/>
        </w:rPr>
        <w:t xml:space="preserve"> </w:t>
      </w:r>
      <w:r w:rsidRPr="002C25A2">
        <w:rPr>
          <w:color w:val="000000" w:themeColor="text1"/>
        </w:rPr>
        <w:t>the proposal for universal basic income in a wider political and institutional context, focussed on the systemic development of control of time as a multi-level cooperative problem.</w:t>
      </w:r>
      <w:r>
        <w:rPr>
          <w:color w:val="000000" w:themeColor="text1"/>
        </w:rPr>
        <w:t xml:space="preserve"> As we have learnt from history, conditions of equality in society shape the form and impact of individual policies</w:t>
      </w:r>
      <w:r>
        <w:rPr>
          <w:b/>
          <w:color w:val="000000" w:themeColor="text1"/>
        </w:rPr>
        <w:t xml:space="preserve">. </w:t>
      </w:r>
      <w:r w:rsidRPr="002C25A2">
        <w:rPr>
          <w:color w:val="000000" w:themeColor="text1"/>
        </w:rPr>
        <w:t>In this context, a basic income’s contribution to freedom is mediated by the level of political development, defined in terms of the formation of shared risk structures in response to fundamental cooperative problems in human society</w:t>
      </w:r>
      <w:r>
        <w:rPr>
          <w:color w:val="000000" w:themeColor="text1"/>
        </w:rPr>
        <w:t xml:space="preserve">. </w:t>
      </w:r>
    </w:p>
    <w:p w14:paraId="0F369764" w14:textId="77777777" w:rsidR="00900526" w:rsidRDefault="00900526">
      <w:pPr>
        <w:spacing w:after="160" w:line="259" w:lineRule="auto"/>
        <w:rPr>
          <w:b/>
        </w:rPr>
      </w:pPr>
      <w:r>
        <w:rPr>
          <w:b/>
        </w:rPr>
        <w:br w:type="page"/>
      </w:r>
    </w:p>
    <w:p w14:paraId="3C5A8256" w14:textId="77777777" w:rsidR="003903A3" w:rsidRPr="0086583E" w:rsidRDefault="0057049C" w:rsidP="0057049C">
      <w:pPr>
        <w:ind w:left="-397" w:right="-397"/>
        <w:rPr>
          <w:b/>
        </w:rPr>
      </w:pPr>
      <w:r w:rsidRPr="0086583E">
        <w:rPr>
          <w:b/>
        </w:rPr>
        <w:lastRenderedPageBreak/>
        <w:t>References</w:t>
      </w:r>
    </w:p>
    <w:p w14:paraId="7747011E" w14:textId="77777777" w:rsidR="002B39E9" w:rsidRDefault="002B39E9" w:rsidP="00900526">
      <w:pPr>
        <w:pStyle w:val="BISReference"/>
        <w:ind w:left="0" w:right="-397" w:firstLine="0"/>
        <w:rPr>
          <w:rFonts w:ascii="Times New Roman" w:hAnsi="Times New Roman"/>
          <w:color w:val="000000" w:themeColor="text1"/>
          <w:sz w:val="24"/>
          <w:szCs w:val="24"/>
        </w:rPr>
      </w:pPr>
    </w:p>
    <w:p w14:paraId="7A02E0F8" w14:textId="77777777" w:rsidR="002B39E9" w:rsidRDefault="002B39E9" w:rsidP="003903A3">
      <w:pPr>
        <w:pStyle w:val="BISReference"/>
        <w:ind w:left="-397" w:right="-397" w:firstLine="0"/>
        <w:rPr>
          <w:rFonts w:ascii="Times New Roman" w:hAnsi="Times New Roman"/>
          <w:color w:val="000000" w:themeColor="text1"/>
          <w:sz w:val="24"/>
          <w:szCs w:val="24"/>
        </w:rPr>
      </w:pPr>
    </w:p>
    <w:p w14:paraId="5B7D7AB6" w14:textId="0B8BA237" w:rsidR="003903A3" w:rsidRPr="001B29DC" w:rsidRDefault="003903A3" w:rsidP="003903A3">
      <w:pPr>
        <w:pStyle w:val="BISReference"/>
        <w:ind w:left="-397" w:right="-397" w:firstLine="0"/>
        <w:rPr>
          <w:rFonts w:ascii="Times New Roman" w:hAnsi="Times New Roman"/>
          <w:color w:val="000000" w:themeColor="text1"/>
          <w:sz w:val="24"/>
          <w:szCs w:val="24"/>
        </w:rPr>
      </w:pPr>
      <w:r w:rsidRPr="008C14C5">
        <w:rPr>
          <w:rFonts w:ascii="Times New Roman" w:hAnsi="Times New Roman"/>
          <w:color w:val="000000" w:themeColor="text1"/>
          <w:sz w:val="24"/>
          <w:szCs w:val="24"/>
        </w:rPr>
        <w:t xml:space="preserve">Acemoglu, D., Johnson, S. and Robinson J., A. </w:t>
      </w:r>
      <w:r w:rsidR="00AC2E58">
        <w:rPr>
          <w:rFonts w:ascii="Times New Roman" w:hAnsi="Times New Roman"/>
          <w:color w:val="000000" w:themeColor="text1"/>
          <w:sz w:val="24"/>
          <w:szCs w:val="24"/>
        </w:rPr>
        <w:t>(</w:t>
      </w:r>
      <w:r w:rsidRPr="008C14C5">
        <w:rPr>
          <w:rFonts w:ascii="Times New Roman" w:hAnsi="Times New Roman"/>
          <w:color w:val="000000" w:themeColor="text1"/>
          <w:sz w:val="24"/>
          <w:szCs w:val="24"/>
        </w:rPr>
        <w:t>2002</w:t>
      </w:r>
      <w:r w:rsidR="00AC2E58">
        <w:rPr>
          <w:rFonts w:ascii="Times New Roman" w:hAnsi="Times New Roman"/>
          <w:color w:val="000000" w:themeColor="text1"/>
          <w:sz w:val="24"/>
          <w:szCs w:val="24"/>
        </w:rPr>
        <w:t xml:space="preserve">), </w:t>
      </w:r>
      <w:r w:rsidRPr="008C14C5">
        <w:rPr>
          <w:rFonts w:ascii="Times New Roman" w:hAnsi="Times New Roman"/>
          <w:color w:val="000000" w:themeColor="text1"/>
          <w:sz w:val="24"/>
          <w:szCs w:val="24"/>
        </w:rPr>
        <w:t>“Reversal of Fortune”</w:t>
      </w:r>
      <w:r w:rsidR="00AC2E58">
        <w:rPr>
          <w:rFonts w:ascii="Times New Roman" w:hAnsi="Times New Roman"/>
          <w:color w:val="000000" w:themeColor="text1"/>
          <w:sz w:val="24"/>
          <w:szCs w:val="24"/>
        </w:rPr>
        <w:t>,</w:t>
      </w:r>
      <w:r w:rsidRPr="008C14C5">
        <w:rPr>
          <w:rFonts w:ascii="Times New Roman" w:hAnsi="Times New Roman"/>
          <w:color w:val="000000" w:themeColor="text1"/>
          <w:sz w:val="24"/>
          <w:szCs w:val="24"/>
        </w:rPr>
        <w:t xml:space="preserve"> </w:t>
      </w:r>
      <w:r w:rsidRPr="008C14C5">
        <w:rPr>
          <w:rFonts w:ascii="Times New Roman" w:hAnsi="Times New Roman"/>
          <w:i/>
          <w:color w:val="000000" w:themeColor="text1"/>
          <w:sz w:val="24"/>
          <w:szCs w:val="24"/>
        </w:rPr>
        <w:t>Quarterly Journal of Economics</w:t>
      </w:r>
      <w:r w:rsidR="007D5ECA">
        <w:rPr>
          <w:rFonts w:ascii="Times New Roman" w:hAnsi="Times New Roman"/>
          <w:i/>
          <w:color w:val="000000" w:themeColor="text1"/>
          <w:sz w:val="24"/>
          <w:szCs w:val="24"/>
        </w:rPr>
        <w:t>,</w:t>
      </w:r>
      <w:r w:rsidRPr="008C14C5">
        <w:rPr>
          <w:rFonts w:ascii="Times New Roman" w:hAnsi="Times New Roman"/>
          <w:color w:val="000000" w:themeColor="text1"/>
          <w:sz w:val="24"/>
          <w:szCs w:val="24"/>
        </w:rPr>
        <w:t xml:space="preserve"> 117</w:t>
      </w:r>
      <w:r w:rsidR="007D5ECA">
        <w:rPr>
          <w:rFonts w:ascii="Times New Roman" w:hAnsi="Times New Roman"/>
          <w:color w:val="000000" w:themeColor="text1"/>
          <w:sz w:val="24"/>
          <w:szCs w:val="24"/>
        </w:rPr>
        <w:t xml:space="preserve">, pp. </w:t>
      </w:r>
      <w:r w:rsidRPr="008C14C5">
        <w:rPr>
          <w:rFonts w:ascii="Times New Roman" w:hAnsi="Times New Roman"/>
          <w:color w:val="000000" w:themeColor="text1"/>
          <w:sz w:val="24"/>
          <w:szCs w:val="24"/>
        </w:rPr>
        <w:t>1231-94.</w:t>
      </w:r>
    </w:p>
    <w:p w14:paraId="77D97241" w14:textId="77777777" w:rsidR="003903A3" w:rsidRPr="001B29DC" w:rsidRDefault="003903A3" w:rsidP="001B29DC">
      <w:pPr>
        <w:pStyle w:val="BISReference"/>
        <w:ind w:left="0" w:right="-397" w:firstLine="0"/>
        <w:rPr>
          <w:rFonts w:ascii="Times New Roman" w:hAnsi="Times New Roman"/>
          <w:color w:val="000000" w:themeColor="text1"/>
          <w:sz w:val="24"/>
          <w:szCs w:val="24"/>
        </w:rPr>
      </w:pPr>
    </w:p>
    <w:p w14:paraId="6C011528" w14:textId="77777777" w:rsidR="003903A3" w:rsidRDefault="008C5FA3" w:rsidP="003903A3">
      <w:pPr>
        <w:pStyle w:val="BISReference"/>
        <w:ind w:left="-397" w:right="-397" w:firstLine="0"/>
        <w:rPr>
          <w:rFonts w:ascii="Times New Roman" w:hAnsi="Times New Roman"/>
          <w:color w:val="000000" w:themeColor="text1"/>
          <w:sz w:val="24"/>
          <w:szCs w:val="24"/>
          <w:lang w:eastAsia="en-GB"/>
        </w:rPr>
      </w:pPr>
      <w:proofErr w:type="spellStart"/>
      <w:r w:rsidRPr="001B29DC">
        <w:rPr>
          <w:rFonts w:ascii="Times New Roman" w:hAnsi="Times New Roman"/>
          <w:color w:val="000000" w:themeColor="text1"/>
          <w:sz w:val="24"/>
          <w:szCs w:val="24"/>
        </w:rPr>
        <w:t>Alkire</w:t>
      </w:r>
      <w:proofErr w:type="spellEnd"/>
      <w:r w:rsidRPr="001B29DC">
        <w:rPr>
          <w:rFonts w:ascii="Times New Roman" w:hAnsi="Times New Roman"/>
          <w:color w:val="000000" w:themeColor="text1"/>
          <w:sz w:val="24"/>
          <w:szCs w:val="24"/>
        </w:rPr>
        <w:t>, S.</w:t>
      </w:r>
      <w:r w:rsidR="00AC2E58">
        <w:rPr>
          <w:rFonts w:ascii="Times New Roman" w:hAnsi="Times New Roman"/>
          <w:color w:val="000000" w:themeColor="text1"/>
          <w:sz w:val="24"/>
          <w:szCs w:val="24"/>
        </w:rPr>
        <w:t xml:space="preserve"> (</w:t>
      </w:r>
      <w:r w:rsidRPr="001B29DC">
        <w:rPr>
          <w:rFonts w:ascii="Times New Roman" w:hAnsi="Times New Roman"/>
          <w:color w:val="000000" w:themeColor="text1"/>
          <w:sz w:val="24"/>
          <w:szCs w:val="24"/>
        </w:rPr>
        <w:t>2002</w:t>
      </w:r>
      <w:r w:rsidR="00AC2E58">
        <w:rPr>
          <w:rFonts w:ascii="Times New Roman" w:hAnsi="Times New Roman"/>
          <w:color w:val="000000" w:themeColor="text1"/>
          <w:sz w:val="24"/>
          <w:szCs w:val="24"/>
        </w:rPr>
        <w:t>)</w:t>
      </w:r>
      <w:r w:rsidR="003903A3" w:rsidRPr="001B29DC">
        <w:rPr>
          <w:rFonts w:ascii="Times New Roman" w:hAnsi="Times New Roman"/>
          <w:color w:val="000000" w:themeColor="text1"/>
          <w:sz w:val="24"/>
          <w:szCs w:val="24"/>
        </w:rPr>
        <w:t xml:space="preserve">, </w:t>
      </w:r>
      <w:r w:rsidR="00AC2E58">
        <w:rPr>
          <w:rFonts w:ascii="Times New Roman" w:hAnsi="Times New Roman"/>
          <w:color w:val="000000" w:themeColor="text1"/>
          <w:sz w:val="24"/>
          <w:szCs w:val="24"/>
        </w:rPr>
        <w:t>“</w:t>
      </w:r>
      <w:r w:rsidR="003903A3" w:rsidRPr="001B29DC">
        <w:rPr>
          <w:rFonts w:ascii="Times New Roman" w:hAnsi="Times New Roman"/>
          <w:color w:val="000000" w:themeColor="text1"/>
          <w:sz w:val="24"/>
          <w:szCs w:val="24"/>
        </w:rPr>
        <w:t>Dimensions of Human Development</w:t>
      </w:r>
      <w:r w:rsidR="00AC2E58">
        <w:rPr>
          <w:rFonts w:ascii="Times New Roman" w:hAnsi="Times New Roman"/>
          <w:color w:val="000000" w:themeColor="text1"/>
          <w:sz w:val="24"/>
          <w:szCs w:val="24"/>
        </w:rPr>
        <w:t>”</w:t>
      </w:r>
      <w:r w:rsidR="003903A3" w:rsidRPr="001B29DC">
        <w:rPr>
          <w:rFonts w:ascii="Times New Roman" w:hAnsi="Times New Roman"/>
          <w:color w:val="000000" w:themeColor="text1"/>
          <w:sz w:val="24"/>
          <w:szCs w:val="24"/>
        </w:rPr>
        <w:t xml:space="preserve">, </w:t>
      </w:r>
      <w:r w:rsidR="003903A3" w:rsidRPr="0086583E">
        <w:rPr>
          <w:rFonts w:ascii="Times New Roman" w:hAnsi="Times New Roman"/>
          <w:i/>
          <w:color w:val="000000" w:themeColor="text1"/>
          <w:sz w:val="24"/>
          <w:szCs w:val="24"/>
        </w:rPr>
        <w:t>World Development</w:t>
      </w:r>
      <w:r w:rsidR="003903A3" w:rsidRPr="001B29DC">
        <w:rPr>
          <w:rFonts w:ascii="Times New Roman" w:hAnsi="Times New Roman"/>
          <w:color w:val="000000" w:themeColor="text1"/>
          <w:sz w:val="24"/>
          <w:szCs w:val="24"/>
        </w:rPr>
        <w:t xml:space="preserve">, </w:t>
      </w:r>
      <w:r w:rsidR="003903A3" w:rsidRPr="001B29DC">
        <w:rPr>
          <w:rFonts w:ascii="Times New Roman" w:hAnsi="Times New Roman"/>
          <w:color w:val="000000" w:themeColor="text1"/>
          <w:sz w:val="24"/>
          <w:szCs w:val="24"/>
          <w:lang w:eastAsia="en-GB"/>
        </w:rPr>
        <w:t>30</w:t>
      </w:r>
      <w:r w:rsidR="00AC2E58">
        <w:rPr>
          <w:rFonts w:ascii="Times New Roman" w:hAnsi="Times New Roman"/>
          <w:color w:val="000000" w:themeColor="text1"/>
          <w:sz w:val="24"/>
          <w:szCs w:val="24"/>
          <w:lang w:eastAsia="en-GB"/>
        </w:rPr>
        <w:t>(2)</w:t>
      </w:r>
      <w:r w:rsidR="003903A3" w:rsidRPr="001B29DC">
        <w:rPr>
          <w:rFonts w:ascii="Times New Roman" w:hAnsi="Times New Roman"/>
          <w:color w:val="000000" w:themeColor="text1"/>
          <w:sz w:val="24"/>
          <w:szCs w:val="24"/>
          <w:lang w:eastAsia="en-GB"/>
        </w:rPr>
        <w:t xml:space="preserve">, </w:t>
      </w:r>
      <w:r w:rsidR="00AC2E58">
        <w:rPr>
          <w:rFonts w:ascii="Times New Roman" w:hAnsi="Times New Roman"/>
          <w:color w:val="000000" w:themeColor="text1"/>
          <w:sz w:val="24"/>
          <w:szCs w:val="24"/>
          <w:lang w:eastAsia="en-GB"/>
        </w:rPr>
        <w:t xml:space="preserve">pp. </w:t>
      </w:r>
      <w:r w:rsidR="003903A3" w:rsidRPr="001B29DC">
        <w:rPr>
          <w:rFonts w:ascii="Times New Roman" w:hAnsi="Times New Roman"/>
          <w:color w:val="000000" w:themeColor="text1"/>
          <w:sz w:val="24"/>
          <w:szCs w:val="24"/>
          <w:lang w:eastAsia="en-GB"/>
        </w:rPr>
        <w:t>181-205.</w:t>
      </w:r>
    </w:p>
    <w:p w14:paraId="00958EF4" w14:textId="77777777" w:rsidR="003903A3" w:rsidRPr="001B29DC" w:rsidRDefault="003903A3" w:rsidP="009611C5">
      <w:pPr>
        <w:pStyle w:val="BISReference"/>
        <w:ind w:left="0" w:right="-397" w:firstLine="0"/>
        <w:rPr>
          <w:rFonts w:ascii="Times New Roman" w:hAnsi="Times New Roman"/>
          <w:color w:val="000000" w:themeColor="text1"/>
          <w:sz w:val="24"/>
          <w:szCs w:val="24"/>
          <w:lang w:eastAsia="en-GB"/>
        </w:rPr>
      </w:pPr>
    </w:p>
    <w:p w14:paraId="0499DE04" w14:textId="06DABD4C" w:rsidR="000A3ABB" w:rsidRPr="001B29DC" w:rsidRDefault="00266975" w:rsidP="00266975">
      <w:pPr>
        <w:pStyle w:val="BISReference"/>
        <w:ind w:left="-397" w:right="-397" w:firstLine="0"/>
        <w:rPr>
          <w:rFonts w:ascii="Times New Roman" w:hAnsi="Times New Roman"/>
          <w:color w:val="000000" w:themeColor="text1"/>
          <w:sz w:val="24"/>
          <w:szCs w:val="24"/>
          <w:lang w:eastAsia="en-GB"/>
        </w:rPr>
      </w:pPr>
      <w:r w:rsidRPr="001B29DC">
        <w:rPr>
          <w:rFonts w:ascii="Times New Roman" w:hAnsi="Times New Roman"/>
          <w:color w:val="000000" w:themeColor="text1"/>
          <w:sz w:val="24"/>
          <w:szCs w:val="24"/>
          <w:lang w:eastAsia="en-GB"/>
        </w:rPr>
        <w:t xml:space="preserve">Anderson, E., </w:t>
      </w:r>
      <w:r w:rsidR="00E11FE5">
        <w:rPr>
          <w:rFonts w:ascii="Times New Roman" w:hAnsi="Times New Roman"/>
          <w:color w:val="000000" w:themeColor="text1"/>
          <w:sz w:val="24"/>
          <w:szCs w:val="24"/>
          <w:lang w:eastAsia="en-GB"/>
        </w:rPr>
        <w:t>(</w:t>
      </w:r>
      <w:r w:rsidRPr="001B29DC">
        <w:rPr>
          <w:rFonts w:ascii="Times New Roman" w:hAnsi="Times New Roman"/>
          <w:color w:val="000000" w:themeColor="text1"/>
          <w:sz w:val="24"/>
          <w:szCs w:val="24"/>
          <w:lang w:eastAsia="en-GB"/>
        </w:rPr>
        <w:t>1999</w:t>
      </w:r>
      <w:r w:rsidR="00E11FE5">
        <w:rPr>
          <w:rFonts w:ascii="Times New Roman" w:hAnsi="Times New Roman"/>
          <w:color w:val="000000" w:themeColor="text1"/>
          <w:sz w:val="24"/>
          <w:szCs w:val="24"/>
          <w:lang w:eastAsia="en-GB"/>
        </w:rPr>
        <w:t>)</w:t>
      </w:r>
      <w:r w:rsidR="003903A3" w:rsidRPr="001B29DC">
        <w:rPr>
          <w:rFonts w:ascii="Times New Roman" w:hAnsi="Times New Roman"/>
          <w:color w:val="000000" w:themeColor="text1"/>
          <w:sz w:val="24"/>
          <w:szCs w:val="24"/>
          <w:lang w:eastAsia="en-GB"/>
        </w:rPr>
        <w:t>, ‘Wh</w:t>
      </w:r>
      <w:r w:rsidR="00E11FE5">
        <w:rPr>
          <w:rFonts w:ascii="Times New Roman" w:hAnsi="Times New Roman"/>
          <w:color w:val="000000" w:themeColor="text1"/>
          <w:sz w:val="24"/>
          <w:szCs w:val="24"/>
          <w:lang w:eastAsia="en-GB"/>
        </w:rPr>
        <w:t>at is the Point of Equality?’,</w:t>
      </w:r>
      <w:r w:rsidR="003903A3" w:rsidRPr="001B29DC">
        <w:rPr>
          <w:rFonts w:ascii="Times New Roman" w:hAnsi="Times New Roman"/>
          <w:color w:val="000000" w:themeColor="text1"/>
          <w:sz w:val="24"/>
          <w:szCs w:val="24"/>
          <w:lang w:eastAsia="en-GB"/>
        </w:rPr>
        <w:t xml:space="preserve"> </w:t>
      </w:r>
      <w:r w:rsidR="003903A3" w:rsidRPr="00E11FE5">
        <w:rPr>
          <w:rFonts w:ascii="Times New Roman" w:hAnsi="Times New Roman"/>
          <w:i/>
          <w:color w:val="000000" w:themeColor="text1"/>
          <w:sz w:val="24"/>
          <w:szCs w:val="24"/>
          <w:lang w:eastAsia="en-GB"/>
        </w:rPr>
        <w:t>Ethics,</w:t>
      </w:r>
      <w:r w:rsidR="003903A3" w:rsidRPr="001B29DC">
        <w:rPr>
          <w:rFonts w:ascii="Times New Roman" w:hAnsi="Times New Roman"/>
          <w:color w:val="000000" w:themeColor="text1"/>
          <w:sz w:val="24"/>
          <w:szCs w:val="24"/>
          <w:lang w:eastAsia="en-GB"/>
        </w:rPr>
        <w:t xml:space="preserve"> 109, </w:t>
      </w:r>
      <w:r w:rsidR="007D5ECA">
        <w:rPr>
          <w:rFonts w:ascii="Times New Roman" w:hAnsi="Times New Roman"/>
          <w:color w:val="000000" w:themeColor="text1"/>
          <w:sz w:val="24"/>
          <w:szCs w:val="24"/>
          <w:lang w:eastAsia="en-GB"/>
        </w:rPr>
        <w:t xml:space="preserve">pp. </w:t>
      </w:r>
      <w:r w:rsidR="003903A3" w:rsidRPr="001B29DC">
        <w:rPr>
          <w:rFonts w:ascii="Times New Roman" w:hAnsi="Times New Roman"/>
          <w:color w:val="000000" w:themeColor="text1"/>
          <w:sz w:val="24"/>
          <w:szCs w:val="24"/>
          <w:lang w:eastAsia="en-GB"/>
        </w:rPr>
        <w:t>287-337</w:t>
      </w:r>
    </w:p>
    <w:p w14:paraId="1DE6FBD9" w14:textId="77777777" w:rsidR="000A6C2C" w:rsidRDefault="000A3ABB" w:rsidP="000A6C2C">
      <w:pPr>
        <w:pStyle w:val="BISReference"/>
        <w:spacing w:before="100" w:beforeAutospacing="1" w:after="100" w:afterAutospacing="1"/>
        <w:ind w:left="-397" w:right="-397" w:firstLine="0"/>
        <w:rPr>
          <w:rFonts w:ascii="Times New Roman" w:hAnsi="Times New Roman"/>
          <w:color w:val="000000"/>
          <w:sz w:val="24"/>
          <w:szCs w:val="24"/>
          <w:lang w:val="da-DK"/>
        </w:rPr>
      </w:pPr>
      <w:r w:rsidRPr="008D25A7">
        <w:rPr>
          <w:rFonts w:ascii="Times New Roman" w:hAnsi="Times New Roman"/>
          <w:color w:val="000000"/>
          <w:sz w:val="24"/>
          <w:szCs w:val="24"/>
          <w:lang w:val="da-DK"/>
        </w:rPr>
        <w:t xml:space="preserve">Anker, N., </w:t>
      </w:r>
      <w:r w:rsidR="00E11FE5">
        <w:rPr>
          <w:rFonts w:ascii="Times New Roman" w:hAnsi="Times New Roman"/>
          <w:color w:val="000000"/>
          <w:sz w:val="24"/>
          <w:szCs w:val="24"/>
          <w:lang w:val="da-DK"/>
        </w:rPr>
        <w:t>(</w:t>
      </w:r>
      <w:r w:rsidRPr="008D25A7">
        <w:rPr>
          <w:rFonts w:ascii="Times New Roman" w:hAnsi="Times New Roman"/>
          <w:color w:val="000000"/>
          <w:sz w:val="24"/>
          <w:szCs w:val="24"/>
          <w:lang w:val="da-DK"/>
        </w:rPr>
        <w:t>1998</w:t>
      </w:r>
      <w:r w:rsidR="00E11FE5">
        <w:rPr>
          <w:rFonts w:ascii="Times New Roman" w:hAnsi="Times New Roman"/>
          <w:color w:val="000000"/>
          <w:sz w:val="24"/>
          <w:szCs w:val="24"/>
          <w:lang w:val="da-DK"/>
        </w:rPr>
        <w:t>)</w:t>
      </w:r>
      <w:r w:rsidRPr="008D25A7">
        <w:rPr>
          <w:rFonts w:ascii="Times New Roman" w:hAnsi="Times New Roman"/>
          <w:color w:val="000000"/>
          <w:sz w:val="24"/>
          <w:szCs w:val="24"/>
          <w:lang w:val="da-DK"/>
        </w:rPr>
        <w:t xml:space="preserve">, Eleverne, Virksomhederne og de </w:t>
      </w:r>
      <w:proofErr w:type="spellStart"/>
      <w:r w:rsidRPr="008D25A7">
        <w:rPr>
          <w:rFonts w:ascii="Times New Roman" w:hAnsi="Times New Roman"/>
          <w:color w:val="000000"/>
          <w:sz w:val="24"/>
          <w:szCs w:val="24"/>
          <w:lang w:val="da-DK"/>
        </w:rPr>
        <w:t>Nyudlærte</w:t>
      </w:r>
      <w:proofErr w:type="spellEnd"/>
      <w:r w:rsidRPr="008D25A7">
        <w:rPr>
          <w:rFonts w:ascii="Times New Roman" w:hAnsi="Times New Roman"/>
          <w:color w:val="000000"/>
          <w:sz w:val="24"/>
          <w:szCs w:val="24"/>
          <w:lang w:val="da-DK"/>
        </w:rPr>
        <w:t xml:space="preserve">’, </w:t>
      </w:r>
      <w:proofErr w:type="spellStart"/>
      <w:r w:rsidRPr="008D25A7">
        <w:rPr>
          <w:rFonts w:ascii="Times New Roman" w:hAnsi="Times New Roman"/>
          <w:color w:val="000000"/>
          <w:sz w:val="24"/>
          <w:szCs w:val="24"/>
          <w:lang w:val="da-DK"/>
        </w:rPr>
        <w:t>PhD</w:t>
      </w:r>
      <w:proofErr w:type="spellEnd"/>
      <w:r w:rsidRPr="008D25A7">
        <w:rPr>
          <w:rFonts w:ascii="Times New Roman" w:hAnsi="Times New Roman"/>
          <w:color w:val="000000"/>
          <w:sz w:val="24"/>
          <w:szCs w:val="24"/>
          <w:lang w:val="da-DK"/>
        </w:rPr>
        <w:t xml:space="preserve"> serie 7.98, </w:t>
      </w:r>
      <w:proofErr w:type="spellStart"/>
      <w:r w:rsidRPr="00E11FE5">
        <w:rPr>
          <w:rFonts w:ascii="Times New Roman" w:hAnsi="Times New Roman"/>
          <w:i/>
          <w:color w:val="000000"/>
          <w:sz w:val="24"/>
          <w:szCs w:val="24"/>
          <w:lang w:val="da-DK"/>
        </w:rPr>
        <w:t>SocialForskningsinstitutet</w:t>
      </w:r>
      <w:proofErr w:type="spellEnd"/>
      <w:r w:rsidRPr="008D25A7">
        <w:rPr>
          <w:rFonts w:ascii="Times New Roman" w:hAnsi="Times New Roman"/>
          <w:color w:val="000000"/>
          <w:sz w:val="24"/>
          <w:szCs w:val="24"/>
          <w:lang w:val="da-DK"/>
        </w:rPr>
        <w:t>, Danmark.</w:t>
      </w:r>
    </w:p>
    <w:p w14:paraId="4158823D" w14:textId="77777777" w:rsidR="000A6C2C" w:rsidRPr="00D443B1" w:rsidRDefault="000A6C2C" w:rsidP="000A3ABB">
      <w:pPr>
        <w:pStyle w:val="BISReference"/>
        <w:spacing w:before="100" w:beforeAutospacing="1" w:after="100" w:afterAutospacing="1"/>
        <w:ind w:left="-397" w:right="-397" w:firstLine="0"/>
        <w:rPr>
          <w:rFonts w:ascii="Times New Roman" w:hAnsi="Times New Roman"/>
          <w:color w:val="000000" w:themeColor="text1"/>
          <w:sz w:val="24"/>
          <w:szCs w:val="24"/>
        </w:rPr>
      </w:pPr>
      <w:r w:rsidRPr="00276019">
        <w:rPr>
          <w:rFonts w:ascii="Times New Roman" w:hAnsi="Times New Roman"/>
          <w:color w:val="000000"/>
          <w:sz w:val="24"/>
          <w:szCs w:val="24"/>
        </w:rPr>
        <w:t xml:space="preserve">Archer, R., </w:t>
      </w:r>
      <w:r w:rsidR="00E11FE5">
        <w:rPr>
          <w:rFonts w:ascii="Times New Roman" w:hAnsi="Times New Roman"/>
          <w:color w:val="000000"/>
          <w:sz w:val="24"/>
          <w:szCs w:val="24"/>
        </w:rPr>
        <w:t>(</w:t>
      </w:r>
      <w:r w:rsidRPr="00276019">
        <w:rPr>
          <w:rFonts w:ascii="Times New Roman" w:hAnsi="Times New Roman"/>
          <w:color w:val="000000"/>
          <w:sz w:val="24"/>
          <w:szCs w:val="24"/>
        </w:rPr>
        <w:t>2010</w:t>
      </w:r>
      <w:r w:rsidR="00E11FE5">
        <w:rPr>
          <w:rFonts w:ascii="Times New Roman" w:hAnsi="Times New Roman"/>
          <w:color w:val="000000"/>
          <w:sz w:val="24"/>
          <w:szCs w:val="24"/>
        </w:rPr>
        <w:t xml:space="preserve">), </w:t>
      </w:r>
      <w:r w:rsidR="00E11FE5" w:rsidRPr="00E11FE5">
        <w:rPr>
          <w:rFonts w:ascii="Times New Roman" w:hAnsi="Times New Roman"/>
          <w:i/>
          <w:color w:val="000000"/>
          <w:sz w:val="24"/>
          <w:szCs w:val="24"/>
        </w:rPr>
        <w:t xml:space="preserve">Why is There </w:t>
      </w:r>
      <w:r w:rsidRPr="00E11FE5">
        <w:rPr>
          <w:rFonts w:ascii="Times New Roman" w:hAnsi="Times New Roman"/>
          <w:i/>
          <w:color w:val="000000"/>
          <w:sz w:val="24"/>
          <w:szCs w:val="24"/>
        </w:rPr>
        <w:t>No Labo</w:t>
      </w:r>
      <w:r w:rsidR="00E11FE5" w:rsidRPr="00E11FE5">
        <w:rPr>
          <w:rFonts w:ascii="Times New Roman" w:hAnsi="Times New Roman"/>
          <w:i/>
          <w:color w:val="000000"/>
          <w:sz w:val="24"/>
          <w:szCs w:val="24"/>
        </w:rPr>
        <w:t xml:space="preserve">ur </w:t>
      </w:r>
      <w:r w:rsidRPr="00E11FE5">
        <w:rPr>
          <w:rFonts w:ascii="Times New Roman" w:hAnsi="Times New Roman"/>
          <w:i/>
          <w:color w:val="000000"/>
          <w:sz w:val="24"/>
          <w:szCs w:val="24"/>
        </w:rPr>
        <w:t xml:space="preserve">Party in the </w:t>
      </w:r>
      <w:r w:rsidRPr="00D443B1">
        <w:rPr>
          <w:rFonts w:ascii="Times New Roman" w:hAnsi="Times New Roman"/>
          <w:i/>
          <w:color w:val="000000"/>
          <w:sz w:val="24"/>
          <w:szCs w:val="24"/>
        </w:rPr>
        <w:t>United States?</w:t>
      </w:r>
      <w:r w:rsidRPr="00D443B1">
        <w:rPr>
          <w:rFonts w:ascii="Times New Roman" w:hAnsi="Times New Roman"/>
          <w:color w:val="000000"/>
          <w:sz w:val="24"/>
          <w:szCs w:val="24"/>
        </w:rPr>
        <w:t xml:space="preserve"> Princeton: Princeton University Press</w:t>
      </w:r>
    </w:p>
    <w:p w14:paraId="7B8946DE" w14:textId="77777777" w:rsidR="003903A3" w:rsidRPr="007E06CA" w:rsidRDefault="00266975" w:rsidP="003903A3">
      <w:pPr>
        <w:pStyle w:val="BISReference"/>
        <w:spacing w:before="100" w:beforeAutospacing="1" w:after="100" w:afterAutospacing="1"/>
        <w:ind w:left="-397" w:right="-397" w:firstLine="0"/>
        <w:rPr>
          <w:rStyle w:val="Emphasis"/>
          <w:rFonts w:ascii="Times New Roman" w:hAnsi="Times New Roman"/>
          <w:color w:val="000000" w:themeColor="text1"/>
          <w:sz w:val="24"/>
          <w:szCs w:val="24"/>
        </w:rPr>
      </w:pPr>
      <w:r w:rsidRPr="00D443B1">
        <w:rPr>
          <w:rFonts w:ascii="Times New Roman" w:hAnsi="Times New Roman"/>
          <w:color w:val="000000" w:themeColor="text1"/>
          <w:sz w:val="24"/>
          <w:szCs w:val="24"/>
        </w:rPr>
        <w:t xml:space="preserve">Arneson, R., </w:t>
      </w:r>
      <w:r w:rsidR="00E11FE5" w:rsidRPr="00D443B1">
        <w:rPr>
          <w:rFonts w:ascii="Times New Roman" w:hAnsi="Times New Roman"/>
          <w:color w:val="000000" w:themeColor="text1"/>
          <w:sz w:val="24"/>
          <w:szCs w:val="24"/>
        </w:rPr>
        <w:t>(</w:t>
      </w:r>
      <w:r w:rsidRPr="00D443B1">
        <w:rPr>
          <w:rFonts w:ascii="Times New Roman" w:hAnsi="Times New Roman"/>
          <w:color w:val="000000" w:themeColor="text1"/>
          <w:sz w:val="24"/>
          <w:szCs w:val="24"/>
        </w:rPr>
        <w:t>2013</w:t>
      </w:r>
      <w:r w:rsidR="00E11FE5" w:rsidRPr="00D443B1">
        <w:rPr>
          <w:rFonts w:ascii="Times New Roman" w:hAnsi="Times New Roman"/>
          <w:color w:val="000000" w:themeColor="text1"/>
          <w:sz w:val="24"/>
          <w:szCs w:val="24"/>
        </w:rPr>
        <w:t>)</w:t>
      </w:r>
      <w:r w:rsidR="003903A3" w:rsidRPr="00D443B1">
        <w:rPr>
          <w:rFonts w:ascii="Times New Roman" w:hAnsi="Times New Roman"/>
          <w:color w:val="000000" w:themeColor="text1"/>
          <w:sz w:val="24"/>
          <w:szCs w:val="24"/>
        </w:rPr>
        <w:t xml:space="preserve">, </w:t>
      </w:r>
      <w:hyperlink r:id="rId10" w:history="1">
        <w:r w:rsidR="000A3ABB" w:rsidRPr="00D443B1">
          <w:rPr>
            <w:rStyle w:val="Hyperlink"/>
            <w:rFonts w:ascii="Times New Roman" w:hAnsi="Times New Roman"/>
            <w:color w:val="000000" w:themeColor="text1"/>
            <w:sz w:val="24"/>
            <w:szCs w:val="24"/>
            <w:u w:val="none"/>
          </w:rPr>
          <w:t xml:space="preserve">"From Primary </w:t>
        </w:r>
        <w:r w:rsidR="0065215D" w:rsidRPr="00D443B1">
          <w:rPr>
            <w:rStyle w:val="Hyperlink"/>
            <w:rFonts w:ascii="Times New Roman" w:hAnsi="Times New Roman"/>
            <w:color w:val="000000" w:themeColor="text1"/>
            <w:sz w:val="24"/>
            <w:szCs w:val="24"/>
            <w:u w:val="none"/>
          </w:rPr>
          <w:t>G</w:t>
        </w:r>
        <w:r w:rsidR="003903A3" w:rsidRPr="00D443B1">
          <w:rPr>
            <w:rStyle w:val="Hyperlink"/>
            <w:rFonts w:ascii="Times New Roman" w:hAnsi="Times New Roman"/>
            <w:color w:val="000000" w:themeColor="text1"/>
            <w:sz w:val="24"/>
            <w:szCs w:val="24"/>
            <w:u w:val="none"/>
          </w:rPr>
          <w:t>oods to Capabilities to Well-Being</w:t>
        </w:r>
      </w:hyperlink>
      <w:r w:rsidR="0065215D" w:rsidRPr="00D443B1">
        <w:rPr>
          <w:rFonts w:ascii="Times New Roman" w:hAnsi="Times New Roman"/>
          <w:color w:val="000000" w:themeColor="text1"/>
          <w:sz w:val="24"/>
          <w:szCs w:val="24"/>
        </w:rPr>
        <w:t xml:space="preserve">," </w:t>
      </w:r>
      <w:r w:rsidR="003903A3" w:rsidRPr="00D443B1">
        <w:rPr>
          <w:rFonts w:ascii="Times New Roman" w:hAnsi="Times New Roman"/>
          <w:color w:val="000000" w:themeColor="text1"/>
          <w:sz w:val="24"/>
          <w:szCs w:val="24"/>
        </w:rPr>
        <w:t xml:space="preserve"> </w:t>
      </w:r>
      <w:r w:rsidR="003903A3" w:rsidRPr="00D443B1">
        <w:rPr>
          <w:rStyle w:val="Emphasis"/>
          <w:rFonts w:ascii="Times New Roman" w:hAnsi="Times New Roman"/>
          <w:b w:val="0"/>
          <w:i/>
          <w:color w:val="000000" w:themeColor="text1"/>
          <w:sz w:val="24"/>
          <w:szCs w:val="24"/>
        </w:rPr>
        <w:t>Critical Reviews in Social and Political Philosophy</w:t>
      </w:r>
      <w:r w:rsidR="003903A3" w:rsidRPr="00E11FE5">
        <w:rPr>
          <w:rStyle w:val="Emphasis"/>
          <w:rFonts w:ascii="Times New Roman" w:hAnsi="Times New Roman"/>
          <w:color w:val="000000" w:themeColor="text1"/>
          <w:sz w:val="24"/>
          <w:szCs w:val="24"/>
        </w:rPr>
        <w:t xml:space="preserve"> </w:t>
      </w:r>
      <w:r w:rsidR="003903A3" w:rsidRPr="00E11FE5">
        <w:rPr>
          <w:rFonts w:ascii="Times New Roman" w:hAnsi="Times New Roman"/>
          <w:color w:val="000000" w:themeColor="text1"/>
          <w:sz w:val="24"/>
          <w:szCs w:val="24"/>
        </w:rPr>
        <w:t>(2013)</w:t>
      </w:r>
      <w:r w:rsidR="003903A3" w:rsidRPr="00E11FE5">
        <w:rPr>
          <w:rStyle w:val="Emphasis"/>
          <w:rFonts w:ascii="Times New Roman" w:hAnsi="Times New Roman"/>
          <w:color w:val="000000" w:themeColor="text1"/>
          <w:sz w:val="24"/>
          <w:szCs w:val="24"/>
        </w:rPr>
        <w:t>.</w:t>
      </w:r>
      <w:r w:rsidR="003903A3" w:rsidRPr="00E11FE5">
        <w:rPr>
          <w:rFonts w:ascii="Times New Roman" w:hAnsi="Times New Roman"/>
          <w:color w:val="000000" w:themeColor="text1"/>
          <w:sz w:val="24"/>
          <w:szCs w:val="24"/>
        </w:rPr>
        <w:t xml:space="preserve"> </w:t>
      </w:r>
      <w:hyperlink r:id="rId11" w:history="1">
        <w:r w:rsidR="003903A3" w:rsidRPr="00E11FE5">
          <w:rPr>
            <w:rStyle w:val="Hyperlink"/>
            <w:rFonts w:ascii="Times New Roman" w:hAnsi="Times New Roman"/>
            <w:color w:val="000000" w:themeColor="text1"/>
            <w:sz w:val="24"/>
            <w:szCs w:val="24"/>
          </w:rPr>
          <w:t>http://philosophyfaculty.ucsd.edu/faculty/rarneson/my%20papers/Senrev.pdf</w:t>
        </w:r>
      </w:hyperlink>
    </w:p>
    <w:p w14:paraId="5C70BFF6" w14:textId="77777777" w:rsidR="003903A3" w:rsidRPr="001B29DC" w:rsidRDefault="003903A3" w:rsidP="003903A3">
      <w:pPr>
        <w:pStyle w:val="BISReference"/>
        <w:spacing w:before="100" w:beforeAutospacing="1" w:after="100" w:afterAutospacing="1"/>
        <w:ind w:left="-397" w:right="-397" w:firstLine="0"/>
        <w:rPr>
          <w:rFonts w:ascii="Times New Roman" w:hAnsi="Times New Roman"/>
          <w:color w:val="000000"/>
          <w:sz w:val="24"/>
          <w:szCs w:val="24"/>
        </w:rPr>
      </w:pPr>
      <w:r w:rsidRPr="001B29DC">
        <w:rPr>
          <w:rFonts w:ascii="Times New Roman" w:hAnsi="Times New Roman"/>
          <w:sz w:val="24"/>
          <w:szCs w:val="24"/>
        </w:rPr>
        <w:t>Atkinson, A. B.</w:t>
      </w:r>
      <w:r w:rsidR="00E11FE5">
        <w:rPr>
          <w:rFonts w:ascii="Times New Roman" w:hAnsi="Times New Roman"/>
          <w:sz w:val="24"/>
          <w:szCs w:val="24"/>
        </w:rPr>
        <w:t>,</w:t>
      </w:r>
      <w:r w:rsidRPr="001B29DC">
        <w:rPr>
          <w:rFonts w:ascii="Times New Roman" w:hAnsi="Times New Roman"/>
          <w:sz w:val="24"/>
          <w:szCs w:val="24"/>
        </w:rPr>
        <w:t xml:space="preserve"> </w:t>
      </w:r>
      <w:r w:rsidR="00E11FE5">
        <w:rPr>
          <w:rFonts w:ascii="Times New Roman" w:hAnsi="Times New Roman"/>
          <w:sz w:val="24"/>
          <w:szCs w:val="24"/>
        </w:rPr>
        <w:t>(</w:t>
      </w:r>
      <w:r w:rsidRPr="001B29DC">
        <w:rPr>
          <w:rFonts w:ascii="Times New Roman" w:hAnsi="Times New Roman"/>
          <w:sz w:val="24"/>
          <w:szCs w:val="24"/>
        </w:rPr>
        <w:t>2015</w:t>
      </w:r>
      <w:r w:rsidR="00E11FE5">
        <w:rPr>
          <w:rFonts w:ascii="Times New Roman" w:hAnsi="Times New Roman"/>
          <w:sz w:val="24"/>
          <w:szCs w:val="24"/>
        </w:rPr>
        <w:t>)</w:t>
      </w:r>
      <w:r w:rsidRPr="001B29DC">
        <w:rPr>
          <w:rFonts w:ascii="Times New Roman" w:hAnsi="Times New Roman"/>
          <w:sz w:val="24"/>
          <w:szCs w:val="24"/>
        </w:rPr>
        <w:t xml:space="preserve">, </w:t>
      </w:r>
      <w:r w:rsidRPr="00E11FE5">
        <w:rPr>
          <w:rFonts w:ascii="Times New Roman" w:hAnsi="Times New Roman"/>
          <w:i/>
          <w:sz w:val="24"/>
          <w:szCs w:val="24"/>
        </w:rPr>
        <w:t>Inequality,</w:t>
      </w:r>
      <w:r w:rsidRPr="001B29DC">
        <w:rPr>
          <w:rFonts w:ascii="Times New Roman" w:hAnsi="Times New Roman"/>
          <w:sz w:val="24"/>
          <w:szCs w:val="24"/>
        </w:rPr>
        <w:t xml:space="preserve"> Harvard</w:t>
      </w:r>
      <w:r w:rsidR="00E11FE5">
        <w:rPr>
          <w:rFonts w:ascii="Times New Roman" w:hAnsi="Times New Roman"/>
          <w:sz w:val="24"/>
          <w:szCs w:val="24"/>
        </w:rPr>
        <w:t>: Harvard</w:t>
      </w:r>
      <w:r w:rsidRPr="001B29DC">
        <w:rPr>
          <w:rFonts w:ascii="Times New Roman" w:hAnsi="Times New Roman"/>
          <w:sz w:val="24"/>
          <w:szCs w:val="24"/>
        </w:rPr>
        <w:t xml:space="preserve"> University Press.</w:t>
      </w:r>
    </w:p>
    <w:p w14:paraId="6C813062" w14:textId="77777777" w:rsidR="00EC71F7" w:rsidRDefault="00EC71F7" w:rsidP="00EC71F7">
      <w:pPr>
        <w:pStyle w:val="BISReference"/>
        <w:spacing w:before="100" w:beforeAutospacing="1" w:after="100" w:afterAutospacing="1"/>
        <w:ind w:left="-397" w:right="-397" w:firstLine="0"/>
        <w:rPr>
          <w:rFonts w:ascii="Times New Roman" w:hAnsi="Times New Roman"/>
          <w:color w:val="000000"/>
          <w:sz w:val="24"/>
          <w:szCs w:val="24"/>
        </w:rPr>
      </w:pPr>
      <w:r>
        <w:rPr>
          <w:rFonts w:ascii="Times New Roman" w:hAnsi="Times New Roman"/>
          <w:color w:val="000000"/>
          <w:sz w:val="24"/>
          <w:szCs w:val="24"/>
        </w:rPr>
        <w:t xml:space="preserve">Bates, R., </w:t>
      </w:r>
      <w:r w:rsidR="00E11FE5">
        <w:rPr>
          <w:rFonts w:ascii="Times New Roman" w:hAnsi="Times New Roman"/>
          <w:color w:val="000000"/>
          <w:sz w:val="24"/>
          <w:szCs w:val="24"/>
        </w:rPr>
        <w:t>(</w:t>
      </w:r>
      <w:r>
        <w:rPr>
          <w:rFonts w:ascii="Times New Roman" w:hAnsi="Times New Roman"/>
          <w:color w:val="000000"/>
          <w:sz w:val="24"/>
          <w:szCs w:val="24"/>
        </w:rPr>
        <w:t>2006</w:t>
      </w:r>
      <w:r w:rsidR="00E11FE5">
        <w:rPr>
          <w:rFonts w:ascii="Times New Roman" w:hAnsi="Times New Roman"/>
          <w:color w:val="000000"/>
          <w:sz w:val="24"/>
          <w:szCs w:val="24"/>
        </w:rPr>
        <w:t>)</w:t>
      </w:r>
      <w:r>
        <w:rPr>
          <w:rFonts w:ascii="Times New Roman" w:hAnsi="Times New Roman"/>
          <w:color w:val="000000"/>
          <w:sz w:val="24"/>
          <w:szCs w:val="24"/>
        </w:rPr>
        <w:t xml:space="preserve">, ‘The Role of the State in Development’, </w:t>
      </w:r>
      <w:r w:rsidRPr="00E11FE5">
        <w:rPr>
          <w:rFonts w:ascii="Times New Roman" w:hAnsi="Times New Roman"/>
          <w:i/>
          <w:color w:val="000000"/>
          <w:sz w:val="24"/>
          <w:szCs w:val="24"/>
        </w:rPr>
        <w:t>The Oxford Handbook of Political Economy</w:t>
      </w:r>
      <w:r>
        <w:rPr>
          <w:rFonts w:ascii="Times New Roman" w:hAnsi="Times New Roman"/>
          <w:color w:val="000000"/>
          <w:sz w:val="24"/>
          <w:szCs w:val="24"/>
        </w:rPr>
        <w:t>, Ox</w:t>
      </w:r>
      <w:r w:rsidR="00E11FE5">
        <w:rPr>
          <w:rFonts w:ascii="Times New Roman" w:hAnsi="Times New Roman"/>
          <w:color w:val="000000"/>
          <w:sz w:val="24"/>
          <w:szCs w:val="24"/>
        </w:rPr>
        <w:t xml:space="preserve">ford: Oxford University Press, </w:t>
      </w:r>
      <w:r>
        <w:rPr>
          <w:rFonts w:ascii="Times New Roman" w:hAnsi="Times New Roman"/>
          <w:color w:val="000000"/>
          <w:sz w:val="24"/>
          <w:szCs w:val="24"/>
        </w:rPr>
        <w:t>pp.708-721</w:t>
      </w:r>
    </w:p>
    <w:p w14:paraId="332A0EA5" w14:textId="77777777" w:rsidR="005C1A82" w:rsidRDefault="003903A3" w:rsidP="005C1A82">
      <w:pPr>
        <w:pStyle w:val="BISReference"/>
        <w:spacing w:before="100" w:beforeAutospacing="1" w:after="100" w:afterAutospacing="1"/>
        <w:ind w:left="-397" w:right="-397" w:firstLine="0"/>
        <w:rPr>
          <w:rFonts w:ascii="Times New Roman" w:eastAsiaTheme="minorHAnsi" w:hAnsi="Times New Roman"/>
          <w:color w:val="000000" w:themeColor="text1"/>
          <w:sz w:val="24"/>
          <w:szCs w:val="24"/>
          <w:lang w:eastAsia="en-US"/>
        </w:rPr>
      </w:pPr>
      <w:r w:rsidRPr="007E06CA">
        <w:rPr>
          <w:rFonts w:ascii="Times New Roman" w:eastAsiaTheme="minorHAnsi" w:hAnsi="Times New Roman"/>
          <w:color w:val="000000" w:themeColor="text1"/>
          <w:sz w:val="24"/>
          <w:szCs w:val="24"/>
          <w:lang w:eastAsia="en-US"/>
        </w:rPr>
        <w:t xml:space="preserve">Beveridge, W., </w:t>
      </w:r>
      <w:r w:rsidR="00E11FE5">
        <w:rPr>
          <w:rFonts w:ascii="Times New Roman" w:eastAsiaTheme="minorHAnsi" w:hAnsi="Times New Roman"/>
          <w:color w:val="000000" w:themeColor="text1"/>
          <w:sz w:val="24"/>
          <w:szCs w:val="24"/>
          <w:lang w:eastAsia="en-US"/>
        </w:rPr>
        <w:t>(</w:t>
      </w:r>
      <w:r w:rsidRPr="007E06CA">
        <w:rPr>
          <w:rFonts w:ascii="Times New Roman" w:eastAsiaTheme="minorHAnsi" w:hAnsi="Times New Roman"/>
          <w:color w:val="000000" w:themeColor="text1"/>
          <w:sz w:val="24"/>
          <w:szCs w:val="24"/>
          <w:lang w:eastAsia="en-US"/>
        </w:rPr>
        <w:t>1942</w:t>
      </w:r>
      <w:r w:rsidR="00E11FE5">
        <w:rPr>
          <w:rFonts w:ascii="Times New Roman" w:eastAsiaTheme="minorHAnsi" w:hAnsi="Times New Roman"/>
          <w:color w:val="000000" w:themeColor="text1"/>
          <w:sz w:val="24"/>
          <w:szCs w:val="24"/>
          <w:lang w:eastAsia="en-US"/>
        </w:rPr>
        <w:t>)</w:t>
      </w:r>
      <w:r w:rsidRPr="007E06CA">
        <w:rPr>
          <w:rFonts w:ascii="Times New Roman" w:eastAsiaTheme="minorHAnsi" w:hAnsi="Times New Roman"/>
          <w:color w:val="000000" w:themeColor="text1"/>
          <w:sz w:val="24"/>
          <w:szCs w:val="24"/>
          <w:lang w:eastAsia="en-US"/>
        </w:rPr>
        <w:t xml:space="preserve">, </w:t>
      </w:r>
      <w:r w:rsidRPr="007E06CA">
        <w:rPr>
          <w:rFonts w:ascii="Times New Roman" w:eastAsiaTheme="minorHAnsi" w:hAnsi="Times New Roman"/>
          <w:i/>
          <w:iCs/>
          <w:color w:val="000000" w:themeColor="text1"/>
          <w:sz w:val="24"/>
          <w:szCs w:val="24"/>
          <w:lang w:eastAsia="en-US"/>
        </w:rPr>
        <w:t>Social Insurance and</w:t>
      </w:r>
      <w:r w:rsidRPr="001B29DC">
        <w:rPr>
          <w:rFonts w:ascii="Times New Roman" w:eastAsiaTheme="minorHAnsi" w:hAnsi="Times New Roman"/>
          <w:i/>
          <w:iCs/>
          <w:color w:val="000000" w:themeColor="text1"/>
          <w:sz w:val="24"/>
          <w:szCs w:val="24"/>
          <w:lang w:eastAsia="en-US"/>
        </w:rPr>
        <w:t xml:space="preserve"> Allied Services</w:t>
      </w:r>
      <w:r w:rsidRPr="001B29DC">
        <w:rPr>
          <w:rFonts w:ascii="Times New Roman" w:eastAsiaTheme="minorHAnsi" w:hAnsi="Times New Roman"/>
          <w:color w:val="000000" w:themeColor="text1"/>
          <w:sz w:val="24"/>
          <w:szCs w:val="24"/>
          <w:lang w:eastAsia="en-US"/>
        </w:rPr>
        <w:t>. London: HMSO.</w:t>
      </w:r>
    </w:p>
    <w:p w14:paraId="6F80B145" w14:textId="77777777" w:rsidR="005C1A82" w:rsidRPr="001B29DC" w:rsidRDefault="005C1A82" w:rsidP="000665FC">
      <w:pPr>
        <w:pStyle w:val="BISReference"/>
        <w:spacing w:before="100" w:beforeAutospacing="1" w:after="100" w:afterAutospacing="1"/>
        <w:ind w:left="-397" w:right="-397" w:firstLine="0"/>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t>Birnbaum, S.</w:t>
      </w:r>
      <w:proofErr w:type="gramStart"/>
      <w:r>
        <w:rPr>
          <w:rFonts w:ascii="Times New Roman" w:eastAsiaTheme="minorHAnsi" w:hAnsi="Times New Roman"/>
          <w:color w:val="000000" w:themeColor="text1"/>
          <w:sz w:val="24"/>
          <w:szCs w:val="24"/>
          <w:lang w:eastAsia="en-US"/>
        </w:rPr>
        <w:t xml:space="preserve">,  </w:t>
      </w:r>
      <w:r w:rsidR="00E11FE5">
        <w:rPr>
          <w:rFonts w:ascii="Times New Roman" w:eastAsiaTheme="minorHAnsi" w:hAnsi="Times New Roman"/>
          <w:color w:val="000000" w:themeColor="text1"/>
          <w:sz w:val="24"/>
          <w:szCs w:val="24"/>
          <w:lang w:eastAsia="en-US"/>
        </w:rPr>
        <w:t>(</w:t>
      </w:r>
      <w:proofErr w:type="gramEnd"/>
      <w:r>
        <w:rPr>
          <w:rFonts w:ascii="Times New Roman" w:eastAsiaTheme="minorHAnsi" w:hAnsi="Times New Roman"/>
          <w:color w:val="000000" w:themeColor="text1"/>
          <w:sz w:val="24"/>
          <w:szCs w:val="24"/>
          <w:lang w:eastAsia="en-US"/>
        </w:rPr>
        <w:t>2012</w:t>
      </w:r>
      <w:r w:rsidR="00E11FE5">
        <w:rPr>
          <w:rFonts w:ascii="Times New Roman" w:eastAsiaTheme="minorHAnsi" w:hAnsi="Times New Roman"/>
          <w:color w:val="000000" w:themeColor="text1"/>
          <w:sz w:val="24"/>
          <w:szCs w:val="24"/>
          <w:lang w:eastAsia="en-US"/>
        </w:rPr>
        <w:t>),</w:t>
      </w:r>
      <w:r>
        <w:rPr>
          <w:rFonts w:ascii="Times New Roman" w:eastAsiaTheme="minorHAnsi" w:hAnsi="Times New Roman"/>
          <w:color w:val="000000" w:themeColor="text1"/>
          <w:sz w:val="24"/>
          <w:szCs w:val="24"/>
          <w:lang w:eastAsia="en-US"/>
        </w:rPr>
        <w:t xml:space="preserve">  </w:t>
      </w:r>
      <w:r w:rsidRPr="00E11FE5">
        <w:rPr>
          <w:rFonts w:ascii="Times New Roman" w:eastAsiaTheme="minorHAnsi" w:hAnsi="Times New Roman"/>
          <w:i/>
          <w:color w:val="000000" w:themeColor="text1"/>
          <w:sz w:val="24"/>
          <w:szCs w:val="24"/>
          <w:lang w:eastAsia="en-US"/>
        </w:rPr>
        <w:t>Basic Income Reconsidered</w:t>
      </w:r>
      <w:r>
        <w:rPr>
          <w:rFonts w:ascii="Times New Roman" w:eastAsiaTheme="minorHAnsi" w:hAnsi="Times New Roman"/>
          <w:color w:val="000000" w:themeColor="text1"/>
          <w:sz w:val="24"/>
          <w:szCs w:val="24"/>
          <w:lang w:eastAsia="en-US"/>
        </w:rPr>
        <w:t>, Basingstoke: Palgrave</w:t>
      </w:r>
    </w:p>
    <w:p w14:paraId="371DA265" w14:textId="77777777" w:rsidR="00CC0701" w:rsidRPr="00835895" w:rsidRDefault="000665FC" w:rsidP="00835895">
      <w:pPr>
        <w:pStyle w:val="BISReference"/>
        <w:spacing w:before="100" w:beforeAutospacing="1" w:after="100" w:afterAutospacing="1"/>
        <w:ind w:left="-397" w:right="-397" w:firstLine="0"/>
        <w:rPr>
          <w:rFonts w:ascii="Times New Roman" w:hAnsi="Times New Roman"/>
          <w:color w:val="000000" w:themeColor="text1"/>
          <w:sz w:val="24"/>
          <w:szCs w:val="24"/>
        </w:rPr>
      </w:pPr>
      <w:proofErr w:type="spellStart"/>
      <w:r w:rsidRPr="001B29DC">
        <w:rPr>
          <w:rFonts w:ascii="Times New Roman" w:eastAsiaTheme="minorHAnsi" w:hAnsi="Times New Roman"/>
          <w:color w:val="000000" w:themeColor="text1"/>
          <w:sz w:val="24"/>
          <w:szCs w:val="24"/>
          <w:lang w:eastAsia="en-US"/>
        </w:rPr>
        <w:t>Bloksgaard</w:t>
      </w:r>
      <w:proofErr w:type="spellEnd"/>
      <w:r w:rsidRPr="001B29DC">
        <w:rPr>
          <w:rFonts w:ascii="Times New Roman" w:eastAsiaTheme="minorHAnsi" w:hAnsi="Times New Roman"/>
          <w:color w:val="000000" w:themeColor="text1"/>
          <w:sz w:val="24"/>
          <w:szCs w:val="24"/>
          <w:lang w:eastAsia="en-US"/>
        </w:rPr>
        <w:t xml:space="preserve">, L. </w:t>
      </w:r>
      <w:r w:rsidR="00E11FE5">
        <w:rPr>
          <w:rFonts w:ascii="Times New Roman" w:eastAsiaTheme="minorHAnsi" w:hAnsi="Times New Roman"/>
          <w:color w:val="000000" w:themeColor="text1"/>
          <w:sz w:val="24"/>
          <w:szCs w:val="24"/>
          <w:lang w:eastAsia="en-US"/>
        </w:rPr>
        <w:t>(</w:t>
      </w:r>
      <w:r w:rsidRPr="001B29DC">
        <w:rPr>
          <w:rFonts w:ascii="Times New Roman" w:eastAsiaTheme="minorHAnsi" w:hAnsi="Times New Roman"/>
          <w:color w:val="000000" w:themeColor="text1"/>
          <w:sz w:val="24"/>
          <w:szCs w:val="24"/>
          <w:lang w:eastAsia="en-US"/>
        </w:rPr>
        <w:t>2015</w:t>
      </w:r>
      <w:r w:rsidR="00E11FE5">
        <w:rPr>
          <w:rFonts w:ascii="Times New Roman" w:eastAsiaTheme="minorHAnsi" w:hAnsi="Times New Roman"/>
          <w:color w:val="000000" w:themeColor="text1"/>
          <w:sz w:val="24"/>
          <w:szCs w:val="24"/>
          <w:lang w:eastAsia="en-US"/>
        </w:rPr>
        <w:t>)</w:t>
      </w:r>
      <w:r w:rsidRPr="001B29DC">
        <w:rPr>
          <w:rFonts w:ascii="Times New Roman" w:eastAsiaTheme="minorHAnsi" w:hAnsi="Times New Roman"/>
          <w:color w:val="000000" w:themeColor="text1"/>
          <w:sz w:val="24"/>
          <w:szCs w:val="24"/>
          <w:lang w:eastAsia="en-US"/>
        </w:rPr>
        <w:t>, ‘Negoti</w:t>
      </w:r>
      <w:r w:rsidR="00E11FE5">
        <w:rPr>
          <w:rFonts w:ascii="Times New Roman" w:eastAsiaTheme="minorHAnsi" w:hAnsi="Times New Roman"/>
          <w:color w:val="000000" w:themeColor="text1"/>
          <w:sz w:val="24"/>
          <w:szCs w:val="24"/>
          <w:lang w:eastAsia="en-US"/>
        </w:rPr>
        <w:t>ating Leave in the Workplace</w:t>
      </w:r>
      <w:r w:rsidR="0065215D">
        <w:rPr>
          <w:rFonts w:ascii="Times New Roman" w:eastAsiaTheme="minorHAnsi" w:hAnsi="Times New Roman"/>
          <w:color w:val="000000" w:themeColor="text1"/>
          <w:sz w:val="24"/>
          <w:szCs w:val="24"/>
          <w:lang w:eastAsia="en-US"/>
        </w:rPr>
        <w:t xml:space="preserve">’, </w:t>
      </w:r>
      <w:r w:rsidR="00922281" w:rsidRPr="00E11FE5">
        <w:rPr>
          <w:rFonts w:ascii="Times New Roman" w:hAnsi="Times New Roman"/>
          <w:i/>
          <w:color w:val="000000" w:themeColor="text1"/>
          <w:sz w:val="24"/>
          <w:szCs w:val="24"/>
        </w:rPr>
        <w:t>Fatherhood in the Nordic Welfare States</w:t>
      </w:r>
      <w:r w:rsidR="00922281" w:rsidRPr="001B29DC">
        <w:rPr>
          <w:rFonts w:ascii="Times New Roman" w:hAnsi="Times New Roman"/>
          <w:color w:val="000000" w:themeColor="text1"/>
          <w:sz w:val="24"/>
          <w:szCs w:val="24"/>
        </w:rPr>
        <w:t xml:space="preserve">, G.B. </w:t>
      </w:r>
      <w:proofErr w:type="spellStart"/>
      <w:r w:rsidR="00922281" w:rsidRPr="001B29DC">
        <w:rPr>
          <w:rFonts w:ascii="Times New Roman" w:hAnsi="Times New Roman"/>
          <w:color w:val="000000" w:themeColor="text1"/>
          <w:sz w:val="24"/>
          <w:szCs w:val="24"/>
        </w:rPr>
        <w:t>Eydal</w:t>
      </w:r>
      <w:proofErr w:type="spellEnd"/>
      <w:r w:rsidR="00922281" w:rsidRPr="001B29DC">
        <w:rPr>
          <w:rFonts w:ascii="Times New Roman" w:hAnsi="Times New Roman"/>
          <w:color w:val="000000" w:themeColor="text1"/>
          <w:sz w:val="24"/>
          <w:szCs w:val="24"/>
        </w:rPr>
        <w:t xml:space="preserve"> and T. </w:t>
      </w:r>
      <w:proofErr w:type="spellStart"/>
      <w:r w:rsidR="00922281" w:rsidRPr="001B29DC">
        <w:rPr>
          <w:rFonts w:ascii="Times New Roman" w:hAnsi="Times New Roman"/>
          <w:color w:val="000000" w:themeColor="text1"/>
          <w:sz w:val="24"/>
          <w:szCs w:val="24"/>
        </w:rPr>
        <w:t>Rostgaard</w:t>
      </w:r>
      <w:proofErr w:type="spellEnd"/>
      <w:r w:rsidR="00922281" w:rsidRPr="001B29DC">
        <w:rPr>
          <w:rFonts w:ascii="Times New Roman" w:hAnsi="Times New Roman"/>
          <w:color w:val="000000" w:themeColor="text1"/>
          <w:sz w:val="24"/>
          <w:szCs w:val="24"/>
        </w:rPr>
        <w:t xml:space="preserve"> (Eds.), Bristol: Policy Press.</w:t>
      </w:r>
    </w:p>
    <w:p w14:paraId="06EBE020" w14:textId="77777777" w:rsidR="003903A3" w:rsidRPr="00CC0701" w:rsidRDefault="003903A3" w:rsidP="00CC0701">
      <w:pPr>
        <w:ind w:left="-397" w:right="-397"/>
        <w:jc w:val="both"/>
        <w:rPr>
          <w:color w:val="000000" w:themeColor="text1"/>
          <w:highlight w:val="yellow"/>
        </w:rPr>
      </w:pPr>
      <w:proofErr w:type="spellStart"/>
      <w:r w:rsidRPr="006707EA">
        <w:rPr>
          <w:color w:val="000000" w:themeColor="text1"/>
        </w:rPr>
        <w:t>Boix</w:t>
      </w:r>
      <w:proofErr w:type="spellEnd"/>
      <w:r w:rsidRPr="006707EA">
        <w:rPr>
          <w:color w:val="000000" w:themeColor="text1"/>
        </w:rPr>
        <w:t xml:space="preserve">, C., </w:t>
      </w:r>
      <w:r w:rsidR="00E11FE5">
        <w:rPr>
          <w:color w:val="000000" w:themeColor="text1"/>
        </w:rPr>
        <w:t>(</w:t>
      </w:r>
      <w:r w:rsidRPr="006707EA">
        <w:rPr>
          <w:color w:val="000000" w:themeColor="text1"/>
        </w:rPr>
        <w:t>2003</w:t>
      </w:r>
      <w:r w:rsidR="00E11FE5">
        <w:rPr>
          <w:color w:val="000000" w:themeColor="text1"/>
        </w:rPr>
        <w:t>)</w:t>
      </w:r>
      <w:r w:rsidRPr="006707EA">
        <w:rPr>
          <w:color w:val="000000" w:themeColor="text1"/>
        </w:rPr>
        <w:t xml:space="preserve">, </w:t>
      </w:r>
      <w:r w:rsidRPr="006707EA">
        <w:rPr>
          <w:i/>
          <w:color w:val="000000" w:themeColor="text1"/>
        </w:rPr>
        <w:t>Democracy and Redistribution</w:t>
      </w:r>
      <w:r w:rsidRPr="006707EA">
        <w:rPr>
          <w:color w:val="000000" w:themeColor="text1"/>
        </w:rPr>
        <w:t>, Cambridge: Cambridge University Press.</w:t>
      </w:r>
    </w:p>
    <w:p w14:paraId="2201E087" w14:textId="77777777" w:rsidR="003903A3" w:rsidRPr="006707EA" w:rsidRDefault="003903A3" w:rsidP="003903A3">
      <w:pPr>
        <w:pStyle w:val="BISReference"/>
        <w:ind w:left="0" w:right="-397" w:firstLine="0"/>
        <w:rPr>
          <w:rFonts w:ascii="Times New Roman" w:hAnsi="Times New Roman"/>
          <w:color w:val="000000" w:themeColor="text1"/>
          <w:sz w:val="24"/>
          <w:szCs w:val="24"/>
        </w:rPr>
      </w:pPr>
    </w:p>
    <w:p w14:paraId="3D0F57A9" w14:textId="257E6690" w:rsidR="00835895" w:rsidRPr="002628EA" w:rsidRDefault="00835895" w:rsidP="00835895">
      <w:pPr>
        <w:ind w:left="-397" w:right="-397"/>
        <w:rPr>
          <w:rFonts w:cs="Times New Roman"/>
        </w:rPr>
      </w:pPr>
      <w:r w:rsidRPr="002628EA">
        <w:rPr>
          <w:rFonts w:cs="Times New Roman"/>
        </w:rPr>
        <w:t>British Broadcasting Corporation (BBC), 2</w:t>
      </w:r>
      <w:r w:rsidR="00A074DC">
        <w:rPr>
          <w:rFonts w:cs="Times New Roman"/>
        </w:rPr>
        <w:t>020</w:t>
      </w:r>
      <w:r w:rsidRPr="002628EA">
        <w:rPr>
          <w:rFonts w:cs="Times New Roman"/>
        </w:rPr>
        <w:t>,</w:t>
      </w:r>
      <w:r w:rsidRPr="002628EA">
        <w:rPr>
          <w:rFonts w:cs="Times New Roman"/>
          <w:color w:val="1E1E1E"/>
        </w:rPr>
        <w:t xml:space="preserve"> Coronavirus: Chancellor unveils £350bn lifeline for economy</w:t>
      </w:r>
      <w:r w:rsidRPr="002628EA">
        <w:rPr>
          <w:rFonts w:cs="Times New Roman"/>
        </w:rPr>
        <w:t xml:space="preserve">, March 17th </w:t>
      </w:r>
      <w:hyperlink r:id="rId12" w:history="1">
        <w:r w:rsidRPr="002628EA">
          <w:rPr>
            <w:rStyle w:val="Hyperlink"/>
            <w:rFonts w:cs="Times New Roman"/>
          </w:rPr>
          <w:t>https://www.bbc.co.uk/news/business-51935467</w:t>
        </w:r>
      </w:hyperlink>
    </w:p>
    <w:p w14:paraId="10A2C637" w14:textId="77777777" w:rsidR="003903A3" w:rsidRPr="006707EA" w:rsidRDefault="003903A3" w:rsidP="003903A3">
      <w:pPr>
        <w:pStyle w:val="BISReference"/>
        <w:ind w:left="0" w:right="-397" w:firstLine="0"/>
        <w:rPr>
          <w:rFonts w:ascii="Times New Roman" w:hAnsi="Times New Roman"/>
          <w:color w:val="000000" w:themeColor="text1"/>
          <w:sz w:val="24"/>
          <w:szCs w:val="24"/>
        </w:rPr>
      </w:pPr>
    </w:p>
    <w:p w14:paraId="4F9ADAF6" w14:textId="77777777" w:rsidR="003903A3" w:rsidRPr="006707EA" w:rsidRDefault="003903A3" w:rsidP="003903A3">
      <w:pPr>
        <w:pStyle w:val="BISReference"/>
        <w:ind w:left="-397" w:right="-397" w:firstLine="0"/>
        <w:rPr>
          <w:rFonts w:ascii="Times New Roman" w:hAnsi="Times New Roman"/>
          <w:color w:val="000000" w:themeColor="text1"/>
          <w:sz w:val="24"/>
          <w:szCs w:val="24"/>
        </w:rPr>
      </w:pPr>
      <w:proofErr w:type="spellStart"/>
      <w:r w:rsidRPr="006707EA">
        <w:rPr>
          <w:rFonts w:ascii="Times New Roman" w:hAnsi="Times New Roman"/>
          <w:color w:val="000000" w:themeColor="text1"/>
          <w:sz w:val="24"/>
          <w:szCs w:val="24"/>
        </w:rPr>
        <w:t>Burtless</w:t>
      </w:r>
      <w:proofErr w:type="spellEnd"/>
      <w:r w:rsidRPr="006707EA">
        <w:rPr>
          <w:rFonts w:ascii="Times New Roman" w:hAnsi="Times New Roman"/>
          <w:color w:val="000000" w:themeColor="text1"/>
          <w:sz w:val="24"/>
          <w:szCs w:val="24"/>
        </w:rPr>
        <w:t xml:space="preserve">, </w:t>
      </w:r>
      <w:proofErr w:type="spellStart"/>
      <w:proofErr w:type="gramStart"/>
      <w:r w:rsidRPr="006707EA">
        <w:rPr>
          <w:rFonts w:ascii="Times New Roman" w:hAnsi="Times New Roman"/>
          <w:color w:val="000000" w:themeColor="text1"/>
          <w:sz w:val="24"/>
          <w:szCs w:val="24"/>
        </w:rPr>
        <w:t>G.,</w:t>
      </w:r>
      <w:r w:rsidR="002B39E9">
        <w:rPr>
          <w:rFonts w:ascii="Times New Roman" w:hAnsi="Times New Roman"/>
          <w:color w:val="000000" w:themeColor="text1"/>
          <w:sz w:val="24"/>
          <w:szCs w:val="24"/>
        </w:rPr>
        <w:t>et</w:t>
      </w:r>
      <w:proofErr w:type="spellEnd"/>
      <w:proofErr w:type="gramEnd"/>
      <w:r w:rsidR="002B39E9">
        <w:rPr>
          <w:rFonts w:ascii="Times New Roman" w:hAnsi="Times New Roman"/>
          <w:color w:val="000000" w:themeColor="text1"/>
          <w:sz w:val="24"/>
          <w:szCs w:val="24"/>
        </w:rPr>
        <w:t xml:space="preserve"> al</w:t>
      </w:r>
      <w:r w:rsidRPr="006707EA">
        <w:rPr>
          <w:rFonts w:ascii="Times New Roman" w:hAnsi="Times New Roman"/>
          <w:color w:val="000000" w:themeColor="text1"/>
          <w:sz w:val="24"/>
          <w:szCs w:val="24"/>
        </w:rPr>
        <w:t xml:space="preserve"> </w:t>
      </w:r>
      <w:r w:rsidR="00E11FE5">
        <w:rPr>
          <w:rFonts w:ascii="Times New Roman" w:hAnsi="Times New Roman"/>
          <w:color w:val="000000" w:themeColor="text1"/>
          <w:sz w:val="24"/>
          <w:szCs w:val="24"/>
        </w:rPr>
        <w:t>(</w:t>
      </w:r>
      <w:r w:rsidRPr="006707EA">
        <w:rPr>
          <w:rFonts w:ascii="Times New Roman" w:hAnsi="Times New Roman"/>
          <w:color w:val="000000" w:themeColor="text1"/>
          <w:sz w:val="24"/>
          <w:szCs w:val="24"/>
        </w:rPr>
        <w:t>2010</w:t>
      </w:r>
      <w:r w:rsidR="00E11FE5">
        <w:rPr>
          <w:rFonts w:ascii="Times New Roman" w:hAnsi="Times New Roman"/>
          <w:color w:val="000000" w:themeColor="text1"/>
          <w:sz w:val="24"/>
          <w:szCs w:val="24"/>
        </w:rPr>
        <w:t>)</w:t>
      </w:r>
      <w:r w:rsidR="00D443B1">
        <w:rPr>
          <w:rFonts w:ascii="Times New Roman" w:hAnsi="Times New Roman"/>
          <w:color w:val="000000" w:themeColor="text1"/>
          <w:sz w:val="24"/>
          <w:szCs w:val="24"/>
        </w:rPr>
        <w:t>, ‘</w:t>
      </w:r>
      <w:r w:rsidRPr="006707EA">
        <w:rPr>
          <w:rFonts w:ascii="Times New Roman" w:hAnsi="Times New Roman"/>
          <w:color w:val="000000" w:themeColor="text1"/>
          <w:sz w:val="24"/>
          <w:szCs w:val="24"/>
        </w:rPr>
        <w:t>Income Distribution, Weekly Hours of Work, and Time for Child-reari</w:t>
      </w:r>
      <w:r w:rsidR="00D443B1">
        <w:rPr>
          <w:rFonts w:ascii="Times New Roman" w:hAnsi="Times New Roman"/>
          <w:color w:val="000000" w:themeColor="text1"/>
          <w:sz w:val="24"/>
          <w:szCs w:val="24"/>
        </w:rPr>
        <w:t>ng’</w:t>
      </w:r>
      <w:r w:rsidRPr="006707EA">
        <w:rPr>
          <w:rFonts w:ascii="Times New Roman" w:hAnsi="Times New Roman"/>
          <w:color w:val="000000" w:themeColor="text1"/>
          <w:sz w:val="24"/>
          <w:szCs w:val="24"/>
        </w:rPr>
        <w:t xml:space="preserve"> </w:t>
      </w:r>
      <w:r w:rsidRPr="006707EA">
        <w:rPr>
          <w:rFonts w:ascii="Times New Roman" w:hAnsi="Times New Roman"/>
          <w:i/>
          <w:color w:val="000000" w:themeColor="text1"/>
          <w:sz w:val="24"/>
          <w:szCs w:val="24"/>
        </w:rPr>
        <w:t>Luxembourg Income Study Working Paper</w:t>
      </w:r>
      <w:r w:rsidRPr="006707EA">
        <w:rPr>
          <w:rFonts w:ascii="Times New Roman" w:hAnsi="Times New Roman"/>
          <w:color w:val="000000" w:themeColor="text1"/>
          <w:sz w:val="24"/>
          <w:szCs w:val="24"/>
        </w:rPr>
        <w:t xml:space="preserve"> 489.</w:t>
      </w:r>
    </w:p>
    <w:p w14:paraId="02CEE4F0" w14:textId="77777777" w:rsidR="001B28D7" w:rsidRPr="006707EA" w:rsidRDefault="001B28D7" w:rsidP="003903A3">
      <w:pPr>
        <w:pStyle w:val="BISReference"/>
        <w:ind w:left="-397" w:right="-397" w:firstLine="0"/>
        <w:rPr>
          <w:rFonts w:ascii="Times New Roman" w:hAnsi="Times New Roman"/>
          <w:color w:val="000000" w:themeColor="text1"/>
          <w:sz w:val="24"/>
          <w:szCs w:val="24"/>
        </w:rPr>
      </w:pPr>
    </w:p>
    <w:p w14:paraId="56318F4C" w14:textId="7D317B8C" w:rsidR="001B28D7" w:rsidRPr="006707EA" w:rsidRDefault="001B28D7" w:rsidP="003903A3">
      <w:pPr>
        <w:pStyle w:val="BISReference"/>
        <w:ind w:left="-397" w:right="-397" w:firstLine="0"/>
        <w:rPr>
          <w:rFonts w:ascii="Times New Roman" w:hAnsi="Times New Roman"/>
          <w:color w:val="000000" w:themeColor="text1"/>
          <w:sz w:val="24"/>
          <w:szCs w:val="24"/>
        </w:rPr>
      </w:pPr>
      <w:r w:rsidRPr="006707EA">
        <w:rPr>
          <w:rFonts w:ascii="Times New Roman" w:hAnsi="Times New Roman"/>
          <w:color w:val="000000" w:themeColor="text1"/>
          <w:sz w:val="24"/>
          <w:szCs w:val="24"/>
        </w:rPr>
        <w:t xml:space="preserve">Callard, F., &amp; Margulies, D. S. </w:t>
      </w:r>
      <w:r w:rsidRPr="006707EA">
        <w:rPr>
          <w:rStyle w:val="displaydatestatus"/>
          <w:rFonts w:ascii="Times New Roman" w:hAnsi="Times New Roman"/>
          <w:color w:val="000000" w:themeColor="text1"/>
          <w:sz w:val="24"/>
          <w:szCs w:val="24"/>
        </w:rPr>
        <w:t>(2014).</w:t>
      </w:r>
      <w:r w:rsidRPr="006707EA">
        <w:rPr>
          <w:rFonts w:ascii="Times New Roman" w:hAnsi="Times New Roman"/>
          <w:color w:val="000000" w:themeColor="text1"/>
          <w:sz w:val="24"/>
          <w:szCs w:val="24"/>
        </w:rPr>
        <w:t xml:space="preserve"> What we talk about when we talk about the default mode network.</w:t>
      </w:r>
      <w:r w:rsidRPr="006707EA">
        <w:rPr>
          <w:rStyle w:val="italic1"/>
          <w:rFonts w:ascii="Times New Roman" w:hAnsi="Times New Roman"/>
          <w:color w:val="000000" w:themeColor="text1"/>
          <w:sz w:val="24"/>
          <w:szCs w:val="24"/>
        </w:rPr>
        <w:t xml:space="preserve"> Frontiers in Human Neuroscience,</w:t>
      </w:r>
      <w:r w:rsidRPr="006707EA">
        <w:rPr>
          <w:rFonts w:ascii="Times New Roman" w:hAnsi="Times New Roman"/>
          <w:color w:val="000000" w:themeColor="text1"/>
          <w:sz w:val="24"/>
          <w:szCs w:val="24"/>
        </w:rPr>
        <w:t xml:space="preserve"> </w:t>
      </w:r>
      <w:r w:rsidRPr="006707EA">
        <w:rPr>
          <w:rStyle w:val="italic1"/>
          <w:rFonts w:ascii="Times New Roman" w:hAnsi="Times New Roman"/>
          <w:color w:val="000000" w:themeColor="text1"/>
          <w:sz w:val="24"/>
          <w:szCs w:val="24"/>
        </w:rPr>
        <w:t>8</w:t>
      </w:r>
      <w:r w:rsidR="007D5ECA">
        <w:rPr>
          <w:rStyle w:val="italic1"/>
          <w:rFonts w:ascii="Times New Roman" w:hAnsi="Times New Roman"/>
          <w:color w:val="000000" w:themeColor="text1"/>
          <w:sz w:val="24"/>
          <w:szCs w:val="24"/>
        </w:rPr>
        <w:t>, p.</w:t>
      </w:r>
      <w:r w:rsidRPr="006707EA">
        <w:rPr>
          <w:rFonts w:ascii="Times New Roman" w:hAnsi="Times New Roman"/>
          <w:color w:val="000000" w:themeColor="text1"/>
          <w:sz w:val="24"/>
          <w:szCs w:val="24"/>
        </w:rPr>
        <w:t>619.</w:t>
      </w:r>
    </w:p>
    <w:p w14:paraId="465334B9" w14:textId="77777777" w:rsidR="003903A3" w:rsidRPr="006707EA" w:rsidRDefault="003903A3" w:rsidP="003903A3">
      <w:pPr>
        <w:pStyle w:val="BISReference"/>
        <w:ind w:left="-397" w:right="-397" w:firstLine="0"/>
        <w:rPr>
          <w:rFonts w:ascii="Times New Roman" w:hAnsi="Times New Roman"/>
          <w:color w:val="000000" w:themeColor="text1"/>
          <w:sz w:val="24"/>
          <w:szCs w:val="24"/>
        </w:rPr>
      </w:pPr>
    </w:p>
    <w:p w14:paraId="011A6D16" w14:textId="77777777" w:rsidR="003903A3" w:rsidRPr="00AA7F7D" w:rsidRDefault="003903A3" w:rsidP="000A7484">
      <w:pPr>
        <w:pStyle w:val="BISReference"/>
        <w:ind w:left="-397" w:right="-397" w:firstLine="0"/>
        <w:rPr>
          <w:rFonts w:ascii="Times New Roman" w:hAnsi="Times New Roman"/>
          <w:color w:val="000000" w:themeColor="text1"/>
          <w:sz w:val="24"/>
          <w:szCs w:val="24"/>
        </w:rPr>
      </w:pPr>
      <w:r w:rsidRPr="006707EA">
        <w:rPr>
          <w:rFonts w:ascii="Times New Roman" w:hAnsi="Times New Roman"/>
          <w:color w:val="000000" w:themeColor="text1"/>
          <w:sz w:val="24"/>
          <w:szCs w:val="24"/>
        </w:rPr>
        <w:t xml:space="preserve">Cantor, N. and Sanderson, C. A. </w:t>
      </w:r>
      <w:r w:rsidR="00E11FE5">
        <w:rPr>
          <w:rFonts w:ascii="Times New Roman" w:hAnsi="Times New Roman"/>
          <w:color w:val="000000" w:themeColor="text1"/>
          <w:sz w:val="24"/>
          <w:szCs w:val="24"/>
        </w:rPr>
        <w:t>(</w:t>
      </w:r>
      <w:r w:rsidRPr="006707EA">
        <w:rPr>
          <w:rFonts w:ascii="Times New Roman" w:hAnsi="Times New Roman"/>
          <w:color w:val="000000" w:themeColor="text1"/>
          <w:sz w:val="24"/>
          <w:szCs w:val="24"/>
        </w:rPr>
        <w:t>2003</w:t>
      </w:r>
      <w:r w:rsidR="00E11FE5">
        <w:rPr>
          <w:rFonts w:ascii="Times New Roman" w:hAnsi="Times New Roman"/>
          <w:color w:val="000000" w:themeColor="text1"/>
          <w:sz w:val="24"/>
          <w:szCs w:val="24"/>
        </w:rPr>
        <w:t>)</w:t>
      </w:r>
      <w:r w:rsidRPr="006707EA">
        <w:rPr>
          <w:rFonts w:ascii="Times New Roman" w:hAnsi="Times New Roman"/>
          <w:color w:val="000000" w:themeColor="text1"/>
          <w:sz w:val="24"/>
          <w:szCs w:val="24"/>
        </w:rPr>
        <w:t xml:space="preserve">, “Life-Task Participation and Well-Being,” In </w:t>
      </w:r>
      <w:r w:rsidRPr="006707EA">
        <w:rPr>
          <w:rFonts w:ascii="Times New Roman" w:eastAsia="Arial Unicode MS" w:hAnsi="Times New Roman"/>
          <w:color w:val="000000" w:themeColor="text1"/>
          <w:sz w:val="24"/>
          <w:szCs w:val="24"/>
        </w:rPr>
        <w:t xml:space="preserve">Daniel Kahneman, </w:t>
      </w:r>
      <w:r w:rsidR="002B39E9">
        <w:rPr>
          <w:rFonts w:ascii="Times New Roman" w:eastAsia="Arial Unicode MS" w:hAnsi="Times New Roman"/>
          <w:color w:val="000000" w:themeColor="text1"/>
          <w:sz w:val="24"/>
          <w:szCs w:val="24"/>
        </w:rPr>
        <w:t>et al</w:t>
      </w:r>
      <w:r w:rsidRPr="006707EA">
        <w:rPr>
          <w:rFonts w:ascii="Times New Roman" w:eastAsia="Arial Unicode MS" w:hAnsi="Times New Roman"/>
          <w:color w:val="000000" w:themeColor="text1"/>
          <w:sz w:val="24"/>
          <w:szCs w:val="24"/>
        </w:rPr>
        <w:t xml:space="preserve">, Eds. </w:t>
      </w:r>
      <w:r w:rsidRPr="006707EA">
        <w:rPr>
          <w:rFonts w:ascii="Times New Roman" w:eastAsia="Arial Unicode MS" w:hAnsi="Times New Roman"/>
          <w:i/>
          <w:color w:val="000000" w:themeColor="text1"/>
          <w:sz w:val="24"/>
          <w:szCs w:val="24"/>
        </w:rPr>
        <w:t>Well-being</w:t>
      </w:r>
      <w:r w:rsidRPr="006707EA">
        <w:rPr>
          <w:rFonts w:ascii="Times New Roman" w:eastAsia="Arial Unicode MS" w:hAnsi="Times New Roman"/>
          <w:color w:val="000000" w:themeColor="text1"/>
          <w:sz w:val="24"/>
          <w:szCs w:val="24"/>
        </w:rPr>
        <w:t>, New York: The Russell Sage Foundation.</w:t>
      </w:r>
    </w:p>
    <w:p w14:paraId="6DD78A3B" w14:textId="77777777" w:rsidR="00042BEA" w:rsidRDefault="00042BEA" w:rsidP="003903A3">
      <w:pPr>
        <w:pStyle w:val="BISReference"/>
        <w:ind w:left="-397" w:right="-397" w:firstLine="0"/>
        <w:rPr>
          <w:rFonts w:ascii="Times New Roman" w:hAnsi="Times New Roman"/>
          <w:color w:val="000000" w:themeColor="text1"/>
          <w:sz w:val="24"/>
          <w:szCs w:val="24"/>
        </w:rPr>
      </w:pPr>
    </w:p>
    <w:p w14:paraId="00DEDDD8" w14:textId="77777777" w:rsidR="00042BEA" w:rsidRPr="00042BEA" w:rsidRDefault="00042BEA" w:rsidP="00042BEA">
      <w:pPr>
        <w:pStyle w:val="BISReference"/>
        <w:ind w:left="-397" w:right="-397"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Chang, H-J., </w:t>
      </w:r>
      <w:r w:rsidR="00E11FE5">
        <w:rPr>
          <w:rFonts w:ascii="Times New Roman" w:hAnsi="Times New Roman"/>
          <w:color w:val="000000" w:themeColor="text1"/>
          <w:sz w:val="24"/>
          <w:szCs w:val="24"/>
        </w:rPr>
        <w:t>(</w:t>
      </w:r>
      <w:r w:rsidRPr="00042BEA">
        <w:rPr>
          <w:rFonts w:ascii="Times New Roman" w:hAnsi="Times New Roman"/>
          <w:color w:val="000000" w:themeColor="text1"/>
          <w:sz w:val="24"/>
          <w:szCs w:val="24"/>
        </w:rPr>
        <w:t>2009</w:t>
      </w:r>
      <w:proofErr w:type="gramStart"/>
      <w:r w:rsidR="00E11FE5">
        <w:rPr>
          <w:rFonts w:ascii="Times New Roman" w:hAnsi="Times New Roman"/>
          <w:color w:val="000000" w:themeColor="text1"/>
          <w:sz w:val="24"/>
          <w:szCs w:val="24"/>
        </w:rPr>
        <w:t>)</w:t>
      </w:r>
      <w:r w:rsidRPr="00042BEA">
        <w:rPr>
          <w:rFonts w:ascii="Times New Roman" w:hAnsi="Times New Roman"/>
          <w:color w:val="000000" w:themeColor="text1"/>
          <w:sz w:val="24"/>
          <w:szCs w:val="24"/>
        </w:rPr>
        <w:t xml:space="preserve">,  </w:t>
      </w:r>
      <w:r w:rsidR="002B0E8D">
        <w:rPr>
          <w:rFonts w:ascii="Times New Roman" w:hAnsi="Times New Roman"/>
          <w:color w:val="000000" w:themeColor="text1"/>
          <w:sz w:val="24"/>
          <w:szCs w:val="24"/>
        </w:rPr>
        <w:t>‘</w:t>
      </w:r>
      <w:proofErr w:type="gramEnd"/>
      <w:r w:rsidR="002B0E8D">
        <w:rPr>
          <w:rFonts w:ascii="Times New Roman" w:hAnsi="Times New Roman"/>
          <w:color w:val="000000" w:themeColor="text1"/>
          <w:sz w:val="24"/>
          <w:szCs w:val="24"/>
        </w:rPr>
        <w:t xml:space="preserve">Under-explored Treasure Trovers of Development Lessons‘ </w:t>
      </w:r>
      <w:r w:rsidRPr="00042BEA">
        <w:rPr>
          <w:rFonts w:ascii="Times New Roman" w:hAnsi="Times New Roman"/>
          <w:color w:val="000000" w:themeColor="text1"/>
          <w:sz w:val="24"/>
          <w:szCs w:val="24"/>
        </w:rPr>
        <w:t xml:space="preserve">in M. Kremer, P. van </w:t>
      </w:r>
      <w:proofErr w:type="spellStart"/>
      <w:r w:rsidRPr="00042BEA">
        <w:rPr>
          <w:rFonts w:ascii="Times New Roman" w:hAnsi="Times New Roman"/>
          <w:color w:val="000000" w:themeColor="text1"/>
          <w:sz w:val="24"/>
          <w:szCs w:val="24"/>
        </w:rPr>
        <w:t>Lieshoust</w:t>
      </w:r>
      <w:proofErr w:type="spellEnd"/>
      <w:r w:rsidRPr="00042BEA">
        <w:rPr>
          <w:rFonts w:ascii="Times New Roman" w:hAnsi="Times New Roman"/>
          <w:color w:val="000000" w:themeColor="text1"/>
          <w:sz w:val="24"/>
          <w:szCs w:val="24"/>
        </w:rPr>
        <w:t xml:space="preserve"> &amp; R. Went (eds.), </w:t>
      </w:r>
      <w:r w:rsidRPr="00E11FE5">
        <w:rPr>
          <w:rFonts w:ascii="Times New Roman" w:hAnsi="Times New Roman"/>
          <w:i/>
          <w:color w:val="000000" w:themeColor="text1"/>
          <w:sz w:val="24"/>
          <w:szCs w:val="24"/>
        </w:rPr>
        <w:t>Doing Good or Doing Better,</w:t>
      </w:r>
      <w:r w:rsidRPr="00042BEA">
        <w:rPr>
          <w:rFonts w:ascii="Times New Roman" w:hAnsi="Times New Roman"/>
          <w:color w:val="000000" w:themeColor="text1"/>
          <w:sz w:val="24"/>
          <w:szCs w:val="24"/>
        </w:rPr>
        <w:t xml:space="preserve"> </w:t>
      </w:r>
      <w:r w:rsidR="0065215D">
        <w:rPr>
          <w:rFonts w:ascii="Times New Roman" w:hAnsi="Times New Roman"/>
          <w:color w:val="000000" w:themeColor="text1"/>
          <w:sz w:val="24"/>
          <w:szCs w:val="24"/>
        </w:rPr>
        <w:t xml:space="preserve">Amsterdam: </w:t>
      </w:r>
      <w:r w:rsidRPr="00042BEA">
        <w:rPr>
          <w:rFonts w:ascii="Times New Roman" w:hAnsi="Times New Roman"/>
          <w:color w:val="000000" w:themeColor="text1"/>
          <w:sz w:val="24"/>
          <w:szCs w:val="24"/>
        </w:rPr>
        <w:t>Amste</w:t>
      </w:r>
      <w:r w:rsidR="0065215D">
        <w:rPr>
          <w:rFonts w:ascii="Times New Roman" w:hAnsi="Times New Roman"/>
          <w:color w:val="000000" w:themeColor="text1"/>
          <w:sz w:val="24"/>
          <w:szCs w:val="24"/>
        </w:rPr>
        <w:t>rdam University Press</w:t>
      </w:r>
      <w:r w:rsidR="007D5ECA">
        <w:rPr>
          <w:rFonts w:ascii="Times New Roman" w:hAnsi="Times New Roman"/>
          <w:color w:val="000000" w:themeColor="text1"/>
          <w:sz w:val="24"/>
          <w:szCs w:val="24"/>
        </w:rPr>
        <w:t>.</w:t>
      </w:r>
    </w:p>
    <w:p w14:paraId="00F14F69" w14:textId="77777777" w:rsidR="00AA7F7D" w:rsidRPr="00FA646E" w:rsidRDefault="00AA7F7D" w:rsidP="00AA7F7D">
      <w:pPr>
        <w:pStyle w:val="BISReference"/>
        <w:ind w:left="0" w:right="-397" w:firstLine="0"/>
        <w:rPr>
          <w:rFonts w:ascii="Times New Roman" w:hAnsi="Times New Roman"/>
          <w:color w:val="000000" w:themeColor="text1"/>
          <w:sz w:val="24"/>
          <w:szCs w:val="24"/>
        </w:rPr>
      </w:pPr>
    </w:p>
    <w:p w14:paraId="44801B81" w14:textId="66B89580" w:rsidR="00CC0701" w:rsidRPr="00CC0701" w:rsidRDefault="00AA7F7D" w:rsidP="00CC0701">
      <w:pPr>
        <w:pStyle w:val="BISReference"/>
        <w:ind w:left="-397" w:right="-397" w:firstLine="0"/>
        <w:rPr>
          <w:rFonts w:ascii="Times New Roman" w:hAnsi="Times New Roman"/>
          <w:color w:val="006FB7"/>
          <w:sz w:val="24"/>
          <w:szCs w:val="24"/>
          <w:u w:val="single"/>
          <w:bdr w:val="none" w:sz="0" w:space="0" w:color="auto" w:frame="1"/>
        </w:rPr>
      </w:pPr>
      <w:r w:rsidRPr="00FA646E">
        <w:rPr>
          <w:rFonts w:ascii="Times New Roman" w:hAnsi="Times New Roman"/>
          <w:color w:val="000000" w:themeColor="text1"/>
          <w:sz w:val="24"/>
          <w:szCs w:val="24"/>
        </w:rPr>
        <w:lastRenderedPageBreak/>
        <w:t xml:space="preserve">Chang, H-J., </w:t>
      </w:r>
      <w:r w:rsidR="00E11FE5">
        <w:rPr>
          <w:rFonts w:ascii="Times New Roman" w:hAnsi="Times New Roman"/>
          <w:color w:val="000000" w:themeColor="text1"/>
          <w:sz w:val="24"/>
          <w:szCs w:val="24"/>
        </w:rPr>
        <w:t>(</w:t>
      </w:r>
      <w:r w:rsidRPr="00FA646E">
        <w:rPr>
          <w:rFonts w:ascii="Times New Roman" w:hAnsi="Times New Roman"/>
          <w:color w:val="000000" w:themeColor="text1"/>
          <w:sz w:val="24"/>
          <w:szCs w:val="24"/>
        </w:rPr>
        <w:t>200</w:t>
      </w:r>
      <w:r w:rsidR="00042BEA" w:rsidRPr="00FA646E">
        <w:rPr>
          <w:rFonts w:ascii="Times New Roman" w:hAnsi="Times New Roman"/>
          <w:color w:val="000000" w:themeColor="text1"/>
          <w:sz w:val="24"/>
          <w:szCs w:val="24"/>
        </w:rPr>
        <w:t>3</w:t>
      </w:r>
      <w:r w:rsidR="00E11FE5">
        <w:rPr>
          <w:rFonts w:ascii="Times New Roman" w:hAnsi="Times New Roman"/>
          <w:color w:val="000000" w:themeColor="text1"/>
          <w:sz w:val="24"/>
          <w:szCs w:val="24"/>
        </w:rPr>
        <w:t>)</w:t>
      </w:r>
      <w:r w:rsidRPr="00FA646E">
        <w:rPr>
          <w:rFonts w:ascii="Times New Roman" w:hAnsi="Times New Roman"/>
          <w:color w:val="000000" w:themeColor="text1"/>
          <w:sz w:val="24"/>
          <w:szCs w:val="24"/>
        </w:rPr>
        <w:t>, ‘</w:t>
      </w:r>
      <w:r w:rsidRPr="00FA646E">
        <w:rPr>
          <w:rFonts w:ascii="Times New Roman" w:hAnsi="Times New Roman"/>
          <w:color w:val="2A2A2A"/>
          <w:sz w:val="24"/>
          <w:szCs w:val="24"/>
        </w:rPr>
        <w:t>Breaking the mould</w:t>
      </w:r>
      <w:r w:rsidR="002B39E9">
        <w:rPr>
          <w:rFonts w:ascii="Times New Roman" w:hAnsi="Times New Roman"/>
          <w:color w:val="2A2A2A"/>
          <w:sz w:val="24"/>
          <w:szCs w:val="24"/>
        </w:rPr>
        <w:t>’</w:t>
      </w:r>
      <w:r w:rsidRPr="00FA646E">
        <w:rPr>
          <w:rFonts w:ascii="Times New Roman" w:hAnsi="Times New Roman"/>
          <w:color w:val="2A2A2A"/>
          <w:sz w:val="24"/>
          <w:szCs w:val="24"/>
        </w:rPr>
        <w:t xml:space="preserve">, </w:t>
      </w:r>
      <w:r w:rsidRPr="00E11FE5">
        <w:rPr>
          <w:rStyle w:val="Emphasis"/>
          <w:rFonts w:ascii="Times New Roman" w:hAnsi="Times New Roman"/>
          <w:b w:val="0"/>
          <w:i/>
          <w:color w:val="2A2A2A"/>
          <w:sz w:val="24"/>
          <w:szCs w:val="24"/>
          <w:bdr w:val="none" w:sz="0" w:space="0" w:color="auto" w:frame="1"/>
        </w:rPr>
        <w:t>Cambridge Journal of Economics</w:t>
      </w:r>
      <w:r w:rsidRPr="00FA646E">
        <w:rPr>
          <w:rFonts w:ascii="Times New Roman" w:hAnsi="Times New Roman"/>
          <w:color w:val="2A2A2A"/>
          <w:sz w:val="24"/>
          <w:szCs w:val="24"/>
        </w:rPr>
        <w:t xml:space="preserve">, </w:t>
      </w:r>
      <w:r w:rsidR="00042BEA" w:rsidRPr="00FA646E">
        <w:rPr>
          <w:rFonts w:ascii="Times New Roman" w:hAnsi="Times New Roman"/>
          <w:color w:val="2A2A2A"/>
          <w:sz w:val="24"/>
          <w:szCs w:val="24"/>
        </w:rPr>
        <w:t>26</w:t>
      </w:r>
      <w:r w:rsidR="007D5ECA">
        <w:rPr>
          <w:rFonts w:ascii="Times New Roman" w:hAnsi="Times New Roman"/>
          <w:color w:val="2A2A2A"/>
          <w:sz w:val="24"/>
          <w:szCs w:val="24"/>
        </w:rPr>
        <w:t xml:space="preserve">(5), pp. </w:t>
      </w:r>
      <w:r w:rsidRPr="00FA646E">
        <w:rPr>
          <w:rFonts w:ascii="Times New Roman" w:hAnsi="Times New Roman"/>
          <w:color w:val="2A2A2A"/>
          <w:sz w:val="24"/>
          <w:szCs w:val="24"/>
        </w:rPr>
        <w:t>539–559</w:t>
      </w:r>
    </w:p>
    <w:p w14:paraId="01ABF739" w14:textId="77777777" w:rsidR="003903A3" w:rsidRPr="00FA646E" w:rsidRDefault="003903A3" w:rsidP="003903A3">
      <w:pPr>
        <w:pStyle w:val="BISReference"/>
        <w:ind w:left="0" w:right="-397" w:firstLine="0"/>
        <w:rPr>
          <w:rFonts w:ascii="Times New Roman" w:hAnsi="Times New Roman"/>
          <w:color w:val="000000" w:themeColor="text1"/>
          <w:sz w:val="24"/>
          <w:szCs w:val="24"/>
        </w:rPr>
      </w:pPr>
    </w:p>
    <w:p w14:paraId="3D37F849" w14:textId="524C2F2F" w:rsidR="003903A3" w:rsidRPr="00FA646E" w:rsidRDefault="003903A3" w:rsidP="003903A3">
      <w:pPr>
        <w:pStyle w:val="BISReference"/>
        <w:ind w:left="-397" w:right="-397" w:firstLine="0"/>
        <w:rPr>
          <w:rFonts w:ascii="Times New Roman" w:hAnsi="Times New Roman"/>
          <w:color w:val="000000" w:themeColor="text1"/>
          <w:sz w:val="24"/>
          <w:szCs w:val="24"/>
        </w:rPr>
      </w:pPr>
      <w:proofErr w:type="spellStart"/>
      <w:r w:rsidRPr="00FA646E">
        <w:rPr>
          <w:rFonts w:ascii="Times New Roman" w:hAnsi="Times New Roman"/>
          <w:color w:val="000000" w:themeColor="text1"/>
          <w:sz w:val="24"/>
          <w:szCs w:val="24"/>
        </w:rPr>
        <w:t>Clasen</w:t>
      </w:r>
      <w:proofErr w:type="spellEnd"/>
      <w:r w:rsidRPr="00FA646E">
        <w:rPr>
          <w:rFonts w:ascii="Times New Roman" w:hAnsi="Times New Roman"/>
          <w:color w:val="000000" w:themeColor="text1"/>
          <w:sz w:val="24"/>
          <w:szCs w:val="24"/>
        </w:rPr>
        <w:t xml:space="preserve">, J., </w:t>
      </w:r>
      <w:r w:rsidR="00E11FE5">
        <w:rPr>
          <w:rFonts w:ascii="Times New Roman" w:hAnsi="Times New Roman"/>
          <w:color w:val="000000" w:themeColor="text1"/>
          <w:sz w:val="24"/>
          <w:szCs w:val="24"/>
        </w:rPr>
        <w:t>(</w:t>
      </w:r>
      <w:r w:rsidRPr="00FA646E">
        <w:rPr>
          <w:rFonts w:ascii="Times New Roman" w:hAnsi="Times New Roman"/>
          <w:color w:val="000000" w:themeColor="text1"/>
          <w:sz w:val="24"/>
          <w:szCs w:val="24"/>
        </w:rPr>
        <w:t>2001</w:t>
      </w:r>
      <w:r w:rsidR="00E11FE5">
        <w:rPr>
          <w:rFonts w:ascii="Times New Roman" w:hAnsi="Times New Roman"/>
          <w:color w:val="000000" w:themeColor="text1"/>
          <w:sz w:val="24"/>
          <w:szCs w:val="24"/>
        </w:rPr>
        <w:t>)</w:t>
      </w:r>
      <w:r w:rsidRPr="00FA646E">
        <w:rPr>
          <w:rFonts w:ascii="Times New Roman" w:hAnsi="Times New Roman"/>
          <w:color w:val="000000" w:themeColor="text1"/>
          <w:sz w:val="24"/>
          <w:szCs w:val="24"/>
        </w:rPr>
        <w:t xml:space="preserve">, </w:t>
      </w:r>
      <w:r w:rsidR="002B0E8D">
        <w:rPr>
          <w:rFonts w:ascii="Times New Roman" w:hAnsi="Times New Roman"/>
          <w:color w:val="000000" w:themeColor="text1"/>
          <w:sz w:val="24"/>
          <w:szCs w:val="24"/>
        </w:rPr>
        <w:t>‘</w:t>
      </w:r>
      <w:r w:rsidRPr="00FA646E">
        <w:rPr>
          <w:rFonts w:ascii="Times New Roman" w:hAnsi="Times New Roman"/>
          <w:color w:val="000000" w:themeColor="text1"/>
          <w:sz w:val="24"/>
          <w:szCs w:val="24"/>
        </w:rPr>
        <w:t>Social Insurance and the Contributory Principle</w:t>
      </w:r>
      <w:r w:rsidR="002B0E8D">
        <w:rPr>
          <w:rFonts w:ascii="Times New Roman" w:hAnsi="Times New Roman"/>
          <w:color w:val="000000" w:themeColor="text1"/>
          <w:sz w:val="24"/>
          <w:szCs w:val="24"/>
        </w:rPr>
        <w:t>’’</w:t>
      </w:r>
      <w:r w:rsidRPr="00FA646E">
        <w:rPr>
          <w:rFonts w:ascii="Times New Roman" w:hAnsi="Times New Roman"/>
          <w:color w:val="000000" w:themeColor="text1"/>
          <w:sz w:val="24"/>
          <w:szCs w:val="24"/>
        </w:rPr>
        <w:t xml:space="preserve"> </w:t>
      </w:r>
      <w:r w:rsidRPr="00FA646E">
        <w:rPr>
          <w:rFonts w:ascii="Times New Roman" w:hAnsi="Times New Roman"/>
          <w:i/>
          <w:color w:val="000000" w:themeColor="text1"/>
          <w:sz w:val="24"/>
          <w:szCs w:val="24"/>
        </w:rPr>
        <w:t>Social Policy and Administration</w:t>
      </w:r>
      <w:r w:rsidRPr="00FA646E">
        <w:rPr>
          <w:rFonts w:ascii="Times New Roman" w:hAnsi="Times New Roman"/>
          <w:color w:val="000000" w:themeColor="text1"/>
          <w:sz w:val="24"/>
          <w:szCs w:val="24"/>
        </w:rPr>
        <w:t>, 35 (6)</w:t>
      </w:r>
      <w:r w:rsidR="007D5ECA">
        <w:rPr>
          <w:rFonts w:ascii="Times New Roman" w:hAnsi="Times New Roman"/>
          <w:color w:val="000000" w:themeColor="text1"/>
          <w:sz w:val="24"/>
          <w:szCs w:val="24"/>
        </w:rPr>
        <w:t xml:space="preserve">, pp. </w:t>
      </w:r>
      <w:r w:rsidRPr="00FA646E">
        <w:rPr>
          <w:rFonts w:ascii="Times New Roman" w:hAnsi="Times New Roman"/>
          <w:color w:val="000000" w:themeColor="text1"/>
          <w:sz w:val="24"/>
          <w:szCs w:val="24"/>
        </w:rPr>
        <w:t>641-657.</w:t>
      </w:r>
    </w:p>
    <w:p w14:paraId="273CD34D" w14:textId="77777777" w:rsidR="000A4F2F" w:rsidRPr="00FA646E" w:rsidRDefault="000A4F2F" w:rsidP="003903A3">
      <w:pPr>
        <w:pStyle w:val="BISReference"/>
        <w:ind w:left="-397" w:right="-397" w:firstLine="0"/>
        <w:rPr>
          <w:rFonts w:ascii="Times New Roman" w:hAnsi="Times New Roman"/>
          <w:color w:val="000000" w:themeColor="text1"/>
          <w:sz w:val="24"/>
          <w:szCs w:val="24"/>
        </w:rPr>
      </w:pPr>
    </w:p>
    <w:p w14:paraId="63830617" w14:textId="77777777" w:rsidR="0046488D" w:rsidRDefault="000A4F2F" w:rsidP="00327C34">
      <w:pPr>
        <w:pStyle w:val="BISReference"/>
        <w:ind w:left="-397" w:right="-397" w:firstLine="0"/>
        <w:rPr>
          <w:color w:val="000000" w:themeColor="text1"/>
        </w:rPr>
      </w:pPr>
      <w:r w:rsidRPr="00FA646E">
        <w:rPr>
          <w:rFonts w:ascii="Times New Roman" w:hAnsi="Times New Roman"/>
          <w:color w:val="000000" w:themeColor="text1"/>
          <w:sz w:val="24"/>
          <w:szCs w:val="24"/>
        </w:rPr>
        <w:t xml:space="preserve">Collier, R., </w:t>
      </w:r>
      <w:r w:rsidR="00E11FE5">
        <w:rPr>
          <w:rFonts w:ascii="Times New Roman" w:hAnsi="Times New Roman"/>
          <w:color w:val="000000" w:themeColor="text1"/>
          <w:sz w:val="24"/>
          <w:szCs w:val="24"/>
        </w:rPr>
        <w:t>(</w:t>
      </w:r>
      <w:r w:rsidRPr="00FA646E">
        <w:rPr>
          <w:rFonts w:ascii="Times New Roman" w:hAnsi="Times New Roman"/>
          <w:color w:val="000000" w:themeColor="text1"/>
          <w:sz w:val="24"/>
          <w:szCs w:val="24"/>
        </w:rPr>
        <w:t>1999</w:t>
      </w:r>
      <w:r w:rsidR="00E11FE5">
        <w:rPr>
          <w:rFonts w:ascii="Times New Roman" w:hAnsi="Times New Roman"/>
          <w:color w:val="000000" w:themeColor="text1"/>
          <w:sz w:val="24"/>
          <w:szCs w:val="24"/>
        </w:rPr>
        <w:t>)</w:t>
      </w:r>
      <w:r w:rsidRPr="00FA646E">
        <w:rPr>
          <w:rFonts w:ascii="Times New Roman" w:hAnsi="Times New Roman"/>
          <w:color w:val="000000" w:themeColor="text1"/>
          <w:sz w:val="24"/>
          <w:szCs w:val="24"/>
        </w:rPr>
        <w:t xml:space="preserve">, </w:t>
      </w:r>
      <w:r w:rsidRPr="00E11FE5">
        <w:rPr>
          <w:rFonts w:ascii="Times New Roman" w:hAnsi="Times New Roman"/>
          <w:i/>
          <w:color w:val="000000" w:themeColor="text1"/>
          <w:sz w:val="24"/>
          <w:szCs w:val="24"/>
        </w:rPr>
        <w:t>Paths Toward Democracy</w:t>
      </w:r>
      <w:r w:rsidRPr="00FA646E">
        <w:rPr>
          <w:rFonts w:ascii="Times New Roman" w:hAnsi="Times New Roman"/>
          <w:color w:val="000000" w:themeColor="text1"/>
          <w:sz w:val="24"/>
          <w:szCs w:val="24"/>
        </w:rPr>
        <w:t>, Cambridge: Cambridge University Press.</w:t>
      </w:r>
    </w:p>
    <w:p w14:paraId="348D8762" w14:textId="77777777" w:rsidR="0046488D" w:rsidRDefault="0046488D" w:rsidP="00327C34">
      <w:pPr>
        <w:pStyle w:val="BISReference"/>
        <w:ind w:left="-397" w:right="-397" w:firstLine="0"/>
        <w:rPr>
          <w:color w:val="000000" w:themeColor="text1"/>
        </w:rPr>
      </w:pPr>
    </w:p>
    <w:p w14:paraId="348F8B13" w14:textId="77777777" w:rsidR="0046488D" w:rsidRPr="00327C34" w:rsidRDefault="00203110" w:rsidP="00327C34">
      <w:pPr>
        <w:pStyle w:val="BISReference"/>
        <w:ind w:left="-397" w:right="-397" w:firstLine="0"/>
        <w:rPr>
          <w:color w:val="000000" w:themeColor="text1"/>
        </w:rPr>
      </w:pPr>
      <w:proofErr w:type="spellStart"/>
      <w:r w:rsidRPr="00327C34">
        <w:rPr>
          <w:rFonts w:ascii="Times New Roman" w:hAnsi="Times New Roman"/>
          <w:color w:val="000000" w:themeColor="text1"/>
          <w:sz w:val="24"/>
          <w:szCs w:val="24"/>
        </w:rPr>
        <w:t>Colombino</w:t>
      </w:r>
      <w:proofErr w:type="spellEnd"/>
      <w:r w:rsidRPr="00327C34">
        <w:rPr>
          <w:rFonts w:ascii="Times New Roman" w:hAnsi="Times New Roman"/>
          <w:color w:val="000000" w:themeColor="text1"/>
          <w:sz w:val="24"/>
          <w:szCs w:val="24"/>
        </w:rPr>
        <w:t xml:space="preserve">, U. (2009), Evaluating Alternative Basic Income Mechanisms, </w:t>
      </w:r>
      <w:r w:rsidR="0046488D" w:rsidRPr="00327C34">
        <w:rPr>
          <w:rFonts w:ascii="Times New Roman" w:hAnsi="Times New Roman"/>
          <w:sz w:val="24"/>
          <w:szCs w:val="24"/>
          <w:shd w:val="clear" w:color="auto" w:fill="FFFFFF"/>
          <w:lang w:eastAsia="en-US"/>
        </w:rPr>
        <w:t xml:space="preserve">Discussion Paper No. 578, </w:t>
      </w:r>
      <w:r w:rsidR="0046488D">
        <w:rPr>
          <w:rFonts w:ascii="Times New Roman" w:hAnsi="Times New Roman"/>
          <w:sz w:val="24"/>
          <w:szCs w:val="24"/>
          <w:shd w:val="clear" w:color="auto" w:fill="FFFFFF"/>
          <w:lang w:eastAsia="en-US"/>
        </w:rPr>
        <w:t xml:space="preserve">Bergen: </w:t>
      </w:r>
      <w:r w:rsidR="0046488D" w:rsidRPr="00327C34">
        <w:rPr>
          <w:rFonts w:ascii="Times New Roman" w:hAnsi="Times New Roman"/>
          <w:sz w:val="24"/>
          <w:szCs w:val="24"/>
          <w:shd w:val="clear" w:color="auto" w:fill="FFFFFF"/>
          <w:lang w:eastAsia="en-US"/>
        </w:rPr>
        <w:t>Statistics Norway, Research Departme</w:t>
      </w:r>
      <w:r w:rsidR="0046488D">
        <w:rPr>
          <w:rFonts w:ascii="Times New Roman" w:hAnsi="Times New Roman"/>
          <w:sz w:val="24"/>
          <w:szCs w:val="24"/>
          <w:shd w:val="clear" w:color="auto" w:fill="FFFFFF"/>
          <w:lang w:eastAsia="en-US"/>
        </w:rPr>
        <w:t>nt</w:t>
      </w:r>
    </w:p>
    <w:p w14:paraId="3814D244" w14:textId="77777777" w:rsidR="003903A3" w:rsidRPr="00FA646E" w:rsidRDefault="003903A3" w:rsidP="003903A3">
      <w:pPr>
        <w:pStyle w:val="BISReference"/>
        <w:ind w:left="-397" w:right="-397" w:firstLine="0"/>
        <w:rPr>
          <w:rFonts w:ascii="Times New Roman" w:hAnsi="Times New Roman"/>
          <w:color w:val="000000" w:themeColor="text1"/>
          <w:sz w:val="24"/>
          <w:szCs w:val="24"/>
        </w:rPr>
      </w:pPr>
    </w:p>
    <w:p w14:paraId="11D34078" w14:textId="77777777" w:rsidR="00511C44" w:rsidRPr="00FA646E" w:rsidRDefault="001D3990" w:rsidP="003903A3">
      <w:pPr>
        <w:pStyle w:val="BISReference"/>
        <w:ind w:left="-397" w:right="-397" w:firstLine="0"/>
        <w:rPr>
          <w:rFonts w:ascii="Times New Roman" w:hAnsi="Times New Roman"/>
          <w:color w:val="000000" w:themeColor="text1"/>
          <w:sz w:val="24"/>
          <w:szCs w:val="24"/>
        </w:rPr>
      </w:pPr>
      <w:r w:rsidRPr="00FA646E">
        <w:rPr>
          <w:rFonts w:ascii="Times New Roman" w:hAnsi="Times New Roman"/>
          <w:color w:val="000000" w:themeColor="text1"/>
          <w:sz w:val="24"/>
          <w:szCs w:val="24"/>
        </w:rPr>
        <w:t xml:space="preserve">Crouch, C., </w:t>
      </w:r>
      <w:r w:rsidR="00A00248">
        <w:rPr>
          <w:rFonts w:ascii="Times New Roman" w:hAnsi="Times New Roman"/>
          <w:color w:val="000000" w:themeColor="text1"/>
          <w:sz w:val="24"/>
          <w:szCs w:val="24"/>
        </w:rPr>
        <w:t>(</w:t>
      </w:r>
      <w:r w:rsidRPr="00FA646E">
        <w:rPr>
          <w:rFonts w:ascii="Times New Roman" w:hAnsi="Times New Roman"/>
          <w:color w:val="000000" w:themeColor="text1"/>
          <w:sz w:val="24"/>
          <w:szCs w:val="24"/>
        </w:rPr>
        <w:t>1994</w:t>
      </w:r>
      <w:r w:rsidR="00A00248">
        <w:rPr>
          <w:rFonts w:ascii="Times New Roman" w:hAnsi="Times New Roman"/>
          <w:color w:val="000000" w:themeColor="text1"/>
          <w:sz w:val="24"/>
          <w:szCs w:val="24"/>
        </w:rPr>
        <w:t>)</w:t>
      </w:r>
      <w:r w:rsidRPr="00FA646E">
        <w:rPr>
          <w:rFonts w:ascii="Times New Roman" w:hAnsi="Times New Roman"/>
          <w:color w:val="000000" w:themeColor="text1"/>
          <w:sz w:val="24"/>
          <w:szCs w:val="24"/>
        </w:rPr>
        <w:t xml:space="preserve">, </w:t>
      </w:r>
      <w:r w:rsidR="00511C44" w:rsidRPr="00E11FE5">
        <w:rPr>
          <w:rFonts w:ascii="Times New Roman" w:hAnsi="Times New Roman"/>
          <w:i/>
          <w:color w:val="000000" w:themeColor="text1"/>
          <w:sz w:val="24"/>
          <w:szCs w:val="24"/>
        </w:rPr>
        <w:t>Industrial Relations and European State Traditions</w:t>
      </w:r>
      <w:r w:rsidR="00511C44" w:rsidRPr="00FA646E">
        <w:rPr>
          <w:rFonts w:ascii="Times New Roman" w:hAnsi="Times New Roman"/>
          <w:color w:val="000000" w:themeColor="text1"/>
          <w:sz w:val="24"/>
          <w:szCs w:val="24"/>
        </w:rPr>
        <w:t>, Oxford: Oxford University Press.</w:t>
      </w:r>
    </w:p>
    <w:p w14:paraId="705CE3D4" w14:textId="77777777" w:rsidR="001D3990" w:rsidRPr="00FA646E" w:rsidRDefault="001D3990" w:rsidP="001D3990">
      <w:pPr>
        <w:pStyle w:val="BISReference"/>
        <w:ind w:left="0" w:right="-397" w:firstLine="0"/>
        <w:rPr>
          <w:rFonts w:ascii="Times New Roman" w:hAnsi="Times New Roman"/>
          <w:color w:val="000000" w:themeColor="text1"/>
          <w:sz w:val="24"/>
          <w:szCs w:val="24"/>
        </w:rPr>
      </w:pPr>
    </w:p>
    <w:p w14:paraId="369D2A9C" w14:textId="4FBAF630" w:rsidR="00835895" w:rsidRDefault="00835895" w:rsidP="00835895">
      <w:pPr>
        <w:ind w:left="-397" w:right="-397"/>
        <w:rPr>
          <w:rFonts w:cs="Times New Roman"/>
          <w:bCs/>
          <w:color w:val="141414"/>
          <w:spacing w:val="-15"/>
          <w:shd w:val="clear" w:color="auto" w:fill="FFFFFF"/>
        </w:rPr>
      </w:pPr>
      <w:r w:rsidRPr="002628EA">
        <w:rPr>
          <w:rFonts w:cs="Times New Roman"/>
        </w:rPr>
        <w:t xml:space="preserve">Daily Mirror, </w:t>
      </w:r>
      <w:r w:rsidR="00A00248">
        <w:rPr>
          <w:rFonts w:cs="Times New Roman"/>
        </w:rPr>
        <w:t>(</w:t>
      </w:r>
      <w:r>
        <w:rPr>
          <w:rFonts w:cs="Times New Roman"/>
        </w:rPr>
        <w:t>20</w:t>
      </w:r>
      <w:r w:rsidR="00F50EB6">
        <w:rPr>
          <w:rFonts w:cs="Times New Roman"/>
        </w:rPr>
        <w:t>20</w:t>
      </w:r>
      <w:r w:rsidR="00A00248">
        <w:rPr>
          <w:rFonts w:cs="Times New Roman"/>
        </w:rPr>
        <w:t>)</w:t>
      </w:r>
      <w:r>
        <w:rPr>
          <w:rFonts w:cs="Times New Roman"/>
        </w:rPr>
        <w:t xml:space="preserve"> </w:t>
      </w:r>
      <w:r w:rsidRPr="002628EA">
        <w:rPr>
          <w:rFonts w:cs="Times New Roman"/>
          <w:bCs/>
          <w:color w:val="141414"/>
          <w:spacing w:val="-15"/>
          <w:shd w:val="clear" w:color="auto" w:fill="FFFFFF"/>
        </w:rPr>
        <w:t>New coronavi</w:t>
      </w:r>
      <w:r w:rsidR="00D443B1">
        <w:rPr>
          <w:rFonts w:cs="Times New Roman"/>
          <w:bCs/>
          <w:color w:val="141414"/>
          <w:spacing w:val="-15"/>
          <w:shd w:val="clear" w:color="auto" w:fill="FFFFFF"/>
        </w:rPr>
        <w:t xml:space="preserve">rus sick pay law </w:t>
      </w:r>
      <w:proofErr w:type="gramStart"/>
      <w:r w:rsidR="00D443B1">
        <w:rPr>
          <w:rFonts w:cs="Times New Roman"/>
          <w:bCs/>
          <w:color w:val="141414"/>
          <w:spacing w:val="-15"/>
          <w:shd w:val="clear" w:color="auto" w:fill="FFFFFF"/>
        </w:rPr>
        <w:t>announced ,</w:t>
      </w:r>
      <w:proofErr w:type="gramEnd"/>
      <w:r w:rsidR="00D443B1">
        <w:rPr>
          <w:rFonts w:cs="Times New Roman"/>
          <w:bCs/>
          <w:color w:val="141414"/>
          <w:spacing w:val="-15"/>
          <w:shd w:val="clear" w:color="auto" w:fill="FFFFFF"/>
        </w:rPr>
        <w:t xml:space="preserve"> Ma</w:t>
      </w:r>
      <w:r>
        <w:rPr>
          <w:rFonts w:cs="Times New Roman"/>
          <w:bCs/>
          <w:color w:val="141414"/>
          <w:spacing w:val="-15"/>
          <w:shd w:val="clear" w:color="auto" w:fill="FFFFFF"/>
        </w:rPr>
        <w:t>r</w:t>
      </w:r>
      <w:r w:rsidR="00D443B1">
        <w:rPr>
          <w:rFonts w:cs="Times New Roman"/>
          <w:bCs/>
          <w:color w:val="141414"/>
          <w:spacing w:val="-15"/>
          <w:shd w:val="clear" w:color="auto" w:fill="FFFFFF"/>
        </w:rPr>
        <w:t>c</w:t>
      </w:r>
      <w:r>
        <w:rPr>
          <w:rFonts w:cs="Times New Roman"/>
          <w:bCs/>
          <w:color w:val="141414"/>
          <w:spacing w:val="-15"/>
          <w:shd w:val="clear" w:color="auto" w:fill="FFFFFF"/>
        </w:rPr>
        <w:t>h 4</w:t>
      </w:r>
      <w:r w:rsidRPr="002628EA">
        <w:rPr>
          <w:rFonts w:cs="Times New Roman"/>
          <w:bCs/>
          <w:color w:val="141414"/>
          <w:spacing w:val="-15"/>
          <w:shd w:val="clear" w:color="auto" w:fill="FFFFFF"/>
          <w:vertAlign w:val="superscript"/>
        </w:rPr>
        <w:t>th</w:t>
      </w:r>
      <w:r>
        <w:rPr>
          <w:rFonts w:cs="Times New Roman"/>
          <w:bCs/>
          <w:color w:val="141414"/>
          <w:spacing w:val="-15"/>
          <w:shd w:val="clear" w:color="auto" w:fill="FFFFFF"/>
        </w:rPr>
        <w:t>.</w:t>
      </w:r>
    </w:p>
    <w:p w14:paraId="46788068" w14:textId="77777777" w:rsidR="00835895" w:rsidRPr="00835895" w:rsidRDefault="0018698A" w:rsidP="00835895">
      <w:pPr>
        <w:spacing w:line="360" w:lineRule="auto"/>
        <w:ind w:left="-397" w:right="-397"/>
        <w:jc w:val="both"/>
        <w:rPr>
          <w:rFonts w:cs="Times New Roman"/>
          <w:color w:val="000000" w:themeColor="text1"/>
        </w:rPr>
      </w:pPr>
      <w:hyperlink r:id="rId13" w:history="1">
        <w:r w:rsidR="00835895" w:rsidRPr="00B529F4">
          <w:rPr>
            <w:rFonts w:eastAsia="Times New Roman" w:cs="Times New Roman"/>
            <w:color w:val="0000FF"/>
            <w:u w:val="single"/>
            <w:lang w:eastAsia="en-US" w:bidi="ar-SA"/>
          </w:rPr>
          <w:t>https://www.mirror.co.uk/news/politics/breaking-new-coronavirus-sick-pay-21629942</w:t>
        </w:r>
      </w:hyperlink>
    </w:p>
    <w:p w14:paraId="17E2F88A" w14:textId="77777777" w:rsidR="00835895" w:rsidRPr="00835895" w:rsidRDefault="00835895" w:rsidP="00835895">
      <w:pPr>
        <w:rPr>
          <w:lang w:eastAsia="it-IT" w:bidi="ar-SA"/>
        </w:rPr>
      </w:pPr>
    </w:p>
    <w:p w14:paraId="7965890A" w14:textId="528380A7" w:rsidR="00835895" w:rsidRPr="00327C34" w:rsidRDefault="00835895" w:rsidP="00835895">
      <w:pPr>
        <w:pStyle w:val="Heading1"/>
        <w:shd w:val="clear" w:color="auto" w:fill="FFFFFF"/>
        <w:spacing w:before="0" w:after="0"/>
        <w:ind w:left="-397" w:right="-397"/>
        <w:rPr>
          <w:rFonts w:ascii="Times New Roman" w:hAnsi="Times New Roman"/>
          <w:b w:val="0"/>
          <w:color w:val="000000"/>
          <w:sz w:val="24"/>
          <w:szCs w:val="24"/>
        </w:rPr>
      </w:pPr>
      <w:r w:rsidRPr="00327C34">
        <w:rPr>
          <w:rFonts w:ascii="Times New Roman" w:hAnsi="Times New Roman"/>
          <w:b w:val="0"/>
          <w:color w:val="000000" w:themeColor="text1"/>
          <w:sz w:val="24"/>
          <w:szCs w:val="24"/>
        </w:rPr>
        <w:t xml:space="preserve">Danish Radio (DR), </w:t>
      </w:r>
      <w:r w:rsidR="00A00248" w:rsidRPr="00327C34">
        <w:rPr>
          <w:rFonts w:ascii="Times New Roman" w:hAnsi="Times New Roman"/>
          <w:b w:val="0"/>
          <w:color w:val="000000" w:themeColor="text1"/>
          <w:sz w:val="24"/>
          <w:szCs w:val="24"/>
        </w:rPr>
        <w:t>(</w:t>
      </w:r>
      <w:r w:rsidRPr="00327C34">
        <w:rPr>
          <w:rFonts w:ascii="Times New Roman" w:hAnsi="Times New Roman"/>
          <w:b w:val="0"/>
          <w:color w:val="000000" w:themeColor="text1"/>
          <w:sz w:val="24"/>
          <w:szCs w:val="24"/>
        </w:rPr>
        <w:t>20</w:t>
      </w:r>
      <w:r w:rsidR="00F50EB6">
        <w:rPr>
          <w:rFonts w:ascii="Times New Roman" w:hAnsi="Times New Roman"/>
          <w:b w:val="0"/>
          <w:color w:val="000000" w:themeColor="text1"/>
          <w:sz w:val="24"/>
          <w:szCs w:val="24"/>
        </w:rPr>
        <w:t>20</w:t>
      </w:r>
      <w:r w:rsidR="00A00248" w:rsidRPr="00327C34">
        <w:rPr>
          <w:rFonts w:ascii="Times New Roman" w:hAnsi="Times New Roman"/>
          <w:b w:val="0"/>
          <w:color w:val="000000" w:themeColor="text1"/>
          <w:sz w:val="24"/>
          <w:szCs w:val="24"/>
        </w:rPr>
        <w:t>)</w:t>
      </w:r>
      <w:r w:rsidRPr="00327C34">
        <w:rPr>
          <w:rFonts w:ascii="Times New Roman" w:hAnsi="Times New Roman"/>
          <w:b w:val="0"/>
          <w:color w:val="000000" w:themeColor="text1"/>
          <w:sz w:val="24"/>
          <w:szCs w:val="24"/>
        </w:rPr>
        <w:t xml:space="preserve">, </w:t>
      </w:r>
      <w:proofErr w:type="spellStart"/>
      <w:r w:rsidRPr="00327C34">
        <w:rPr>
          <w:rFonts w:ascii="Times New Roman" w:hAnsi="Times New Roman"/>
          <w:b w:val="0"/>
          <w:color w:val="000000"/>
          <w:sz w:val="24"/>
          <w:szCs w:val="24"/>
        </w:rPr>
        <w:t>Ledige</w:t>
      </w:r>
      <w:proofErr w:type="spellEnd"/>
      <w:r w:rsidRPr="00327C34">
        <w:rPr>
          <w:rFonts w:ascii="Times New Roman" w:hAnsi="Times New Roman"/>
          <w:b w:val="0"/>
          <w:color w:val="000000"/>
          <w:sz w:val="24"/>
          <w:szCs w:val="24"/>
        </w:rPr>
        <w:t xml:space="preserve"> </w:t>
      </w:r>
      <w:proofErr w:type="spellStart"/>
      <w:r w:rsidRPr="00327C34">
        <w:rPr>
          <w:rFonts w:ascii="Times New Roman" w:hAnsi="Times New Roman"/>
          <w:b w:val="0"/>
          <w:color w:val="000000"/>
          <w:sz w:val="24"/>
          <w:szCs w:val="24"/>
        </w:rPr>
        <w:t>frede</w:t>
      </w:r>
      <w:r w:rsidR="00D443B1" w:rsidRPr="00327C34">
        <w:rPr>
          <w:rFonts w:ascii="Times New Roman" w:hAnsi="Times New Roman"/>
          <w:b w:val="0"/>
          <w:color w:val="000000"/>
          <w:sz w:val="24"/>
          <w:szCs w:val="24"/>
        </w:rPr>
        <w:t>s</w:t>
      </w:r>
      <w:proofErr w:type="spellEnd"/>
      <w:r w:rsidR="00D443B1" w:rsidRPr="00327C34">
        <w:rPr>
          <w:rFonts w:ascii="Times New Roman" w:hAnsi="Times New Roman"/>
          <w:b w:val="0"/>
          <w:color w:val="000000"/>
          <w:sz w:val="24"/>
          <w:szCs w:val="24"/>
        </w:rPr>
        <w:t xml:space="preserve"> </w:t>
      </w:r>
      <w:proofErr w:type="spellStart"/>
      <w:r w:rsidR="00D443B1" w:rsidRPr="00327C34">
        <w:rPr>
          <w:rFonts w:ascii="Times New Roman" w:hAnsi="Times New Roman"/>
          <w:b w:val="0"/>
          <w:color w:val="000000"/>
          <w:sz w:val="24"/>
          <w:szCs w:val="24"/>
        </w:rPr>
        <w:t>i</w:t>
      </w:r>
      <w:proofErr w:type="spellEnd"/>
      <w:r w:rsidR="00D443B1" w:rsidRPr="00327C34">
        <w:rPr>
          <w:rFonts w:ascii="Times New Roman" w:hAnsi="Times New Roman"/>
          <w:b w:val="0"/>
          <w:color w:val="000000"/>
          <w:sz w:val="24"/>
          <w:szCs w:val="24"/>
        </w:rPr>
        <w:t xml:space="preserve"> </w:t>
      </w:r>
      <w:proofErr w:type="spellStart"/>
      <w:r w:rsidR="00D443B1" w:rsidRPr="00327C34">
        <w:rPr>
          <w:rFonts w:ascii="Times New Roman" w:hAnsi="Times New Roman"/>
          <w:b w:val="0"/>
          <w:color w:val="000000"/>
          <w:sz w:val="24"/>
          <w:szCs w:val="24"/>
        </w:rPr>
        <w:t>coronakrise</w:t>
      </w:r>
      <w:proofErr w:type="spellEnd"/>
      <w:r w:rsidRPr="00327C34">
        <w:rPr>
          <w:rFonts w:ascii="Times New Roman" w:hAnsi="Times New Roman"/>
          <w:b w:val="0"/>
          <w:color w:val="000000"/>
          <w:sz w:val="24"/>
          <w:szCs w:val="24"/>
        </w:rPr>
        <w:t>,</w:t>
      </w:r>
    </w:p>
    <w:p w14:paraId="47474CB4" w14:textId="77777777" w:rsidR="00835895" w:rsidRPr="00327C34" w:rsidRDefault="0018698A" w:rsidP="00835895">
      <w:pPr>
        <w:ind w:left="-397" w:right="-397"/>
        <w:rPr>
          <w:rFonts w:cs="Times New Roman"/>
        </w:rPr>
      </w:pPr>
      <w:hyperlink r:id="rId14" w:history="1">
        <w:r w:rsidR="00835895" w:rsidRPr="00327C34">
          <w:rPr>
            <w:rStyle w:val="Hyperlink"/>
            <w:rFonts w:cs="Times New Roman"/>
          </w:rPr>
          <w:t>https://www.dr.dk/nyheder/penge/ledige-fredes-i-coronakrise-skal-ikke-i-aktivering-faa-understoettelse</w:t>
        </w:r>
      </w:hyperlink>
    </w:p>
    <w:p w14:paraId="155669D6" w14:textId="77777777" w:rsidR="00D9145E" w:rsidRPr="00327C34" w:rsidRDefault="00D9145E" w:rsidP="00FA646E">
      <w:pPr>
        <w:pStyle w:val="BISReference"/>
        <w:ind w:left="0" w:right="-397" w:firstLine="0"/>
        <w:rPr>
          <w:rFonts w:ascii="Times New Roman" w:hAnsi="Times New Roman"/>
          <w:color w:val="000000" w:themeColor="text1"/>
          <w:sz w:val="24"/>
          <w:szCs w:val="24"/>
        </w:rPr>
      </w:pPr>
    </w:p>
    <w:p w14:paraId="2F27056B" w14:textId="77777777" w:rsidR="00D9145E" w:rsidRPr="00FA646E" w:rsidRDefault="00D9145E" w:rsidP="00D9145E">
      <w:pPr>
        <w:ind w:left="-397" w:right="-397"/>
        <w:jc w:val="both"/>
        <w:rPr>
          <w:rFonts w:cs="Times New Roman"/>
          <w:color w:val="000000" w:themeColor="text1"/>
        </w:rPr>
      </w:pPr>
      <w:proofErr w:type="spellStart"/>
      <w:r w:rsidRPr="00FA646E">
        <w:rPr>
          <w:rFonts w:cs="Times New Roman"/>
          <w:color w:val="000000" w:themeColor="text1"/>
        </w:rPr>
        <w:t>Duvander</w:t>
      </w:r>
      <w:proofErr w:type="spellEnd"/>
      <w:r w:rsidRPr="00FA646E">
        <w:rPr>
          <w:rFonts w:cs="Times New Roman"/>
          <w:color w:val="000000" w:themeColor="text1"/>
        </w:rPr>
        <w:t xml:space="preserve">, A-Z. and Johansson, M. (2015), ‘Parental Leave Use For </w:t>
      </w:r>
      <w:proofErr w:type="gramStart"/>
      <w:r w:rsidRPr="00FA646E">
        <w:rPr>
          <w:rFonts w:cs="Times New Roman"/>
          <w:color w:val="000000" w:themeColor="text1"/>
        </w:rPr>
        <w:t>different</w:t>
      </w:r>
      <w:proofErr w:type="gramEnd"/>
      <w:r w:rsidRPr="00FA646E">
        <w:rPr>
          <w:rFonts w:cs="Times New Roman"/>
          <w:color w:val="000000" w:themeColor="text1"/>
        </w:rPr>
        <w:t xml:space="preserve"> Fathers</w:t>
      </w:r>
      <w:r w:rsidR="002B0E8D">
        <w:rPr>
          <w:rFonts w:cs="Times New Roman"/>
          <w:color w:val="000000" w:themeColor="text1"/>
        </w:rPr>
        <w:t>’</w:t>
      </w:r>
      <w:r w:rsidR="0065215D">
        <w:rPr>
          <w:rFonts w:cs="Times New Roman"/>
          <w:color w:val="000000" w:themeColor="text1"/>
        </w:rPr>
        <w:t>,</w:t>
      </w:r>
      <w:r w:rsidRPr="00FA646E">
        <w:rPr>
          <w:rFonts w:cs="Times New Roman"/>
          <w:color w:val="000000" w:themeColor="text1"/>
        </w:rPr>
        <w:t xml:space="preserve"> </w:t>
      </w:r>
      <w:r w:rsidRPr="00E11FE5">
        <w:rPr>
          <w:rFonts w:cs="Times New Roman"/>
          <w:i/>
          <w:color w:val="000000" w:themeColor="text1"/>
        </w:rPr>
        <w:t>Fatherhood in the Nordic Welfare States</w:t>
      </w:r>
      <w:r w:rsidRPr="00FA646E">
        <w:rPr>
          <w:rFonts w:cs="Times New Roman"/>
          <w:color w:val="000000" w:themeColor="text1"/>
        </w:rPr>
        <w:t xml:space="preserve">, G.B. </w:t>
      </w:r>
      <w:proofErr w:type="spellStart"/>
      <w:r w:rsidRPr="00FA646E">
        <w:rPr>
          <w:rFonts w:cs="Times New Roman"/>
          <w:color w:val="000000" w:themeColor="text1"/>
        </w:rPr>
        <w:t>Eydal</w:t>
      </w:r>
      <w:proofErr w:type="spellEnd"/>
      <w:r w:rsidRPr="00FA646E">
        <w:rPr>
          <w:rFonts w:cs="Times New Roman"/>
          <w:color w:val="000000" w:themeColor="text1"/>
        </w:rPr>
        <w:t xml:space="preserve"> and T. </w:t>
      </w:r>
      <w:proofErr w:type="spellStart"/>
      <w:r w:rsidRPr="00FA646E">
        <w:rPr>
          <w:rFonts w:cs="Times New Roman"/>
          <w:color w:val="000000" w:themeColor="text1"/>
        </w:rPr>
        <w:t>Rostgaard</w:t>
      </w:r>
      <w:proofErr w:type="spellEnd"/>
      <w:r w:rsidRPr="00FA646E">
        <w:rPr>
          <w:rFonts w:cs="Times New Roman"/>
          <w:color w:val="000000" w:themeColor="text1"/>
        </w:rPr>
        <w:t xml:space="preserve"> (Eds.), Bristol: Policy Press.</w:t>
      </w:r>
    </w:p>
    <w:p w14:paraId="0707A913" w14:textId="77777777" w:rsidR="001D3990" w:rsidRPr="006707EA" w:rsidRDefault="001D3990" w:rsidP="008C5FA3">
      <w:pPr>
        <w:pStyle w:val="BISReference"/>
        <w:ind w:left="0" w:right="-397" w:firstLine="0"/>
        <w:rPr>
          <w:rFonts w:ascii="Times New Roman" w:hAnsi="Times New Roman"/>
          <w:color w:val="000000" w:themeColor="text1"/>
          <w:sz w:val="24"/>
          <w:szCs w:val="24"/>
        </w:rPr>
      </w:pPr>
    </w:p>
    <w:p w14:paraId="4BEDF127" w14:textId="77777777" w:rsidR="003903A3" w:rsidRPr="006707EA" w:rsidRDefault="003903A3" w:rsidP="003903A3">
      <w:pPr>
        <w:pStyle w:val="BISReference"/>
        <w:ind w:left="-397" w:right="-397" w:firstLine="0"/>
        <w:rPr>
          <w:rFonts w:ascii="Times New Roman" w:hAnsi="Times New Roman"/>
          <w:color w:val="000000" w:themeColor="text1"/>
          <w:sz w:val="24"/>
          <w:szCs w:val="24"/>
        </w:rPr>
      </w:pPr>
      <w:r w:rsidRPr="006707EA">
        <w:rPr>
          <w:rFonts w:ascii="Times New Roman" w:hAnsi="Times New Roman"/>
          <w:color w:val="000000" w:themeColor="text1"/>
          <w:sz w:val="24"/>
          <w:szCs w:val="24"/>
        </w:rPr>
        <w:t xml:space="preserve">Dworkin, G., </w:t>
      </w:r>
      <w:r w:rsidR="00E11FE5">
        <w:rPr>
          <w:rFonts w:ascii="Times New Roman" w:hAnsi="Times New Roman"/>
          <w:color w:val="000000" w:themeColor="text1"/>
          <w:sz w:val="24"/>
          <w:szCs w:val="24"/>
        </w:rPr>
        <w:t>(</w:t>
      </w:r>
      <w:r w:rsidRPr="006707EA">
        <w:rPr>
          <w:rFonts w:ascii="Times New Roman" w:hAnsi="Times New Roman"/>
          <w:color w:val="000000" w:themeColor="text1"/>
          <w:sz w:val="24"/>
          <w:szCs w:val="24"/>
        </w:rPr>
        <w:t>1988</w:t>
      </w:r>
      <w:r w:rsidR="00E11FE5">
        <w:rPr>
          <w:rFonts w:ascii="Times New Roman" w:hAnsi="Times New Roman"/>
          <w:color w:val="000000" w:themeColor="text1"/>
          <w:sz w:val="24"/>
          <w:szCs w:val="24"/>
        </w:rPr>
        <w:t>)</w:t>
      </w:r>
      <w:r w:rsidRPr="006707EA">
        <w:rPr>
          <w:rFonts w:ascii="Times New Roman" w:hAnsi="Times New Roman"/>
          <w:color w:val="000000" w:themeColor="text1"/>
          <w:sz w:val="24"/>
          <w:szCs w:val="24"/>
        </w:rPr>
        <w:t xml:space="preserve">, </w:t>
      </w:r>
      <w:r w:rsidRPr="00E11FE5">
        <w:rPr>
          <w:rFonts w:ascii="Times New Roman" w:hAnsi="Times New Roman"/>
          <w:i/>
          <w:color w:val="000000" w:themeColor="text1"/>
          <w:sz w:val="24"/>
          <w:szCs w:val="24"/>
        </w:rPr>
        <w:t>The Theory and Practice of Autonomy</w:t>
      </w:r>
      <w:r w:rsidRPr="006707EA">
        <w:rPr>
          <w:rFonts w:ascii="Times New Roman" w:hAnsi="Times New Roman"/>
          <w:color w:val="000000" w:themeColor="text1"/>
          <w:sz w:val="24"/>
          <w:szCs w:val="24"/>
        </w:rPr>
        <w:t>, Cambridge: Cambridge University Press.</w:t>
      </w:r>
    </w:p>
    <w:p w14:paraId="0249484D" w14:textId="77777777" w:rsidR="0065215D" w:rsidRDefault="003903A3" w:rsidP="003903A3">
      <w:pPr>
        <w:pStyle w:val="BISReference"/>
        <w:spacing w:before="100" w:beforeAutospacing="1" w:after="100" w:afterAutospacing="1"/>
        <w:ind w:left="-397" w:right="-397" w:firstLine="0"/>
        <w:rPr>
          <w:color w:val="000000" w:themeColor="text1"/>
          <w:sz w:val="24"/>
          <w:szCs w:val="24"/>
        </w:rPr>
      </w:pPr>
      <w:r w:rsidRPr="006707EA">
        <w:rPr>
          <w:rFonts w:ascii="Times New Roman" w:eastAsiaTheme="minorHAnsi" w:hAnsi="Times New Roman"/>
          <w:color w:val="000000" w:themeColor="text1"/>
          <w:sz w:val="24"/>
          <w:szCs w:val="24"/>
          <w:lang w:eastAsia="en-US"/>
        </w:rPr>
        <w:t xml:space="preserve">Dworkin, R., </w:t>
      </w:r>
      <w:r w:rsidR="00A00248">
        <w:rPr>
          <w:rFonts w:ascii="Times New Roman" w:eastAsiaTheme="minorHAnsi" w:hAnsi="Times New Roman"/>
          <w:color w:val="000000" w:themeColor="text1"/>
          <w:sz w:val="24"/>
          <w:szCs w:val="24"/>
          <w:lang w:eastAsia="en-US"/>
        </w:rPr>
        <w:t>(</w:t>
      </w:r>
      <w:r w:rsidRPr="006707EA">
        <w:rPr>
          <w:rFonts w:ascii="Times New Roman" w:eastAsiaTheme="minorHAnsi" w:hAnsi="Times New Roman"/>
          <w:color w:val="000000" w:themeColor="text1"/>
          <w:sz w:val="24"/>
          <w:szCs w:val="24"/>
          <w:lang w:eastAsia="en-US"/>
        </w:rPr>
        <w:t>2000</w:t>
      </w:r>
      <w:r w:rsidR="00A00248">
        <w:rPr>
          <w:rFonts w:ascii="Times New Roman" w:eastAsiaTheme="minorHAnsi" w:hAnsi="Times New Roman"/>
          <w:color w:val="000000" w:themeColor="text1"/>
          <w:sz w:val="24"/>
          <w:szCs w:val="24"/>
          <w:lang w:eastAsia="en-US"/>
        </w:rPr>
        <w:t>)</w:t>
      </w:r>
      <w:r w:rsidRPr="006707EA">
        <w:rPr>
          <w:rFonts w:ascii="Times New Roman" w:eastAsiaTheme="minorHAnsi" w:hAnsi="Times New Roman"/>
          <w:color w:val="000000" w:themeColor="text1"/>
          <w:sz w:val="24"/>
          <w:szCs w:val="24"/>
          <w:lang w:eastAsia="en-US"/>
        </w:rPr>
        <w:t xml:space="preserve">, </w:t>
      </w:r>
      <w:r w:rsidRPr="00E11FE5">
        <w:rPr>
          <w:rFonts w:ascii="Times New Roman" w:eastAsiaTheme="minorHAnsi" w:hAnsi="Times New Roman"/>
          <w:i/>
          <w:color w:val="000000" w:themeColor="text1"/>
          <w:sz w:val="24"/>
          <w:szCs w:val="24"/>
          <w:lang w:eastAsia="en-US"/>
        </w:rPr>
        <w:t>Sovereign Virtue,</w:t>
      </w:r>
      <w:r w:rsidRPr="006707EA">
        <w:rPr>
          <w:rFonts w:ascii="Times New Roman" w:eastAsiaTheme="minorHAnsi" w:hAnsi="Times New Roman"/>
          <w:color w:val="000000" w:themeColor="text1"/>
          <w:sz w:val="24"/>
          <w:szCs w:val="24"/>
          <w:lang w:eastAsia="en-US"/>
        </w:rPr>
        <w:t xml:space="preserve"> Harvard University Press. </w:t>
      </w:r>
    </w:p>
    <w:p w14:paraId="5067715C" w14:textId="19EB721E" w:rsidR="003903A3" w:rsidRPr="006707EA" w:rsidRDefault="003903A3" w:rsidP="003903A3">
      <w:pPr>
        <w:pStyle w:val="BISReference"/>
        <w:spacing w:before="100" w:beforeAutospacing="1" w:after="100" w:afterAutospacing="1"/>
        <w:ind w:left="-397" w:right="-397" w:firstLine="0"/>
        <w:rPr>
          <w:rFonts w:ascii="Times New Roman" w:eastAsiaTheme="minorHAnsi" w:hAnsi="Times New Roman"/>
          <w:color w:val="000000" w:themeColor="text1"/>
          <w:sz w:val="24"/>
          <w:szCs w:val="24"/>
          <w:lang w:eastAsia="en-US"/>
        </w:rPr>
      </w:pPr>
      <w:r w:rsidRPr="006707EA">
        <w:rPr>
          <w:rFonts w:ascii="Times New Roman" w:eastAsiaTheme="minorHAnsi" w:hAnsi="Times New Roman"/>
          <w:color w:val="000000" w:themeColor="text1"/>
          <w:sz w:val="24"/>
          <w:szCs w:val="24"/>
          <w:lang w:eastAsia="en-US"/>
        </w:rPr>
        <w:t>Dworkin, R</w:t>
      </w:r>
      <w:r w:rsidR="002B39E9">
        <w:rPr>
          <w:rFonts w:ascii="Times New Roman" w:eastAsiaTheme="minorHAnsi" w:hAnsi="Times New Roman"/>
          <w:color w:val="000000" w:themeColor="text1"/>
          <w:sz w:val="24"/>
          <w:szCs w:val="24"/>
          <w:lang w:eastAsia="en-US"/>
        </w:rPr>
        <w:t xml:space="preserve">. </w:t>
      </w:r>
      <w:r w:rsidR="00E11FE5">
        <w:rPr>
          <w:rFonts w:ascii="Times New Roman" w:eastAsiaTheme="minorHAnsi" w:hAnsi="Times New Roman"/>
          <w:color w:val="000000" w:themeColor="text1"/>
          <w:sz w:val="24"/>
          <w:szCs w:val="24"/>
          <w:lang w:eastAsia="en-US"/>
        </w:rPr>
        <w:t>(</w:t>
      </w:r>
      <w:r w:rsidR="002B39E9">
        <w:rPr>
          <w:rFonts w:ascii="Times New Roman" w:eastAsiaTheme="minorHAnsi" w:hAnsi="Times New Roman"/>
          <w:color w:val="000000" w:themeColor="text1"/>
          <w:sz w:val="24"/>
          <w:szCs w:val="24"/>
          <w:lang w:eastAsia="en-US"/>
        </w:rPr>
        <w:t>1981</w:t>
      </w:r>
      <w:r w:rsidR="00E11FE5">
        <w:rPr>
          <w:rFonts w:ascii="Times New Roman" w:eastAsiaTheme="minorHAnsi" w:hAnsi="Times New Roman"/>
          <w:color w:val="000000" w:themeColor="text1"/>
          <w:sz w:val="24"/>
          <w:szCs w:val="24"/>
          <w:lang w:eastAsia="en-US"/>
        </w:rPr>
        <w:t>)</w:t>
      </w:r>
      <w:r w:rsidRPr="006707EA">
        <w:rPr>
          <w:rFonts w:ascii="Times New Roman" w:eastAsiaTheme="minorHAnsi" w:hAnsi="Times New Roman"/>
          <w:color w:val="000000" w:themeColor="text1"/>
          <w:sz w:val="24"/>
          <w:szCs w:val="24"/>
          <w:lang w:eastAsia="en-US"/>
        </w:rPr>
        <w:t>, ‘What is Equal</w:t>
      </w:r>
      <w:r w:rsidR="002B39E9">
        <w:rPr>
          <w:rFonts w:ascii="Times New Roman" w:eastAsiaTheme="minorHAnsi" w:hAnsi="Times New Roman"/>
          <w:color w:val="000000" w:themeColor="text1"/>
          <w:sz w:val="24"/>
          <w:szCs w:val="24"/>
          <w:lang w:eastAsia="en-US"/>
        </w:rPr>
        <w:t>ity</w:t>
      </w:r>
      <w:r w:rsidRPr="006707EA">
        <w:rPr>
          <w:rFonts w:ascii="Times New Roman" w:eastAsiaTheme="minorHAnsi" w:hAnsi="Times New Roman"/>
          <w:color w:val="000000" w:themeColor="text1"/>
          <w:sz w:val="24"/>
          <w:szCs w:val="24"/>
          <w:lang w:eastAsia="en-US"/>
        </w:rPr>
        <w:t xml:space="preserve">’ </w:t>
      </w:r>
      <w:r w:rsidRPr="00E11FE5">
        <w:rPr>
          <w:rFonts w:ascii="Times New Roman" w:eastAsiaTheme="minorHAnsi" w:hAnsi="Times New Roman"/>
          <w:i/>
          <w:color w:val="000000" w:themeColor="text1"/>
          <w:sz w:val="24"/>
          <w:szCs w:val="24"/>
          <w:lang w:eastAsia="en-US"/>
        </w:rPr>
        <w:t>Philosophy and Public Affairs</w:t>
      </w:r>
      <w:r w:rsidRPr="006707EA">
        <w:rPr>
          <w:rFonts w:ascii="Times New Roman" w:eastAsiaTheme="minorHAnsi" w:hAnsi="Times New Roman"/>
          <w:color w:val="000000" w:themeColor="text1"/>
          <w:sz w:val="24"/>
          <w:szCs w:val="24"/>
          <w:lang w:eastAsia="en-US"/>
        </w:rPr>
        <w:t>, 10</w:t>
      </w:r>
      <w:r w:rsidR="007D5ECA">
        <w:rPr>
          <w:rFonts w:ascii="Times New Roman" w:eastAsiaTheme="minorHAnsi" w:hAnsi="Times New Roman"/>
          <w:color w:val="000000" w:themeColor="text1"/>
          <w:sz w:val="24"/>
          <w:szCs w:val="24"/>
          <w:lang w:eastAsia="en-US"/>
        </w:rPr>
        <w:t xml:space="preserve">, pp. </w:t>
      </w:r>
      <w:r w:rsidRPr="006707EA">
        <w:rPr>
          <w:rFonts w:ascii="Times New Roman" w:eastAsiaTheme="minorHAnsi" w:hAnsi="Times New Roman"/>
          <w:color w:val="000000" w:themeColor="text1"/>
          <w:sz w:val="24"/>
          <w:szCs w:val="24"/>
          <w:lang w:eastAsia="en-US"/>
        </w:rPr>
        <w:t>185-246</w:t>
      </w:r>
      <w:r w:rsidR="002B39E9">
        <w:rPr>
          <w:rFonts w:ascii="Times New Roman" w:eastAsiaTheme="minorHAnsi" w:hAnsi="Times New Roman"/>
          <w:color w:val="000000" w:themeColor="text1"/>
          <w:sz w:val="24"/>
          <w:szCs w:val="24"/>
          <w:lang w:eastAsia="en-US"/>
        </w:rPr>
        <w:t xml:space="preserve">, </w:t>
      </w:r>
      <w:r w:rsidR="007D5ECA">
        <w:rPr>
          <w:rFonts w:ascii="Times New Roman" w:eastAsiaTheme="minorHAnsi" w:hAnsi="Times New Roman"/>
          <w:color w:val="000000" w:themeColor="text1"/>
          <w:sz w:val="24"/>
          <w:szCs w:val="24"/>
          <w:lang w:eastAsia="en-US"/>
        </w:rPr>
        <w:t xml:space="preserve">pp. </w:t>
      </w:r>
      <w:r w:rsidR="002B39E9">
        <w:rPr>
          <w:rFonts w:ascii="Times New Roman" w:eastAsiaTheme="minorHAnsi" w:hAnsi="Times New Roman"/>
          <w:color w:val="000000" w:themeColor="text1"/>
          <w:sz w:val="24"/>
          <w:szCs w:val="24"/>
          <w:lang w:eastAsia="en-US"/>
        </w:rPr>
        <w:t>283-345</w:t>
      </w:r>
      <w:r w:rsidRPr="006707EA">
        <w:rPr>
          <w:rFonts w:ascii="Times New Roman" w:eastAsiaTheme="minorHAnsi" w:hAnsi="Times New Roman"/>
          <w:color w:val="000000" w:themeColor="text1"/>
          <w:sz w:val="24"/>
          <w:szCs w:val="24"/>
          <w:lang w:eastAsia="en-US"/>
        </w:rPr>
        <w:t>.</w:t>
      </w:r>
    </w:p>
    <w:p w14:paraId="2B74C9E4" w14:textId="77777777" w:rsidR="00AB76C6" w:rsidRPr="00BB0B9A" w:rsidRDefault="00266975" w:rsidP="00AC7351">
      <w:pPr>
        <w:pStyle w:val="BISReference"/>
        <w:ind w:left="-397" w:right="-397" w:firstLine="0"/>
        <w:rPr>
          <w:rFonts w:ascii="Times New Roman" w:eastAsiaTheme="minorHAnsi" w:hAnsi="Times New Roman"/>
          <w:color w:val="000000" w:themeColor="text1"/>
          <w:sz w:val="24"/>
          <w:szCs w:val="24"/>
          <w:lang w:eastAsia="en-US"/>
        </w:rPr>
      </w:pPr>
      <w:r w:rsidRPr="00AC7351">
        <w:rPr>
          <w:rFonts w:ascii="Times New Roman" w:eastAsiaTheme="minorHAnsi" w:hAnsi="Times New Roman"/>
          <w:color w:val="000000" w:themeColor="text1"/>
          <w:sz w:val="24"/>
          <w:szCs w:val="24"/>
          <w:lang w:eastAsia="en-US"/>
        </w:rPr>
        <w:t xml:space="preserve">Elson, D., </w:t>
      </w:r>
      <w:r w:rsidR="00A00248">
        <w:rPr>
          <w:rFonts w:ascii="Times New Roman" w:eastAsiaTheme="minorHAnsi" w:hAnsi="Times New Roman"/>
          <w:color w:val="000000" w:themeColor="text1"/>
          <w:sz w:val="24"/>
          <w:szCs w:val="24"/>
          <w:lang w:eastAsia="en-US"/>
        </w:rPr>
        <w:t>(</w:t>
      </w:r>
      <w:r w:rsidRPr="00AC7351">
        <w:rPr>
          <w:rFonts w:ascii="Times New Roman" w:eastAsiaTheme="minorHAnsi" w:hAnsi="Times New Roman"/>
          <w:color w:val="000000" w:themeColor="text1"/>
          <w:sz w:val="24"/>
          <w:szCs w:val="24"/>
          <w:lang w:eastAsia="en-US"/>
        </w:rPr>
        <w:t>2014</w:t>
      </w:r>
      <w:r w:rsidR="00A00248">
        <w:rPr>
          <w:rFonts w:ascii="Times New Roman" w:eastAsiaTheme="minorHAnsi" w:hAnsi="Times New Roman"/>
          <w:color w:val="000000" w:themeColor="text1"/>
          <w:sz w:val="24"/>
          <w:szCs w:val="24"/>
          <w:lang w:eastAsia="en-US"/>
        </w:rPr>
        <w:t>)</w:t>
      </w:r>
      <w:r w:rsidR="00635449" w:rsidRPr="00AC7351">
        <w:rPr>
          <w:rFonts w:ascii="Times New Roman" w:eastAsiaTheme="minorHAnsi" w:hAnsi="Times New Roman"/>
          <w:color w:val="000000" w:themeColor="text1"/>
          <w:sz w:val="24"/>
          <w:szCs w:val="24"/>
          <w:lang w:eastAsia="en-US"/>
        </w:rPr>
        <w:t>, ‘Economic Crises from the 1980s</w:t>
      </w:r>
      <w:r w:rsidR="0065215D">
        <w:rPr>
          <w:rFonts w:ascii="Times New Roman" w:eastAsiaTheme="minorHAnsi" w:hAnsi="Times New Roman"/>
          <w:color w:val="000000" w:themeColor="text1"/>
          <w:sz w:val="24"/>
          <w:szCs w:val="24"/>
          <w:lang w:eastAsia="en-US"/>
        </w:rPr>
        <w:t xml:space="preserve"> to the 2010s’, </w:t>
      </w:r>
      <w:r w:rsidR="00635449" w:rsidRPr="0065215D">
        <w:rPr>
          <w:rFonts w:ascii="Times New Roman" w:eastAsiaTheme="minorHAnsi" w:hAnsi="Times New Roman"/>
          <w:i/>
          <w:color w:val="000000" w:themeColor="text1"/>
          <w:sz w:val="24"/>
          <w:szCs w:val="24"/>
          <w:lang w:eastAsia="en-US"/>
        </w:rPr>
        <w:t>New Frontiers in Feminist Political Economy</w:t>
      </w:r>
      <w:r w:rsidR="00635449" w:rsidRPr="00BB0B9A">
        <w:rPr>
          <w:rFonts w:ascii="Times New Roman" w:eastAsiaTheme="minorHAnsi" w:hAnsi="Times New Roman"/>
          <w:color w:val="000000" w:themeColor="text1"/>
          <w:sz w:val="24"/>
          <w:szCs w:val="24"/>
          <w:lang w:eastAsia="en-US"/>
        </w:rPr>
        <w:t xml:space="preserve">, S.M. Rai and G. </w:t>
      </w:r>
      <w:proofErr w:type="spellStart"/>
      <w:r w:rsidR="00635449" w:rsidRPr="00BB0B9A">
        <w:rPr>
          <w:rFonts w:ascii="Times New Roman" w:eastAsiaTheme="minorHAnsi" w:hAnsi="Times New Roman"/>
          <w:color w:val="000000" w:themeColor="text1"/>
          <w:sz w:val="24"/>
          <w:szCs w:val="24"/>
          <w:lang w:eastAsia="en-US"/>
        </w:rPr>
        <w:t>Wa</w:t>
      </w:r>
      <w:r w:rsidR="00AA7F7D" w:rsidRPr="00BB0B9A">
        <w:rPr>
          <w:rFonts w:ascii="Times New Roman" w:eastAsiaTheme="minorHAnsi" w:hAnsi="Times New Roman"/>
          <w:color w:val="000000" w:themeColor="text1"/>
          <w:sz w:val="24"/>
          <w:szCs w:val="24"/>
          <w:lang w:eastAsia="en-US"/>
        </w:rPr>
        <w:t>ylen</w:t>
      </w:r>
      <w:proofErr w:type="spellEnd"/>
      <w:r w:rsidR="00AA7F7D" w:rsidRPr="00BB0B9A">
        <w:rPr>
          <w:rFonts w:ascii="Times New Roman" w:eastAsiaTheme="minorHAnsi" w:hAnsi="Times New Roman"/>
          <w:color w:val="000000" w:themeColor="text1"/>
          <w:sz w:val="24"/>
          <w:szCs w:val="24"/>
          <w:lang w:eastAsia="en-US"/>
        </w:rPr>
        <w:t xml:space="preserve"> (Eds.), London: Routledge.</w:t>
      </w:r>
    </w:p>
    <w:p w14:paraId="3A71F6C9" w14:textId="77777777" w:rsidR="005A2EEE" w:rsidRPr="00BB0B9A" w:rsidRDefault="005A2EEE" w:rsidP="002B39E9">
      <w:pPr>
        <w:pStyle w:val="BISReference"/>
        <w:ind w:left="0" w:right="-397" w:firstLine="0"/>
        <w:rPr>
          <w:rFonts w:ascii="Times New Roman" w:eastAsiaTheme="minorHAnsi" w:hAnsi="Times New Roman"/>
          <w:color w:val="000000" w:themeColor="text1"/>
          <w:sz w:val="24"/>
          <w:szCs w:val="24"/>
          <w:lang w:eastAsia="en-US"/>
        </w:rPr>
      </w:pPr>
    </w:p>
    <w:p w14:paraId="41155762" w14:textId="77777777" w:rsidR="003903A3" w:rsidRPr="00BB0B9A" w:rsidRDefault="00566433" w:rsidP="00AC7351">
      <w:pPr>
        <w:pStyle w:val="BISReference"/>
        <w:ind w:left="-397" w:right="-397" w:firstLine="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Esping</w:t>
      </w:r>
      <w:proofErr w:type="spellEnd"/>
      <w:r>
        <w:rPr>
          <w:rFonts w:ascii="Times New Roman" w:hAnsi="Times New Roman"/>
          <w:color w:val="000000" w:themeColor="text1"/>
          <w:sz w:val="24"/>
          <w:szCs w:val="24"/>
        </w:rPr>
        <w:t>-Andersen, G.</w:t>
      </w:r>
      <w:r w:rsidR="003903A3" w:rsidRPr="00BB0B9A">
        <w:rPr>
          <w:rFonts w:ascii="Times New Roman" w:hAnsi="Times New Roman"/>
          <w:color w:val="000000" w:themeColor="text1"/>
          <w:sz w:val="24"/>
          <w:szCs w:val="24"/>
        </w:rPr>
        <w:t xml:space="preserve">, </w:t>
      </w:r>
      <w:r w:rsidR="00A00248">
        <w:rPr>
          <w:rFonts w:ascii="Times New Roman" w:hAnsi="Times New Roman"/>
          <w:color w:val="000000" w:themeColor="text1"/>
          <w:sz w:val="24"/>
          <w:szCs w:val="24"/>
        </w:rPr>
        <w:t>(</w:t>
      </w:r>
      <w:r w:rsidR="003903A3" w:rsidRPr="00BB0B9A">
        <w:rPr>
          <w:rFonts w:ascii="Times New Roman" w:hAnsi="Times New Roman"/>
          <w:color w:val="000000" w:themeColor="text1"/>
          <w:sz w:val="24"/>
          <w:szCs w:val="24"/>
        </w:rPr>
        <w:t>1990</w:t>
      </w:r>
      <w:r w:rsidR="00A00248">
        <w:rPr>
          <w:rFonts w:ascii="Times New Roman" w:hAnsi="Times New Roman"/>
          <w:color w:val="000000" w:themeColor="text1"/>
          <w:sz w:val="24"/>
          <w:szCs w:val="24"/>
        </w:rPr>
        <w:t>)</w:t>
      </w:r>
      <w:r w:rsidR="003903A3" w:rsidRPr="00BB0B9A">
        <w:rPr>
          <w:rFonts w:ascii="Times New Roman" w:hAnsi="Times New Roman"/>
          <w:color w:val="000000" w:themeColor="text1"/>
          <w:sz w:val="24"/>
          <w:szCs w:val="24"/>
        </w:rPr>
        <w:t xml:space="preserve">, </w:t>
      </w:r>
      <w:r w:rsidR="003903A3" w:rsidRPr="00BB0B9A">
        <w:rPr>
          <w:rFonts w:ascii="Times New Roman" w:hAnsi="Times New Roman"/>
          <w:i/>
          <w:color w:val="000000" w:themeColor="text1"/>
          <w:sz w:val="24"/>
          <w:szCs w:val="24"/>
        </w:rPr>
        <w:t>The Three Worlds of Welfare Capitalism</w:t>
      </w:r>
      <w:r w:rsidR="003903A3" w:rsidRPr="00BB0B9A">
        <w:rPr>
          <w:rFonts w:ascii="Times New Roman" w:hAnsi="Times New Roman"/>
          <w:color w:val="000000" w:themeColor="text1"/>
          <w:sz w:val="24"/>
          <w:szCs w:val="24"/>
        </w:rPr>
        <w:t>, Cambridge: Polity Press.</w:t>
      </w:r>
    </w:p>
    <w:p w14:paraId="6AC626B0" w14:textId="77777777" w:rsidR="00AC7351" w:rsidRPr="00C93189" w:rsidRDefault="00AC7351" w:rsidP="000A7484">
      <w:pPr>
        <w:pStyle w:val="BISReference"/>
        <w:ind w:left="0" w:right="-397" w:firstLine="0"/>
        <w:rPr>
          <w:rFonts w:ascii="Times New Roman" w:hAnsi="Times New Roman"/>
          <w:color w:val="000000" w:themeColor="text1"/>
          <w:sz w:val="24"/>
          <w:szCs w:val="24"/>
        </w:rPr>
      </w:pPr>
    </w:p>
    <w:p w14:paraId="4EC710D8" w14:textId="77777777" w:rsidR="003903A3" w:rsidRDefault="007D5788" w:rsidP="00AC7351">
      <w:pPr>
        <w:ind w:left="-397" w:right="-397"/>
        <w:rPr>
          <w:rFonts w:cs="Times New Roman"/>
          <w:color w:val="000000" w:themeColor="text1"/>
          <w:lang w:val="en"/>
        </w:rPr>
      </w:pPr>
      <w:bookmarkStart w:id="1" w:name="bib17"/>
      <w:bookmarkEnd w:id="1"/>
      <w:r w:rsidRPr="00BB0B9A">
        <w:rPr>
          <w:rFonts w:cs="Times New Roman"/>
          <w:color w:val="000000" w:themeColor="text1"/>
          <w:lang w:val="en"/>
        </w:rPr>
        <w:t xml:space="preserve">European Commission, </w:t>
      </w:r>
      <w:r w:rsidR="00A00248">
        <w:rPr>
          <w:rFonts w:cs="Times New Roman"/>
          <w:color w:val="000000" w:themeColor="text1"/>
          <w:lang w:val="en"/>
        </w:rPr>
        <w:t>(</w:t>
      </w:r>
      <w:r w:rsidRPr="00BB0B9A">
        <w:rPr>
          <w:rFonts w:cs="Times New Roman"/>
          <w:color w:val="000000" w:themeColor="text1"/>
          <w:lang w:val="en"/>
        </w:rPr>
        <w:t>2013</w:t>
      </w:r>
      <w:r w:rsidR="00A00248">
        <w:rPr>
          <w:rFonts w:cs="Times New Roman"/>
          <w:color w:val="000000" w:themeColor="text1"/>
          <w:lang w:val="en"/>
        </w:rPr>
        <w:t>)</w:t>
      </w:r>
      <w:r w:rsidRPr="00BB0B9A">
        <w:rPr>
          <w:rFonts w:cs="Times New Roman"/>
          <w:color w:val="000000" w:themeColor="text1"/>
          <w:lang w:val="en"/>
        </w:rPr>
        <w:t>,</w:t>
      </w:r>
      <w:r w:rsidR="003903A3" w:rsidRPr="00BB0B9A">
        <w:rPr>
          <w:rFonts w:cs="Times New Roman"/>
          <w:color w:val="000000" w:themeColor="text1"/>
          <w:lang w:val="en"/>
        </w:rPr>
        <w:t xml:space="preserve"> </w:t>
      </w:r>
      <w:r w:rsidR="003903A3" w:rsidRPr="00BB0B9A">
        <w:rPr>
          <w:rStyle w:val="journal7"/>
          <w:rFonts w:cs="Times New Roman"/>
          <w:color w:val="000000" w:themeColor="text1"/>
          <w:lang w:val="en"/>
        </w:rPr>
        <w:t>Barcelona Objectives: The Development of Childcare Facilities for Young Children in Europe</w:t>
      </w:r>
      <w:r w:rsidR="003903A3" w:rsidRPr="00BB0B9A">
        <w:rPr>
          <w:rFonts w:cs="Times New Roman"/>
          <w:color w:val="000000" w:themeColor="text1"/>
          <w:lang w:val="en"/>
        </w:rPr>
        <w:t>. Brussels, Belgium: European Commission.</w:t>
      </w:r>
    </w:p>
    <w:p w14:paraId="45DDFF51" w14:textId="77777777" w:rsidR="00345E98" w:rsidRPr="00345E98" w:rsidRDefault="00345E98" w:rsidP="002B39E9">
      <w:pPr>
        <w:pStyle w:val="BISReference"/>
        <w:ind w:left="0" w:right="-397" w:firstLine="0"/>
        <w:rPr>
          <w:rFonts w:ascii="Times New Roman" w:hAnsi="Times New Roman"/>
          <w:bCs/>
          <w:color w:val="000000" w:themeColor="text1"/>
          <w:sz w:val="24"/>
          <w:szCs w:val="24"/>
        </w:rPr>
      </w:pPr>
    </w:p>
    <w:p w14:paraId="70989FE3" w14:textId="56B1E5BC" w:rsidR="00345E98" w:rsidRDefault="00345E98" w:rsidP="003903A3">
      <w:pPr>
        <w:pStyle w:val="BISReference"/>
        <w:ind w:left="-397" w:right="-397" w:firstLine="0"/>
        <w:rPr>
          <w:rFonts w:ascii="Times New Roman" w:hAnsi="Times New Roman"/>
          <w:sz w:val="24"/>
          <w:szCs w:val="24"/>
        </w:rPr>
      </w:pPr>
      <w:proofErr w:type="spellStart"/>
      <w:r w:rsidRPr="00345E98">
        <w:rPr>
          <w:rFonts w:ascii="Times New Roman" w:hAnsi="Times New Roman"/>
          <w:sz w:val="24"/>
          <w:szCs w:val="24"/>
        </w:rPr>
        <w:t>Fairlie</w:t>
      </w:r>
      <w:proofErr w:type="spellEnd"/>
      <w:r w:rsidRPr="00345E98">
        <w:rPr>
          <w:rFonts w:ascii="Times New Roman" w:hAnsi="Times New Roman"/>
          <w:sz w:val="24"/>
          <w:szCs w:val="24"/>
        </w:rPr>
        <w:t xml:space="preserve">, S., </w:t>
      </w:r>
      <w:r w:rsidR="00A00248">
        <w:rPr>
          <w:rFonts w:ascii="Times New Roman" w:hAnsi="Times New Roman"/>
          <w:sz w:val="24"/>
          <w:szCs w:val="24"/>
        </w:rPr>
        <w:t>(</w:t>
      </w:r>
      <w:r w:rsidRPr="00345E98">
        <w:rPr>
          <w:rFonts w:ascii="Times New Roman" w:hAnsi="Times New Roman"/>
          <w:sz w:val="24"/>
          <w:szCs w:val="24"/>
        </w:rPr>
        <w:t>2009</w:t>
      </w:r>
      <w:r w:rsidR="00A00248">
        <w:rPr>
          <w:rFonts w:ascii="Times New Roman" w:hAnsi="Times New Roman"/>
          <w:sz w:val="24"/>
          <w:szCs w:val="24"/>
        </w:rPr>
        <w:t>)</w:t>
      </w:r>
      <w:r w:rsidRPr="00345E98">
        <w:rPr>
          <w:rFonts w:ascii="Times New Roman" w:hAnsi="Times New Roman"/>
          <w:sz w:val="24"/>
          <w:szCs w:val="24"/>
        </w:rPr>
        <w:t>, ‘A short history of the enclosure in Britain’, The Land, No. 7.</w:t>
      </w:r>
    </w:p>
    <w:p w14:paraId="01C74753" w14:textId="5507EF74" w:rsidR="009E3882" w:rsidRDefault="009E3882" w:rsidP="003903A3">
      <w:pPr>
        <w:pStyle w:val="BISReference"/>
        <w:ind w:left="-397" w:right="-397" w:firstLine="0"/>
        <w:rPr>
          <w:rFonts w:ascii="Times New Roman" w:hAnsi="Times New Roman"/>
          <w:sz w:val="24"/>
          <w:szCs w:val="24"/>
        </w:rPr>
      </w:pPr>
    </w:p>
    <w:p w14:paraId="2C7A06BE" w14:textId="187096F7" w:rsidR="009E3882" w:rsidRPr="0065215D" w:rsidRDefault="009E3882" w:rsidP="003903A3">
      <w:pPr>
        <w:pStyle w:val="BISReference"/>
        <w:ind w:left="-397" w:right="-397" w:firstLine="0"/>
        <w:rPr>
          <w:rFonts w:ascii="Times New Roman" w:hAnsi="Times New Roman"/>
          <w:bCs/>
          <w:color w:val="000000" w:themeColor="text1"/>
          <w:sz w:val="24"/>
          <w:szCs w:val="24"/>
        </w:rPr>
      </w:pPr>
      <w:r>
        <w:rPr>
          <w:rFonts w:ascii="Times New Roman" w:hAnsi="Times New Roman"/>
          <w:sz w:val="24"/>
          <w:szCs w:val="24"/>
        </w:rPr>
        <w:t>Financial Times, 2020, ‘</w:t>
      </w:r>
      <w:r w:rsidR="00A074DC">
        <w:rPr>
          <w:rFonts w:ascii="Times New Roman" w:hAnsi="Times New Roman"/>
          <w:sz w:val="24"/>
          <w:szCs w:val="24"/>
        </w:rPr>
        <w:t>Sunak Unveils £3bn-a-month rescue deal for self-employed’</w:t>
      </w:r>
      <w:r>
        <w:rPr>
          <w:rFonts w:ascii="Times New Roman" w:hAnsi="Times New Roman"/>
          <w:sz w:val="24"/>
          <w:szCs w:val="24"/>
        </w:rPr>
        <w:t>’, 27</w:t>
      </w:r>
      <w:r w:rsidRPr="00327C34">
        <w:rPr>
          <w:rFonts w:ascii="Times New Roman" w:hAnsi="Times New Roman"/>
          <w:sz w:val="24"/>
          <w:szCs w:val="24"/>
          <w:vertAlign w:val="superscript"/>
        </w:rPr>
        <w:t>th</w:t>
      </w:r>
      <w:r>
        <w:rPr>
          <w:rFonts w:ascii="Times New Roman" w:hAnsi="Times New Roman"/>
          <w:sz w:val="24"/>
          <w:szCs w:val="24"/>
        </w:rPr>
        <w:t xml:space="preserve"> March</w:t>
      </w:r>
    </w:p>
    <w:p w14:paraId="2A3AC306" w14:textId="77777777" w:rsidR="00CC0701" w:rsidRPr="0065215D" w:rsidRDefault="00CC0701" w:rsidP="00CC0701">
      <w:pPr>
        <w:ind w:right="-397"/>
        <w:jc w:val="both"/>
        <w:rPr>
          <w:rFonts w:cs="Times New Roman"/>
          <w:color w:val="000000" w:themeColor="text1"/>
        </w:rPr>
      </w:pPr>
    </w:p>
    <w:p w14:paraId="2B5884E3" w14:textId="77777777" w:rsidR="00CC0701" w:rsidRPr="0065215D" w:rsidRDefault="00CC0701" w:rsidP="00CC0701">
      <w:pPr>
        <w:ind w:left="-397" w:right="-397"/>
        <w:jc w:val="both"/>
        <w:rPr>
          <w:rFonts w:cs="Times New Roman"/>
          <w:color w:val="000000" w:themeColor="text1"/>
        </w:rPr>
      </w:pPr>
      <w:proofErr w:type="spellStart"/>
      <w:r w:rsidRPr="0065215D">
        <w:rPr>
          <w:rFonts w:cs="Times New Roman"/>
          <w:color w:val="000000" w:themeColor="text1"/>
        </w:rPr>
        <w:t>Finegold</w:t>
      </w:r>
      <w:proofErr w:type="spellEnd"/>
      <w:r w:rsidRPr="0065215D">
        <w:rPr>
          <w:rFonts w:cs="Times New Roman"/>
          <w:color w:val="000000" w:themeColor="text1"/>
        </w:rPr>
        <w:t xml:space="preserve">, D. and Soskice, P., </w:t>
      </w:r>
      <w:r w:rsidR="00A00248" w:rsidRPr="0065215D">
        <w:rPr>
          <w:rFonts w:cs="Times New Roman"/>
          <w:color w:val="000000" w:themeColor="text1"/>
        </w:rPr>
        <w:t>(</w:t>
      </w:r>
      <w:r w:rsidRPr="0065215D">
        <w:rPr>
          <w:rFonts w:cs="Times New Roman"/>
          <w:color w:val="000000" w:themeColor="text1"/>
        </w:rPr>
        <w:t>1988</w:t>
      </w:r>
      <w:r w:rsidR="00A00248" w:rsidRPr="0065215D">
        <w:rPr>
          <w:rFonts w:cs="Times New Roman"/>
          <w:color w:val="000000" w:themeColor="text1"/>
        </w:rPr>
        <w:t>)</w:t>
      </w:r>
      <w:r w:rsidRPr="0065215D">
        <w:rPr>
          <w:rFonts w:cs="Times New Roman"/>
          <w:color w:val="000000" w:themeColor="text1"/>
        </w:rPr>
        <w:t xml:space="preserve">, The Failure </w:t>
      </w:r>
      <w:proofErr w:type="gramStart"/>
      <w:r w:rsidRPr="0065215D">
        <w:rPr>
          <w:rFonts w:cs="Times New Roman"/>
          <w:color w:val="000000" w:themeColor="text1"/>
        </w:rPr>
        <w:t>Of</w:t>
      </w:r>
      <w:proofErr w:type="gramEnd"/>
      <w:r w:rsidRPr="0065215D">
        <w:rPr>
          <w:rFonts w:cs="Times New Roman"/>
          <w:color w:val="000000" w:themeColor="text1"/>
        </w:rPr>
        <w:t xml:space="preserve"> Training In Britain, </w:t>
      </w:r>
      <w:r w:rsidRPr="00D443B1">
        <w:rPr>
          <w:rFonts w:cs="Times New Roman"/>
          <w:i/>
          <w:color w:val="000000" w:themeColor="text1"/>
        </w:rPr>
        <w:t>Oxford Review of Economic Policy</w:t>
      </w:r>
      <w:r w:rsidR="00D443B1">
        <w:rPr>
          <w:rFonts w:cs="Times New Roman"/>
          <w:color w:val="000000" w:themeColor="text1"/>
        </w:rPr>
        <w:t>, Vol</w:t>
      </w:r>
      <w:r w:rsidRPr="0065215D">
        <w:rPr>
          <w:rFonts w:cs="Times New Roman"/>
          <w:color w:val="000000" w:themeColor="text1"/>
        </w:rPr>
        <w:t xml:space="preserve">. 4, Issue 3, Autumn, 21-53. </w:t>
      </w:r>
      <w:hyperlink r:id="rId15" w:history="1">
        <w:r w:rsidRPr="0065215D">
          <w:rPr>
            <w:rStyle w:val="Hyperlink"/>
            <w:rFonts w:cs="Times New Roman"/>
          </w:rPr>
          <w:t>https://doi.org/10.1093/oxrep/4.3.21</w:t>
        </w:r>
      </w:hyperlink>
      <w:r w:rsidRPr="0065215D">
        <w:rPr>
          <w:rFonts w:cs="Times New Roman"/>
          <w:color w:val="000000" w:themeColor="text1"/>
        </w:rPr>
        <w:t> </w:t>
      </w:r>
    </w:p>
    <w:p w14:paraId="7DEECBC8" w14:textId="77777777" w:rsidR="001B29DC" w:rsidRPr="0065215D" w:rsidRDefault="001B29DC" w:rsidP="00CC0701">
      <w:pPr>
        <w:autoSpaceDE w:val="0"/>
        <w:autoSpaceDN w:val="0"/>
        <w:adjustRightInd w:val="0"/>
        <w:ind w:right="-397"/>
        <w:rPr>
          <w:rFonts w:eastAsiaTheme="minorHAnsi" w:cs="Times New Roman"/>
          <w:color w:val="000000" w:themeColor="text1"/>
          <w:lang w:eastAsia="en-US" w:bidi="ar-SA"/>
        </w:rPr>
      </w:pPr>
    </w:p>
    <w:p w14:paraId="4D0CB742" w14:textId="655F4DCA" w:rsidR="003903A3" w:rsidRPr="0065215D" w:rsidRDefault="007D6138" w:rsidP="003903A3">
      <w:pPr>
        <w:autoSpaceDE w:val="0"/>
        <w:autoSpaceDN w:val="0"/>
        <w:adjustRightInd w:val="0"/>
        <w:ind w:left="-397" w:right="-397"/>
        <w:rPr>
          <w:rFonts w:eastAsiaTheme="minorHAnsi" w:cs="Times New Roman"/>
          <w:color w:val="000000" w:themeColor="text1"/>
          <w:lang w:eastAsia="en-US" w:bidi="ar-SA"/>
        </w:rPr>
      </w:pPr>
      <w:r w:rsidRPr="0065215D">
        <w:rPr>
          <w:rFonts w:eastAsiaTheme="minorHAnsi" w:cs="Times New Roman"/>
          <w:color w:val="000000" w:themeColor="text1"/>
          <w:lang w:eastAsia="en-US" w:bidi="ar-SA"/>
        </w:rPr>
        <w:t>Fredrickson, B.</w:t>
      </w:r>
      <w:r w:rsidR="003903A3" w:rsidRPr="0065215D">
        <w:rPr>
          <w:rFonts w:eastAsiaTheme="minorHAnsi" w:cs="Times New Roman"/>
          <w:color w:val="000000" w:themeColor="text1"/>
          <w:lang w:eastAsia="en-US" w:bidi="ar-SA"/>
        </w:rPr>
        <w:t xml:space="preserve">, </w:t>
      </w:r>
      <w:r w:rsidR="001A7354" w:rsidRPr="0065215D">
        <w:rPr>
          <w:rFonts w:eastAsiaTheme="minorHAnsi" w:cs="Times New Roman"/>
          <w:color w:val="000000" w:themeColor="text1"/>
          <w:lang w:eastAsia="en-US" w:bidi="ar-SA"/>
        </w:rPr>
        <w:t>et al</w:t>
      </w:r>
      <w:r w:rsidR="007D5ECA">
        <w:rPr>
          <w:rFonts w:eastAsiaTheme="minorHAnsi" w:cs="Times New Roman"/>
          <w:color w:val="000000" w:themeColor="text1"/>
          <w:lang w:eastAsia="en-US" w:bidi="ar-SA"/>
        </w:rPr>
        <w:t>.</w:t>
      </w:r>
      <w:r w:rsidR="001A7354" w:rsidRPr="0065215D">
        <w:rPr>
          <w:rFonts w:eastAsiaTheme="minorHAnsi" w:cs="Times New Roman"/>
          <w:color w:val="000000" w:themeColor="text1"/>
          <w:lang w:eastAsia="en-US" w:bidi="ar-SA"/>
        </w:rPr>
        <w:t xml:space="preserve"> </w:t>
      </w:r>
      <w:r w:rsidR="00A00248" w:rsidRPr="0065215D">
        <w:rPr>
          <w:rFonts w:eastAsiaTheme="minorHAnsi" w:cs="Times New Roman"/>
          <w:color w:val="000000" w:themeColor="text1"/>
          <w:lang w:eastAsia="en-US" w:bidi="ar-SA"/>
        </w:rPr>
        <w:t>(</w:t>
      </w:r>
      <w:r w:rsidR="003903A3" w:rsidRPr="0065215D">
        <w:rPr>
          <w:rFonts w:eastAsiaTheme="minorHAnsi" w:cs="Times New Roman"/>
          <w:color w:val="000000" w:themeColor="text1"/>
          <w:lang w:eastAsia="en-US" w:bidi="ar-SA"/>
        </w:rPr>
        <w:t>2013</w:t>
      </w:r>
      <w:r w:rsidR="00A00248" w:rsidRPr="0065215D">
        <w:rPr>
          <w:rFonts w:eastAsiaTheme="minorHAnsi" w:cs="Times New Roman"/>
          <w:color w:val="000000" w:themeColor="text1"/>
          <w:lang w:eastAsia="en-US" w:bidi="ar-SA"/>
        </w:rPr>
        <w:t>)</w:t>
      </w:r>
      <w:r w:rsidR="00D443B1">
        <w:rPr>
          <w:rFonts w:eastAsiaTheme="minorHAnsi" w:cs="Times New Roman"/>
          <w:color w:val="000000" w:themeColor="text1"/>
          <w:lang w:eastAsia="en-US" w:bidi="ar-SA"/>
        </w:rPr>
        <w:t>, ‘</w:t>
      </w:r>
      <w:r w:rsidR="003903A3" w:rsidRPr="0065215D">
        <w:rPr>
          <w:rFonts w:eastAsiaTheme="minorHAnsi" w:cs="Times New Roman"/>
          <w:color w:val="000000" w:themeColor="text1"/>
          <w:lang w:eastAsia="en-US" w:bidi="ar-SA"/>
        </w:rPr>
        <w:t xml:space="preserve">A functional genomic </w:t>
      </w:r>
      <w:r w:rsidR="00D443B1">
        <w:rPr>
          <w:rFonts w:eastAsiaTheme="minorHAnsi" w:cs="Times New Roman"/>
          <w:color w:val="000000" w:themeColor="text1"/>
          <w:lang w:eastAsia="en-US" w:bidi="ar-SA"/>
        </w:rPr>
        <w:t>perspective on human well-being’</w:t>
      </w:r>
      <w:r w:rsidR="003903A3" w:rsidRPr="0065215D">
        <w:rPr>
          <w:rFonts w:eastAsiaTheme="minorHAnsi" w:cs="Times New Roman"/>
          <w:color w:val="000000" w:themeColor="text1"/>
          <w:lang w:eastAsia="en-US" w:bidi="ar-SA"/>
        </w:rPr>
        <w:t xml:space="preserve"> </w:t>
      </w:r>
      <w:r w:rsidR="003903A3" w:rsidRPr="0065215D">
        <w:rPr>
          <w:rFonts w:eastAsiaTheme="minorHAnsi" w:cs="Times New Roman"/>
          <w:i/>
          <w:color w:val="000000" w:themeColor="text1"/>
          <w:lang w:eastAsia="en-US" w:bidi="ar-SA"/>
        </w:rPr>
        <w:t>Proceedings of the National Academy of Sciences of the United States of America,</w:t>
      </w:r>
      <w:r w:rsidR="003903A3" w:rsidRPr="0065215D">
        <w:rPr>
          <w:rFonts w:eastAsiaTheme="minorHAnsi" w:cs="Times New Roman"/>
          <w:color w:val="000000" w:themeColor="text1"/>
          <w:lang w:eastAsia="en-US" w:bidi="ar-SA"/>
        </w:rPr>
        <w:t xml:space="preserve"> </w:t>
      </w:r>
      <w:r w:rsidR="0065215D" w:rsidRPr="0065215D">
        <w:rPr>
          <w:rStyle w:val="highwire-cite-metadata-volume"/>
          <w:rFonts w:cs="Times New Roman"/>
          <w:color w:val="333333"/>
          <w:shd w:val="clear" w:color="auto" w:fill="FFFFFF"/>
        </w:rPr>
        <w:t>110 </w:t>
      </w:r>
      <w:r w:rsidR="0065215D" w:rsidRPr="0065215D">
        <w:rPr>
          <w:rStyle w:val="highwire-cite-metadata-issue"/>
          <w:rFonts w:cs="Times New Roman"/>
          <w:color w:val="333333"/>
          <w:shd w:val="clear" w:color="auto" w:fill="FFFFFF"/>
        </w:rPr>
        <w:t>(33)</w:t>
      </w:r>
      <w:r w:rsidR="007D5ECA">
        <w:rPr>
          <w:rStyle w:val="highwire-cite-metadata-issue"/>
          <w:rFonts w:cs="Times New Roman"/>
          <w:color w:val="333333"/>
          <w:shd w:val="clear" w:color="auto" w:fill="FFFFFF"/>
        </w:rPr>
        <w:t xml:space="preserve">, pp. </w:t>
      </w:r>
      <w:r w:rsidR="0065215D" w:rsidRPr="0065215D">
        <w:rPr>
          <w:rStyle w:val="highwire-cite-metadata-pages"/>
          <w:rFonts w:cs="Times New Roman"/>
          <w:color w:val="333333"/>
          <w:shd w:val="clear" w:color="auto" w:fill="FFFFFF"/>
        </w:rPr>
        <w:t>13684-13689</w:t>
      </w:r>
    </w:p>
    <w:p w14:paraId="7BDF45B3" w14:textId="77777777" w:rsidR="00635F0C" w:rsidRPr="006707EA" w:rsidRDefault="00635F0C" w:rsidP="002C0D8F">
      <w:pPr>
        <w:pStyle w:val="BISReference"/>
        <w:ind w:left="0" w:right="-397" w:firstLine="0"/>
        <w:rPr>
          <w:rFonts w:ascii="Times New Roman" w:hAnsi="Times New Roman"/>
          <w:color w:val="000000" w:themeColor="text1"/>
          <w:sz w:val="24"/>
          <w:szCs w:val="24"/>
        </w:rPr>
      </w:pPr>
    </w:p>
    <w:p w14:paraId="3F81E55B" w14:textId="77777777" w:rsidR="00635F0C" w:rsidRDefault="00266975" w:rsidP="00635F0C">
      <w:pPr>
        <w:ind w:left="-397" w:right="-397"/>
        <w:jc w:val="both"/>
        <w:rPr>
          <w:color w:val="000000" w:themeColor="text1"/>
        </w:rPr>
      </w:pPr>
      <w:proofErr w:type="spellStart"/>
      <w:r>
        <w:rPr>
          <w:color w:val="000000" w:themeColor="text1"/>
        </w:rPr>
        <w:t>Friðriksdóttir</w:t>
      </w:r>
      <w:proofErr w:type="spellEnd"/>
      <w:r>
        <w:rPr>
          <w:color w:val="000000" w:themeColor="text1"/>
        </w:rPr>
        <w:t xml:space="preserve">, H., </w:t>
      </w:r>
      <w:r w:rsidR="00A00248">
        <w:rPr>
          <w:color w:val="000000" w:themeColor="text1"/>
        </w:rPr>
        <w:t>(</w:t>
      </w:r>
      <w:r>
        <w:rPr>
          <w:color w:val="000000" w:themeColor="text1"/>
        </w:rPr>
        <w:t>2015</w:t>
      </w:r>
      <w:r w:rsidR="00A00248">
        <w:rPr>
          <w:color w:val="000000" w:themeColor="text1"/>
        </w:rPr>
        <w:t>)</w:t>
      </w:r>
      <w:r w:rsidR="002B39E9">
        <w:rPr>
          <w:color w:val="000000" w:themeColor="text1"/>
        </w:rPr>
        <w:t>, Nordic Family Law</w:t>
      </w:r>
      <w:r w:rsidR="00A00248">
        <w:rPr>
          <w:color w:val="000000" w:themeColor="text1"/>
        </w:rPr>
        <w:t>’,</w:t>
      </w:r>
      <w:r w:rsidR="00635F0C" w:rsidRPr="006707EA">
        <w:rPr>
          <w:color w:val="000000" w:themeColor="text1"/>
        </w:rPr>
        <w:t xml:space="preserve"> </w:t>
      </w:r>
      <w:r w:rsidR="00635F0C" w:rsidRPr="00A00248">
        <w:rPr>
          <w:i/>
          <w:color w:val="000000" w:themeColor="text1"/>
        </w:rPr>
        <w:t>Fatherhood in the Nordic Welfare States</w:t>
      </w:r>
      <w:r w:rsidR="00635F0C" w:rsidRPr="006707EA">
        <w:rPr>
          <w:color w:val="000000" w:themeColor="text1"/>
        </w:rPr>
        <w:t xml:space="preserve">, G.B. </w:t>
      </w:r>
      <w:proofErr w:type="spellStart"/>
      <w:r w:rsidR="00635F0C" w:rsidRPr="006707EA">
        <w:rPr>
          <w:color w:val="000000" w:themeColor="text1"/>
        </w:rPr>
        <w:t>Eydal</w:t>
      </w:r>
      <w:proofErr w:type="spellEnd"/>
      <w:r w:rsidR="00635F0C" w:rsidRPr="006707EA">
        <w:rPr>
          <w:color w:val="000000" w:themeColor="text1"/>
        </w:rPr>
        <w:t xml:space="preserve"> and T. </w:t>
      </w:r>
      <w:proofErr w:type="spellStart"/>
      <w:r w:rsidR="00635F0C" w:rsidRPr="006707EA">
        <w:rPr>
          <w:color w:val="000000" w:themeColor="text1"/>
        </w:rPr>
        <w:t>Rostgaard</w:t>
      </w:r>
      <w:proofErr w:type="spellEnd"/>
      <w:r w:rsidR="00635F0C" w:rsidRPr="006707EA">
        <w:rPr>
          <w:color w:val="000000" w:themeColor="text1"/>
        </w:rPr>
        <w:t xml:space="preserve"> (Eds.), Bristol: Policy Press.</w:t>
      </w:r>
    </w:p>
    <w:p w14:paraId="75489B50" w14:textId="77777777" w:rsidR="00664636" w:rsidRDefault="00664636" w:rsidP="00635F0C">
      <w:pPr>
        <w:ind w:left="-397" w:right="-397"/>
        <w:jc w:val="both"/>
        <w:rPr>
          <w:color w:val="000000" w:themeColor="text1"/>
        </w:rPr>
      </w:pPr>
    </w:p>
    <w:p w14:paraId="7D7B424C" w14:textId="77777777" w:rsidR="00664636" w:rsidRDefault="00664636" w:rsidP="00635F0C">
      <w:pPr>
        <w:ind w:left="-397" w:right="-397"/>
        <w:jc w:val="both"/>
        <w:rPr>
          <w:rStyle w:val="a-size-extra-large"/>
          <w:rFonts w:cs="Times New Roman"/>
          <w:color w:val="111111"/>
        </w:rPr>
      </w:pPr>
      <w:proofErr w:type="spellStart"/>
      <w:r w:rsidRPr="00664636">
        <w:rPr>
          <w:rFonts w:cs="Times New Roman"/>
        </w:rPr>
        <w:lastRenderedPageBreak/>
        <w:t>Foner</w:t>
      </w:r>
      <w:proofErr w:type="spellEnd"/>
      <w:r w:rsidRPr="00664636">
        <w:rPr>
          <w:rFonts w:cs="Times New Roman"/>
        </w:rPr>
        <w:t>, E.,</w:t>
      </w:r>
      <w:r w:rsidR="00A00248">
        <w:rPr>
          <w:rFonts w:cs="Times New Roman"/>
        </w:rPr>
        <w:t xml:space="preserve"> (</w:t>
      </w:r>
      <w:r w:rsidRPr="00664636">
        <w:rPr>
          <w:rFonts w:cs="Times New Roman"/>
        </w:rPr>
        <w:t>1995</w:t>
      </w:r>
      <w:r w:rsidR="00A00248">
        <w:rPr>
          <w:rFonts w:cs="Times New Roman"/>
        </w:rPr>
        <w:t>)</w:t>
      </w:r>
      <w:r w:rsidRPr="00664636">
        <w:rPr>
          <w:rFonts w:cs="Times New Roman"/>
        </w:rPr>
        <w:t xml:space="preserve">, </w:t>
      </w:r>
      <w:r w:rsidRPr="00664636">
        <w:rPr>
          <w:rStyle w:val="a-size-extra-large"/>
          <w:rFonts w:cs="Times New Roman"/>
          <w:color w:val="111111"/>
        </w:rPr>
        <w:t xml:space="preserve">Free Soil, Free </w:t>
      </w:r>
      <w:proofErr w:type="spellStart"/>
      <w:r w:rsidRPr="00664636">
        <w:rPr>
          <w:rStyle w:val="a-size-extra-large"/>
          <w:rFonts w:cs="Times New Roman"/>
          <w:color w:val="111111"/>
        </w:rPr>
        <w:t>Labor</w:t>
      </w:r>
      <w:proofErr w:type="spellEnd"/>
      <w:r w:rsidRPr="00664636">
        <w:rPr>
          <w:rStyle w:val="a-size-extra-large"/>
          <w:rFonts w:cs="Times New Roman"/>
          <w:color w:val="111111"/>
        </w:rPr>
        <w:t>, Free Men, Oxford University Press</w:t>
      </w:r>
    </w:p>
    <w:p w14:paraId="7CAB4FB9" w14:textId="77777777" w:rsidR="007D6138" w:rsidRDefault="007D6138" w:rsidP="00635F0C">
      <w:pPr>
        <w:ind w:left="-397" w:right="-397"/>
        <w:jc w:val="both"/>
        <w:rPr>
          <w:rFonts w:cs="Times New Roman"/>
          <w:color w:val="000000" w:themeColor="text1"/>
        </w:rPr>
      </w:pPr>
    </w:p>
    <w:p w14:paraId="531E5E9F" w14:textId="77777777" w:rsidR="003903A3" w:rsidRDefault="00A00248" w:rsidP="007D6138">
      <w:pPr>
        <w:pStyle w:val="BISReference"/>
        <w:ind w:left="-397" w:right="-397" w:firstLine="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Goodin</w:t>
      </w:r>
      <w:proofErr w:type="spellEnd"/>
      <w:r>
        <w:rPr>
          <w:rFonts w:ascii="Times New Roman" w:hAnsi="Times New Roman"/>
          <w:color w:val="000000" w:themeColor="text1"/>
          <w:sz w:val="24"/>
          <w:szCs w:val="24"/>
        </w:rPr>
        <w:t>, R. et al</w:t>
      </w:r>
      <w:r w:rsidR="007D6138" w:rsidRPr="006707EA">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007D6138" w:rsidRPr="006707EA">
        <w:rPr>
          <w:rFonts w:ascii="Times New Roman" w:hAnsi="Times New Roman"/>
          <w:color w:val="000000" w:themeColor="text1"/>
          <w:sz w:val="24"/>
          <w:szCs w:val="24"/>
        </w:rPr>
        <w:t>2008</w:t>
      </w:r>
      <w:r>
        <w:rPr>
          <w:rFonts w:ascii="Times New Roman" w:hAnsi="Times New Roman"/>
          <w:color w:val="000000" w:themeColor="text1"/>
          <w:sz w:val="24"/>
          <w:szCs w:val="24"/>
        </w:rPr>
        <w:t>)</w:t>
      </w:r>
      <w:r w:rsidR="007D6138" w:rsidRPr="006707EA">
        <w:rPr>
          <w:rFonts w:ascii="Times New Roman" w:hAnsi="Times New Roman"/>
          <w:color w:val="000000" w:themeColor="text1"/>
          <w:sz w:val="24"/>
          <w:szCs w:val="24"/>
        </w:rPr>
        <w:t xml:space="preserve">. </w:t>
      </w:r>
      <w:r w:rsidR="007D6138" w:rsidRPr="006707EA">
        <w:rPr>
          <w:rFonts w:ascii="Times New Roman" w:hAnsi="Times New Roman"/>
          <w:i/>
          <w:color w:val="000000" w:themeColor="text1"/>
          <w:sz w:val="24"/>
          <w:szCs w:val="24"/>
        </w:rPr>
        <w:t>Discretionary</w:t>
      </w:r>
      <w:r w:rsidR="007D6138">
        <w:rPr>
          <w:rFonts w:ascii="Times New Roman" w:hAnsi="Times New Roman"/>
          <w:i/>
          <w:color w:val="000000" w:themeColor="text1"/>
          <w:sz w:val="24"/>
          <w:szCs w:val="24"/>
        </w:rPr>
        <w:t xml:space="preserve"> Time</w:t>
      </w:r>
      <w:r w:rsidR="007D6138" w:rsidRPr="006707EA">
        <w:rPr>
          <w:rFonts w:ascii="Times New Roman" w:hAnsi="Times New Roman"/>
          <w:i/>
          <w:color w:val="000000" w:themeColor="text1"/>
          <w:sz w:val="24"/>
          <w:szCs w:val="24"/>
        </w:rPr>
        <w:t>,</w:t>
      </w:r>
      <w:r w:rsidR="007D6138" w:rsidRPr="006707EA">
        <w:rPr>
          <w:rFonts w:ascii="Times New Roman" w:hAnsi="Times New Roman"/>
          <w:color w:val="000000" w:themeColor="text1"/>
          <w:sz w:val="24"/>
          <w:szCs w:val="24"/>
        </w:rPr>
        <w:t xml:space="preserve"> Cambridge: Cambridge University Press.</w:t>
      </w:r>
    </w:p>
    <w:p w14:paraId="4F20E1B0" w14:textId="77777777" w:rsidR="003903A3" w:rsidRPr="006707EA" w:rsidRDefault="003903A3" w:rsidP="00CC0701">
      <w:pPr>
        <w:pStyle w:val="BISReference"/>
        <w:ind w:left="0" w:right="-397" w:firstLine="0"/>
        <w:rPr>
          <w:rFonts w:ascii="Times New Roman" w:hAnsi="Times New Roman"/>
          <w:color w:val="000000" w:themeColor="text1"/>
          <w:sz w:val="24"/>
          <w:szCs w:val="24"/>
        </w:rPr>
      </w:pPr>
    </w:p>
    <w:p w14:paraId="3B7EF44E" w14:textId="06BE25FA" w:rsidR="003903A3" w:rsidRDefault="003903A3" w:rsidP="003903A3">
      <w:pPr>
        <w:pStyle w:val="BISReference"/>
        <w:ind w:left="-397" w:right="-397" w:firstLine="0"/>
        <w:rPr>
          <w:rFonts w:ascii="Times New Roman" w:hAnsi="Times New Roman"/>
          <w:color w:val="000000" w:themeColor="text1"/>
          <w:sz w:val="24"/>
          <w:szCs w:val="24"/>
        </w:rPr>
      </w:pPr>
      <w:proofErr w:type="spellStart"/>
      <w:r w:rsidRPr="006707EA">
        <w:rPr>
          <w:rFonts w:ascii="Times New Roman" w:hAnsi="Times New Roman"/>
          <w:color w:val="000000" w:themeColor="text1"/>
          <w:sz w:val="24"/>
          <w:szCs w:val="24"/>
        </w:rPr>
        <w:t>Goodin</w:t>
      </w:r>
      <w:proofErr w:type="spellEnd"/>
      <w:r w:rsidRPr="006707EA">
        <w:rPr>
          <w:rFonts w:ascii="Times New Roman" w:hAnsi="Times New Roman"/>
          <w:color w:val="000000" w:themeColor="text1"/>
          <w:sz w:val="24"/>
          <w:szCs w:val="24"/>
        </w:rPr>
        <w:t xml:space="preserve">, R. E. </w:t>
      </w:r>
      <w:r w:rsidR="00A00248">
        <w:rPr>
          <w:rFonts w:ascii="Times New Roman" w:hAnsi="Times New Roman"/>
          <w:color w:val="000000" w:themeColor="text1"/>
          <w:sz w:val="24"/>
          <w:szCs w:val="24"/>
        </w:rPr>
        <w:t>(</w:t>
      </w:r>
      <w:r w:rsidRPr="006707EA">
        <w:rPr>
          <w:rFonts w:ascii="Times New Roman" w:hAnsi="Times New Roman"/>
          <w:color w:val="000000" w:themeColor="text1"/>
          <w:sz w:val="24"/>
          <w:szCs w:val="24"/>
        </w:rPr>
        <w:t>2001</w:t>
      </w:r>
      <w:r w:rsidR="00A00248">
        <w:rPr>
          <w:rFonts w:ascii="Times New Roman" w:hAnsi="Times New Roman"/>
          <w:color w:val="000000" w:themeColor="text1"/>
          <w:sz w:val="24"/>
          <w:szCs w:val="24"/>
        </w:rPr>
        <w:t>)</w:t>
      </w:r>
      <w:r w:rsidR="00D443B1">
        <w:rPr>
          <w:rFonts w:ascii="Times New Roman" w:hAnsi="Times New Roman"/>
          <w:color w:val="000000" w:themeColor="text1"/>
          <w:sz w:val="24"/>
          <w:szCs w:val="24"/>
        </w:rPr>
        <w:t>, “Work and Welfare</w:t>
      </w:r>
      <w:r w:rsidRPr="006707EA">
        <w:rPr>
          <w:rFonts w:ascii="Times New Roman" w:hAnsi="Times New Roman"/>
          <w:color w:val="000000" w:themeColor="text1"/>
          <w:sz w:val="24"/>
          <w:szCs w:val="24"/>
        </w:rPr>
        <w:t xml:space="preserve">.”  </w:t>
      </w:r>
      <w:r w:rsidRPr="006707EA">
        <w:rPr>
          <w:rFonts w:ascii="Times New Roman" w:hAnsi="Times New Roman"/>
          <w:i/>
          <w:color w:val="000000" w:themeColor="text1"/>
          <w:sz w:val="24"/>
          <w:szCs w:val="24"/>
        </w:rPr>
        <w:t>British Journal of Political Science</w:t>
      </w:r>
      <w:r w:rsidRPr="006707EA">
        <w:rPr>
          <w:rFonts w:ascii="Times New Roman" w:hAnsi="Times New Roman"/>
          <w:color w:val="000000" w:themeColor="text1"/>
          <w:sz w:val="24"/>
          <w:szCs w:val="24"/>
        </w:rPr>
        <w:t>, 31, 13-39.</w:t>
      </w:r>
    </w:p>
    <w:p w14:paraId="106F263C" w14:textId="5F4EFA7A" w:rsidR="00C139C2" w:rsidRDefault="00C139C2" w:rsidP="00CC0701">
      <w:pPr>
        <w:ind w:right="-397"/>
        <w:jc w:val="both"/>
        <w:rPr>
          <w:color w:val="000000" w:themeColor="text1"/>
          <w:highlight w:val="yellow"/>
        </w:rPr>
      </w:pPr>
    </w:p>
    <w:p w14:paraId="131A93BB" w14:textId="22EA0B87" w:rsidR="004C26E5" w:rsidRPr="00CC0701" w:rsidRDefault="004C26E5" w:rsidP="004C26E5">
      <w:pPr>
        <w:ind w:left="-397" w:right="-397"/>
        <w:jc w:val="both"/>
        <w:rPr>
          <w:color w:val="000000" w:themeColor="text1"/>
        </w:rPr>
      </w:pPr>
      <w:r w:rsidRPr="00CC0701">
        <w:rPr>
          <w:color w:val="000000" w:themeColor="text1"/>
        </w:rPr>
        <w:t xml:space="preserve">Haagh, L. and </w:t>
      </w:r>
      <w:proofErr w:type="spellStart"/>
      <w:r w:rsidRPr="00CC0701">
        <w:rPr>
          <w:color w:val="000000" w:themeColor="text1"/>
        </w:rPr>
        <w:t>Rohregger</w:t>
      </w:r>
      <w:proofErr w:type="spellEnd"/>
      <w:r w:rsidRPr="00CC0701">
        <w:rPr>
          <w:color w:val="000000" w:themeColor="text1"/>
        </w:rPr>
        <w:t xml:space="preserve">, B., </w:t>
      </w:r>
      <w:r w:rsidR="00A00248">
        <w:rPr>
          <w:color w:val="000000" w:themeColor="text1"/>
        </w:rPr>
        <w:t>(</w:t>
      </w:r>
      <w:r w:rsidRPr="00CC0701">
        <w:rPr>
          <w:color w:val="000000" w:themeColor="text1"/>
        </w:rPr>
        <w:t>2019</w:t>
      </w:r>
      <w:r w:rsidR="00A00248">
        <w:rPr>
          <w:color w:val="000000" w:themeColor="text1"/>
        </w:rPr>
        <w:t>)</w:t>
      </w:r>
      <w:r w:rsidRPr="00CC0701">
        <w:rPr>
          <w:color w:val="000000" w:themeColor="text1"/>
        </w:rPr>
        <w:t xml:space="preserve">, ‘UBI policies and their potential for addressing health inequities’, </w:t>
      </w:r>
      <w:r w:rsidRPr="00A00248">
        <w:rPr>
          <w:i/>
          <w:color w:val="000000" w:themeColor="text1"/>
        </w:rPr>
        <w:t>WHO Policy Paper Series</w:t>
      </w:r>
      <w:r w:rsidR="00157369">
        <w:rPr>
          <w:i/>
          <w:color w:val="000000" w:themeColor="text1"/>
        </w:rPr>
        <w:t xml:space="preserve">, </w:t>
      </w:r>
      <w:r w:rsidRPr="00CC0701">
        <w:rPr>
          <w:color w:val="000000" w:themeColor="text1"/>
        </w:rPr>
        <w:t xml:space="preserve">1, </w:t>
      </w:r>
      <w:r w:rsidR="0065215D">
        <w:rPr>
          <w:color w:val="000000" w:themeColor="text1"/>
        </w:rPr>
        <w:t xml:space="preserve">Venice: WHO </w:t>
      </w:r>
    </w:p>
    <w:p w14:paraId="7DA22ECB" w14:textId="77777777" w:rsidR="00C139C2" w:rsidRPr="00CC0701" w:rsidRDefault="00C139C2" w:rsidP="004C26E5">
      <w:pPr>
        <w:ind w:left="-397" w:right="-397"/>
        <w:jc w:val="both"/>
        <w:rPr>
          <w:color w:val="000000" w:themeColor="text1"/>
        </w:rPr>
      </w:pPr>
    </w:p>
    <w:p w14:paraId="51EA14FC" w14:textId="7CF918AB" w:rsidR="004C26E5" w:rsidRPr="00CC0701" w:rsidRDefault="004C26E5" w:rsidP="004C26E5">
      <w:pPr>
        <w:ind w:left="-397" w:right="-397"/>
        <w:jc w:val="both"/>
        <w:rPr>
          <w:color w:val="000000" w:themeColor="text1"/>
        </w:rPr>
      </w:pPr>
      <w:r w:rsidRPr="00CC0701">
        <w:rPr>
          <w:color w:val="000000" w:themeColor="text1"/>
        </w:rPr>
        <w:t xml:space="preserve">Haagh, L. April </w:t>
      </w:r>
      <w:r w:rsidR="00A00248">
        <w:rPr>
          <w:color w:val="000000" w:themeColor="text1"/>
        </w:rPr>
        <w:t>(</w:t>
      </w:r>
      <w:r w:rsidRPr="00CC0701">
        <w:rPr>
          <w:color w:val="000000" w:themeColor="text1"/>
        </w:rPr>
        <w:t>2019a</w:t>
      </w:r>
      <w:r w:rsidR="00A00248">
        <w:rPr>
          <w:color w:val="000000" w:themeColor="text1"/>
        </w:rPr>
        <w:t>)</w:t>
      </w:r>
      <w:r w:rsidRPr="00CC0701">
        <w:rPr>
          <w:color w:val="000000" w:themeColor="text1"/>
        </w:rPr>
        <w:t xml:space="preserve">, The Developmental Social Contract and Basic Income in Denmark, </w:t>
      </w:r>
      <w:r w:rsidRPr="00A00248">
        <w:rPr>
          <w:i/>
          <w:color w:val="000000" w:themeColor="text1"/>
        </w:rPr>
        <w:t>Social Policy and Society</w:t>
      </w:r>
      <w:r w:rsidRPr="00CC0701">
        <w:rPr>
          <w:color w:val="000000" w:themeColor="text1"/>
        </w:rPr>
        <w:t>,</w:t>
      </w:r>
      <w:r w:rsidR="007D5ECA">
        <w:rPr>
          <w:color w:val="000000" w:themeColor="text1"/>
        </w:rPr>
        <w:t xml:space="preserve">18(2), </w:t>
      </w:r>
      <w:r w:rsidRPr="00CC0701">
        <w:rPr>
          <w:color w:val="000000" w:themeColor="text1"/>
        </w:rPr>
        <w:t>pp. 301-317.  </w:t>
      </w:r>
    </w:p>
    <w:p w14:paraId="1C33EF7A" w14:textId="77777777" w:rsidR="00C139C2" w:rsidRPr="00CC0701" w:rsidRDefault="00C139C2" w:rsidP="004C26E5">
      <w:pPr>
        <w:ind w:left="-397" w:right="-397"/>
        <w:jc w:val="both"/>
        <w:rPr>
          <w:color w:val="000000" w:themeColor="text1"/>
        </w:rPr>
      </w:pPr>
    </w:p>
    <w:p w14:paraId="0F76CC54" w14:textId="266C91A5" w:rsidR="004C26E5" w:rsidRPr="00CC0701" w:rsidRDefault="004C26E5" w:rsidP="004C26E5">
      <w:pPr>
        <w:ind w:left="-397" w:right="-397"/>
        <w:jc w:val="both"/>
        <w:rPr>
          <w:color w:val="000000" w:themeColor="text1"/>
        </w:rPr>
      </w:pPr>
      <w:r w:rsidRPr="00CC0701">
        <w:rPr>
          <w:color w:val="000000" w:themeColor="text1"/>
        </w:rPr>
        <w:t xml:space="preserve">Haagh, L. </w:t>
      </w:r>
      <w:r w:rsidR="00A00248">
        <w:rPr>
          <w:color w:val="000000" w:themeColor="text1"/>
        </w:rPr>
        <w:t>(</w:t>
      </w:r>
      <w:r w:rsidRPr="00CC0701">
        <w:rPr>
          <w:color w:val="000000" w:themeColor="text1"/>
        </w:rPr>
        <w:t>2019b</w:t>
      </w:r>
      <w:r w:rsidR="00A00248">
        <w:rPr>
          <w:color w:val="000000" w:themeColor="text1"/>
        </w:rPr>
        <w:t>)</w:t>
      </w:r>
      <w:r w:rsidRPr="00CC0701">
        <w:rPr>
          <w:color w:val="000000" w:themeColor="text1"/>
        </w:rPr>
        <w:t xml:space="preserve">, Public Ownership within Varieties of Capitalism, </w:t>
      </w:r>
      <w:r w:rsidRPr="00A00248">
        <w:rPr>
          <w:i/>
          <w:color w:val="000000" w:themeColor="text1"/>
        </w:rPr>
        <w:t>International Journal of Public Policy</w:t>
      </w:r>
      <w:r w:rsidRPr="00CC0701">
        <w:rPr>
          <w:color w:val="000000" w:themeColor="text1"/>
        </w:rPr>
        <w:t xml:space="preserve">: Angela </w:t>
      </w:r>
      <w:proofErr w:type="spellStart"/>
      <w:r w:rsidRPr="00CC0701">
        <w:rPr>
          <w:color w:val="000000" w:themeColor="text1"/>
        </w:rPr>
        <w:t>Cummine</w:t>
      </w:r>
      <w:proofErr w:type="spellEnd"/>
      <w:r w:rsidRPr="00CC0701">
        <w:rPr>
          <w:color w:val="000000" w:themeColor="text1"/>
        </w:rPr>
        <w:t xml:space="preserve"> and Stuart White (Eds.), 15</w:t>
      </w:r>
      <w:r w:rsidR="007D5ECA">
        <w:rPr>
          <w:color w:val="000000" w:themeColor="text1"/>
        </w:rPr>
        <w:t>(1/2)</w:t>
      </w:r>
      <w:r w:rsidRPr="00CC0701">
        <w:rPr>
          <w:color w:val="000000" w:themeColor="text1"/>
        </w:rPr>
        <w:t>, pp.153-186</w:t>
      </w:r>
      <w:r w:rsidR="007D5ECA">
        <w:rPr>
          <w:color w:val="000000" w:themeColor="text1"/>
        </w:rPr>
        <w:t>.</w:t>
      </w:r>
      <w:r w:rsidRPr="00CC0701">
        <w:rPr>
          <w:i/>
          <w:iCs/>
          <w:color w:val="000000" w:themeColor="text1"/>
        </w:rPr>
        <w:t> </w:t>
      </w:r>
    </w:p>
    <w:p w14:paraId="5B895E0C" w14:textId="77777777" w:rsidR="00C139C2" w:rsidRPr="00CC0701" w:rsidRDefault="00C139C2" w:rsidP="004C26E5">
      <w:pPr>
        <w:ind w:left="-397" w:right="-397"/>
        <w:jc w:val="both"/>
        <w:rPr>
          <w:color w:val="000000" w:themeColor="text1"/>
        </w:rPr>
      </w:pPr>
    </w:p>
    <w:p w14:paraId="3FE9E0A7" w14:textId="0B477D58" w:rsidR="004C26E5" w:rsidRPr="00CC0701" w:rsidRDefault="004C26E5" w:rsidP="004C26E5">
      <w:pPr>
        <w:ind w:left="-397" w:right="-397"/>
        <w:jc w:val="both"/>
        <w:rPr>
          <w:color w:val="000000" w:themeColor="text1"/>
        </w:rPr>
      </w:pPr>
      <w:r w:rsidRPr="00CC0701">
        <w:rPr>
          <w:color w:val="000000" w:themeColor="text1"/>
        </w:rPr>
        <w:t xml:space="preserve">Haagh, L., </w:t>
      </w:r>
      <w:r w:rsidR="00A00248">
        <w:rPr>
          <w:color w:val="000000" w:themeColor="text1"/>
        </w:rPr>
        <w:t>(</w:t>
      </w:r>
      <w:r w:rsidRPr="00CC0701">
        <w:rPr>
          <w:color w:val="000000" w:themeColor="text1"/>
        </w:rPr>
        <w:t>2019c</w:t>
      </w:r>
      <w:r w:rsidR="00A00248">
        <w:rPr>
          <w:color w:val="000000" w:themeColor="text1"/>
        </w:rPr>
        <w:t>)</w:t>
      </w:r>
      <w:r w:rsidRPr="00CC0701">
        <w:rPr>
          <w:color w:val="000000" w:themeColor="text1"/>
        </w:rPr>
        <w:t xml:space="preserve">, The Political Economy of Governance Capacity and Institutional Change, </w:t>
      </w:r>
      <w:r w:rsidRPr="00301C62">
        <w:rPr>
          <w:i/>
          <w:color w:val="000000" w:themeColor="text1"/>
        </w:rPr>
        <w:t>Social Policy and Society</w:t>
      </w:r>
      <w:r w:rsidRPr="00CC0701">
        <w:rPr>
          <w:color w:val="000000" w:themeColor="text1"/>
        </w:rPr>
        <w:t xml:space="preserve">. </w:t>
      </w:r>
      <w:r w:rsidR="007D5ECA">
        <w:rPr>
          <w:color w:val="000000" w:themeColor="text1"/>
        </w:rPr>
        <w:t>18(2),</w:t>
      </w:r>
      <w:r w:rsidRPr="00CC0701">
        <w:rPr>
          <w:color w:val="000000" w:themeColor="text1"/>
        </w:rPr>
        <w:t xml:space="preserve"> pp. 243-263</w:t>
      </w:r>
      <w:r w:rsidR="007D5ECA">
        <w:rPr>
          <w:color w:val="000000" w:themeColor="text1"/>
        </w:rPr>
        <w:t>.</w:t>
      </w:r>
      <w:r w:rsidRPr="00CC0701">
        <w:rPr>
          <w:color w:val="000000" w:themeColor="text1"/>
        </w:rPr>
        <w:t> </w:t>
      </w:r>
    </w:p>
    <w:p w14:paraId="0A5C4EE6" w14:textId="77777777" w:rsidR="00C139C2" w:rsidRPr="00CC0701" w:rsidRDefault="00C139C2" w:rsidP="004C26E5">
      <w:pPr>
        <w:ind w:left="-397" w:right="-397"/>
        <w:jc w:val="both"/>
        <w:rPr>
          <w:color w:val="000000" w:themeColor="text1"/>
        </w:rPr>
      </w:pPr>
    </w:p>
    <w:p w14:paraId="124B7412" w14:textId="77777777" w:rsidR="004C26E5" w:rsidRPr="00CC0701" w:rsidRDefault="004C26E5" w:rsidP="004C26E5">
      <w:pPr>
        <w:ind w:left="-397" w:right="-397"/>
        <w:jc w:val="both"/>
        <w:rPr>
          <w:rFonts w:cs="Times New Roman"/>
          <w:color w:val="000000" w:themeColor="text1"/>
        </w:rPr>
      </w:pPr>
      <w:r w:rsidRPr="00CC0701">
        <w:rPr>
          <w:color w:val="000000" w:themeColor="text1"/>
        </w:rPr>
        <w:t xml:space="preserve">Haagh, L. </w:t>
      </w:r>
      <w:r w:rsidR="00A00248">
        <w:rPr>
          <w:color w:val="000000" w:themeColor="text1"/>
        </w:rPr>
        <w:t>(</w:t>
      </w:r>
      <w:r w:rsidRPr="00CC0701">
        <w:rPr>
          <w:color w:val="000000" w:themeColor="text1"/>
        </w:rPr>
        <w:t>2019d</w:t>
      </w:r>
      <w:r w:rsidR="00A00248">
        <w:rPr>
          <w:color w:val="000000" w:themeColor="text1"/>
        </w:rPr>
        <w:t>)</w:t>
      </w:r>
      <w:r w:rsidRPr="00CC0701">
        <w:rPr>
          <w:color w:val="000000" w:themeColor="text1"/>
        </w:rPr>
        <w:t xml:space="preserve"> “The Philosophy </w:t>
      </w:r>
      <w:proofErr w:type="gramStart"/>
      <w:r w:rsidRPr="00CC0701">
        <w:rPr>
          <w:color w:val="000000" w:themeColor="text1"/>
        </w:rPr>
        <w:t>And</w:t>
      </w:r>
      <w:proofErr w:type="gramEnd"/>
      <w:r w:rsidRPr="00CC0701">
        <w:rPr>
          <w:color w:val="000000" w:themeColor="text1"/>
        </w:rPr>
        <w:t xml:space="preserve"> Political Economy of Basic Income Revisited”, </w:t>
      </w:r>
      <w:r w:rsidRPr="00301C62">
        <w:rPr>
          <w:i/>
          <w:color w:val="000000" w:themeColor="text1"/>
        </w:rPr>
        <w:t xml:space="preserve">International </w:t>
      </w:r>
      <w:r w:rsidRPr="00301C62">
        <w:rPr>
          <w:rFonts w:cs="Times New Roman"/>
          <w:i/>
          <w:color w:val="000000" w:themeColor="text1"/>
        </w:rPr>
        <w:t>Handbook of Basic Income,</w:t>
      </w:r>
      <w:r w:rsidRPr="00CC0701">
        <w:rPr>
          <w:rFonts w:cs="Times New Roman"/>
          <w:color w:val="000000" w:themeColor="text1"/>
        </w:rPr>
        <w:t xml:space="preserve"> Malcolm </w:t>
      </w:r>
      <w:proofErr w:type="spellStart"/>
      <w:r w:rsidRPr="00CC0701">
        <w:rPr>
          <w:rFonts w:cs="Times New Roman"/>
          <w:color w:val="000000" w:themeColor="text1"/>
        </w:rPr>
        <w:t>Torry</w:t>
      </w:r>
      <w:proofErr w:type="spellEnd"/>
      <w:r w:rsidRPr="00CC0701">
        <w:rPr>
          <w:rFonts w:cs="Times New Roman"/>
          <w:color w:val="000000" w:themeColor="text1"/>
        </w:rPr>
        <w:t xml:space="preserve"> (Ed.)</w:t>
      </w:r>
      <w:r w:rsidR="002B39E9">
        <w:rPr>
          <w:rFonts w:cs="Times New Roman"/>
          <w:color w:val="000000" w:themeColor="text1"/>
        </w:rPr>
        <w:t>, London: Routledge</w:t>
      </w:r>
      <w:r w:rsidRPr="00CC0701">
        <w:rPr>
          <w:rFonts w:cs="Times New Roman"/>
          <w:color w:val="000000" w:themeColor="text1"/>
        </w:rPr>
        <w:t>.</w:t>
      </w:r>
    </w:p>
    <w:p w14:paraId="73B097F3" w14:textId="77777777" w:rsidR="00C139C2" w:rsidRPr="00CC0701" w:rsidRDefault="00C139C2" w:rsidP="004C26E5">
      <w:pPr>
        <w:ind w:left="-397" w:right="-397"/>
        <w:jc w:val="both"/>
        <w:rPr>
          <w:rFonts w:cs="Times New Roman"/>
          <w:color w:val="000000" w:themeColor="text1"/>
        </w:rPr>
      </w:pPr>
    </w:p>
    <w:p w14:paraId="58C23512" w14:textId="77777777" w:rsidR="00C62530" w:rsidRPr="00CC0701" w:rsidRDefault="007B4905" w:rsidP="00C62530">
      <w:pPr>
        <w:ind w:left="-397" w:right="-397"/>
        <w:jc w:val="both"/>
        <w:rPr>
          <w:rFonts w:cs="Times New Roman"/>
          <w:color w:val="000000" w:themeColor="text1"/>
        </w:rPr>
      </w:pPr>
      <w:r w:rsidRPr="00CC0701">
        <w:rPr>
          <w:rFonts w:cs="Times New Roman"/>
          <w:color w:val="000000" w:themeColor="text1"/>
        </w:rPr>
        <w:t xml:space="preserve">Haagh, L. </w:t>
      </w:r>
      <w:r w:rsidR="00A00248">
        <w:rPr>
          <w:rFonts w:cs="Times New Roman"/>
          <w:color w:val="000000" w:themeColor="text1"/>
        </w:rPr>
        <w:t>(</w:t>
      </w:r>
      <w:r w:rsidRPr="00CC0701">
        <w:rPr>
          <w:rFonts w:cs="Times New Roman"/>
          <w:color w:val="000000" w:themeColor="text1"/>
        </w:rPr>
        <w:t>2019e</w:t>
      </w:r>
      <w:r w:rsidR="00A00248">
        <w:rPr>
          <w:rFonts w:cs="Times New Roman"/>
          <w:color w:val="000000" w:themeColor="text1"/>
        </w:rPr>
        <w:t>)</w:t>
      </w:r>
      <w:r w:rsidRPr="00CC0701">
        <w:rPr>
          <w:rFonts w:cs="Times New Roman"/>
          <w:color w:val="000000" w:themeColor="text1"/>
        </w:rPr>
        <w:t>, T</w:t>
      </w:r>
      <w:r w:rsidRPr="00301C62">
        <w:rPr>
          <w:rFonts w:cs="Times New Roman"/>
          <w:i/>
          <w:color w:val="000000" w:themeColor="text1"/>
        </w:rPr>
        <w:t>he Case for Universal Basic Income</w:t>
      </w:r>
      <w:r w:rsidRPr="00CC0701">
        <w:rPr>
          <w:rFonts w:cs="Times New Roman"/>
          <w:color w:val="000000" w:themeColor="text1"/>
        </w:rPr>
        <w:t>, Cambridge: P</w:t>
      </w:r>
      <w:r w:rsidR="00C62530" w:rsidRPr="00CC0701">
        <w:rPr>
          <w:rFonts w:cs="Times New Roman"/>
          <w:color w:val="000000" w:themeColor="text1"/>
        </w:rPr>
        <w:t>olity</w:t>
      </w:r>
    </w:p>
    <w:p w14:paraId="2D7ACDAE" w14:textId="77777777" w:rsidR="00C62530" w:rsidRPr="00CC0701" w:rsidRDefault="00C62530" w:rsidP="00C62530">
      <w:pPr>
        <w:ind w:left="-397" w:right="-397"/>
        <w:jc w:val="both"/>
        <w:rPr>
          <w:rFonts w:cs="Times New Roman"/>
          <w:color w:val="000000" w:themeColor="text1"/>
        </w:rPr>
      </w:pPr>
    </w:p>
    <w:p w14:paraId="5B315364" w14:textId="77777777" w:rsidR="007B4905" w:rsidRPr="007B4905" w:rsidRDefault="007B4905" w:rsidP="00CC0701">
      <w:pPr>
        <w:ind w:left="-397" w:right="-397"/>
        <w:jc w:val="both"/>
        <w:rPr>
          <w:rFonts w:cs="Times New Roman"/>
          <w:color w:val="000000" w:themeColor="text1"/>
        </w:rPr>
      </w:pPr>
      <w:r w:rsidRPr="00CC0701">
        <w:rPr>
          <w:rFonts w:cs="Times New Roman"/>
          <w:color w:val="000000" w:themeColor="text1"/>
        </w:rPr>
        <w:t xml:space="preserve">Haagh, L., </w:t>
      </w:r>
      <w:r w:rsidR="00A00248">
        <w:rPr>
          <w:rFonts w:cs="Times New Roman"/>
          <w:color w:val="000000" w:themeColor="text1"/>
        </w:rPr>
        <w:t>(</w:t>
      </w:r>
      <w:r w:rsidRPr="00CC0701">
        <w:rPr>
          <w:rFonts w:cs="Times New Roman"/>
          <w:color w:val="000000" w:themeColor="text1"/>
        </w:rPr>
        <w:t>2017</w:t>
      </w:r>
      <w:r w:rsidR="00A00248">
        <w:rPr>
          <w:rFonts w:cs="Times New Roman"/>
          <w:color w:val="000000" w:themeColor="text1"/>
        </w:rPr>
        <w:t>)</w:t>
      </w:r>
      <w:r w:rsidRPr="00CC0701">
        <w:rPr>
          <w:rFonts w:cs="Times New Roman"/>
          <w:color w:val="000000" w:themeColor="text1"/>
        </w:rPr>
        <w:t xml:space="preserve">, </w:t>
      </w:r>
      <w:r w:rsidRPr="00A00248">
        <w:rPr>
          <w:rFonts w:cs="Times New Roman"/>
        </w:rPr>
        <w:t>Basic Income Should be Seen as a Democratic Right</w:t>
      </w:r>
      <w:r w:rsidR="00A00248">
        <w:rPr>
          <w:rFonts w:cs="Times New Roman"/>
        </w:rPr>
        <w:t xml:space="preserve">, </w:t>
      </w:r>
      <w:r w:rsidR="00C62530">
        <w:rPr>
          <w:rStyle w:val="Date1"/>
          <w:rFonts w:cs="Times New Roman"/>
          <w:color w:val="1D1D1D"/>
          <w:shd w:val="clear" w:color="auto" w:fill="FFFFFF"/>
        </w:rPr>
        <w:t>March,</w:t>
      </w:r>
      <w:r w:rsidRPr="007B4905">
        <w:rPr>
          <w:rFonts w:cs="Times New Roman"/>
          <w:color w:val="98999A"/>
        </w:rPr>
        <w:t> </w:t>
      </w:r>
      <w:hyperlink r:id="rId16" w:history="1">
        <w:r w:rsidRPr="00301C62">
          <w:rPr>
            <w:rStyle w:val="Hyperlink"/>
            <w:rFonts w:cs="Times New Roman"/>
            <w:i/>
            <w:color w:val="00588F"/>
          </w:rPr>
          <w:t>Royal Society of Arts Journal</w:t>
        </w:r>
      </w:hyperlink>
      <w:r w:rsidR="00C62530" w:rsidRPr="00301C62">
        <w:rPr>
          <w:rFonts w:cs="Times New Roman"/>
          <w:i/>
          <w:color w:val="98999A"/>
        </w:rPr>
        <w:t>,</w:t>
      </w:r>
      <w:r w:rsidR="00C62530">
        <w:rPr>
          <w:rFonts w:cs="Times New Roman"/>
          <w:color w:val="98999A"/>
        </w:rPr>
        <w:t xml:space="preserve"> </w:t>
      </w:r>
      <w:hyperlink r:id="rId17" w:history="1">
        <w:r w:rsidR="00C62530">
          <w:rPr>
            <w:rStyle w:val="Hyperlink"/>
          </w:rPr>
          <w:t>https://medium.com/rsa-journal/basic-income-should-be-seen-as-a-democratic-right-b249ab6078b0</w:t>
        </w:r>
      </w:hyperlink>
    </w:p>
    <w:p w14:paraId="0E59129A" w14:textId="77777777" w:rsidR="007B4905" w:rsidRPr="00CC0701" w:rsidRDefault="007B4905" w:rsidP="002A0BEE">
      <w:pPr>
        <w:ind w:right="-397"/>
        <w:jc w:val="both"/>
        <w:rPr>
          <w:color w:val="000000" w:themeColor="text1"/>
        </w:rPr>
      </w:pPr>
    </w:p>
    <w:p w14:paraId="0A2B474F" w14:textId="2F5CB1B3" w:rsidR="004C26E5" w:rsidRPr="00CC0701" w:rsidRDefault="004C26E5" w:rsidP="004C26E5">
      <w:pPr>
        <w:ind w:left="-397" w:right="-397"/>
        <w:jc w:val="both"/>
        <w:rPr>
          <w:color w:val="000000" w:themeColor="text1"/>
        </w:rPr>
      </w:pPr>
      <w:r w:rsidRPr="00CC0701">
        <w:rPr>
          <w:color w:val="000000" w:themeColor="text1"/>
        </w:rPr>
        <w:t xml:space="preserve">Haagh, L., </w:t>
      </w:r>
      <w:r w:rsidR="00A00248">
        <w:rPr>
          <w:color w:val="000000" w:themeColor="text1"/>
        </w:rPr>
        <w:t>(</w:t>
      </w:r>
      <w:r w:rsidRPr="00CC0701">
        <w:rPr>
          <w:color w:val="000000" w:themeColor="text1"/>
        </w:rPr>
        <w:t>2011a</w:t>
      </w:r>
      <w:r w:rsidR="00A00248">
        <w:rPr>
          <w:color w:val="000000" w:themeColor="text1"/>
        </w:rPr>
        <w:t>)</w:t>
      </w:r>
      <w:r w:rsidRPr="00CC0701">
        <w:rPr>
          <w:color w:val="000000" w:themeColor="text1"/>
        </w:rPr>
        <w:t>, </w:t>
      </w:r>
      <w:hyperlink r:id="rId18" w:history="1">
        <w:r w:rsidRPr="00CC0701">
          <w:rPr>
            <w:rStyle w:val="Hyperlink"/>
          </w:rPr>
          <w:t>Basic Income, Social Democracy and Control over Time</w:t>
        </w:r>
      </w:hyperlink>
      <w:r w:rsidRPr="00CC0701">
        <w:rPr>
          <w:color w:val="000000" w:themeColor="text1"/>
        </w:rPr>
        <w:t xml:space="preserve">, </w:t>
      </w:r>
      <w:r w:rsidRPr="00CC0701">
        <w:rPr>
          <w:i/>
          <w:iCs/>
          <w:color w:val="000000" w:themeColor="text1"/>
        </w:rPr>
        <w:t>Policy and Politics</w:t>
      </w:r>
      <w:r w:rsidRPr="00CC0701">
        <w:rPr>
          <w:color w:val="000000" w:themeColor="text1"/>
        </w:rPr>
        <w:t>, 39</w:t>
      </w:r>
      <w:r w:rsidR="007D5ECA">
        <w:rPr>
          <w:color w:val="000000" w:themeColor="text1"/>
        </w:rPr>
        <w:t xml:space="preserve">(1), </w:t>
      </w:r>
      <w:r w:rsidRPr="00CC0701">
        <w:rPr>
          <w:color w:val="000000" w:themeColor="text1"/>
        </w:rPr>
        <w:t>pp. 41-64. </w:t>
      </w:r>
    </w:p>
    <w:p w14:paraId="395B5F5E" w14:textId="77777777" w:rsidR="00C139C2" w:rsidRPr="00CC0701" w:rsidRDefault="00C139C2" w:rsidP="004C26E5">
      <w:pPr>
        <w:ind w:left="-397" w:right="-397"/>
        <w:jc w:val="both"/>
        <w:rPr>
          <w:color w:val="000000" w:themeColor="text1"/>
        </w:rPr>
      </w:pPr>
    </w:p>
    <w:p w14:paraId="01665F6F" w14:textId="0A4E62EB" w:rsidR="004C26E5" w:rsidRPr="00CC0701" w:rsidRDefault="004C26E5" w:rsidP="004C26E5">
      <w:pPr>
        <w:ind w:left="-397" w:right="-397"/>
        <w:jc w:val="both"/>
        <w:rPr>
          <w:color w:val="000000" w:themeColor="text1"/>
        </w:rPr>
      </w:pPr>
      <w:r w:rsidRPr="00CC0701">
        <w:rPr>
          <w:color w:val="000000" w:themeColor="text1"/>
        </w:rPr>
        <w:t xml:space="preserve">Haagh, L., </w:t>
      </w:r>
      <w:r w:rsidR="00A00248">
        <w:rPr>
          <w:color w:val="000000" w:themeColor="text1"/>
        </w:rPr>
        <w:t>(</w:t>
      </w:r>
      <w:r w:rsidRPr="00CC0701">
        <w:rPr>
          <w:color w:val="000000" w:themeColor="text1"/>
        </w:rPr>
        <w:t>2011b,</w:t>
      </w:r>
      <w:r w:rsidR="00A00248">
        <w:rPr>
          <w:color w:val="000000" w:themeColor="text1"/>
        </w:rPr>
        <w:t>)</w:t>
      </w:r>
      <w:r w:rsidRPr="00CC0701">
        <w:rPr>
          <w:color w:val="000000" w:themeColor="text1"/>
        </w:rPr>
        <w:t xml:space="preserve"> '</w:t>
      </w:r>
      <w:r w:rsidRPr="00301C62">
        <w:t>Working Life, Well</w:t>
      </w:r>
      <w:r w:rsidR="00301C62">
        <w:t>-Being and Welfare Reform</w:t>
      </w:r>
      <w:r w:rsidRPr="00CC0701">
        <w:rPr>
          <w:color w:val="000000" w:themeColor="text1"/>
        </w:rPr>
        <w:t xml:space="preserve">', </w:t>
      </w:r>
      <w:r w:rsidRPr="00CC0701">
        <w:rPr>
          <w:i/>
          <w:iCs/>
          <w:color w:val="000000" w:themeColor="text1"/>
        </w:rPr>
        <w:t>World Development</w:t>
      </w:r>
      <w:r w:rsidRPr="00CC0701">
        <w:rPr>
          <w:color w:val="000000" w:themeColor="text1"/>
        </w:rPr>
        <w:t>, 39</w:t>
      </w:r>
      <w:r w:rsidR="007D5ECA">
        <w:rPr>
          <w:color w:val="000000" w:themeColor="text1"/>
        </w:rPr>
        <w:t>(</w:t>
      </w:r>
      <w:r w:rsidRPr="00CC0701">
        <w:rPr>
          <w:color w:val="000000" w:themeColor="text1"/>
        </w:rPr>
        <w:t>3</w:t>
      </w:r>
      <w:r w:rsidR="007D5ECA">
        <w:rPr>
          <w:color w:val="000000" w:themeColor="text1"/>
        </w:rPr>
        <w:t>)</w:t>
      </w:r>
      <w:r w:rsidRPr="00CC0701">
        <w:rPr>
          <w:color w:val="000000" w:themeColor="text1"/>
        </w:rPr>
        <w:t>. pp.</w:t>
      </w:r>
      <w:r w:rsidR="007D5ECA">
        <w:rPr>
          <w:color w:val="000000" w:themeColor="text1"/>
        </w:rPr>
        <w:t xml:space="preserve"> </w:t>
      </w:r>
      <w:r w:rsidRPr="00CC0701">
        <w:rPr>
          <w:color w:val="000000" w:themeColor="text1"/>
        </w:rPr>
        <w:t>450-573.  </w:t>
      </w:r>
    </w:p>
    <w:p w14:paraId="4F67E756" w14:textId="77777777" w:rsidR="00C139C2" w:rsidRPr="00CC0701" w:rsidRDefault="00C139C2" w:rsidP="004C26E5">
      <w:pPr>
        <w:ind w:left="-397" w:right="-397"/>
        <w:jc w:val="both"/>
        <w:rPr>
          <w:color w:val="000000" w:themeColor="text1"/>
        </w:rPr>
      </w:pPr>
    </w:p>
    <w:p w14:paraId="6022A90E" w14:textId="2C3EEA1E" w:rsidR="004C26E5" w:rsidRPr="00CC0701" w:rsidRDefault="004C26E5" w:rsidP="004C26E5">
      <w:pPr>
        <w:ind w:left="-397" w:right="-397"/>
        <w:jc w:val="both"/>
        <w:rPr>
          <w:color w:val="000000" w:themeColor="text1"/>
        </w:rPr>
      </w:pPr>
      <w:r w:rsidRPr="00CC0701">
        <w:rPr>
          <w:color w:val="000000" w:themeColor="text1"/>
        </w:rPr>
        <w:t xml:space="preserve">Haagh, L., </w:t>
      </w:r>
      <w:r w:rsidR="00A00248">
        <w:rPr>
          <w:color w:val="000000" w:themeColor="text1"/>
        </w:rPr>
        <w:t>(</w:t>
      </w:r>
      <w:r w:rsidRPr="00CC0701">
        <w:rPr>
          <w:color w:val="000000" w:themeColor="text1"/>
        </w:rPr>
        <w:t>2007</w:t>
      </w:r>
      <w:r w:rsidR="00A00248">
        <w:rPr>
          <w:color w:val="000000" w:themeColor="text1"/>
        </w:rPr>
        <w:t>)</w:t>
      </w:r>
      <w:r w:rsidRPr="00CC0701">
        <w:rPr>
          <w:color w:val="000000" w:themeColor="text1"/>
        </w:rPr>
        <w:t>, </w:t>
      </w:r>
      <w:r w:rsidRPr="00301C62">
        <w:t>‘Developmental Freedom and S</w:t>
      </w:r>
      <w:r w:rsidR="00301C62">
        <w:t>ocial Order</w:t>
      </w:r>
      <w:r w:rsidRPr="00CC0701">
        <w:rPr>
          <w:color w:val="000000" w:themeColor="text1"/>
        </w:rPr>
        <w:t xml:space="preserve">, </w:t>
      </w:r>
      <w:r w:rsidRPr="00CC0701">
        <w:rPr>
          <w:i/>
          <w:iCs/>
          <w:color w:val="000000" w:themeColor="text1"/>
        </w:rPr>
        <w:t>Journal of Philosophical Economics</w:t>
      </w:r>
      <w:r w:rsidRPr="00CC0701">
        <w:rPr>
          <w:color w:val="000000" w:themeColor="text1"/>
        </w:rPr>
        <w:t>, 1</w:t>
      </w:r>
      <w:r w:rsidR="00E504AA">
        <w:rPr>
          <w:color w:val="000000" w:themeColor="text1"/>
        </w:rPr>
        <w:t>(1), p</w:t>
      </w:r>
      <w:r w:rsidRPr="00CC0701">
        <w:rPr>
          <w:color w:val="000000" w:themeColor="text1"/>
        </w:rPr>
        <w:t>p.</w:t>
      </w:r>
      <w:r w:rsidR="00E504AA">
        <w:rPr>
          <w:color w:val="000000" w:themeColor="text1"/>
        </w:rPr>
        <w:t xml:space="preserve"> </w:t>
      </w:r>
      <w:r w:rsidRPr="00CC0701">
        <w:rPr>
          <w:color w:val="000000" w:themeColor="text1"/>
        </w:rPr>
        <w:t>119-160. </w:t>
      </w:r>
    </w:p>
    <w:p w14:paraId="2CBC6916" w14:textId="77777777" w:rsidR="003903A3" w:rsidRPr="006707EA" w:rsidRDefault="003903A3" w:rsidP="00922281">
      <w:pPr>
        <w:pStyle w:val="BISReference"/>
        <w:ind w:left="0" w:right="-397" w:firstLine="0"/>
        <w:rPr>
          <w:rFonts w:ascii="Times New Roman" w:hAnsi="Times New Roman"/>
          <w:color w:val="000000" w:themeColor="text1"/>
          <w:sz w:val="24"/>
          <w:szCs w:val="24"/>
        </w:rPr>
      </w:pPr>
    </w:p>
    <w:p w14:paraId="626F47EA" w14:textId="04A84E01" w:rsidR="001665B9" w:rsidRPr="00327C34" w:rsidRDefault="00A00248" w:rsidP="00BB0B9A">
      <w:pPr>
        <w:ind w:left="-397" w:right="-397"/>
        <w:jc w:val="both"/>
        <w:rPr>
          <w:color w:val="000000" w:themeColor="text1"/>
        </w:rPr>
      </w:pPr>
      <w:r>
        <w:rPr>
          <w:color w:val="000000" w:themeColor="text1"/>
        </w:rPr>
        <w:t>Hall, P. A, and Soskice, D.</w:t>
      </w:r>
      <w:r w:rsidR="003903A3" w:rsidRPr="006707EA">
        <w:rPr>
          <w:color w:val="000000" w:themeColor="text1"/>
        </w:rPr>
        <w:t xml:space="preserve">, </w:t>
      </w:r>
      <w:r>
        <w:rPr>
          <w:color w:val="000000" w:themeColor="text1"/>
        </w:rPr>
        <w:t>(</w:t>
      </w:r>
      <w:r w:rsidR="003903A3" w:rsidRPr="006707EA">
        <w:rPr>
          <w:color w:val="000000" w:themeColor="text1"/>
        </w:rPr>
        <w:t>2001</w:t>
      </w:r>
      <w:r>
        <w:rPr>
          <w:color w:val="000000" w:themeColor="text1"/>
        </w:rPr>
        <w:t>)</w:t>
      </w:r>
      <w:r w:rsidR="003903A3" w:rsidRPr="006707EA">
        <w:rPr>
          <w:color w:val="000000" w:themeColor="text1"/>
        </w:rPr>
        <w:t xml:space="preserve">, </w:t>
      </w:r>
      <w:r w:rsidR="002A0BEE">
        <w:rPr>
          <w:i/>
          <w:color w:val="000000" w:themeColor="text1"/>
        </w:rPr>
        <w:t>Varieties of Capitalism</w:t>
      </w:r>
      <w:r w:rsidR="003903A3" w:rsidRPr="006707EA">
        <w:rPr>
          <w:rFonts w:cs="Times New Roman"/>
          <w:i/>
          <w:color w:val="000000" w:themeColor="text1"/>
        </w:rPr>
        <w:t>,</w:t>
      </w:r>
      <w:r w:rsidR="003903A3" w:rsidRPr="006707EA">
        <w:rPr>
          <w:rFonts w:cs="Times New Roman"/>
          <w:color w:val="000000" w:themeColor="text1"/>
        </w:rPr>
        <w:t xml:space="preserve"> Oxford: Oxford University </w:t>
      </w:r>
      <w:r w:rsidR="000665FC" w:rsidRPr="006707EA">
        <w:rPr>
          <w:rFonts w:cs="Times New Roman"/>
          <w:color w:val="000000" w:themeColor="text1"/>
        </w:rPr>
        <w:t>Press.</w:t>
      </w:r>
    </w:p>
    <w:p w14:paraId="6226D9A9" w14:textId="77777777" w:rsidR="001665B9" w:rsidRDefault="001665B9" w:rsidP="00BB0B9A">
      <w:pPr>
        <w:ind w:left="-397" w:right="-397"/>
        <w:jc w:val="both"/>
        <w:rPr>
          <w:rFonts w:cs="Times New Roman"/>
          <w:color w:val="000000" w:themeColor="text1"/>
        </w:rPr>
      </w:pPr>
    </w:p>
    <w:p w14:paraId="355911C3" w14:textId="4AF3AE3A" w:rsidR="003903A3" w:rsidRPr="000F0C3A" w:rsidRDefault="00BB0B9A" w:rsidP="00327C34">
      <w:pPr>
        <w:ind w:left="-397" w:right="-397"/>
        <w:jc w:val="both"/>
        <w:rPr>
          <w:color w:val="000000" w:themeColor="text1"/>
          <w:lang w:val="da-DK"/>
        </w:rPr>
      </w:pPr>
      <w:r w:rsidRPr="00C93189">
        <w:rPr>
          <w:color w:val="000000" w:themeColor="text1"/>
          <w:lang w:val="da-DK"/>
        </w:rPr>
        <w:t xml:space="preserve">Jyllandsposten </w:t>
      </w:r>
      <w:r w:rsidR="00A00248">
        <w:rPr>
          <w:color w:val="000000" w:themeColor="text1"/>
          <w:lang w:val="da-DK"/>
        </w:rPr>
        <w:t>(</w:t>
      </w:r>
      <w:r w:rsidRPr="00C93189">
        <w:rPr>
          <w:color w:val="000000" w:themeColor="text1"/>
          <w:lang w:val="da-DK"/>
        </w:rPr>
        <w:t>20</w:t>
      </w:r>
      <w:r w:rsidR="001665B9">
        <w:rPr>
          <w:color w:val="000000" w:themeColor="text1"/>
          <w:lang w:val="da-DK"/>
        </w:rPr>
        <w:t>20</w:t>
      </w:r>
      <w:r w:rsidR="00A00248">
        <w:rPr>
          <w:color w:val="000000" w:themeColor="text1"/>
          <w:lang w:val="da-DK"/>
        </w:rPr>
        <w:t>)</w:t>
      </w:r>
      <w:r w:rsidRPr="00C93189">
        <w:rPr>
          <w:color w:val="000000" w:themeColor="text1"/>
          <w:lang w:val="da-DK"/>
        </w:rPr>
        <w:t>, ‘</w:t>
      </w:r>
      <w:r w:rsidR="001665B9">
        <w:rPr>
          <w:color w:val="000000" w:themeColor="text1"/>
          <w:lang w:val="da-DK"/>
        </w:rPr>
        <w:t xml:space="preserve">Tredje </w:t>
      </w:r>
      <w:proofErr w:type="spellStart"/>
      <w:r w:rsidR="001665B9">
        <w:rPr>
          <w:color w:val="000000" w:themeColor="text1"/>
          <w:lang w:val="da-DK"/>
        </w:rPr>
        <w:t>Aar</w:t>
      </w:r>
      <w:proofErr w:type="spellEnd"/>
      <w:r w:rsidR="001665B9">
        <w:rPr>
          <w:color w:val="000000" w:themeColor="text1"/>
          <w:lang w:val="da-DK"/>
        </w:rPr>
        <w:t xml:space="preserve"> i </w:t>
      </w:r>
      <w:proofErr w:type="spellStart"/>
      <w:r w:rsidR="001665B9">
        <w:rPr>
          <w:color w:val="000000" w:themeColor="text1"/>
          <w:lang w:val="da-DK"/>
        </w:rPr>
        <w:t>Traek</w:t>
      </w:r>
      <w:proofErr w:type="spellEnd"/>
      <w:r w:rsidR="00426645">
        <w:rPr>
          <w:color w:val="000000" w:themeColor="text1"/>
          <w:lang w:val="da-DK"/>
        </w:rPr>
        <w:t>’</w:t>
      </w:r>
      <w:r w:rsidRPr="00C93189">
        <w:rPr>
          <w:color w:val="000000" w:themeColor="text1"/>
          <w:lang w:val="da-DK"/>
        </w:rPr>
        <w:t xml:space="preserve"> 2</w:t>
      </w:r>
      <w:r w:rsidR="001665B9">
        <w:rPr>
          <w:color w:val="000000" w:themeColor="text1"/>
          <w:lang w:val="da-DK"/>
        </w:rPr>
        <w:t>6th</w:t>
      </w:r>
      <w:r w:rsidRPr="00C93189">
        <w:rPr>
          <w:color w:val="000000" w:themeColor="text1"/>
          <w:lang w:val="da-DK"/>
        </w:rPr>
        <w:t xml:space="preserve"> March</w:t>
      </w:r>
      <w:r w:rsidR="001665B9">
        <w:rPr>
          <w:color w:val="000000" w:themeColor="text1"/>
          <w:lang w:val="da-DK"/>
        </w:rPr>
        <w:t xml:space="preserve">: </w:t>
      </w:r>
      <w:hyperlink r:id="rId19" w:history="1">
        <w:r w:rsidR="001665B9" w:rsidRPr="00327C34">
          <w:rPr>
            <w:rStyle w:val="Hyperlink"/>
            <w:lang w:val="da-DK"/>
          </w:rPr>
          <w:t>https://www.altinget.dk/artikel/tredje-aar-i-traek-flere-unge-soeger-en-erhvervsuddannelse</w:t>
        </w:r>
      </w:hyperlink>
    </w:p>
    <w:p w14:paraId="350B363D" w14:textId="77777777" w:rsidR="00CC0701" w:rsidRPr="00327C34" w:rsidRDefault="00CC0701" w:rsidP="00CC0701">
      <w:pPr>
        <w:spacing w:before="100" w:beforeAutospacing="1" w:after="100" w:afterAutospacing="1"/>
        <w:ind w:left="-397" w:right="-397"/>
        <w:rPr>
          <w:color w:val="000000" w:themeColor="text1"/>
        </w:rPr>
      </w:pPr>
      <w:r w:rsidRPr="00327C34">
        <w:rPr>
          <w:color w:val="000000" w:themeColor="text1"/>
        </w:rPr>
        <w:t xml:space="preserve">Kahneman, D., </w:t>
      </w:r>
      <w:r w:rsidR="00A00248" w:rsidRPr="00327C34">
        <w:rPr>
          <w:color w:val="000000" w:themeColor="text1"/>
        </w:rPr>
        <w:t>(</w:t>
      </w:r>
      <w:r w:rsidRPr="00327C34">
        <w:rPr>
          <w:color w:val="000000" w:themeColor="text1"/>
        </w:rPr>
        <w:t>2011</w:t>
      </w:r>
      <w:r w:rsidR="00A00248" w:rsidRPr="00327C34">
        <w:rPr>
          <w:color w:val="000000" w:themeColor="text1"/>
        </w:rPr>
        <w:t>)</w:t>
      </w:r>
      <w:r w:rsidRPr="00327C34">
        <w:rPr>
          <w:color w:val="000000" w:themeColor="text1"/>
        </w:rPr>
        <w:t xml:space="preserve">, </w:t>
      </w:r>
      <w:r w:rsidRPr="00327C34">
        <w:rPr>
          <w:i/>
          <w:color w:val="000000" w:themeColor="text1"/>
        </w:rPr>
        <w:t>Thinking Fast and Slow,</w:t>
      </w:r>
      <w:r w:rsidRPr="00327C34">
        <w:rPr>
          <w:color w:val="000000" w:themeColor="text1"/>
        </w:rPr>
        <w:t xml:space="preserve"> Penguin.</w:t>
      </w:r>
    </w:p>
    <w:p w14:paraId="0A2C982E" w14:textId="77777777" w:rsidR="00CC0701" w:rsidRPr="002F1695" w:rsidRDefault="00CC0701" w:rsidP="002A0BEE">
      <w:pPr>
        <w:spacing w:before="100" w:beforeAutospacing="1" w:after="100" w:afterAutospacing="1"/>
        <w:ind w:left="-397" w:right="-397"/>
        <w:rPr>
          <w:color w:val="000000" w:themeColor="text1"/>
        </w:rPr>
      </w:pPr>
      <w:proofErr w:type="spellStart"/>
      <w:r>
        <w:rPr>
          <w:color w:val="000000" w:themeColor="text1"/>
        </w:rPr>
        <w:t>Kananen</w:t>
      </w:r>
      <w:proofErr w:type="spellEnd"/>
      <w:r>
        <w:rPr>
          <w:color w:val="000000" w:themeColor="text1"/>
        </w:rPr>
        <w:t xml:space="preserve">, J., </w:t>
      </w:r>
      <w:r w:rsidR="00A00248">
        <w:rPr>
          <w:color w:val="000000" w:themeColor="text1"/>
        </w:rPr>
        <w:t>(</w:t>
      </w:r>
      <w:r>
        <w:rPr>
          <w:color w:val="000000" w:themeColor="text1"/>
        </w:rPr>
        <w:t>2014</w:t>
      </w:r>
      <w:r w:rsidR="00A00248">
        <w:rPr>
          <w:color w:val="000000" w:themeColor="text1"/>
        </w:rPr>
        <w:t>)</w:t>
      </w:r>
      <w:r w:rsidRPr="006707EA">
        <w:rPr>
          <w:color w:val="000000" w:themeColor="text1"/>
        </w:rPr>
        <w:t xml:space="preserve">, </w:t>
      </w:r>
      <w:r w:rsidRPr="00301C62">
        <w:rPr>
          <w:i/>
          <w:color w:val="000000" w:themeColor="text1"/>
        </w:rPr>
        <w:t>The Nordic Welfare State in Three Eras</w:t>
      </w:r>
      <w:r w:rsidRPr="002F1695">
        <w:rPr>
          <w:color w:val="000000" w:themeColor="text1"/>
        </w:rPr>
        <w:t>, Surrey: Ashgate</w:t>
      </w:r>
    </w:p>
    <w:p w14:paraId="6BD6E444" w14:textId="36C16265" w:rsidR="00CC0701" w:rsidRPr="002F1695" w:rsidRDefault="00CC0701" w:rsidP="00CC0701">
      <w:pPr>
        <w:ind w:left="-397" w:right="-397"/>
        <w:jc w:val="both"/>
        <w:rPr>
          <w:color w:val="000000" w:themeColor="text1"/>
        </w:rPr>
      </w:pPr>
      <w:proofErr w:type="spellStart"/>
      <w:r w:rsidRPr="002F1695">
        <w:rPr>
          <w:color w:val="000000" w:themeColor="text1"/>
        </w:rPr>
        <w:t>Korpi</w:t>
      </w:r>
      <w:proofErr w:type="spellEnd"/>
      <w:r w:rsidRPr="002F1695">
        <w:rPr>
          <w:color w:val="000000" w:themeColor="text1"/>
        </w:rPr>
        <w:t>, W. and Palme J. (1998) ‘The Paradox of Redistribu</w:t>
      </w:r>
      <w:r w:rsidR="002F1695" w:rsidRPr="002F1695">
        <w:rPr>
          <w:color w:val="000000" w:themeColor="text1"/>
        </w:rPr>
        <w:t>tion and Strategies of Equality</w:t>
      </w:r>
      <w:r w:rsidR="00301C62">
        <w:rPr>
          <w:color w:val="000000" w:themeColor="text1"/>
        </w:rPr>
        <w:t>’,</w:t>
      </w:r>
      <w:r w:rsidRPr="002F1695">
        <w:rPr>
          <w:color w:val="000000" w:themeColor="text1"/>
        </w:rPr>
        <w:t xml:space="preserve"> </w:t>
      </w:r>
      <w:r w:rsidRPr="00301C62">
        <w:rPr>
          <w:i/>
          <w:color w:val="000000" w:themeColor="text1"/>
        </w:rPr>
        <w:t>American Sociological Review</w:t>
      </w:r>
      <w:r w:rsidRPr="002F1695">
        <w:rPr>
          <w:color w:val="000000" w:themeColor="text1"/>
        </w:rPr>
        <w:t>, 63</w:t>
      </w:r>
      <w:r w:rsidR="00E504AA">
        <w:rPr>
          <w:color w:val="000000" w:themeColor="text1"/>
        </w:rPr>
        <w:t xml:space="preserve">(5), pp. </w:t>
      </w:r>
      <w:r w:rsidRPr="002F1695">
        <w:rPr>
          <w:color w:val="000000" w:themeColor="text1"/>
        </w:rPr>
        <w:t>661-687. </w:t>
      </w:r>
    </w:p>
    <w:p w14:paraId="2DFFF074" w14:textId="77777777" w:rsidR="00CC0701" w:rsidRDefault="00CC0701" w:rsidP="00CC0701">
      <w:pPr>
        <w:pStyle w:val="BISReference"/>
        <w:ind w:left="0" w:right="-397" w:firstLine="0"/>
        <w:rPr>
          <w:rFonts w:ascii="Times New Roman" w:hAnsi="Times New Roman"/>
          <w:color w:val="000000" w:themeColor="text1"/>
          <w:sz w:val="24"/>
          <w:szCs w:val="24"/>
        </w:rPr>
      </w:pPr>
    </w:p>
    <w:p w14:paraId="4EB84D69" w14:textId="77777777" w:rsidR="003903A3" w:rsidRPr="006707EA" w:rsidRDefault="00FE2AEF" w:rsidP="003903A3">
      <w:pPr>
        <w:pStyle w:val="BISReference"/>
        <w:ind w:left="-397" w:right="-397" w:firstLine="0"/>
        <w:rPr>
          <w:rFonts w:ascii="Times New Roman" w:hAnsi="Times New Roman"/>
          <w:color w:val="000000" w:themeColor="text1"/>
          <w:sz w:val="24"/>
          <w:szCs w:val="24"/>
        </w:rPr>
      </w:pPr>
      <w:proofErr w:type="spellStart"/>
      <w:r w:rsidRPr="006707EA">
        <w:rPr>
          <w:rFonts w:ascii="Times New Roman" w:hAnsi="Times New Roman"/>
          <w:color w:val="000000" w:themeColor="text1"/>
          <w:sz w:val="24"/>
          <w:szCs w:val="24"/>
        </w:rPr>
        <w:lastRenderedPageBreak/>
        <w:t>Kongshøj</w:t>
      </w:r>
      <w:proofErr w:type="spellEnd"/>
      <w:r w:rsidRPr="006707EA">
        <w:rPr>
          <w:rFonts w:ascii="Times New Roman" w:hAnsi="Times New Roman"/>
          <w:color w:val="000000" w:themeColor="text1"/>
          <w:sz w:val="24"/>
          <w:szCs w:val="24"/>
        </w:rPr>
        <w:t>-Madsen</w:t>
      </w:r>
      <w:r w:rsidR="00A00248">
        <w:rPr>
          <w:rFonts w:ascii="Times New Roman" w:hAnsi="Times New Roman"/>
          <w:color w:val="000000" w:themeColor="text1"/>
          <w:sz w:val="24"/>
          <w:szCs w:val="24"/>
        </w:rPr>
        <w:t>, P.</w:t>
      </w:r>
      <w:r w:rsidR="003903A3" w:rsidRPr="006707EA">
        <w:rPr>
          <w:rFonts w:ascii="Times New Roman" w:hAnsi="Times New Roman"/>
          <w:color w:val="000000" w:themeColor="text1"/>
          <w:sz w:val="24"/>
          <w:szCs w:val="24"/>
        </w:rPr>
        <w:t xml:space="preserve">, </w:t>
      </w:r>
      <w:r w:rsidR="00A00248">
        <w:rPr>
          <w:rFonts w:ascii="Times New Roman" w:hAnsi="Times New Roman"/>
          <w:color w:val="000000" w:themeColor="text1"/>
          <w:sz w:val="24"/>
          <w:szCs w:val="24"/>
        </w:rPr>
        <w:t>(</w:t>
      </w:r>
      <w:r w:rsidR="003903A3" w:rsidRPr="006707EA">
        <w:rPr>
          <w:rFonts w:ascii="Times New Roman" w:hAnsi="Times New Roman"/>
          <w:color w:val="000000" w:themeColor="text1"/>
          <w:sz w:val="24"/>
          <w:szCs w:val="24"/>
        </w:rPr>
        <w:t>2003</w:t>
      </w:r>
      <w:r w:rsidR="00A00248">
        <w:rPr>
          <w:rFonts w:ascii="Times New Roman" w:hAnsi="Times New Roman"/>
          <w:color w:val="000000" w:themeColor="text1"/>
          <w:sz w:val="24"/>
          <w:szCs w:val="24"/>
        </w:rPr>
        <w:t>)</w:t>
      </w:r>
      <w:r w:rsidR="003903A3" w:rsidRPr="006707EA">
        <w:rPr>
          <w:rFonts w:ascii="Times New Roman" w:hAnsi="Times New Roman"/>
          <w:color w:val="000000" w:themeColor="text1"/>
          <w:sz w:val="24"/>
          <w:szCs w:val="24"/>
        </w:rPr>
        <w:t xml:space="preserve">, “Flexicurity through Labour Market Policies and Institutions in Denmark,” In Peter Auer &amp; </w:t>
      </w:r>
      <w:proofErr w:type="spellStart"/>
      <w:r w:rsidR="003903A3" w:rsidRPr="006707EA">
        <w:rPr>
          <w:rFonts w:ascii="Times New Roman" w:hAnsi="Times New Roman"/>
          <w:color w:val="000000" w:themeColor="text1"/>
          <w:sz w:val="24"/>
          <w:szCs w:val="24"/>
        </w:rPr>
        <w:t>Cazes</w:t>
      </w:r>
      <w:proofErr w:type="spellEnd"/>
      <w:r w:rsidR="003903A3" w:rsidRPr="006707EA">
        <w:rPr>
          <w:rFonts w:ascii="Times New Roman" w:hAnsi="Times New Roman"/>
          <w:color w:val="000000" w:themeColor="text1"/>
          <w:sz w:val="24"/>
          <w:szCs w:val="24"/>
        </w:rPr>
        <w:t xml:space="preserve">, Sandrine, eds., </w:t>
      </w:r>
      <w:r w:rsidR="003903A3" w:rsidRPr="006707EA">
        <w:rPr>
          <w:rFonts w:ascii="Times New Roman" w:hAnsi="Times New Roman"/>
          <w:i/>
          <w:color w:val="000000" w:themeColor="text1"/>
          <w:sz w:val="24"/>
          <w:szCs w:val="24"/>
        </w:rPr>
        <w:t>Employment Stability in an Age of Flexibility</w:t>
      </w:r>
      <w:r w:rsidR="003903A3" w:rsidRPr="006707EA">
        <w:rPr>
          <w:rFonts w:ascii="Times New Roman" w:hAnsi="Times New Roman"/>
          <w:color w:val="000000" w:themeColor="text1"/>
          <w:sz w:val="24"/>
          <w:szCs w:val="24"/>
        </w:rPr>
        <w:t>, Geneva: International Labour Organisation.</w:t>
      </w:r>
    </w:p>
    <w:p w14:paraId="0F7E82A0" w14:textId="77777777" w:rsidR="00CE16F4" w:rsidRPr="00BB0B9A" w:rsidRDefault="00CE16F4" w:rsidP="000A7484">
      <w:pPr>
        <w:pStyle w:val="BISReference"/>
        <w:ind w:left="0" w:right="-397" w:firstLine="0"/>
        <w:rPr>
          <w:rFonts w:ascii="Times New Roman" w:hAnsi="Times New Roman"/>
          <w:bCs/>
          <w:color w:val="000000" w:themeColor="text1"/>
          <w:sz w:val="24"/>
          <w:szCs w:val="24"/>
          <w:lang w:val="en"/>
        </w:rPr>
      </w:pPr>
    </w:p>
    <w:p w14:paraId="0365E090" w14:textId="0E646928" w:rsidR="00BB0B9A" w:rsidRPr="00BB0B9A" w:rsidRDefault="008C5FA3" w:rsidP="00BB0B9A">
      <w:pPr>
        <w:pStyle w:val="BISReference"/>
        <w:ind w:left="-397" w:right="-397" w:firstLine="0"/>
        <w:rPr>
          <w:rFonts w:ascii="Times New Roman" w:hAnsi="Times New Roman"/>
          <w:bCs/>
          <w:color w:val="000000" w:themeColor="text1"/>
          <w:sz w:val="24"/>
          <w:szCs w:val="24"/>
          <w:lang w:val="en"/>
        </w:rPr>
      </w:pPr>
      <w:proofErr w:type="spellStart"/>
      <w:r w:rsidRPr="00BB0B9A">
        <w:rPr>
          <w:rFonts w:ascii="Times New Roman" w:hAnsi="Times New Roman"/>
          <w:bCs/>
          <w:color w:val="000000" w:themeColor="text1"/>
          <w:sz w:val="24"/>
          <w:szCs w:val="24"/>
          <w:lang w:val="en"/>
        </w:rPr>
        <w:t>Leira</w:t>
      </w:r>
      <w:proofErr w:type="spellEnd"/>
      <w:r w:rsidRPr="00BB0B9A">
        <w:rPr>
          <w:rFonts w:ascii="Times New Roman" w:hAnsi="Times New Roman"/>
          <w:bCs/>
          <w:color w:val="000000" w:themeColor="text1"/>
          <w:sz w:val="24"/>
          <w:szCs w:val="24"/>
          <w:lang w:val="en"/>
        </w:rPr>
        <w:t xml:space="preserve">, A., </w:t>
      </w:r>
      <w:r w:rsidR="00A00248">
        <w:rPr>
          <w:rFonts w:ascii="Times New Roman" w:hAnsi="Times New Roman"/>
          <w:bCs/>
          <w:color w:val="000000" w:themeColor="text1"/>
          <w:sz w:val="24"/>
          <w:szCs w:val="24"/>
          <w:lang w:val="en"/>
        </w:rPr>
        <w:t>(</w:t>
      </w:r>
      <w:r w:rsidRPr="00BB0B9A">
        <w:rPr>
          <w:rFonts w:ascii="Times New Roman" w:hAnsi="Times New Roman"/>
          <w:bCs/>
          <w:color w:val="000000" w:themeColor="text1"/>
          <w:sz w:val="24"/>
          <w:szCs w:val="24"/>
          <w:lang w:val="en"/>
        </w:rPr>
        <w:t>2006</w:t>
      </w:r>
      <w:r w:rsidR="00A00248">
        <w:rPr>
          <w:rFonts w:ascii="Times New Roman" w:hAnsi="Times New Roman"/>
          <w:bCs/>
          <w:color w:val="000000" w:themeColor="text1"/>
          <w:sz w:val="24"/>
          <w:szCs w:val="24"/>
          <w:lang w:val="en"/>
        </w:rPr>
        <w:t>)</w:t>
      </w:r>
      <w:r w:rsidR="007E7B3A" w:rsidRPr="00BB0B9A">
        <w:rPr>
          <w:rFonts w:ascii="Times New Roman" w:hAnsi="Times New Roman"/>
          <w:bCs/>
          <w:color w:val="000000" w:themeColor="text1"/>
          <w:sz w:val="24"/>
          <w:szCs w:val="24"/>
          <w:lang w:val="en"/>
        </w:rPr>
        <w:t>, ‘Parenthood Change and Policy Re</w:t>
      </w:r>
      <w:r w:rsidR="00157369">
        <w:rPr>
          <w:rFonts w:ascii="Times New Roman" w:hAnsi="Times New Roman"/>
          <w:bCs/>
          <w:color w:val="000000" w:themeColor="text1"/>
          <w:sz w:val="24"/>
          <w:szCs w:val="24"/>
          <w:lang w:val="en"/>
        </w:rPr>
        <w:t>form in Scandinavia</w:t>
      </w:r>
      <w:r w:rsidR="007E7B3A" w:rsidRPr="00BB0B9A">
        <w:rPr>
          <w:rFonts w:ascii="Times New Roman" w:hAnsi="Times New Roman"/>
          <w:bCs/>
          <w:color w:val="000000" w:themeColor="text1"/>
          <w:sz w:val="24"/>
          <w:szCs w:val="24"/>
          <w:lang w:val="en"/>
        </w:rPr>
        <w:t xml:space="preserve">’ in A.L. </w:t>
      </w:r>
      <w:proofErr w:type="spellStart"/>
      <w:r w:rsidR="007E7B3A" w:rsidRPr="00BB0B9A">
        <w:rPr>
          <w:rFonts w:ascii="Times New Roman" w:hAnsi="Times New Roman"/>
          <w:bCs/>
          <w:color w:val="000000" w:themeColor="text1"/>
          <w:sz w:val="24"/>
          <w:szCs w:val="24"/>
          <w:lang w:val="en"/>
        </w:rPr>
        <w:t>Ellingsæter</w:t>
      </w:r>
      <w:proofErr w:type="spellEnd"/>
      <w:r w:rsidR="007E7B3A" w:rsidRPr="00BB0B9A">
        <w:rPr>
          <w:rFonts w:ascii="Times New Roman" w:hAnsi="Times New Roman"/>
          <w:bCs/>
          <w:color w:val="000000" w:themeColor="text1"/>
          <w:sz w:val="24"/>
          <w:szCs w:val="24"/>
          <w:lang w:val="en"/>
        </w:rPr>
        <w:t xml:space="preserve"> and A. </w:t>
      </w:r>
      <w:proofErr w:type="spellStart"/>
      <w:r w:rsidR="007E7B3A" w:rsidRPr="00BB0B9A">
        <w:rPr>
          <w:rFonts w:ascii="Times New Roman" w:hAnsi="Times New Roman"/>
          <w:bCs/>
          <w:color w:val="000000" w:themeColor="text1"/>
          <w:sz w:val="24"/>
          <w:szCs w:val="24"/>
          <w:lang w:val="en"/>
        </w:rPr>
        <w:t>Leira</w:t>
      </w:r>
      <w:proofErr w:type="spellEnd"/>
      <w:r w:rsidR="007E7B3A" w:rsidRPr="00BB0B9A">
        <w:rPr>
          <w:rFonts w:ascii="Times New Roman" w:hAnsi="Times New Roman"/>
          <w:bCs/>
          <w:color w:val="000000" w:themeColor="text1"/>
          <w:sz w:val="24"/>
          <w:szCs w:val="24"/>
          <w:lang w:val="en"/>
        </w:rPr>
        <w:t xml:space="preserve"> (eds.) </w:t>
      </w:r>
      <w:proofErr w:type="spellStart"/>
      <w:r w:rsidR="007E7B3A" w:rsidRPr="00301C62">
        <w:rPr>
          <w:rFonts w:ascii="Times New Roman" w:hAnsi="Times New Roman"/>
          <w:bCs/>
          <w:i/>
          <w:color w:val="000000" w:themeColor="text1"/>
          <w:sz w:val="24"/>
          <w:szCs w:val="24"/>
          <w:lang w:val="en"/>
        </w:rPr>
        <w:t>Politicising</w:t>
      </w:r>
      <w:proofErr w:type="spellEnd"/>
      <w:r w:rsidR="007E7B3A" w:rsidRPr="00301C62">
        <w:rPr>
          <w:rFonts w:ascii="Times New Roman" w:hAnsi="Times New Roman"/>
          <w:bCs/>
          <w:i/>
          <w:color w:val="000000" w:themeColor="text1"/>
          <w:sz w:val="24"/>
          <w:szCs w:val="24"/>
          <w:lang w:val="en"/>
        </w:rPr>
        <w:t xml:space="preserve"> parenthood in Scandinavia,</w:t>
      </w:r>
      <w:r w:rsidR="00D443B1">
        <w:rPr>
          <w:rFonts w:ascii="Times New Roman" w:hAnsi="Times New Roman"/>
          <w:bCs/>
          <w:color w:val="000000" w:themeColor="text1"/>
          <w:sz w:val="24"/>
          <w:szCs w:val="24"/>
          <w:lang w:val="en"/>
        </w:rPr>
        <w:t xml:space="preserve"> Bristol: The Policy P</w:t>
      </w:r>
      <w:r w:rsidR="007E7B3A" w:rsidRPr="00BB0B9A">
        <w:rPr>
          <w:rFonts w:ascii="Times New Roman" w:hAnsi="Times New Roman"/>
          <w:bCs/>
          <w:color w:val="000000" w:themeColor="text1"/>
          <w:sz w:val="24"/>
          <w:szCs w:val="24"/>
          <w:lang w:val="en"/>
        </w:rPr>
        <w:t>ress.</w:t>
      </w:r>
    </w:p>
    <w:p w14:paraId="76649CC5" w14:textId="77777777" w:rsidR="00CC0701" w:rsidRPr="00BB0B9A" w:rsidRDefault="00CC0701" w:rsidP="003903A3">
      <w:pPr>
        <w:pStyle w:val="BISReference"/>
        <w:ind w:left="-397" w:right="-397" w:firstLine="0"/>
        <w:rPr>
          <w:rFonts w:ascii="Times New Roman" w:hAnsi="Times New Roman"/>
          <w:bCs/>
          <w:color w:val="000000" w:themeColor="text1"/>
          <w:sz w:val="24"/>
          <w:szCs w:val="24"/>
          <w:lang w:val="en"/>
        </w:rPr>
      </w:pPr>
    </w:p>
    <w:p w14:paraId="0CDF3512" w14:textId="76FECDCA" w:rsidR="00204328" w:rsidRPr="00BB0B9A" w:rsidRDefault="008C5FA3" w:rsidP="003903A3">
      <w:pPr>
        <w:pStyle w:val="BISReference"/>
        <w:ind w:left="-397" w:right="-397" w:firstLine="0"/>
        <w:rPr>
          <w:rFonts w:ascii="Times New Roman" w:hAnsi="Times New Roman"/>
          <w:color w:val="000000" w:themeColor="text1"/>
          <w:sz w:val="24"/>
          <w:szCs w:val="24"/>
        </w:rPr>
      </w:pPr>
      <w:r w:rsidRPr="00BB0B9A">
        <w:rPr>
          <w:rFonts w:ascii="Times New Roman" w:hAnsi="Times New Roman"/>
          <w:bCs/>
          <w:color w:val="000000" w:themeColor="text1"/>
          <w:sz w:val="24"/>
          <w:szCs w:val="24"/>
          <w:lang w:val="en"/>
        </w:rPr>
        <w:t xml:space="preserve">Mahon, R., </w:t>
      </w:r>
      <w:r w:rsidR="00A00248">
        <w:rPr>
          <w:rFonts w:ascii="Times New Roman" w:hAnsi="Times New Roman"/>
          <w:bCs/>
          <w:color w:val="000000" w:themeColor="text1"/>
          <w:sz w:val="24"/>
          <w:szCs w:val="24"/>
          <w:lang w:val="en"/>
        </w:rPr>
        <w:t>(</w:t>
      </w:r>
      <w:r w:rsidRPr="00BB0B9A">
        <w:rPr>
          <w:rFonts w:ascii="Times New Roman" w:hAnsi="Times New Roman"/>
          <w:bCs/>
          <w:color w:val="000000" w:themeColor="text1"/>
          <w:sz w:val="24"/>
          <w:szCs w:val="24"/>
          <w:lang w:val="en"/>
        </w:rPr>
        <w:t>2010</w:t>
      </w:r>
      <w:r w:rsidR="00A00248">
        <w:rPr>
          <w:rFonts w:ascii="Times New Roman" w:hAnsi="Times New Roman"/>
          <w:bCs/>
          <w:color w:val="000000" w:themeColor="text1"/>
          <w:sz w:val="24"/>
          <w:szCs w:val="24"/>
          <w:lang w:val="en"/>
        </w:rPr>
        <w:t>)</w:t>
      </w:r>
      <w:r w:rsidR="00615AB3" w:rsidRPr="00BB0B9A">
        <w:rPr>
          <w:rFonts w:ascii="Times New Roman" w:hAnsi="Times New Roman"/>
          <w:bCs/>
          <w:color w:val="000000" w:themeColor="text1"/>
          <w:sz w:val="24"/>
          <w:szCs w:val="24"/>
          <w:lang w:val="en"/>
        </w:rPr>
        <w:t>, ‘</w:t>
      </w:r>
      <w:r w:rsidR="00204328" w:rsidRPr="00BB0B9A">
        <w:rPr>
          <w:rFonts w:ascii="Times New Roman" w:hAnsi="Times New Roman"/>
          <w:bCs/>
          <w:color w:val="000000" w:themeColor="text1"/>
          <w:sz w:val="24"/>
          <w:szCs w:val="24"/>
          <w:lang w:val="en"/>
        </w:rPr>
        <w:t>After Neo-Liberalism?</w:t>
      </w:r>
      <w:r w:rsidR="00426645">
        <w:rPr>
          <w:rFonts w:ascii="Times New Roman" w:hAnsi="Times New Roman"/>
          <w:bCs/>
          <w:color w:val="000000" w:themeColor="text1"/>
          <w:sz w:val="24"/>
          <w:szCs w:val="24"/>
          <w:lang w:val="en"/>
        </w:rPr>
        <w:t>’</w:t>
      </w:r>
      <w:r w:rsidR="00615AB3" w:rsidRPr="00BB0B9A">
        <w:rPr>
          <w:rFonts w:ascii="Times New Roman" w:hAnsi="Times New Roman"/>
          <w:bCs/>
          <w:color w:val="000000" w:themeColor="text1"/>
          <w:sz w:val="24"/>
          <w:szCs w:val="24"/>
          <w:lang w:val="en"/>
        </w:rPr>
        <w:t>, Global Social Policy, 10</w:t>
      </w:r>
      <w:r w:rsidR="00E504AA">
        <w:rPr>
          <w:rFonts w:ascii="Times New Roman" w:hAnsi="Times New Roman"/>
          <w:bCs/>
          <w:color w:val="000000" w:themeColor="text1"/>
          <w:sz w:val="24"/>
          <w:szCs w:val="24"/>
          <w:lang w:val="en"/>
        </w:rPr>
        <w:t>(</w:t>
      </w:r>
      <w:r w:rsidR="00615AB3" w:rsidRPr="00BB0B9A">
        <w:rPr>
          <w:rFonts w:ascii="Times New Roman" w:hAnsi="Times New Roman"/>
          <w:bCs/>
          <w:color w:val="000000" w:themeColor="text1"/>
          <w:sz w:val="24"/>
          <w:szCs w:val="24"/>
          <w:lang w:val="en"/>
        </w:rPr>
        <w:t>2</w:t>
      </w:r>
      <w:r w:rsidR="00E504AA">
        <w:rPr>
          <w:rFonts w:ascii="Times New Roman" w:hAnsi="Times New Roman"/>
          <w:bCs/>
          <w:color w:val="000000" w:themeColor="text1"/>
          <w:sz w:val="24"/>
          <w:szCs w:val="24"/>
          <w:lang w:val="en"/>
        </w:rPr>
        <w:t>)</w:t>
      </w:r>
      <w:r w:rsidR="00615AB3" w:rsidRPr="00BB0B9A">
        <w:rPr>
          <w:rFonts w:ascii="Times New Roman" w:hAnsi="Times New Roman"/>
          <w:bCs/>
          <w:color w:val="000000" w:themeColor="text1"/>
          <w:sz w:val="24"/>
          <w:szCs w:val="24"/>
          <w:lang w:val="en"/>
        </w:rPr>
        <w:t xml:space="preserve">, </w:t>
      </w:r>
      <w:r w:rsidR="00E504AA">
        <w:rPr>
          <w:rFonts w:ascii="Times New Roman" w:hAnsi="Times New Roman"/>
          <w:bCs/>
          <w:color w:val="000000" w:themeColor="text1"/>
          <w:sz w:val="24"/>
          <w:szCs w:val="24"/>
          <w:lang w:val="en"/>
        </w:rPr>
        <w:t xml:space="preserve">pp. </w:t>
      </w:r>
      <w:r w:rsidR="00615AB3" w:rsidRPr="00BB0B9A">
        <w:rPr>
          <w:rFonts w:ascii="Times New Roman" w:hAnsi="Times New Roman"/>
          <w:bCs/>
          <w:color w:val="000000" w:themeColor="text1"/>
          <w:sz w:val="24"/>
          <w:szCs w:val="24"/>
          <w:lang w:val="en"/>
        </w:rPr>
        <w:t>172-192.</w:t>
      </w:r>
    </w:p>
    <w:p w14:paraId="6A039E9F" w14:textId="77777777" w:rsidR="00E619BF" w:rsidRPr="00BB0B9A" w:rsidRDefault="00E619BF" w:rsidP="000A7484">
      <w:pPr>
        <w:pStyle w:val="BISReference"/>
        <w:ind w:left="0" w:right="-397" w:firstLine="0"/>
        <w:rPr>
          <w:rFonts w:ascii="Times New Roman" w:hAnsi="Times New Roman"/>
          <w:color w:val="000000" w:themeColor="text1"/>
          <w:sz w:val="24"/>
          <w:szCs w:val="24"/>
        </w:rPr>
      </w:pPr>
    </w:p>
    <w:p w14:paraId="27E9249C" w14:textId="77777777" w:rsidR="003903A3" w:rsidRPr="006707EA" w:rsidRDefault="00E619BF" w:rsidP="00FE2AEF">
      <w:pPr>
        <w:pStyle w:val="BISReference"/>
        <w:ind w:left="-397" w:right="-397" w:firstLine="0"/>
        <w:rPr>
          <w:rFonts w:ascii="Times New Roman" w:hAnsi="Times New Roman"/>
          <w:color w:val="000000" w:themeColor="text1"/>
          <w:sz w:val="24"/>
          <w:szCs w:val="24"/>
        </w:rPr>
      </w:pPr>
      <w:r w:rsidRPr="00BB0B9A">
        <w:rPr>
          <w:rFonts w:ascii="Times New Roman" w:hAnsi="Times New Roman"/>
          <w:color w:val="000000" w:themeColor="text1"/>
          <w:sz w:val="24"/>
          <w:szCs w:val="24"/>
        </w:rPr>
        <w:t>Maurice, M. Sellier, F. and Silvestre, J</w:t>
      </w:r>
      <w:proofErr w:type="gramStart"/>
      <w:r w:rsidRPr="00BB0B9A">
        <w:rPr>
          <w:rFonts w:ascii="Times New Roman" w:hAnsi="Times New Roman"/>
          <w:color w:val="000000" w:themeColor="text1"/>
          <w:sz w:val="24"/>
          <w:szCs w:val="24"/>
        </w:rPr>
        <w:t>-.J</w:t>
      </w:r>
      <w:proofErr w:type="gramEnd"/>
      <w:r w:rsidRPr="00BB0B9A">
        <w:rPr>
          <w:rFonts w:ascii="Times New Roman" w:hAnsi="Times New Roman"/>
          <w:color w:val="000000" w:themeColor="text1"/>
          <w:sz w:val="24"/>
          <w:szCs w:val="24"/>
        </w:rPr>
        <w:t xml:space="preserve"> (1986), </w:t>
      </w:r>
      <w:r w:rsidRPr="00301C62">
        <w:rPr>
          <w:rFonts w:ascii="Times New Roman" w:hAnsi="Times New Roman"/>
          <w:i/>
          <w:color w:val="000000" w:themeColor="text1"/>
          <w:sz w:val="24"/>
          <w:szCs w:val="24"/>
        </w:rPr>
        <w:t>The Social Foundations of Industrial P</w:t>
      </w:r>
      <w:r w:rsidR="00FE2AEF" w:rsidRPr="00301C62">
        <w:rPr>
          <w:rFonts w:ascii="Times New Roman" w:hAnsi="Times New Roman"/>
          <w:i/>
          <w:color w:val="000000" w:themeColor="text1"/>
          <w:sz w:val="24"/>
          <w:szCs w:val="24"/>
        </w:rPr>
        <w:t>ower</w:t>
      </w:r>
      <w:r w:rsidR="00FE2AEF">
        <w:rPr>
          <w:rFonts w:ascii="Times New Roman" w:hAnsi="Times New Roman"/>
          <w:color w:val="000000" w:themeColor="text1"/>
          <w:sz w:val="24"/>
          <w:szCs w:val="24"/>
        </w:rPr>
        <w:t>, Cambridge: MIT press.</w:t>
      </w:r>
    </w:p>
    <w:p w14:paraId="362E4F43" w14:textId="77777777" w:rsidR="003903A3" w:rsidRPr="006707EA" w:rsidRDefault="003903A3" w:rsidP="003903A3">
      <w:pPr>
        <w:pStyle w:val="BISReference"/>
        <w:ind w:left="-397" w:right="-397" w:firstLine="0"/>
        <w:rPr>
          <w:rFonts w:ascii="Times New Roman" w:hAnsi="Times New Roman"/>
          <w:color w:val="000000" w:themeColor="text1"/>
          <w:sz w:val="24"/>
          <w:szCs w:val="24"/>
        </w:rPr>
      </w:pPr>
    </w:p>
    <w:p w14:paraId="29A387F8" w14:textId="77777777" w:rsidR="003903A3" w:rsidRPr="006707EA" w:rsidRDefault="003903A3" w:rsidP="003903A3">
      <w:pPr>
        <w:pStyle w:val="BISReference"/>
        <w:ind w:left="-397" w:right="-397" w:firstLine="0"/>
        <w:rPr>
          <w:color w:val="000000" w:themeColor="text1"/>
          <w:sz w:val="24"/>
          <w:szCs w:val="24"/>
          <w:lang w:val="en"/>
        </w:rPr>
      </w:pPr>
      <w:r w:rsidRPr="006707EA">
        <w:rPr>
          <w:color w:val="000000" w:themeColor="text1"/>
          <w:sz w:val="24"/>
          <w:szCs w:val="24"/>
        </w:rPr>
        <w:t xml:space="preserve">Meade, J., </w:t>
      </w:r>
      <w:r w:rsidR="00A00248">
        <w:rPr>
          <w:color w:val="000000" w:themeColor="text1"/>
          <w:sz w:val="24"/>
          <w:szCs w:val="24"/>
        </w:rPr>
        <w:t>(</w:t>
      </w:r>
      <w:r w:rsidRPr="006707EA">
        <w:rPr>
          <w:color w:val="000000" w:themeColor="text1"/>
          <w:sz w:val="24"/>
          <w:szCs w:val="24"/>
        </w:rPr>
        <w:t>1964</w:t>
      </w:r>
      <w:r w:rsidR="00A00248">
        <w:rPr>
          <w:color w:val="000000" w:themeColor="text1"/>
          <w:sz w:val="24"/>
          <w:szCs w:val="24"/>
        </w:rPr>
        <w:t>)</w:t>
      </w:r>
      <w:r w:rsidR="00D443B1">
        <w:rPr>
          <w:color w:val="000000" w:themeColor="text1"/>
          <w:sz w:val="24"/>
          <w:szCs w:val="24"/>
        </w:rPr>
        <w:t xml:space="preserve">, </w:t>
      </w:r>
      <w:r w:rsidRPr="006707EA">
        <w:rPr>
          <w:i/>
          <w:iCs/>
          <w:color w:val="000000" w:themeColor="text1"/>
          <w:sz w:val="24"/>
          <w:szCs w:val="24"/>
          <w:lang w:val="en"/>
        </w:rPr>
        <w:t>Efficiency, Equality and the Ownership of Property</w:t>
      </w:r>
      <w:r w:rsidRPr="006707EA">
        <w:rPr>
          <w:color w:val="000000" w:themeColor="text1"/>
          <w:sz w:val="24"/>
          <w:szCs w:val="24"/>
          <w:lang w:val="en"/>
        </w:rPr>
        <w:t>. London: Allen and Unwin</w:t>
      </w:r>
    </w:p>
    <w:p w14:paraId="01A40BA4" w14:textId="77777777" w:rsidR="006B26E2" w:rsidRPr="006707EA" w:rsidRDefault="006B26E2" w:rsidP="003903A3">
      <w:pPr>
        <w:pStyle w:val="BISReference"/>
        <w:ind w:left="-397" w:right="-397" w:firstLine="0"/>
        <w:rPr>
          <w:color w:val="000000" w:themeColor="text1"/>
          <w:sz w:val="24"/>
          <w:szCs w:val="24"/>
          <w:lang w:val="en"/>
        </w:rPr>
      </w:pPr>
    </w:p>
    <w:p w14:paraId="0D5F3E31" w14:textId="77777777" w:rsidR="006B26E2" w:rsidRPr="006707EA" w:rsidRDefault="008C5FA3" w:rsidP="003903A3">
      <w:pPr>
        <w:pStyle w:val="BISReference"/>
        <w:ind w:left="-397" w:right="-397" w:firstLine="0"/>
        <w:rPr>
          <w:rFonts w:ascii="Times New Roman" w:hAnsi="Times New Roman"/>
          <w:color w:val="000000" w:themeColor="text1"/>
          <w:sz w:val="24"/>
          <w:szCs w:val="24"/>
        </w:rPr>
      </w:pPr>
      <w:r>
        <w:rPr>
          <w:color w:val="000000" w:themeColor="text1"/>
          <w:sz w:val="24"/>
          <w:szCs w:val="24"/>
          <w:lang w:val="en"/>
        </w:rPr>
        <w:t xml:space="preserve">Meagher, G. and </w:t>
      </w:r>
      <w:proofErr w:type="spellStart"/>
      <w:r>
        <w:rPr>
          <w:color w:val="000000" w:themeColor="text1"/>
          <w:sz w:val="24"/>
          <w:szCs w:val="24"/>
          <w:lang w:val="en"/>
        </w:rPr>
        <w:t>Szebehely</w:t>
      </w:r>
      <w:proofErr w:type="spellEnd"/>
      <w:r>
        <w:rPr>
          <w:color w:val="000000" w:themeColor="text1"/>
          <w:sz w:val="24"/>
          <w:szCs w:val="24"/>
          <w:lang w:val="en"/>
        </w:rPr>
        <w:t xml:space="preserve">, M., </w:t>
      </w:r>
      <w:r w:rsidR="00A00248">
        <w:rPr>
          <w:color w:val="000000" w:themeColor="text1"/>
          <w:sz w:val="24"/>
          <w:szCs w:val="24"/>
          <w:lang w:val="en"/>
        </w:rPr>
        <w:t>(</w:t>
      </w:r>
      <w:r>
        <w:rPr>
          <w:color w:val="000000" w:themeColor="text1"/>
          <w:sz w:val="24"/>
          <w:szCs w:val="24"/>
          <w:lang w:val="en"/>
        </w:rPr>
        <w:t>2009</w:t>
      </w:r>
      <w:r w:rsidR="00A00248">
        <w:rPr>
          <w:color w:val="000000" w:themeColor="text1"/>
          <w:sz w:val="24"/>
          <w:szCs w:val="24"/>
          <w:lang w:val="en"/>
        </w:rPr>
        <w:t>)</w:t>
      </w:r>
      <w:r w:rsidR="006B26E2" w:rsidRPr="006707EA">
        <w:rPr>
          <w:color w:val="000000" w:themeColor="text1"/>
          <w:sz w:val="24"/>
          <w:szCs w:val="24"/>
          <w:lang w:val="en"/>
        </w:rPr>
        <w:t>, Equality in the Social Service State</w:t>
      </w:r>
      <w:r w:rsidR="00FE2AEF">
        <w:rPr>
          <w:color w:val="000000" w:themeColor="text1"/>
          <w:sz w:val="24"/>
          <w:szCs w:val="24"/>
          <w:lang w:val="en"/>
        </w:rPr>
        <w:t>’</w:t>
      </w:r>
      <w:r w:rsidR="00A00248">
        <w:rPr>
          <w:color w:val="000000" w:themeColor="text1"/>
          <w:sz w:val="24"/>
          <w:szCs w:val="24"/>
          <w:lang w:val="en"/>
        </w:rPr>
        <w:t xml:space="preserve">, </w:t>
      </w:r>
      <w:r w:rsidR="006B26E2" w:rsidRPr="00A00248">
        <w:rPr>
          <w:rFonts w:ascii="Times New Roman" w:hAnsi="Times New Roman"/>
          <w:i/>
          <w:color w:val="000000" w:themeColor="text1"/>
          <w:sz w:val="24"/>
          <w:szCs w:val="24"/>
        </w:rPr>
        <w:t>Changing Social Equality</w:t>
      </w:r>
      <w:r w:rsidR="006B26E2" w:rsidRPr="006707EA">
        <w:rPr>
          <w:rFonts w:ascii="Times New Roman" w:hAnsi="Times New Roman"/>
          <w:color w:val="000000" w:themeColor="text1"/>
          <w:sz w:val="24"/>
          <w:szCs w:val="24"/>
        </w:rPr>
        <w:t xml:space="preserve">, J. </w:t>
      </w:r>
      <w:proofErr w:type="spellStart"/>
      <w:r w:rsidR="006B26E2" w:rsidRPr="006707EA">
        <w:rPr>
          <w:rFonts w:ascii="Times New Roman" w:hAnsi="Times New Roman"/>
          <w:color w:val="000000" w:themeColor="text1"/>
          <w:sz w:val="24"/>
          <w:szCs w:val="24"/>
        </w:rPr>
        <w:t>Kvist</w:t>
      </w:r>
      <w:proofErr w:type="spellEnd"/>
      <w:r w:rsidR="006B26E2" w:rsidRPr="006707EA">
        <w:rPr>
          <w:rFonts w:ascii="Times New Roman" w:hAnsi="Times New Roman"/>
          <w:color w:val="000000" w:themeColor="text1"/>
          <w:sz w:val="24"/>
          <w:szCs w:val="24"/>
        </w:rPr>
        <w:t xml:space="preserve">, </w:t>
      </w:r>
      <w:r w:rsidR="00FE2AEF">
        <w:rPr>
          <w:rFonts w:ascii="Times New Roman" w:hAnsi="Times New Roman"/>
          <w:color w:val="000000" w:themeColor="text1"/>
          <w:sz w:val="24"/>
          <w:szCs w:val="24"/>
        </w:rPr>
        <w:t>et al Chicago:</w:t>
      </w:r>
      <w:r w:rsidR="006B26E2" w:rsidRPr="006707EA">
        <w:rPr>
          <w:rFonts w:ascii="Times New Roman" w:hAnsi="Times New Roman"/>
          <w:color w:val="000000" w:themeColor="text1"/>
          <w:sz w:val="24"/>
          <w:szCs w:val="24"/>
        </w:rPr>
        <w:t xml:space="preserve"> The Policy Press.</w:t>
      </w:r>
    </w:p>
    <w:p w14:paraId="19E18657" w14:textId="77777777" w:rsidR="00081227" w:rsidRPr="00C139C2" w:rsidRDefault="00081227" w:rsidP="000A7484">
      <w:pPr>
        <w:ind w:right="-397"/>
        <w:jc w:val="both"/>
        <w:rPr>
          <w:rFonts w:cs="Times New Roman"/>
          <w:color w:val="000000" w:themeColor="text1"/>
        </w:rPr>
      </w:pPr>
    </w:p>
    <w:p w14:paraId="7BEB80D8" w14:textId="77777777" w:rsidR="00081227" w:rsidRDefault="008C5FA3" w:rsidP="003903A3">
      <w:pPr>
        <w:ind w:left="-397" w:right="-397"/>
        <w:jc w:val="both"/>
        <w:rPr>
          <w:color w:val="000000" w:themeColor="text1"/>
        </w:rPr>
      </w:pPr>
      <w:proofErr w:type="spellStart"/>
      <w:r w:rsidRPr="00C139C2">
        <w:rPr>
          <w:rFonts w:cs="Times New Roman"/>
          <w:color w:val="000000" w:themeColor="text1"/>
        </w:rPr>
        <w:t>Nordenmark</w:t>
      </w:r>
      <w:proofErr w:type="spellEnd"/>
      <w:r w:rsidRPr="00C139C2">
        <w:rPr>
          <w:rFonts w:cs="Times New Roman"/>
          <w:color w:val="000000" w:themeColor="text1"/>
        </w:rPr>
        <w:t xml:space="preserve">, M., </w:t>
      </w:r>
      <w:r w:rsidR="00A00248">
        <w:rPr>
          <w:rFonts w:cs="Times New Roman"/>
          <w:color w:val="000000" w:themeColor="text1"/>
        </w:rPr>
        <w:t>(</w:t>
      </w:r>
      <w:r w:rsidRPr="00C139C2">
        <w:rPr>
          <w:rFonts w:cs="Times New Roman"/>
          <w:color w:val="000000" w:themeColor="text1"/>
        </w:rPr>
        <w:t>2015</w:t>
      </w:r>
      <w:r w:rsidR="00A00248">
        <w:rPr>
          <w:rFonts w:cs="Times New Roman"/>
          <w:color w:val="000000" w:themeColor="text1"/>
        </w:rPr>
        <w:t>)</w:t>
      </w:r>
      <w:r w:rsidR="00081227" w:rsidRPr="00C139C2">
        <w:rPr>
          <w:rFonts w:cs="Times New Roman"/>
          <w:color w:val="000000" w:themeColor="text1"/>
        </w:rPr>
        <w:t xml:space="preserve">, </w:t>
      </w:r>
      <w:r w:rsidR="00635F0C" w:rsidRPr="00C139C2">
        <w:rPr>
          <w:rFonts w:cs="Times New Roman"/>
          <w:color w:val="000000" w:themeColor="text1"/>
        </w:rPr>
        <w:t>‘</w:t>
      </w:r>
      <w:r w:rsidR="00081227" w:rsidRPr="00C139C2">
        <w:rPr>
          <w:rFonts w:cs="Times New Roman"/>
          <w:color w:val="000000" w:themeColor="text1"/>
        </w:rPr>
        <w:t>Gender Regi</w:t>
      </w:r>
      <w:r w:rsidR="00635F0C" w:rsidRPr="00C139C2">
        <w:rPr>
          <w:rFonts w:cs="Times New Roman"/>
          <w:color w:val="000000" w:themeColor="text1"/>
        </w:rPr>
        <w:t xml:space="preserve">me, </w:t>
      </w:r>
      <w:r w:rsidR="00A00248">
        <w:rPr>
          <w:rFonts w:cs="Times New Roman"/>
          <w:color w:val="000000" w:themeColor="text1"/>
        </w:rPr>
        <w:t xml:space="preserve">Attitudes towards Childcare’, </w:t>
      </w:r>
      <w:r w:rsidR="00635F0C" w:rsidRPr="00A00248">
        <w:rPr>
          <w:rFonts w:cs="Times New Roman"/>
          <w:i/>
          <w:color w:val="000000" w:themeColor="text1"/>
        </w:rPr>
        <w:t>Fatherhood in</w:t>
      </w:r>
      <w:r w:rsidR="00635F0C" w:rsidRPr="00A00248">
        <w:rPr>
          <w:i/>
          <w:color w:val="000000" w:themeColor="text1"/>
        </w:rPr>
        <w:t xml:space="preserve"> the Nordic Welfare States</w:t>
      </w:r>
      <w:r w:rsidR="00635F0C" w:rsidRPr="006707EA">
        <w:rPr>
          <w:color w:val="000000" w:themeColor="text1"/>
        </w:rPr>
        <w:t xml:space="preserve">, G.B. </w:t>
      </w:r>
      <w:proofErr w:type="spellStart"/>
      <w:r w:rsidR="00635F0C" w:rsidRPr="006707EA">
        <w:rPr>
          <w:color w:val="000000" w:themeColor="text1"/>
        </w:rPr>
        <w:t>Eydal</w:t>
      </w:r>
      <w:proofErr w:type="spellEnd"/>
      <w:r w:rsidR="00635F0C" w:rsidRPr="006707EA">
        <w:rPr>
          <w:color w:val="000000" w:themeColor="text1"/>
        </w:rPr>
        <w:t xml:space="preserve"> and T. </w:t>
      </w:r>
      <w:proofErr w:type="spellStart"/>
      <w:r w:rsidR="00635F0C" w:rsidRPr="006707EA">
        <w:rPr>
          <w:color w:val="000000" w:themeColor="text1"/>
        </w:rPr>
        <w:t>Rostgaard</w:t>
      </w:r>
      <w:proofErr w:type="spellEnd"/>
      <w:r w:rsidR="00635F0C" w:rsidRPr="006707EA">
        <w:rPr>
          <w:color w:val="000000" w:themeColor="text1"/>
        </w:rPr>
        <w:t xml:space="preserve"> (Eds.), Bristol: Policy Press.</w:t>
      </w:r>
    </w:p>
    <w:p w14:paraId="14BAE0BC" w14:textId="77777777" w:rsidR="00F50EB6" w:rsidRDefault="00F50EB6" w:rsidP="003903A3">
      <w:pPr>
        <w:ind w:left="-397" w:right="-397"/>
        <w:jc w:val="both"/>
        <w:rPr>
          <w:color w:val="000000" w:themeColor="text1"/>
        </w:rPr>
      </w:pPr>
    </w:p>
    <w:p w14:paraId="604C4AB6" w14:textId="77777777" w:rsidR="00F50EB6" w:rsidRPr="006707EA" w:rsidRDefault="00E15043" w:rsidP="003903A3">
      <w:pPr>
        <w:ind w:left="-397" w:right="-397"/>
        <w:jc w:val="both"/>
        <w:rPr>
          <w:color w:val="000000" w:themeColor="text1"/>
        </w:rPr>
      </w:pPr>
      <w:r>
        <w:rPr>
          <w:color w:val="000000" w:themeColor="text1"/>
        </w:rPr>
        <w:t>National Audit Office</w:t>
      </w:r>
      <w:r w:rsidR="00F50EB6">
        <w:rPr>
          <w:color w:val="000000" w:themeColor="text1"/>
        </w:rPr>
        <w:t xml:space="preserve"> (2016)</w:t>
      </w:r>
      <w:r>
        <w:rPr>
          <w:color w:val="000000" w:themeColor="text1"/>
        </w:rPr>
        <w:t xml:space="preserve">, Benefit Sanctions, </w:t>
      </w:r>
      <w:r w:rsidRPr="00327C34">
        <w:rPr>
          <w:i/>
          <w:color w:val="000000" w:themeColor="text1"/>
        </w:rPr>
        <w:t>National Audit Office</w:t>
      </w:r>
      <w:r>
        <w:rPr>
          <w:color w:val="000000" w:themeColor="text1"/>
        </w:rPr>
        <w:t>, London: United Kingdom</w:t>
      </w:r>
      <w:r w:rsidR="00F50EB6">
        <w:rPr>
          <w:color w:val="000000" w:themeColor="text1"/>
        </w:rPr>
        <w:t xml:space="preserve"> </w:t>
      </w:r>
    </w:p>
    <w:p w14:paraId="69DB0DB8" w14:textId="77777777" w:rsidR="003903A3" w:rsidRPr="006707EA" w:rsidRDefault="003903A3" w:rsidP="003903A3">
      <w:pPr>
        <w:ind w:right="-397"/>
        <w:jc w:val="both"/>
        <w:rPr>
          <w:color w:val="000000" w:themeColor="text1"/>
        </w:rPr>
      </w:pPr>
    </w:p>
    <w:p w14:paraId="13AA3160" w14:textId="2829A975" w:rsidR="003903A3" w:rsidRPr="006707EA" w:rsidRDefault="00566433" w:rsidP="003903A3">
      <w:pPr>
        <w:ind w:left="-397" w:right="-397"/>
        <w:jc w:val="both"/>
        <w:rPr>
          <w:color w:val="000000" w:themeColor="text1"/>
        </w:rPr>
      </w:pPr>
      <w:r>
        <w:rPr>
          <w:color w:val="000000" w:themeColor="text1"/>
        </w:rPr>
        <w:t>North, D.</w:t>
      </w:r>
      <w:r w:rsidR="003903A3" w:rsidRPr="006707EA">
        <w:rPr>
          <w:color w:val="000000" w:themeColor="text1"/>
        </w:rPr>
        <w:t xml:space="preserve"> C., </w:t>
      </w:r>
      <w:r w:rsidR="00A00248">
        <w:rPr>
          <w:color w:val="000000" w:themeColor="text1"/>
        </w:rPr>
        <w:t>(</w:t>
      </w:r>
      <w:r w:rsidR="003903A3" w:rsidRPr="006707EA">
        <w:rPr>
          <w:color w:val="000000" w:themeColor="text1"/>
        </w:rPr>
        <w:t>2005</w:t>
      </w:r>
      <w:r w:rsidR="00A00248">
        <w:rPr>
          <w:color w:val="000000" w:themeColor="text1"/>
        </w:rPr>
        <w:t>)</w:t>
      </w:r>
      <w:r w:rsidR="003903A3" w:rsidRPr="006707EA">
        <w:rPr>
          <w:color w:val="000000" w:themeColor="text1"/>
        </w:rPr>
        <w:t xml:space="preserve">, </w:t>
      </w:r>
      <w:r w:rsidR="003903A3" w:rsidRPr="006707EA">
        <w:rPr>
          <w:i/>
          <w:color w:val="000000" w:themeColor="text1"/>
        </w:rPr>
        <w:t>Understanding the Process of Economic Change</w:t>
      </w:r>
      <w:r w:rsidR="003903A3" w:rsidRPr="006707EA">
        <w:rPr>
          <w:color w:val="000000" w:themeColor="text1"/>
        </w:rPr>
        <w:t>, Princeton University Press: Princeton.</w:t>
      </w:r>
    </w:p>
    <w:p w14:paraId="0334E813" w14:textId="77777777" w:rsidR="003903A3" w:rsidRPr="006707EA" w:rsidRDefault="003903A3" w:rsidP="003903A3">
      <w:pPr>
        <w:ind w:left="-397" w:right="-397"/>
        <w:jc w:val="both"/>
        <w:rPr>
          <w:color w:val="000000" w:themeColor="text1"/>
        </w:rPr>
      </w:pPr>
      <w:r w:rsidRPr="006707EA">
        <w:rPr>
          <w:color w:val="000000" w:themeColor="text1"/>
        </w:rPr>
        <w:t xml:space="preserve"> </w:t>
      </w:r>
    </w:p>
    <w:p w14:paraId="1FB7DD39" w14:textId="77777777" w:rsidR="003903A3" w:rsidRPr="006707EA" w:rsidRDefault="00566433" w:rsidP="003903A3">
      <w:pPr>
        <w:pStyle w:val="BISReference"/>
        <w:ind w:left="-397" w:right="-397" w:firstLine="0"/>
        <w:rPr>
          <w:rFonts w:ascii="Times New Roman" w:hAnsi="Times New Roman"/>
          <w:color w:val="000000" w:themeColor="text1"/>
          <w:sz w:val="24"/>
          <w:szCs w:val="24"/>
        </w:rPr>
      </w:pPr>
      <w:r>
        <w:rPr>
          <w:rFonts w:ascii="Times New Roman" w:hAnsi="Times New Roman"/>
          <w:color w:val="000000" w:themeColor="text1"/>
          <w:sz w:val="24"/>
          <w:szCs w:val="24"/>
        </w:rPr>
        <w:t>Nozick, R.</w:t>
      </w:r>
      <w:r w:rsidR="003903A3" w:rsidRPr="006707EA">
        <w:rPr>
          <w:rFonts w:ascii="Times New Roman" w:hAnsi="Times New Roman"/>
          <w:color w:val="000000" w:themeColor="text1"/>
          <w:sz w:val="24"/>
          <w:szCs w:val="24"/>
        </w:rPr>
        <w:t xml:space="preserve">, </w:t>
      </w:r>
      <w:r w:rsidR="00A00248">
        <w:rPr>
          <w:rFonts w:ascii="Times New Roman" w:hAnsi="Times New Roman"/>
          <w:color w:val="000000" w:themeColor="text1"/>
          <w:sz w:val="24"/>
          <w:szCs w:val="24"/>
        </w:rPr>
        <w:t>(</w:t>
      </w:r>
      <w:r w:rsidR="003903A3" w:rsidRPr="006707EA">
        <w:rPr>
          <w:rFonts w:ascii="Times New Roman" w:hAnsi="Times New Roman"/>
          <w:color w:val="000000" w:themeColor="text1"/>
          <w:sz w:val="24"/>
          <w:szCs w:val="24"/>
        </w:rPr>
        <w:t>1974</w:t>
      </w:r>
      <w:r w:rsidR="00A00248">
        <w:rPr>
          <w:rFonts w:ascii="Times New Roman" w:hAnsi="Times New Roman"/>
          <w:color w:val="000000" w:themeColor="text1"/>
          <w:sz w:val="24"/>
          <w:szCs w:val="24"/>
        </w:rPr>
        <w:t>)</w:t>
      </w:r>
      <w:r w:rsidR="003903A3" w:rsidRPr="006707EA">
        <w:rPr>
          <w:rFonts w:ascii="Times New Roman" w:hAnsi="Times New Roman"/>
          <w:color w:val="000000" w:themeColor="text1"/>
          <w:sz w:val="24"/>
          <w:szCs w:val="24"/>
        </w:rPr>
        <w:t xml:space="preserve">, </w:t>
      </w:r>
      <w:r w:rsidR="003903A3" w:rsidRPr="006707EA">
        <w:rPr>
          <w:rFonts w:ascii="Times New Roman" w:hAnsi="Times New Roman"/>
          <w:i/>
          <w:color w:val="000000" w:themeColor="text1"/>
          <w:sz w:val="24"/>
          <w:szCs w:val="24"/>
        </w:rPr>
        <w:t>Anarchy, state and Utopia</w:t>
      </w:r>
      <w:r w:rsidR="003903A3" w:rsidRPr="006707EA">
        <w:rPr>
          <w:rFonts w:ascii="Times New Roman" w:hAnsi="Times New Roman"/>
          <w:color w:val="000000" w:themeColor="text1"/>
          <w:sz w:val="24"/>
          <w:szCs w:val="24"/>
        </w:rPr>
        <w:t>, London: Blackwell.</w:t>
      </w:r>
    </w:p>
    <w:p w14:paraId="6BAE8FA6" w14:textId="77777777" w:rsidR="00CD235C" w:rsidRPr="006707EA" w:rsidRDefault="00CD235C" w:rsidP="000A7484">
      <w:pPr>
        <w:pStyle w:val="BISReference"/>
        <w:ind w:left="0" w:right="-397" w:firstLine="0"/>
        <w:rPr>
          <w:rFonts w:ascii="Times New Roman" w:hAnsi="Times New Roman"/>
          <w:color w:val="000000" w:themeColor="text1"/>
          <w:sz w:val="24"/>
          <w:szCs w:val="24"/>
        </w:rPr>
      </w:pPr>
    </w:p>
    <w:p w14:paraId="22C9D023" w14:textId="77777777" w:rsidR="003903A3" w:rsidRDefault="008C14C5" w:rsidP="003903A3">
      <w:pPr>
        <w:pStyle w:val="BISReference"/>
        <w:ind w:left="-397" w:right="-397" w:firstLine="0"/>
        <w:rPr>
          <w:rFonts w:ascii="Times New Roman" w:hAnsi="Times New Roman"/>
          <w:color w:val="000000" w:themeColor="text1"/>
          <w:sz w:val="24"/>
          <w:szCs w:val="24"/>
        </w:rPr>
      </w:pPr>
      <w:r>
        <w:rPr>
          <w:rFonts w:ascii="Times New Roman" w:hAnsi="Times New Roman"/>
          <w:color w:val="000000" w:themeColor="text1"/>
          <w:sz w:val="24"/>
          <w:szCs w:val="24"/>
        </w:rPr>
        <w:t>Nussbaum, M.,</w:t>
      </w:r>
      <w:r w:rsidR="003903A3" w:rsidRPr="006707EA">
        <w:rPr>
          <w:rFonts w:ascii="Times New Roman" w:hAnsi="Times New Roman"/>
          <w:color w:val="000000" w:themeColor="text1"/>
          <w:sz w:val="24"/>
          <w:szCs w:val="24"/>
        </w:rPr>
        <w:t xml:space="preserve"> </w:t>
      </w:r>
      <w:r w:rsidR="00A00248">
        <w:rPr>
          <w:rFonts w:ascii="Times New Roman" w:hAnsi="Times New Roman"/>
          <w:color w:val="000000" w:themeColor="text1"/>
          <w:sz w:val="24"/>
          <w:szCs w:val="24"/>
        </w:rPr>
        <w:t>(</w:t>
      </w:r>
      <w:r w:rsidR="003903A3" w:rsidRPr="006707EA">
        <w:rPr>
          <w:rFonts w:ascii="Times New Roman" w:hAnsi="Times New Roman"/>
          <w:color w:val="000000" w:themeColor="text1"/>
          <w:sz w:val="24"/>
          <w:szCs w:val="24"/>
        </w:rPr>
        <w:t>2006</w:t>
      </w:r>
      <w:r w:rsidR="00A00248">
        <w:rPr>
          <w:rFonts w:ascii="Times New Roman" w:hAnsi="Times New Roman"/>
          <w:color w:val="000000" w:themeColor="text1"/>
          <w:sz w:val="24"/>
          <w:szCs w:val="24"/>
        </w:rPr>
        <w:t>)</w:t>
      </w:r>
      <w:r w:rsidR="003903A3" w:rsidRPr="006707EA">
        <w:rPr>
          <w:rFonts w:ascii="Times New Roman" w:hAnsi="Times New Roman"/>
          <w:color w:val="000000" w:themeColor="text1"/>
          <w:sz w:val="24"/>
          <w:szCs w:val="24"/>
        </w:rPr>
        <w:t xml:space="preserve">, </w:t>
      </w:r>
      <w:r w:rsidR="003903A3" w:rsidRPr="006707EA">
        <w:rPr>
          <w:rFonts w:ascii="Times New Roman" w:hAnsi="Times New Roman"/>
          <w:i/>
          <w:color w:val="000000" w:themeColor="text1"/>
          <w:sz w:val="24"/>
          <w:szCs w:val="24"/>
        </w:rPr>
        <w:t>F</w:t>
      </w:r>
      <w:r w:rsidR="00D443B1">
        <w:rPr>
          <w:rFonts w:ascii="Times New Roman" w:hAnsi="Times New Roman"/>
          <w:i/>
          <w:color w:val="000000" w:themeColor="text1"/>
          <w:sz w:val="24"/>
          <w:szCs w:val="24"/>
        </w:rPr>
        <w:t>rontiers of Justice</w:t>
      </w:r>
      <w:r w:rsidR="003903A3" w:rsidRPr="006707EA">
        <w:rPr>
          <w:rFonts w:ascii="Times New Roman" w:hAnsi="Times New Roman"/>
          <w:color w:val="000000" w:themeColor="text1"/>
          <w:sz w:val="24"/>
          <w:szCs w:val="24"/>
        </w:rPr>
        <w:t xml:space="preserve">, London: The </w:t>
      </w:r>
      <w:proofErr w:type="spellStart"/>
      <w:r w:rsidR="003903A3" w:rsidRPr="006707EA">
        <w:rPr>
          <w:rFonts w:ascii="Times New Roman" w:hAnsi="Times New Roman"/>
          <w:color w:val="000000" w:themeColor="text1"/>
          <w:sz w:val="24"/>
          <w:szCs w:val="24"/>
        </w:rPr>
        <w:t>Belknap</w:t>
      </w:r>
      <w:proofErr w:type="spellEnd"/>
      <w:r w:rsidR="003903A3" w:rsidRPr="006707EA">
        <w:rPr>
          <w:rFonts w:ascii="Times New Roman" w:hAnsi="Times New Roman"/>
          <w:color w:val="000000" w:themeColor="text1"/>
          <w:sz w:val="24"/>
          <w:szCs w:val="24"/>
        </w:rPr>
        <w:t xml:space="preserve"> Press.</w:t>
      </w:r>
    </w:p>
    <w:p w14:paraId="334299DE" w14:textId="77777777" w:rsidR="00DE2169" w:rsidRDefault="00DE2169" w:rsidP="003903A3">
      <w:pPr>
        <w:pStyle w:val="BISReference"/>
        <w:ind w:left="-397" w:right="-397" w:firstLine="0"/>
        <w:rPr>
          <w:rFonts w:ascii="Times New Roman" w:hAnsi="Times New Roman"/>
          <w:color w:val="000000" w:themeColor="text1"/>
          <w:sz w:val="24"/>
          <w:szCs w:val="24"/>
        </w:rPr>
      </w:pPr>
    </w:p>
    <w:p w14:paraId="1D15BA9C" w14:textId="77777777" w:rsidR="00CC0701" w:rsidRPr="006707EA" w:rsidRDefault="008C14C5" w:rsidP="000A7484">
      <w:pPr>
        <w:pStyle w:val="BISReference"/>
        <w:ind w:left="-397" w:right="-397" w:firstLine="0"/>
        <w:rPr>
          <w:rFonts w:ascii="Times New Roman" w:hAnsi="Times New Roman"/>
          <w:color w:val="000000" w:themeColor="text1"/>
          <w:sz w:val="24"/>
          <w:szCs w:val="24"/>
        </w:rPr>
      </w:pPr>
      <w:r>
        <w:rPr>
          <w:rFonts w:ascii="Times New Roman" w:hAnsi="Times New Roman"/>
          <w:color w:val="000000" w:themeColor="text1"/>
          <w:sz w:val="24"/>
          <w:szCs w:val="24"/>
        </w:rPr>
        <w:t>Nussbaum, M.,</w:t>
      </w:r>
      <w:r w:rsidR="00FE609A">
        <w:rPr>
          <w:rFonts w:ascii="Times New Roman" w:hAnsi="Times New Roman"/>
          <w:color w:val="000000" w:themeColor="text1"/>
          <w:sz w:val="24"/>
          <w:szCs w:val="24"/>
        </w:rPr>
        <w:t xml:space="preserve"> </w:t>
      </w:r>
      <w:r w:rsidR="00A00248">
        <w:rPr>
          <w:rFonts w:ascii="Times New Roman" w:hAnsi="Times New Roman"/>
          <w:color w:val="000000" w:themeColor="text1"/>
          <w:sz w:val="24"/>
          <w:szCs w:val="24"/>
        </w:rPr>
        <w:t>(</w:t>
      </w:r>
      <w:r>
        <w:rPr>
          <w:rFonts w:ascii="Times New Roman" w:hAnsi="Times New Roman"/>
          <w:color w:val="000000" w:themeColor="text1"/>
          <w:sz w:val="24"/>
          <w:szCs w:val="24"/>
        </w:rPr>
        <w:t>2000</w:t>
      </w:r>
      <w:r w:rsidR="00A00248">
        <w:rPr>
          <w:rFonts w:ascii="Times New Roman" w:hAnsi="Times New Roman"/>
          <w:color w:val="000000" w:themeColor="text1"/>
          <w:sz w:val="24"/>
          <w:szCs w:val="24"/>
        </w:rPr>
        <w:t>)</w:t>
      </w:r>
      <w:r w:rsidR="00DE2169">
        <w:rPr>
          <w:rFonts w:ascii="Times New Roman" w:hAnsi="Times New Roman"/>
          <w:color w:val="000000" w:themeColor="text1"/>
          <w:sz w:val="24"/>
          <w:szCs w:val="24"/>
        </w:rPr>
        <w:t xml:space="preserve">, </w:t>
      </w:r>
      <w:r w:rsidR="00DE2169" w:rsidRPr="00301C62">
        <w:rPr>
          <w:rFonts w:ascii="Times New Roman" w:hAnsi="Times New Roman"/>
          <w:i/>
          <w:color w:val="000000" w:themeColor="text1"/>
          <w:sz w:val="24"/>
          <w:szCs w:val="24"/>
        </w:rPr>
        <w:t>Women and Human Development</w:t>
      </w:r>
      <w:r w:rsidR="00DE2169">
        <w:rPr>
          <w:rFonts w:ascii="Times New Roman" w:hAnsi="Times New Roman"/>
          <w:color w:val="000000" w:themeColor="text1"/>
          <w:sz w:val="24"/>
          <w:szCs w:val="24"/>
        </w:rPr>
        <w:t>, New Yo</w:t>
      </w:r>
      <w:r w:rsidR="000A7484">
        <w:rPr>
          <w:rFonts w:ascii="Times New Roman" w:hAnsi="Times New Roman"/>
          <w:color w:val="000000" w:themeColor="text1"/>
          <w:sz w:val="24"/>
          <w:szCs w:val="24"/>
        </w:rPr>
        <w:t>rk: Cambridge University Press.</w:t>
      </w:r>
    </w:p>
    <w:p w14:paraId="61B75B4B" w14:textId="0265BC02" w:rsidR="00500E35" w:rsidRDefault="00500E35" w:rsidP="00500E35">
      <w:pPr>
        <w:spacing w:before="100" w:beforeAutospacing="1" w:after="100" w:afterAutospacing="1"/>
        <w:ind w:left="-397" w:right="-397"/>
        <w:rPr>
          <w:color w:val="000000" w:themeColor="text1"/>
        </w:rPr>
      </w:pPr>
      <w:r w:rsidRPr="00CC0701">
        <w:rPr>
          <w:color w:val="000000" w:themeColor="text1"/>
        </w:rPr>
        <w:t xml:space="preserve">OECD </w:t>
      </w:r>
      <w:r>
        <w:rPr>
          <w:color w:val="000000" w:themeColor="text1"/>
        </w:rPr>
        <w:t xml:space="preserve">2007b, </w:t>
      </w:r>
      <w:r w:rsidRPr="00CC0701">
        <w:rPr>
          <w:color w:val="000000" w:themeColor="text1"/>
        </w:rPr>
        <w:t>2008b, OECD Revenue Statistics</w:t>
      </w:r>
    </w:p>
    <w:p w14:paraId="03402195" w14:textId="1DAB41E1" w:rsidR="00500E35" w:rsidRDefault="00500E35" w:rsidP="00500E35">
      <w:pPr>
        <w:spacing w:before="100" w:beforeAutospacing="1" w:after="100" w:afterAutospacing="1"/>
        <w:ind w:left="-397" w:right="-397"/>
        <w:rPr>
          <w:color w:val="1F3864" w:themeColor="accent5" w:themeShade="80"/>
        </w:rPr>
      </w:pPr>
      <w:r w:rsidRPr="00CC0701">
        <w:rPr>
          <w:color w:val="1F3864" w:themeColor="accent5" w:themeShade="80"/>
        </w:rPr>
        <w:t>OECD 2007e, Babies and Boss</w:t>
      </w:r>
    </w:p>
    <w:p w14:paraId="424028E0" w14:textId="6DE6137C" w:rsidR="00500E35" w:rsidRDefault="00500E35">
      <w:pPr>
        <w:pStyle w:val="BISReference"/>
        <w:ind w:left="-397" w:right="-397" w:firstLine="0"/>
        <w:rPr>
          <w:rFonts w:ascii="Times New Roman" w:hAnsi="Times New Roman"/>
          <w:color w:val="000000" w:themeColor="text1"/>
          <w:sz w:val="24"/>
          <w:szCs w:val="24"/>
        </w:rPr>
      </w:pPr>
      <w:r w:rsidRPr="00CC0701">
        <w:rPr>
          <w:rFonts w:ascii="Times New Roman" w:hAnsi="Times New Roman"/>
          <w:color w:val="000000" w:themeColor="text1"/>
          <w:sz w:val="24"/>
          <w:szCs w:val="24"/>
        </w:rPr>
        <w:t>OECD 2007d</w:t>
      </w:r>
      <w:r>
        <w:rPr>
          <w:rFonts w:ascii="Times New Roman" w:hAnsi="Times New Roman"/>
          <w:color w:val="000000" w:themeColor="text1"/>
          <w:sz w:val="24"/>
          <w:szCs w:val="24"/>
        </w:rPr>
        <w:t>, Taxation of Wage Income</w:t>
      </w:r>
    </w:p>
    <w:p w14:paraId="326CF577" w14:textId="77777777" w:rsidR="00500E35" w:rsidRDefault="00500E35">
      <w:pPr>
        <w:pStyle w:val="BISReference"/>
        <w:ind w:left="-397" w:right="-397" w:firstLine="0"/>
        <w:rPr>
          <w:rFonts w:ascii="Times New Roman" w:hAnsi="Times New Roman"/>
          <w:color w:val="000000" w:themeColor="text1"/>
          <w:sz w:val="24"/>
          <w:szCs w:val="24"/>
        </w:rPr>
      </w:pPr>
    </w:p>
    <w:p w14:paraId="191192C6" w14:textId="77777777" w:rsidR="00500E35" w:rsidRPr="00CC0701" w:rsidRDefault="00500E35" w:rsidP="00500E35">
      <w:pPr>
        <w:pStyle w:val="BISReference"/>
        <w:ind w:left="-397" w:right="-397" w:firstLine="0"/>
        <w:rPr>
          <w:rFonts w:ascii="Times New Roman" w:hAnsi="Times New Roman"/>
          <w:color w:val="000000" w:themeColor="text1"/>
          <w:sz w:val="24"/>
          <w:szCs w:val="24"/>
        </w:rPr>
      </w:pPr>
      <w:r w:rsidRPr="00CC0701">
        <w:rPr>
          <w:rFonts w:ascii="Times New Roman" w:hAnsi="Times New Roman"/>
          <w:color w:val="000000" w:themeColor="text1"/>
          <w:sz w:val="24"/>
          <w:szCs w:val="24"/>
        </w:rPr>
        <w:t>OECD 2008a, Education at a Glance</w:t>
      </w:r>
    </w:p>
    <w:p w14:paraId="523886C7" w14:textId="77777777" w:rsidR="00500E35" w:rsidRPr="00CC0701" w:rsidRDefault="00500E35" w:rsidP="00500E35">
      <w:pPr>
        <w:pStyle w:val="BISReference"/>
        <w:ind w:left="-397" w:right="-397"/>
        <w:rPr>
          <w:rFonts w:ascii="Times New Roman" w:hAnsi="Times New Roman"/>
          <w:color w:val="000000" w:themeColor="text1"/>
          <w:sz w:val="24"/>
          <w:szCs w:val="24"/>
        </w:rPr>
      </w:pPr>
    </w:p>
    <w:p w14:paraId="51335A1D" w14:textId="77777777" w:rsidR="003903A3" w:rsidRPr="00CC0701" w:rsidRDefault="008C5FA3" w:rsidP="003903A3">
      <w:pPr>
        <w:pStyle w:val="BISReference"/>
        <w:ind w:left="-397" w:right="-397" w:firstLine="0"/>
        <w:rPr>
          <w:rFonts w:ascii="Times New Roman" w:hAnsi="Times New Roman"/>
          <w:color w:val="000000" w:themeColor="text1"/>
          <w:sz w:val="24"/>
          <w:szCs w:val="24"/>
        </w:rPr>
      </w:pPr>
      <w:r w:rsidRPr="00CC0701">
        <w:rPr>
          <w:rFonts w:ascii="Times New Roman" w:hAnsi="Times New Roman"/>
          <w:color w:val="000000" w:themeColor="text1"/>
          <w:sz w:val="24"/>
          <w:szCs w:val="24"/>
        </w:rPr>
        <w:t xml:space="preserve">OECD </w:t>
      </w:r>
      <w:r w:rsidR="003903A3" w:rsidRPr="00CC0701">
        <w:rPr>
          <w:rFonts w:ascii="Times New Roman" w:hAnsi="Times New Roman"/>
          <w:color w:val="000000" w:themeColor="text1"/>
          <w:sz w:val="24"/>
          <w:szCs w:val="24"/>
        </w:rPr>
        <w:t>2008e, Reforming Corporate Income Tax, Policy Brief, July.</w:t>
      </w:r>
    </w:p>
    <w:p w14:paraId="3A14FD40" w14:textId="77777777" w:rsidR="003903A3" w:rsidRPr="00CC0701" w:rsidRDefault="003903A3" w:rsidP="003903A3">
      <w:pPr>
        <w:pStyle w:val="BISReference"/>
        <w:ind w:left="-397" w:right="-397" w:firstLine="0"/>
        <w:rPr>
          <w:rFonts w:ascii="Times New Roman" w:hAnsi="Times New Roman"/>
          <w:color w:val="000000" w:themeColor="text1"/>
          <w:sz w:val="24"/>
          <w:szCs w:val="24"/>
        </w:rPr>
      </w:pPr>
    </w:p>
    <w:p w14:paraId="23C80FF3" w14:textId="2E865F1A" w:rsidR="00500E35" w:rsidRDefault="008C5FA3" w:rsidP="003903A3">
      <w:pPr>
        <w:pStyle w:val="BISReference"/>
        <w:ind w:left="-397" w:right="-397" w:firstLine="0"/>
        <w:rPr>
          <w:rFonts w:ascii="Times New Roman" w:hAnsi="Times New Roman"/>
          <w:color w:val="000000" w:themeColor="text1"/>
          <w:sz w:val="24"/>
          <w:szCs w:val="24"/>
        </w:rPr>
      </w:pPr>
      <w:r w:rsidRPr="00CC0701">
        <w:rPr>
          <w:rFonts w:ascii="Times New Roman" w:hAnsi="Times New Roman"/>
          <w:color w:val="000000" w:themeColor="text1"/>
          <w:sz w:val="24"/>
          <w:szCs w:val="24"/>
        </w:rPr>
        <w:t>OECD 2008f</w:t>
      </w:r>
      <w:r w:rsidR="003903A3" w:rsidRPr="00CC0701">
        <w:rPr>
          <w:rFonts w:ascii="Times New Roman" w:hAnsi="Times New Roman"/>
          <w:color w:val="000000" w:themeColor="text1"/>
          <w:sz w:val="24"/>
          <w:szCs w:val="24"/>
        </w:rPr>
        <w:t>, Growing Unequal, Report.</w:t>
      </w:r>
    </w:p>
    <w:p w14:paraId="4D18B4CB" w14:textId="77777777" w:rsidR="00500E35" w:rsidRDefault="00500E35" w:rsidP="003903A3">
      <w:pPr>
        <w:pStyle w:val="BISReference"/>
        <w:ind w:left="-397" w:right="-397" w:firstLine="0"/>
        <w:rPr>
          <w:rFonts w:ascii="Times New Roman" w:hAnsi="Times New Roman"/>
          <w:color w:val="000000" w:themeColor="text1"/>
          <w:sz w:val="24"/>
          <w:szCs w:val="24"/>
        </w:rPr>
      </w:pPr>
    </w:p>
    <w:p w14:paraId="47DCAF94" w14:textId="77777777" w:rsidR="00500E35" w:rsidRPr="00CC0701" w:rsidRDefault="00500E35" w:rsidP="00500E35">
      <w:pPr>
        <w:pStyle w:val="BISReference"/>
        <w:ind w:left="-397" w:right="-397" w:firstLine="0"/>
        <w:rPr>
          <w:rFonts w:ascii="Times New Roman" w:hAnsi="Times New Roman"/>
          <w:color w:val="000000" w:themeColor="text1"/>
          <w:sz w:val="24"/>
          <w:szCs w:val="24"/>
        </w:rPr>
      </w:pPr>
      <w:r w:rsidRPr="00CC0701">
        <w:rPr>
          <w:rFonts w:ascii="Times New Roman" w:hAnsi="Times New Roman"/>
          <w:color w:val="000000" w:themeColor="text1"/>
          <w:sz w:val="24"/>
          <w:szCs w:val="24"/>
        </w:rPr>
        <w:t>OECD 2010a, National Accounts at a Glance</w:t>
      </w:r>
    </w:p>
    <w:p w14:paraId="7848A6D1" w14:textId="77777777" w:rsidR="00500E35" w:rsidRPr="00CC0701" w:rsidRDefault="00500E35" w:rsidP="00500E35">
      <w:pPr>
        <w:pStyle w:val="BISReference"/>
        <w:ind w:left="-397" w:right="-397"/>
        <w:rPr>
          <w:rFonts w:ascii="Times New Roman" w:hAnsi="Times New Roman"/>
          <w:color w:val="000000" w:themeColor="text1"/>
          <w:sz w:val="24"/>
          <w:szCs w:val="24"/>
        </w:rPr>
      </w:pPr>
    </w:p>
    <w:p w14:paraId="163488E7" w14:textId="77777777" w:rsidR="00500E35" w:rsidRPr="00C93189" w:rsidRDefault="00500E35" w:rsidP="00500E35">
      <w:pPr>
        <w:pStyle w:val="BISReference"/>
        <w:ind w:left="-397" w:right="-397" w:firstLine="0"/>
        <w:rPr>
          <w:rFonts w:ascii="Times New Roman" w:hAnsi="Times New Roman"/>
          <w:color w:val="000000" w:themeColor="text1"/>
          <w:sz w:val="24"/>
          <w:szCs w:val="24"/>
        </w:rPr>
      </w:pPr>
      <w:r w:rsidRPr="00C93189">
        <w:rPr>
          <w:rFonts w:ascii="Times New Roman" w:hAnsi="Times New Roman"/>
          <w:color w:val="000000" w:themeColor="text1"/>
          <w:sz w:val="24"/>
          <w:szCs w:val="24"/>
        </w:rPr>
        <w:t>OECD 2010b, 2009a, OECD Tax Database</w:t>
      </w:r>
    </w:p>
    <w:p w14:paraId="7874CBD3" w14:textId="77777777" w:rsidR="00500E35" w:rsidRPr="00C93189" w:rsidRDefault="00500E35" w:rsidP="00500E35">
      <w:pPr>
        <w:pStyle w:val="BISReference"/>
        <w:ind w:left="-397" w:right="-397"/>
        <w:rPr>
          <w:rFonts w:ascii="Times New Roman" w:hAnsi="Times New Roman"/>
          <w:color w:val="000000" w:themeColor="text1"/>
          <w:sz w:val="24"/>
          <w:szCs w:val="24"/>
        </w:rPr>
      </w:pPr>
    </w:p>
    <w:p w14:paraId="33BC498D" w14:textId="77777777" w:rsidR="00500E35" w:rsidRPr="00CC0701" w:rsidRDefault="00500E35" w:rsidP="00500E35">
      <w:pPr>
        <w:pStyle w:val="BISReference"/>
        <w:ind w:left="-397" w:right="-397" w:firstLine="0"/>
        <w:rPr>
          <w:rFonts w:ascii="Times New Roman" w:hAnsi="Times New Roman"/>
          <w:color w:val="000000" w:themeColor="text1"/>
          <w:sz w:val="24"/>
          <w:szCs w:val="24"/>
        </w:rPr>
      </w:pPr>
      <w:r w:rsidRPr="00C93189">
        <w:rPr>
          <w:rFonts w:ascii="Times New Roman" w:hAnsi="Times New Roman"/>
          <w:color w:val="000000" w:themeColor="text1"/>
          <w:sz w:val="24"/>
          <w:szCs w:val="24"/>
        </w:rPr>
        <w:t xml:space="preserve">OECD 2010c, OECD Stat. </w:t>
      </w:r>
      <w:r w:rsidRPr="00CC0701">
        <w:rPr>
          <w:rFonts w:ascii="Times New Roman" w:hAnsi="Times New Roman"/>
          <w:color w:val="000000" w:themeColor="text1"/>
          <w:sz w:val="24"/>
          <w:szCs w:val="24"/>
        </w:rPr>
        <w:t>Extracts</w:t>
      </w:r>
    </w:p>
    <w:p w14:paraId="595E6F47" w14:textId="77777777" w:rsidR="00500E35" w:rsidRDefault="00500E35" w:rsidP="00500E35">
      <w:pPr>
        <w:spacing w:before="100" w:beforeAutospacing="1" w:after="100" w:afterAutospacing="1"/>
        <w:ind w:left="-397" w:right="-397"/>
        <w:rPr>
          <w:color w:val="1F3864" w:themeColor="accent5" w:themeShade="80"/>
        </w:rPr>
      </w:pPr>
      <w:r w:rsidRPr="00CC0701">
        <w:rPr>
          <w:color w:val="1F3864" w:themeColor="accent5" w:themeShade="80"/>
        </w:rPr>
        <w:lastRenderedPageBreak/>
        <w:t>OECD 2010e [a], Benefits and Wages</w:t>
      </w:r>
    </w:p>
    <w:p w14:paraId="16DFD475" w14:textId="77777777" w:rsidR="00AC14F1" w:rsidRPr="00CC0701" w:rsidRDefault="00AC14F1" w:rsidP="00AC14F1">
      <w:pPr>
        <w:spacing w:before="100" w:beforeAutospacing="1" w:after="100" w:afterAutospacing="1"/>
        <w:ind w:left="-397" w:right="-397"/>
        <w:rPr>
          <w:color w:val="000000" w:themeColor="text1"/>
        </w:rPr>
      </w:pPr>
      <w:r w:rsidRPr="00CC0701">
        <w:rPr>
          <w:color w:val="000000" w:themeColor="text1"/>
        </w:rPr>
        <w:t>OECD 2011a, Health at a Glance</w:t>
      </w:r>
      <w:r>
        <w:rPr>
          <w:color w:val="000000" w:themeColor="text1"/>
        </w:rPr>
        <w:t xml:space="preserve">, </w:t>
      </w:r>
    </w:p>
    <w:p w14:paraId="23E641EE" w14:textId="77777777" w:rsidR="00AC14F1" w:rsidRPr="00CC0701" w:rsidRDefault="00AC14F1" w:rsidP="00AC14F1">
      <w:pPr>
        <w:spacing w:before="100" w:beforeAutospacing="1" w:after="100" w:afterAutospacing="1"/>
        <w:ind w:left="-397" w:right="-397"/>
        <w:rPr>
          <w:color w:val="000000" w:themeColor="text1"/>
        </w:rPr>
      </w:pPr>
      <w:r w:rsidRPr="00CC0701">
        <w:rPr>
          <w:color w:val="000000" w:themeColor="text1"/>
        </w:rPr>
        <w:t>OECD Family Database</w:t>
      </w:r>
      <w:r>
        <w:rPr>
          <w:color w:val="000000" w:themeColor="text1"/>
        </w:rPr>
        <w:t xml:space="preserve">, </w:t>
      </w:r>
      <w:r w:rsidRPr="00CC0701">
        <w:rPr>
          <w:color w:val="000000" w:themeColor="text1"/>
        </w:rPr>
        <w:t>2011b,</w:t>
      </w:r>
      <w:r w:rsidRPr="00900526">
        <w:rPr>
          <w:color w:val="000000" w:themeColor="text1"/>
        </w:rPr>
        <w:t xml:space="preserve"> </w:t>
      </w:r>
      <w:r w:rsidRPr="00CC0701">
        <w:rPr>
          <w:color w:val="000000" w:themeColor="text1"/>
        </w:rPr>
        <w:t>2008d</w:t>
      </w:r>
      <w:r>
        <w:rPr>
          <w:color w:val="000000" w:themeColor="text1"/>
        </w:rPr>
        <w:t xml:space="preserve">, 2006/7, </w:t>
      </w:r>
      <w:r w:rsidRPr="00CC0701">
        <w:rPr>
          <w:color w:val="000000" w:themeColor="text1"/>
        </w:rPr>
        <w:t xml:space="preserve"> </w:t>
      </w:r>
    </w:p>
    <w:p w14:paraId="44426736" w14:textId="73FB4760" w:rsidR="00500E35" w:rsidRPr="00CC0701" w:rsidRDefault="00500E35" w:rsidP="00500E35">
      <w:pPr>
        <w:spacing w:before="100" w:beforeAutospacing="1" w:after="100" w:afterAutospacing="1"/>
        <w:ind w:left="-397" w:right="-397"/>
        <w:rPr>
          <w:color w:val="000000" w:themeColor="text1"/>
        </w:rPr>
      </w:pPr>
      <w:r>
        <w:rPr>
          <w:color w:val="000000" w:themeColor="text1"/>
        </w:rPr>
        <w:t>OECD Employment Outlook, 2013a 2010f, 2008c, 2007a</w:t>
      </w:r>
    </w:p>
    <w:p w14:paraId="02CDBBC7" w14:textId="54549C8E" w:rsidR="00500E35" w:rsidRDefault="00500E35">
      <w:pPr>
        <w:spacing w:before="100" w:beforeAutospacing="1" w:after="100" w:afterAutospacing="1"/>
        <w:ind w:left="-397" w:right="-397"/>
        <w:rPr>
          <w:color w:val="1F3864" w:themeColor="accent5" w:themeShade="80"/>
        </w:rPr>
      </w:pPr>
      <w:r w:rsidRPr="00CC0701">
        <w:rPr>
          <w:color w:val="000000" w:themeColor="text1"/>
        </w:rPr>
        <w:t>OECD</w:t>
      </w:r>
      <w:r>
        <w:rPr>
          <w:color w:val="000000" w:themeColor="text1"/>
        </w:rPr>
        <w:t xml:space="preserve"> </w:t>
      </w:r>
      <w:r w:rsidRPr="00CC0701">
        <w:rPr>
          <w:color w:val="000000" w:themeColor="text1"/>
        </w:rPr>
        <w:t>Society at a Glance</w:t>
      </w:r>
      <w:r>
        <w:rPr>
          <w:color w:val="000000" w:themeColor="text1"/>
        </w:rPr>
        <w:t xml:space="preserve">, </w:t>
      </w:r>
      <w:r w:rsidRPr="00CC0701">
        <w:rPr>
          <w:color w:val="000000" w:themeColor="text1"/>
        </w:rPr>
        <w:t xml:space="preserve">2014, </w:t>
      </w:r>
      <w:r>
        <w:rPr>
          <w:color w:val="000000" w:themeColor="text1"/>
        </w:rPr>
        <w:t>2011c, 2009b, 2007c</w:t>
      </w:r>
    </w:p>
    <w:p w14:paraId="29A97200" w14:textId="77777777" w:rsidR="00500E35" w:rsidRDefault="00500E35" w:rsidP="00500E35">
      <w:pPr>
        <w:spacing w:before="100" w:beforeAutospacing="1" w:after="100" w:afterAutospacing="1"/>
        <w:ind w:left="-397" w:right="-397"/>
        <w:rPr>
          <w:color w:val="000000" w:themeColor="text1"/>
        </w:rPr>
      </w:pPr>
      <w:r w:rsidRPr="00CC0701">
        <w:rPr>
          <w:color w:val="000000" w:themeColor="text1"/>
        </w:rPr>
        <w:t>OECD, 2018, 2019, Employment Outlook, Society at a Glance, Family Database</w:t>
      </w:r>
    </w:p>
    <w:p w14:paraId="2EE47599" w14:textId="77777777" w:rsidR="003903A3" w:rsidRPr="0011102A" w:rsidRDefault="003903A3" w:rsidP="003903A3">
      <w:pPr>
        <w:tabs>
          <w:tab w:val="left" w:pos="-720"/>
        </w:tabs>
        <w:suppressAutoHyphens/>
        <w:ind w:left="-397" w:right="-397"/>
        <w:jc w:val="both"/>
        <w:rPr>
          <w:color w:val="000000" w:themeColor="text1"/>
          <w:spacing w:val="-2"/>
        </w:rPr>
      </w:pPr>
      <w:r>
        <w:rPr>
          <w:color w:val="000000" w:themeColor="text1"/>
          <w:spacing w:val="-2"/>
        </w:rPr>
        <w:t xml:space="preserve">Pagano, Ugo, </w:t>
      </w:r>
      <w:r w:rsidR="00A00248">
        <w:rPr>
          <w:color w:val="000000" w:themeColor="text1"/>
          <w:spacing w:val="-2"/>
        </w:rPr>
        <w:t>(</w:t>
      </w:r>
      <w:r>
        <w:rPr>
          <w:color w:val="000000" w:themeColor="text1"/>
          <w:spacing w:val="-2"/>
        </w:rPr>
        <w:t>1999</w:t>
      </w:r>
      <w:r w:rsidR="00A00248">
        <w:rPr>
          <w:color w:val="000000" w:themeColor="text1"/>
          <w:spacing w:val="-2"/>
        </w:rPr>
        <w:t>)</w:t>
      </w:r>
      <w:r>
        <w:rPr>
          <w:color w:val="000000" w:themeColor="text1"/>
          <w:spacing w:val="-2"/>
        </w:rPr>
        <w:t>, “</w:t>
      </w:r>
      <w:r w:rsidRPr="0011102A">
        <w:rPr>
          <w:color w:val="000000" w:themeColor="text1"/>
          <w:spacing w:val="-2"/>
        </w:rPr>
        <w:t>Property Rights, Asset Specificity and the Division of Labour under A</w:t>
      </w:r>
      <w:r>
        <w:rPr>
          <w:color w:val="000000" w:themeColor="text1"/>
          <w:spacing w:val="-2"/>
        </w:rPr>
        <w:t>lternative Capitalist Relations”</w:t>
      </w:r>
      <w:r w:rsidRPr="0011102A">
        <w:rPr>
          <w:color w:val="000000" w:themeColor="text1"/>
          <w:spacing w:val="-2"/>
        </w:rPr>
        <w:t xml:space="preserve">, </w:t>
      </w:r>
      <w:r w:rsidRPr="007035F7">
        <w:rPr>
          <w:i/>
          <w:color w:val="000000" w:themeColor="text1"/>
          <w:spacing w:val="-2"/>
        </w:rPr>
        <w:t>Cambridge Journal of Economics</w:t>
      </w:r>
      <w:r w:rsidRPr="0011102A">
        <w:rPr>
          <w:color w:val="000000" w:themeColor="text1"/>
          <w:spacing w:val="-2"/>
        </w:rPr>
        <w:t>, 15 (3)</w:t>
      </w:r>
      <w:r w:rsidR="00E504AA">
        <w:rPr>
          <w:color w:val="000000" w:themeColor="text1"/>
          <w:spacing w:val="-2"/>
        </w:rPr>
        <w:t>, pp.</w:t>
      </w:r>
      <w:r w:rsidRPr="0011102A">
        <w:rPr>
          <w:color w:val="000000" w:themeColor="text1"/>
          <w:spacing w:val="-2"/>
        </w:rPr>
        <w:t xml:space="preserve"> 315-42.</w:t>
      </w:r>
    </w:p>
    <w:p w14:paraId="0D804C3F" w14:textId="77777777" w:rsidR="00635449" w:rsidRDefault="00635449" w:rsidP="000A7484">
      <w:pPr>
        <w:tabs>
          <w:tab w:val="left" w:pos="-720"/>
        </w:tabs>
        <w:suppressAutoHyphens/>
        <w:ind w:right="-397"/>
        <w:jc w:val="both"/>
        <w:rPr>
          <w:color w:val="000000" w:themeColor="text1"/>
        </w:rPr>
      </w:pPr>
    </w:p>
    <w:p w14:paraId="0DF9C250" w14:textId="77777777" w:rsidR="00635449" w:rsidRDefault="008C5FA3" w:rsidP="003903A3">
      <w:pPr>
        <w:tabs>
          <w:tab w:val="left" w:pos="-720"/>
        </w:tabs>
        <w:suppressAutoHyphens/>
        <w:ind w:left="-397" w:right="-397"/>
        <w:jc w:val="both"/>
        <w:rPr>
          <w:rFonts w:eastAsiaTheme="minorHAnsi"/>
          <w:color w:val="000000" w:themeColor="text1"/>
          <w:lang w:eastAsia="en-US"/>
        </w:rPr>
      </w:pPr>
      <w:r>
        <w:rPr>
          <w:rFonts w:eastAsiaTheme="minorHAnsi"/>
          <w:color w:val="000000" w:themeColor="text1"/>
          <w:lang w:eastAsia="en-US"/>
        </w:rPr>
        <w:t xml:space="preserve">Pearson, R., </w:t>
      </w:r>
      <w:r w:rsidR="00A00248">
        <w:rPr>
          <w:rFonts w:eastAsiaTheme="minorHAnsi"/>
          <w:color w:val="000000" w:themeColor="text1"/>
          <w:lang w:eastAsia="en-US"/>
        </w:rPr>
        <w:t>(</w:t>
      </w:r>
      <w:r>
        <w:rPr>
          <w:rFonts w:eastAsiaTheme="minorHAnsi"/>
          <w:color w:val="000000" w:themeColor="text1"/>
          <w:lang w:eastAsia="en-US"/>
        </w:rPr>
        <w:t>2014</w:t>
      </w:r>
      <w:r w:rsidR="00A00248">
        <w:rPr>
          <w:rFonts w:eastAsiaTheme="minorHAnsi"/>
          <w:color w:val="000000" w:themeColor="text1"/>
          <w:lang w:eastAsia="en-US"/>
        </w:rPr>
        <w:t>)</w:t>
      </w:r>
      <w:r w:rsidR="00635449">
        <w:rPr>
          <w:rFonts w:eastAsiaTheme="minorHAnsi"/>
          <w:color w:val="000000" w:themeColor="text1"/>
          <w:lang w:eastAsia="en-US"/>
        </w:rPr>
        <w:t>, ‘Gender, Globalisation and the reproduction of Lab</w:t>
      </w:r>
      <w:r w:rsidR="0065215D">
        <w:rPr>
          <w:rFonts w:eastAsiaTheme="minorHAnsi"/>
          <w:color w:val="000000" w:themeColor="text1"/>
          <w:lang w:eastAsia="en-US"/>
        </w:rPr>
        <w:t>our</w:t>
      </w:r>
      <w:proofErr w:type="gramStart"/>
      <w:r w:rsidR="0065215D">
        <w:rPr>
          <w:rFonts w:eastAsiaTheme="minorHAnsi"/>
          <w:color w:val="000000" w:themeColor="text1"/>
          <w:lang w:eastAsia="en-US"/>
        </w:rPr>
        <w:t xml:space="preserve">’ </w:t>
      </w:r>
      <w:r w:rsidR="00635449">
        <w:rPr>
          <w:rFonts w:eastAsiaTheme="minorHAnsi"/>
          <w:color w:val="000000" w:themeColor="text1"/>
          <w:lang w:eastAsia="en-US"/>
        </w:rPr>
        <w:t xml:space="preserve"> </w:t>
      </w:r>
      <w:r w:rsidR="00635449" w:rsidRPr="0065215D">
        <w:rPr>
          <w:rFonts w:eastAsiaTheme="minorHAnsi"/>
          <w:i/>
          <w:color w:val="000000" w:themeColor="text1"/>
          <w:lang w:eastAsia="en-US"/>
        </w:rPr>
        <w:t>New</w:t>
      </w:r>
      <w:proofErr w:type="gramEnd"/>
      <w:r w:rsidR="00635449" w:rsidRPr="0065215D">
        <w:rPr>
          <w:rFonts w:eastAsiaTheme="minorHAnsi"/>
          <w:i/>
          <w:color w:val="000000" w:themeColor="text1"/>
          <w:lang w:eastAsia="en-US"/>
        </w:rPr>
        <w:t xml:space="preserve"> Frontiers in</w:t>
      </w:r>
      <w:r w:rsidR="00635449">
        <w:rPr>
          <w:rFonts w:eastAsiaTheme="minorHAnsi"/>
          <w:color w:val="000000" w:themeColor="text1"/>
          <w:lang w:eastAsia="en-US"/>
        </w:rPr>
        <w:t xml:space="preserve"> </w:t>
      </w:r>
      <w:r w:rsidR="00635449" w:rsidRPr="00A00248">
        <w:rPr>
          <w:rFonts w:eastAsiaTheme="minorHAnsi"/>
          <w:i/>
          <w:color w:val="000000" w:themeColor="text1"/>
          <w:lang w:eastAsia="en-US"/>
        </w:rPr>
        <w:t>Feminist Political Economy</w:t>
      </w:r>
      <w:r w:rsidR="00635449">
        <w:rPr>
          <w:rFonts w:eastAsiaTheme="minorHAnsi"/>
          <w:color w:val="000000" w:themeColor="text1"/>
          <w:lang w:eastAsia="en-US"/>
        </w:rPr>
        <w:t xml:space="preserve">, S.M. Rai and G. </w:t>
      </w:r>
      <w:proofErr w:type="spellStart"/>
      <w:r w:rsidR="00635449">
        <w:rPr>
          <w:rFonts w:eastAsiaTheme="minorHAnsi"/>
          <w:color w:val="000000" w:themeColor="text1"/>
          <w:lang w:eastAsia="en-US"/>
        </w:rPr>
        <w:t>Waylen</w:t>
      </w:r>
      <w:proofErr w:type="spellEnd"/>
      <w:r w:rsidR="00635449">
        <w:rPr>
          <w:rFonts w:eastAsiaTheme="minorHAnsi"/>
          <w:color w:val="000000" w:themeColor="text1"/>
          <w:lang w:eastAsia="en-US"/>
        </w:rPr>
        <w:t xml:space="preserve"> (Eds.), London: Routledge.</w:t>
      </w:r>
    </w:p>
    <w:p w14:paraId="41A03E18" w14:textId="77777777" w:rsidR="00974091" w:rsidRDefault="00974091" w:rsidP="003903A3">
      <w:pPr>
        <w:tabs>
          <w:tab w:val="left" w:pos="-720"/>
        </w:tabs>
        <w:suppressAutoHyphens/>
        <w:ind w:left="-397" w:right="-397"/>
        <w:jc w:val="both"/>
        <w:rPr>
          <w:rFonts w:eastAsiaTheme="minorHAnsi"/>
          <w:color w:val="000000" w:themeColor="text1"/>
          <w:lang w:eastAsia="en-US"/>
        </w:rPr>
      </w:pPr>
    </w:p>
    <w:p w14:paraId="3B7B000D" w14:textId="4F9AF321" w:rsidR="003903A3" w:rsidRDefault="00566433" w:rsidP="003903A3">
      <w:pPr>
        <w:pStyle w:val="BISReference"/>
        <w:ind w:left="-397" w:right="-397" w:firstLine="0"/>
        <w:rPr>
          <w:rFonts w:ascii="Times New Roman" w:eastAsia="Arial Unicode MS" w:hAnsi="Times New Roman"/>
          <w:color w:val="000000" w:themeColor="text1"/>
          <w:sz w:val="24"/>
          <w:szCs w:val="24"/>
        </w:rPr>
      </w:pPr>
      <w:r>
        <w:rPr>
          <w:rFonts w:ascii="Times New Roman" w:hAnsi="Times New Roman"/>
          <w:color w:val="000000" w:themeColor="text1"/>
          <w:sz w:val="24"/>
          <w:szCs w:val="24"/>
        </w:rPr>
        <w:t>Peterson, C.</w:t>
      </w:r>
      <w:r w:rsidR="003903A3">
        <w:rPr>
          <w:rFonts w:ascii="Times New Roman" w:hAnsi="Times New Roman"/>
          <w:color w:val="000000" w:themeColor="text1"/>
          <w:sz w:val="24"/>
          <w:szCs w:val="24"/>
        </w:rPr>
        <w:t xml:space="preserve">, </w:t>
      </w:r>
      <w:r w:rsidR="00A00248">
        <w:rPr>
          <w:rFonts w:ascii="Times New Roman" w:hAnsi="Times New Roman"/>
          <w:color w:val="000000" w:themeColor="text1"/>
          <w:sz w:val="24"/>
          <w:szCs w:val="24"/>
        </w:rPr>
        <w:t>(</w:t>
      </w:r>
      <w:r w:rsidR="003903A3">
        <w:rPr>
          <w:rFonts w:ascii="Times New Roman" w:hAnsi="Times New Roman"/>
          <w:color w:val="000000" w:themeColor="text1"/>
          <w:sz w:val="24"/>
          <w:szCs w:val="24"/>
        </w:rPr>
        <w:t>2003</w:t>
      </w:r>
      <w:r w:rsidR="00A00248">
        <w:rPr>
          <w:rFonts w:ascii="Times New Roman" w:hAnsi="Times New Roman"/>
          <w:color w:val="000000" w:themeColor="text1"/>
          <w:sz w:val="24"/>
          <w:szCs w:val="24"/>
        </w:rPr>
        <w:t>)</w:t>
      </w:r>
      <w:r w:rsidR="003903A3">
        <w:rPr>
          <w:rFonts w:ascii="Times New Roman" w:hAnsi="Times New Roman"/>
          <w:color w:val="000000" w:themeColor="text1"/>
          <w:sz w:val="24"/>
          <w:szCs w:val="24"/>
        </w:rPr>
        <w:t>, “Personal Control and Well-Being,”</w:t>
      </w:r>
      <w:r w:rsidR="003903A3" w:rsidRPr="0011102A">
        <w:rPr>
          <w:rFonts w:ascii="Times New Roman" w:hAnsi="Times New Roman"/>
          <w:color w:val="000000" w:themeColor="text1"/>
          <w:sz w:val="24"/>
          <w:szCs w:val="24"/>
        </w:rPr>
        <w:t xml:space="preserve"> </w:t>
      </w:r>
      <w:r w:rsidR="003903A3">
        <w:rPr>
          <w:rFonts w:ascii="Times New Roman" w:hAnsi="Times New Roman"/>
          <w:color w:val="000000" w:themeColor="text1"/>
          <w:sz w:val="24"/>
          <w:szCs w:val="24"/>
        </w:rPr>
        <w:t xml:space="preserve">In </w:t>
      </w:r>
      <w:r w:rsidR="003903A3" w:rsidRPr="0011102A">
        <w:rPr>
          <w:rFonts w:ascii="Times New Roman" w:eastAsia="Arial Unicode MS" w:hAnsi="Times New Roman"/>
          <w:color w:val="000000" w:themeColor="text1"/>
          <w:sz w:val="24"/>
          <w:szCs w:val="24"/>
        </w:rPr>
        <w:t>D. Kahneman</w:t>
      </w:r>
      <w:r w:rsidR="00157369">
        <w:rPr>
          <w:rFonts w:ascii="Times New Roman" w:eastAsia="Arial Unicode MS" w:hAnsi="Times New Roman"/>
          <w:color w:val="000000" w:themeColor="text1"/>
          <w:sz w:val="24"/>
          <w:szCs w:val="24"/>
        </w:rPr>
        <w:t xml:space="preserve"> et al </w:t>
      </w:r>
      <w:r w:rsidR="003903A3">
        <w:rPr>
          <w:rFonts w:ascii="Times New Roman" w:eastAsia="Arial Unicode MS" w:hAnsi="Times New Roman"/>
          <w:color w:val="000000" w:themeColor="text1"/>
          <w:sz w:val="24"/>
          <w:szCs w:val="24"/>
        </w:rPr>
        <w:t xml:space="preserve">eds., </w:t>
      </w:r>
      <w:r w:rsidR="0065215D">
        <w:rPr>
          <w:rFonts w:ascii="Times New Roman" w:eastAsia="Arial Unicode MS" w:hAnsi="Times New Roman"/>
          <w:i/>
          <w:color w:val="000000" w:themeColor="text1"/>
          <w:sz w:val="24"/>
          <w:szCs w:val="24"/>
        </w:rPr>
        <w:t>Well-being</w:t>
      </w:r>
      <w:r w:rsidR="003903A3" w:rsidRPr="0011102A">
        <w:rPr>
          <w:rFonts w:ascii="Times New Roman" w:eastAsia="Arial Unicode MS" w:hAnsi="Times New Roman"/>
          <w:color w:val="000000" w:themeColor="text1"/>
          <w:sz w:val="24"/>
          <w:szCs w:val="24"/>
        </w:rPr>
        <w:t xml:space="preserve">, </w:t>
      </w:r>
      <w:r w:rsidR="0065215D">
        <w:rPr>
          <w:rFonts w:ascii="Times New Roman" w:eastAsia="Arial Unicode MS" w:hAnsi="Times New Roman"/>
          <w:color w:val="000000" w:themeColor="text1"/>
          <w:sz w:val="24"/>
          <w:szCs w:val="24"/>
        </w:rPr>
        <w:t xml:space="preserve">New </w:t>
      </w:r>
      <w:proofErr w:type="spellStart"/>
      <w:proofErr w:type="gramStart"/>
      <w:r w:rsidR="0065215D">
        <w:rPr>
          <w:rFonts w:ascii="Times New Roman" w:eastAsia="Arial Unicode MS" w:hAnsi="Times New Roman"/>
          <w:color w:val="000000" w:themeColor="text1"/>
          <w:sz w:val="24"/>
          <w:szCs w:val="24"/>
        </w:rPr>
        <w:t>York:</w:t>
      </w:r>
      <w:r w:rsidR="003903A3" w:rsidRPr="0011102A">
        <w:rPr>
          <w:rFonts w:ascii="Times New Roman" w:eastAsia="Arial Unicode MS" w:hAnsi="Times New Roman"/>
          <w:color w:val="000000" w:themeColor="text1"/>
          <w:sz w:val="24"/>
          <w:szCs w:val="24"/>
        </w:rPr>
        <w:t>The</w:t>
      </w:r>
      <w:proofErr w:type="spellEnd"/>
      <w:proofErr w:type="gramEnd"/>
      <w:r w:rsidR="003903A3" w:rsidRPr="0011102A">
        <w:rPr>
          <w:rFonts w:ascii="Times New Roman" w:eastAsia="Arial Unicode MS" w:hAnsi="Times New Roman"/>
          <w:color w:val="000000" w:themeColor="text1"/>
          <w:sz w:val="24"/>
          <w:szCs w:val="24"/>
        </w:rPr>
        <w:t xml:space="preserve"> R</w:t>
      </w:r>
      <w:r w:rsidR="0065215D">
        <w:rPr>
          <w:rFonts w:ascii="Times New Roman" w:eastAsia="Arial Unicode MS" w:hAnsi="Times New Roman"/>
          <w:color w:val="000000" w:themeColor="text1"/>
          <w:sz w:val="24"/>
          <w:szCs w:val="24"/>
        </w:rPr>
        <w:t>ussell Sage Foundation</w:t>
      </w:r>
      <w:r w:rsidR="003903A3" w:rsidRPr="0011102A">
        <w:rPr>
          <w:rFonts w:ascii="Times New Roman" w:eastAsia="Arial Unicode MS" w:hAnsi="Times New Roman"/>
          <w:color w:val="000000" w:themeColor="text1"/>
          <w:sz w:val="24"/>
          <w:szCs w:val="24"/>
        </w:rPr>
        <w:t>.</w:t>
      </w:r>
    </w:p>
    <w:p w14:paraId="78BDCAAF" w14:textId="77777777" w:rsidR="003903A3" w:rsidRDefault="003903A3" w:rsidP="003903A3">
      <w:pPr>
        <w:pStyle w:val="BISReference"/>
        <w:ind w:left="-397" w:right="-397" w:firstLine="0"/>
        <w:rPr>
          <w:rFonts w:ascii="Times New Roman" w:eastAsia="Arial Unicode MS" w:hAnsi="Times New Roman"/>
          <w:color w:val="000000" w:themeColor="text1"/>
          <w:sz w:val="24"/>
          <w:szCs w:val="24"/>
        </w:rPr>
      </w:pPr>
    </w:p>
    <w:p w14:paraId="2415A538" w14:textId="77777777" w:rsidR="003903A3" w:rsidRDefault="008C5FA3" w:rsidP="003903A3">
      <w:pPr>
        <w:pStyle w:val="BISReference"/>
        <w:ind w:left="-397" w:right="-397" w:firstLine="0"/>
        <w:rPr>
          <w:rFonts w:ascii="Times New Roman" w:eastAsia="Arial Unicode MS" w:hAnsi="Times New Roman"/>
          <w:color w:val="000000" w:themeColor="text1"/>
          <w:sz w:val="24"/>
          <w:szCs w:val="24"/>
        </w:rPr>
      </w:pPr>
      <w:proofErr w:type="spellStart"/>
      <w:r>
        <w:rPr>
          <w:rFonts w:ascii="Times New Roman" w:eastAsia="Arial Unicode MS" w:hAnsi="Times New Roman"/>
          <w:color w:val="000000" w:themeColor="text1"/>
          <w:sz w:val="24"/>
          <w:szCs w:val="24"/>
        </w:rPr>
        <w:t>Pettersson</w:t>
      </w:r>
      <w:proofErr w:type="spellEnd"/>
      <w:r>
        <w:rPr>
          <w:rFonts w:ascii="Times New Roman" w:eastAsia="Arial Unicode MS" w:hAnsi="Times New Roman"/>
          <w:color w:val="000000" w:themeColor="text1"/>
          <w:sz w:val="24"/>
          <w:szCs w:val="24"/>
        </w:rPr>
        <w:t xml:space="preserve">, M., </w:t>
      </w:r>
      <w:r w:rsidR="00A00248">
        <w:rPr>
          <w:rFonts w:ascii="Times New Roman" w:eastAsia="Arial Unicode MS" w:hAnsi="Times New Roman"/>
          <w:color w:val="000000" w:themeColor="text1"/>
          <w:sz w:val="24"/>
          <w:szCs w:val="24"/>
        </w:rPr>
        <w:t>(</w:t>
      </w:r>
      <w:r>
        <w:rPr>
          <w:rFonts w:ascii="Times New Roman" w:eastAsia="Arial Unicode MS" w:hAnsi="Times New Roman"/>
          <w:color w:val="000000" w:themeColor="text1"/>
          <w:sz w:val="24"/>
          <w:szCs w:val="24"/>
        </w:rPr>
        <w:t>2007</w:t>
      </w:r>
      <w:r w:rsidR="00A00248">
        <w:rPr>
          <w:rFonts w:ascii="Times New Roman" w:eastAsia="Arial Unicode MS" w:hAnsi="Times New Roman"/>
          <w:color w:val="000000" w:themeColor="text1"/>
          <w:sz w:val="24"/>
          <w:szCs w:val="24"/>
        </w:rPr>
        <w:t>)</w:t>
      </w:r>
      <w:r w:rsidR="003903A3">
        <w:rPr>
          <w:rFonts w:ascii="Times New Roman" w:eastAsia="Arial Unicode MS" w:hAnsi="Times New Roman"/>
          <w:color w:val="000000" w:themeColor="text1"/>
          <w:sz w:val="24"/>
          <w:szCs w:val="24"/>
        </w:rPr>
        <w:t>, ‘The relationship between Public service dissatisfaction and Political A</w:t>
      </w:r>
      <w:r w:rsidR="00FE2AEF">
        <w:rPr>
          <w:rFonts w:ascii="Times New Roman" w:eastAsia="Arial Unicode MS" w:hAnsi="Times New Roman"/>
          <w:color w:val="000000" w:themeColor="text1"/>
          <w:sz w:val="24"/>
          <w:szCs w:val="24"/>
        </w:rPr>
        <w:t>ction</w:t>
      </w:r>
      <w:r w:rsidR="00A00248">
        <w:rPr>
          <w:rFonts w:ascii="Times New Roman" w:eastAsia="Arial Unicode MS" w:hAnsi="Times New Roman"/>
          <w:color w:val="000000" w:themeColor="text1"/>
          <w:sz w:val="24"/>
          <w:szCs w:val="24"/>
        </w:rPr>
        <w:t>’,</w:t>
      </w:r>
      <w:r w:rsidR="008E6FFD">
        <w:rPr>
          <w:rFonts w:ascii="Times New Roman" w:eastAsia="Arial Unicode MS" w:hAnsi="Times New Roman"/>
          <w:color w:val="000000" w:themeColor="text1"/>
          <w:sz w:val="24"/>
          <w:szCs w:val="24"/>
        </w:rPr>
        <w:t xml:space="preserve"> </w:t>
      </w:r>
      <w:r w:rsidR="008E6FFD" w:rsidRPr="00A00248">
        <w:rPr>
          <w:rFonts w:ascii="Times New Roman" w:eastAsia="Arial Unicode MS" w:hAnsi="Times New Roman"/>
          <w:i/>
          <w:color w:val="000000" w:themeColor="text1"/>
          <w:sz w:val="24"/>
          <w:szCs w:val="24"/>
        </w:rPr>
        <w:t>The Political Soci</w:t>
      </w:r>
      <w:r w:rsidR="003903A3" w:rsidRPr="00A00248">
        <w:rPr>
          <w:rFonts w:ascii="Times New Roman" w:eastAsia="Arial Unicode MS" w:hAnsi="Times New Roman"/>
          <w:i/>
          <w:color w:val="000000" w:themeColor="text1"/>
          <w:sz w:val="24"/>
          <w:szCs w:val="24"/>
        </w:rPr>
        <w:t>ology of the Welfare</w:t>
      </w:r>
      <w:r w:rsidR="003903A3">
        <w:rPr>
          <w:rFonts w:ascii="Times New Roman" w:eastAsia="Arial Unicode MS" w:hAnsi="Times New Roman"/>
          <w:color w:val="000000" w:themeColor="text1"/>
          <w:sz w:val="24"/>
          <w:szCs w:val="24"/>
        </w:rPr>
        <w:t xml:space="preserve"> State, S. </w:t>
      </w:r>
      <w:proofErr w:type="spellStart"/>
      <w:r w:rsidR="003903A3">
        <w:rPr>
          <w:rFonts w:ascii="Times New Roman" w:eastAsia="Arial Unicode MS" w:hAnsi="Times New Roman"/>
          <w:color w:val="000000" w:themeColor="text1"/>
          <w:sz w:val="24"/>
          <w:szCs w:val="24"/>
        </w:rPr>
        <w:t>Svallfors</w:t>
      </w:r>
      <w:proofErr w:type="spellEnd"/>
      <w:r w:rsidR="003903A3">
        <w:rPr>
          <w:rFonts w:ascii="Times New Roman" w:eastAsia="Arial Unicode MS" w:hAnsi="Times New Roman"/>
          <w:color w:val="000000" w:themeColor="text1"/>
          <w:sz w:val="24"/>
          <w:szCs w:val="24"/>
        </w:rPr>
        <w:t xml:space="preserve"> (Ed.), Stanford University Press.</w:t>
      </w:r>
    </w:p>
    <w:p w14:paraId="6D7022BE" w14:textId="77777777" w:rsidR="00F21E80" w:rsidRDefault="003903A3" w:rsidP="0088312B">
      <w:pPr>
        <w:pStyle w:val="BISReference"/>
        <w:spacing w:before="100" w:beforeAutospacing="1" w:after="100" w:afterAutospacing="1"/>
        <w:ind w:left="-397" w:right="-397" w:firstLine="0"/>
        <w:rPr>
          <w:rFonts w:ascii="Times New Roman" w:hAnsi="Times New Roman"/>
          <w:color w:val="000000" w:themeColor="text1"/>
          <w:sz w:val="24"/>
          <w:szCs w:val="24"/>
        </w:rPr>
      </w:pPr>
      <w:r>
        <w:rPr>
          <w:rFonts w:ascii="Times New Roman" w:hAnsi="Times New Roman"/>
          <w:color w:val="000000" w:themeColor="text1"/>
          <w:sz w:val="24"/>
          <w:szCs w:val="24"/>
        </w:rPr>
        <w:t>Piketty</w:t>
      </w:r>
      <w:r w:rsidRPr="00DD08BE">
        <w:rPr>
          <w:rFonts w:ascii="Times New Roman" w:hAnsi="Times New Roman"/>
          <w:color w:val="000000" w:themeColor="text1"/>
          <w:sz w:val="24"/>
          <w:szCs w:val="24"/>
        </w:rPr>
        <w:t xml:space="preserve">, T. </w:t>
      </w:r>
      <w:r w:rsidR="00A00248">
        <w:rPr>
          <w:rFonts w:ascii="Times New Roman" w:hAnsi="Times New Roman"/>
          <w:color w:val="000000" w:themeColor="text1"/>
          <w:sz w:val="24"/>
          <w:szCs w:val="24"/>
        </w:rPr>
        <w:t>(</w:t>
      </w:r>
      <w:r w:rsidRPr="00DD08BE">
        <w:rPr>
          <w:rFonts w:ascii="Times New Roman" w:hAnsi="Times New Roman"/>
          <w:color w:val="000000" w:themeColor="text1"/>
          <w:sz w:val="24"/>
          <w:szCs w:val="24"/>
        </w:rPr>
        <w:t>2013</w:t>
      </w:r>
      <w:r w:rsidR="00A00248">
        <w:rPr>
          <w:rFonts w:ascii="Times New Roman" w:hAnsi="Times New Roman"/>
          <w:color w:val="000000" w:themeColor="text1"/>
          <w:sz w:val="24"/>
          <w:szCs w:val="24"/>
        </w:rPr>
        <w:t>)</w:t>
      </w:r>
      <w:r w:rsidRPr="00DD08BE">
        <w:rPr>
          <w:rFonts w:ascii="Times New Roman" w:hAnsi="Times New Roman"/>
          <w:color w:val="000000" w:themeColor="text1"/>
          <w:sz w:val="24"/>
          <w:szCs w:val="24"/>
        </w:rPr>
        <w:t xml:space="preserve">, </w:t>
      </w:r>
      <w:r w:rsidRPr="00DD08BE">
        <w:rPr>
          <w:rFonts w:ascii="Times New Roman" w:hAnsi="Times New Roman"/>
          <w:i/>
          <w:color w:val="000000" w:themeColor="text1"/>
          <w:sz w:val="24"/>
          <w:szCs w:val="24"/>
        </w:rPr>
        <w:t>Capital in the Twenty-First Century</w:t>
      </w:r>
      <w:r w:rsidRPr="00DD08BE">
        <w:rPr>
          <w:rFonts w:ascii="Times New Roman" w:hAnsi="Times New Roman"/>
          <w:color w:val="000000" w:themeColor="text1"/>
          <w:sz w:val="24"/>
          <w:szCs w:val="24"/>
        </w:rPr>
        <w:t>, Harvard University Press.</w:t>
      </w:r>
    </w:p>
    <w:p w14:paraId="01F1C538" w14:textId="77777777" w:rsidR="00F020ED" w:rsidRDefault="00F21E80" w:rsidP="00F020ED">
      <w:pPr>
        <w:pStyle w:val="BISReference"/>
        <w:spacing w:before="100" w:beforeAutospacing="1" w:after="100" w:afterAutospacing="1"/>
        <w:ind w:left="-397" w:right="-397" w:firstLine="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Portes</w:t>
      </w:r>
      <w:proofErr w:type="spellEnd"/>
      <w:r>
        <w:rPr>
          <w:rFonts w:ascii="Times New Roman" w:hAnsi="Times New Roman"/>
          <w:color w:val="000000" w:themeColor="text1"/>
          <w:sz w:val="24"/>
          <w:szCs w:val="24"/>
        </w:rPr>
        <w:t xml:space="preserve"> J., et al, </w:t>
      </w:r>
      <w:r w:rsidR="00A00248">
        <w:rPr>
          <w:rFonts w:ascii="Times New Roman" w:hAnsi="Times New Roman"/>
          <w:color w:val="000000" w:themeColor="text1"/>
          <w:sz w:val="24"/>
          <w:szCs w:val="24"/>
        </w:rPr>
        <w:t>(</w:t>
      </w:r>
      <w:r>
        <w:rPr>
          <w:rFonts w:ascii="Times New Roman" w:hAnsi="Times New Roman"/>
          <w:color w:val="000000" w:themeColor="text1"/>
          <w:sz w:val="24"/>
          <w:szCs w:val="24"/>
        </w:rPr>
        <w:t>2017</w:t>
      </w:r>
      <w:r w:rsidR="00A00248">
        <w:rPr>
          <w:rFonts w:ascii="Times New Roman" w:hAnsi="Times New Roman"/>
          <w:color w:val="000000" w:themeColor="text1"/>
          <w:sz w:val="24"/>
          <w:szCs w:val="24"/>
        </w:rPr>
        <w:t>),</w:t>
      </w:r>
      <w:r>
        <w:rPr>
          <w:rFonts w:ascii="Times New Roman" w:hAnsi="Times New Roman"/>
          <w:color w:val="000000" w:themeColor="text1"/>
          <w:sz w:val="24"/>
          <w:szCs w:val="24"/>
        </w:rPr>
        <w:t xml:space="preserve"> ‘Social Prosperity for the Future’ </w:t>
      </w:r>
      <w:r w:rsidRPr="00A00248">
        <w:rPr>
          <w:rFonts w:ascii="Times New Roman" w:hAnsi="Times New Roman"/>
          <w:i/>
          <w:color w:val="000000" w:themeColor="text1"/>
          <w:sz w:val="24"/>
          <w:szCs w:val="24"/>
        </w:rPr>
        <w:t>Institute for Global Prosper</w:t>
      </w:r>
      <w:r w:rsidR="00F020ED" w:rsidRPr="00A00248">
        <w:rPr>
          <w:rFonts w:ascii="Times New Roman" w:hAnsi="Times New Roman"/>
          <w:i/>
          <w:color w:val="000000" w:themeColor="text1"/>
          <w:sz w:val="24"/>
          <w:szCs w:val="24"/>
        </w:rPr>
        <w:t>ity</w:t>
      </w:r>
      <w:r w:rsidR="00F020ED">
        <w:rPr>
          <w:rFonts w:ascii="Times New Roman" w:hAnsi="Times New Roman"/>
          <w:color w:val="000000" w:themeColor="text1"/>
          <w:sz w:val="24"/>
          <w:szCs w:val="24"/>
        </w:rPr>
        <w:t>, University College London.</w:t>
      </w:r>
    </w:p>
    <w:p w14:paraId="3327A1ED" w14:textId="03DD7F10" w:rsidR="003903A3" w:rsidRPr="00301C62" w:rsidRDefault="003903A3" w:rsidP="002F1695">
      <w:pPr>
        <w:pStyle w:val="BISReference"/>
        <w:ind w:left="-397" w:right="-397" w:firstLine="0"/>
        <w:rPr>
          <w:rFonts w:ascii="Times New Roman" w:eastAsia="Arial Unicode MS" w:hAnsi="Times New Roman"/>
          <w:color w:val="000000" w:themeColor="text1"/>
          <w:sz w:val="24"/>
          <w:szCs w:val="24"/>
        </w:rPr>
      </w:pPr>
      <w:proofErr w:type="spellStart"/>
      <w:r w:rsidRPr="0011102A">
        <w:rPr>
          <w:rFonts w:ascii="Times New Roman" w:eastAsia="Arial Unicode MS" w:hAnsi="Times New Roman"/>
          <w:color w:val="000000" w:themeColor="text1"/>
          <w:sz w:val="24"/>
          <w:szCs w:val="24"/>
        </w:rPr>
        <w:t>Pyper</w:t>
      </w:r>
      <w:proofErr w:type="spellEnd"/>
      <w:r w:rsidRPr="0011102A">
        <w:rPr>
          <w:rFonts w:ascii="Times New Roman" w:eastAsia="Arial Unicode MS" w:hAnsi="Times New Roman"/>
          <w:color w:val="000000" w:themeColor="text1"/>
          <w:sz w:val="24"/>
          <w:szCs w:val="24"/>
        </w:rPr>
        <w:t>, D</w:t>
      </w:r>
      <w:r w:rsidR="00566433">
        <w:rPr>
          <w:rFonts w:ascii="Times New Roman" w:eastAsia="Arial Unicode MS" w:hAnsi="Times New Roman"/>
          <w:color w:val="000000" w:themeColor="text1"/>
          <w:sz w:val="24"/>
          <w:szCs w:val="24"/>
        </w:rPr>
        <w:t>.</w:t>
      </w:r>
      <w:r w:rsidRPr="0011102A">
        <w:rPr>
          <w:rFonts w:ascii="Times New Roman" w:eastAsia="Arial Unicode MS" w:hAnsi="Times New Roman"/>
          <w:color w:val="000000" w:themeColor="text1"/>
          <w:sz w:val="24"/>
          <w:szCs w:val="24"/>
        </w:rPr>
        <w:t xml:space="preserve"> and McGuinness, F</w:t>
      </w:r>
      <w:r w:rsidR="00566433">
        <w:rPr>
          <w:rFonts w:ascii="Times New Roman" w:eastAsia="Arial Unicode MS" w:hAnsi="Times New Roman"/>
          <w:color w:val="000000" w:themeColor="text1"/>
          <w:sz w:val="24"/>
          <w:szCs w:val="24"/>
        </w:rPr>
        <w:t>.</w:t>
      </w:r>
      <w:r>
        <w:rPr>
          <w:rFonts w:ascii="Times New Roman" w:eastAsia="Arial Unicode MS" w:hAnsi="Times New Roman"/>
          <w:color w:val="000000" w:themeColor="text1"/>
          <w:sz w:val="24"/>
          <w:szCs w:val="24"/>
        </w:rPr>
        <w:t xml:space="preserve">, </w:t>
      </w:r>
      <w:r w:rsidR="00A00248">
        <w:rPr>
          <w:rFonts w:ascii="Times New Roman" w:eastAsia="Arial Unicode MS" w:hAnsi="Times New Roman"/>
          <w:color w:val="000000" w:themeColor="text1"/>
          <w:sz w:val="24"/>
          <w:szCs w:val="24"/>
        </w:rPr>
        <w:t>(</w:t>
      </w:r>
      <w:r>
        <w:rPr>
          <w:rFonts w:ascii="Times New Roman" w:eastAsia="Arial Unicode MS" w:hAnsi="Times New Roman"/>
          <w:color w:val="000000" w:themeColor="text1"/>
          <w:sz w:val="24"/>
          <w:szCs w:val="24"/>
        </w:rPr>
        <w:t>2013</w:t>
      </w:r>
      <w:r w:rsidR="00A00248">
        <w:rPr>
          <w:rFonts w:ascii="Times New Roman" w:eastAsia="Arial Unicode MS" w:hAnsi="Times New Roman"/>
          <w:color w:val="000000" w:themeColor="text1"/>
          <w:sz w:val="24"/>
          <w:szCs w:val="24"/>
        </w:rPr>
        <w:t>)</w:t>
      </w:r>
      <w:r>
        <w:rPr>
          <w:rFonts w:ascii="Times New Roman" w:eastAsia="Arial Unicode MS" w:hAnsi="Times New Roman"/>
          <w:color w:val="000000" w:themeColor="text1"/>
          <w:sz w:val="24"/>
          <w:szCs w:val="24"/>
        </w:rPr>
        <w:t>, “Zero Hour Contracts,”</w:t>
      </w:r>
      <w:r w:rsidRPr="0011102A">
        <w:rPr>
          <w:rFonts w:ascii="Times New Roman" w:eastAsia="Arial Unicode MS" w:hAnsi="Times New Roman"/>
          <w:color w:val="000000" w:themeColor="text1"/>
          <w:sz w:val="24"/>
          <w:szCs w:val="24"/>
        </w:rPr>
        <w:t xml:space="preserve"> </w:t>
      </w:r>
      <w:r w:rsidRPr="003C0239">
        <w:rPr>
          <w:rFonts w:ascii="Times New Roman" w:eastAsia="Arial Unicode MS" w:hAnsi="Times New Roman"/>
          <w:i/>
          <w:color w:val="000000" w:themeColor="text1"/>
          <w:sz w:val="24"/>
          <w:szCs w:val="24"/>
        </w:rPr>
        <w:t xml:space="preserve">House of Commons </w:t>
      </w:r>
      <w:proofErr w:type="gramStart"/>
      <w:r w:rsidRPr="003C0239">
        <w:rPr>
          <w:rFonts w:ascii="Times New Roman" w:eastAsia="Arial Unicode MS" w:hAnsi="Times New Roman"/>
          <w:i/>
          <w:color w:val="000000" w:themeColor="text1"/>
          <w:sz w:val="24"/>
          <w:szCs w:val="24"/>
        </w:rPr>
        <w:t>Library</w:t>
      </w:r>
      <w:r w:rsidR="00157369">
        <w:rPr>
          <w:rFonts w:ascii="Times New Roman" w:eastAsia="Arial Unicode MS" w:hAnsi="Times New Roman"/>
          <w:color w:val="000000" w:themeColor="text1"/>
          <w:sz w:val="24"/>
          <w:szCs w:val="24"/>
        </w:rPr>
        <w:t xml:space="preserve">, </w:t>
      </w:r>
      <w:r w:rsidRPr="0011102A">
        <w:rPr>
          <w:rFonts w:ascii="Times New Roman" w:eastAsia="Arial Unicode MS" w:hAnsi="Times New Roman"/>
          <w:color w:val="000000" w:themeColor="text1"/>
          <w:sz w:val="24"/>
          <w:szCs w:val="24"/>
        </w:rPr>
        <w:t xml:space="preserve"> Standard</w:t>
      </w:r>
      <w:proofErr w:type="gramEnd"/>
      <w:r w:rsidRPr="0011102A">
        <w:rPr>
          <w:rFonts w:ascii="Times New Roman" w:eastAsia="Arial Unicode MS" w:hAnsi="Times New Roman"/>
          <w:color w:val="000000" w:themeColor="text1"/>
          <w:sz w:val="24"/>
          <w:szCs w:val="24"/>
        </w:rPr>
        <w:t xml:space="preserve"> Note SN/BT/6553, 5</w:t>
      </w:r>
      <w:r>
        <w:rPr>
          <w:rFonts w:ascii="Times New Roman" w:eastAsia="Arial Unicode MS" w:hAnsi="Times New Roman"/>
          <w:color w:val="000000" w:themeColor="text1"/>
          <w:sz w:val="24"/>
          <w:szCs w:val="24"/>
        </w:rPr>
        <w:t>th</w:t>
      </w:r>
      <w:r w:rsidR="002F1695">
        <w:rPr>
          <w:rFonts w:ascii="Times New Roman" w:eastAsia="Arial Unicode MS" w:hAnsi="Times New Roman"/>
          <w:color w:val="000000" w:themeColor="text1"/>
          <w:sz w:val="24"/>
          <w:szCs w:val="24"/>
        </w:rPr>
        <w:t xml:space="preserve"> August.</w:t>
      </w:r>
    </w:p>
    <w:p w14:paraId="127BDDDD" w14:textId="77777777" w:rsidR="003903A3" w:rsidRPr="002E6C5E" w:rsidRDefault="00A00248" w:rsidP="003903A3">
      <w:pPr>
        <w:shd w:val="clear" w:color="auto" w:fill="FFFFFF"/>
        <w:spacing w:before="100" w:beforeAutospacing="1" w:after="360" w:line="360" w:lineRule="atLeast"/>
        <w:ind w:left="-397" w:right="-397"/>
        <w:rPr>
          <w:rFonts w:eastAsia="Times New Roman" w:cs="Times New Roman"/>
          <w:color w:val="333333"/>
          <w:lang w:eastAsia="en-GB" w:bidi="ar-SA"/>
        </w:rPr>
      </w:pPr>
      <w:r w:rsidRPr="00301C62">
        <w:rPr>
          <w:rFonts w:eastAsia="Times New Roman" w:cs="Times New Roman"/>
          <w:color w:val="000000" w:themeColor="text1"/>
          <w:lang w:eastAsia="en-GB" w:bidi="ar-SA"/>
        </w:rPr>
        <w:t>Rawls, J.</w:t>
      </w:r>
      <w:r w:rsidR="003903A3" w:rsidRPr="00301C62">
        <w:rPr>
          <w:rFonts w:eastAsia="Times New Roman" w:cs="Times New Roman"/>
          <w:color w:val="000000" w:themeColor="text1"/>
          <w:lang w:eastAsia="en-GB" w:bidi="ar-SA"/>
        </w:rPr>
        <w:t xml:space="preserve">, </w:t>
      </w:r>
      <w:r w:rsidRPr="00301C62">
        <w:rPr>
          <w:rFonts w:eastAsia="Times New Roman" w:cs="Times New Roman"/>
          <w:color w:val="000000" w:themeColor="text1"/>
          <w:lang w:eastAsia="en-GB" w:bidi="ar-SA"/>
        </w:rPr>
        <w:t>(</w:t>
      </w:r>
      <w:r w:rsidR="003903A3" w:rsidRPr="00301C62">
        <w:rPr>
          <w:rFonts w:eastAsia="Times New Roman" w:cs="Times New Roman"/>
          <w:color w:val="000000" w:themeColor="text1"/>
          <w:lang w:eastAsia="en-GB" w:bidi="ar-SA"/>
        </w:rPr>
        <w:t>1988</w:t>
      </w:r>
      <w:r w:rsidRPr="00301C62">
        <w:rPr>
          <w:rFonts w:eastAsia="Times New Roman" w:cs="Times New Roman"/>
          <w:color w:val="000000" w:themeColor="text1"/>
          <w:lang w:eastAsia="en-GB" w:bidi="ar-SA"/>
        </w:rPr>
        <w:t>)</w:t>
      </w:r>
      <w:r w:rsidR="003903A3" w:rsidRPr="00301C62">
        <w:rPr>
          <w:rFonts w:eastAsia="Times New Roman" w:cs="Times New Roman"/>
          <w:color w:val="000000" w:themeColor="text1"/>
          <w:lang w:eastAsia="en-GB" w:bidi="ar-SA"/>
        </w:rPr>
        <w:t xml:space="preserve">, “The Priority of Right and Ideas of the Good”, </w:t>
      </w:r>
      <w:r w:rsidR="003903A3" w:rsidRPr="00301C62">
        <w:rPr>
          <w:rFonts w:eastAsia="Times New Roman" w:cs="Times New Roman"/>
          <w:i/>
          <w:color w:val="000000" w:themeColor="text1"/>
          <w:lang w:eastAsia="en-GB" w:bidi="ar-SA"/>
        </w:rPr>
        <w:t>Philosophy and Public Affairs</w:t>
      </w:r>
      <w:r w:rsidR="00E504AA">
        <w:rPr>
          <w:rFonts w:eastAsia="Times New Roman" w:cs="Times New Roman"/>
          <w:i/>
          <w:color w:val="000000" w:themeColor="text1"/>
          <w:lang w:eastAsia="en-GB" w:bidi="ar-SA"/>
        </w:rPr>
        <w:t>,</w:t>
      </w:r>
      <w:r w:rsidR="003903A3" w:rsidRPr="00301C62">
        <w:rPr>
          <w:rFonts w:eastAsia="Times New Roman" w:cs="Times New Roman"/>
          <w:color w:val="000000" w:themeColor="text1"/>
          <w:lang w:eastAsia="en-GB" w:bidi="ar-SA"/>
        </w:rPr>
        <w:t xml:space="preserve"> </w:t>
      </w:r>
      <w:r w:rsidR="003903A3" w:rsidRPr="0017724F">
        <w:rPr>
          <w:rFonts w:eastAsia="Times New Roman" w:cs="Times New Roman"/>
          <w:color w:val="333333"/>
          <w:lang w:eastAsia="en-GB" w:bidi="ar-SA"/>
        </w:rPr>
        <w:t>17,</w:t>
      </w:r>
      <w:r w:rsidR="00E504AA">
        <w:rPr>
          <w:rFonts w:eastAsia="Times New Roman" w:cs="Times New Roman"/>
          <w:color w:val="333333"/>
          <w:lang w:eastAsia="en-GB" w:bidi="ar-SA"/>
        </w:rPr>
        <w:t xml:space="preserve"> pp. </w:t>
      </w:r>
      <w:r w:rsidR="003903A3" w:rsidRPr="0017724F">
        <w:rPr>
          <w:rFonts w:eastAsia="Times New Roman" w:cs="Times New Roman"/>
          <w:color w:val="333333"/>
          <w:lang w:eastAsia="en-GB" w:bidi="ar-SA"/>
        </w:rPr>
        <w:t>251-76.</w:t>
      </w:r>
    </w:p>
    <w:p w14:paraId="34FB2CD2" w14:textId="77777777" w:rsidR="003903A3" w:rsidRPr="007E3341" w:rsidRDefault="00A00248" w:rsidP="007E3341">
      <w:pPr>
        <w:ind w:left="-397" w:right="-397"/>
        <w:jc w:val="both"/>
        <w:rPr>
          <w:rFonts w:eastAsia="LinoFrutigerNext-Light" w:cs="Times New Roman"/>
          <w:color w:val="000000" w:themeColor="text1"/>
          <w:lang w:eastAsia="en-US" w:bidi="ar-SA"/>
        </w:rPr>
      </w:pPr>
      <w:r>
        <w:rPr>
          <w:rFonts w:eastAsia="LinoFrutigerNext-Light" w:cs="Times New Roman"/>
          <w:color w:val="000000" w:themeColor="text1"/>
          <w:lang w:eastAsia="en-US" w:bidi="ar-SA"/>
        </w:rPr>
        <w:t>Rawls, J.</w:t>
      </w:r>
      <w:r w:rsidR="003903A3">
        <w:rPr>
          <w:rFonts w:eastAsia="LinoFrutigerNext-Light" w:cs="Times New Roman"/>
          <w:color w:val="000000" w:themeColor="text1"/>
          <w:lang w:eastAsia="en-US" w:bidi="ar-SA"/>
        </w:rPr>
        <w:t xml:space="preserve">, </w:t>
      </w:r>
      <w:r>
        <w:rPr>
          <w:rFonts w:eastAsia="LinoFrutigerNext-Light" w:cs="Times New Roman"/>
          <w:color w:val="000000" w:themeColor="text1"/>
          <w:lang w:eastAsia="en-US" w:bidi="ar-SA"/>
        </w:rPr>
        <w:t>(</w:t>
      </w:r>
      <w:r w:rsidR="003903A3">
        <w:rPr>
          <w:rFonts w:eastAsia="LinoFrutigerNext-Light" w:cs="Times New Roman"/>
          <w:color w:val="000000" w:themeColor="text1"/>
          <w:lang w:eastAsia="en-US" w:bidi="ar-SA"/>
        </w:rPr>
        <w:t>1971</w:t>
      </w:r>
      <w:r>
        <w:rPr>
          <w:rFonts w:eastAsia="LinoFrutigerNext-Light" w:cs="Times New Roman"/>
          <w:color w:val="000000" w:themeColor="text1"/>
          <w:lang w:eastAsia="en-US" w:bidi="ar-SA"/>
        </w:rPr>
        <w:t>)</w:t>
      </w:r>
      <w:r w:rsidR="003903A3" w:rsidRPr="002E6C5E">
        <w:rPr>
          <w:rFonts w:eastAsia="LinoFrutigerNext-Light" w:cs="Times New Roman"/>
          <w:color w:val="000000" w:themeColor="text1"/>
          <w:lang w:eastAsia="en-US" w:bidi="ar-SA"/>
        </w:rPr>
        <w:t xml:space="preserve">, </w:t>
      </w:r>
      <w:r w:rsidR="003903A3" w:rsidRPr="003C0239">
        <w:rPr>
          <w:rFonts w:eastAsia="LinoFrutigerNext-LightItalic" w:cs="Times New Roman"/>
          <w:i/>
          <w:iCs/>
          <w:color w:val="000000" w:themeColor="text1"/>
          <w:lang w:eastAsia="en-US" w:bidi="ar-SA"/>
        </w:rPr>
        <w:t>A Theory of Justice</w:t>
      </w:r>
      <w:r w:rsidR="003903A3" w:rsidRPr="002E6C5E">
        <w:rPr>
          <w:rFonts w:eastAsia="LinoFrutigerNext-Light" w:cs="Times New Roman"/>
          <w:color w:val="000000" w:themeColor="text1"/>
          <w:lang w:eastAsia="en-US" w:bidi="ar-SA"/>
        </w:rPr>
        <w:t xml:space="preserve">, </w:t>
      </w:r>
      <w:r w:rsidR="003903A3">
        <w:rPr>
          <w:rFonts w:eastAsia="LinoFrutigerNext-Light" w:cs="Times New Roman"/>
          <w:color w:val="000000" w:themeColor="text1"/>
          <w:lang w:eastAsia="en-US" w:bidi="ar-SA"/>
        </w:rPr>
        <w:t xml:space="preserve">Oxford: </w:t>
      </w:r>
      <w:r w:rsidR="003903A3" w:rsidRPr="002E6C5E">
        <w:rPr>
          <w:rFonts w:eastAsia="LinoFrutigerNext-Light" w:cs="Times New Roman"/>
          <w:color w:val="000000" w:themeColor="text1"/>
          <w:lang w:eastAsia="en-US" w:bidi="ar-SA"/>
        </w:rPr>
        <w:t xml:space="preserve">Oxford University </w:t>
      </w:r>
      <w:r w:rsidR="003903A3">
        <w:rPr>
          <w:rFonts w:eastAsia="LinoFrutigerNext-Light" w:cs="Times New Roman"/>
          <w:color w:val="000000" w:themeColor="text1"/>
          <w:lang w:eastAsia="en-US" w:bidi="ar-SA"/>
        </w:rPr>
        <w:t>Press</w:t>
      </w:r>
      <w:r w:rsidR="003903A3" w:rsidRPr="002E6C5E">
        <w:rPr>
          <w:rFonts w:eastAsia="LinoFrutigerNext-Light" w:cs="Times New Roman"/>
          <w:color w:val="000000" w:themeColor="text1"/>
          <w:lang w:eastAsia="en-US" w:bidi="ar-SA"/>
        </w:rPr>
        <w:t>.</w:t>
      </w:r>
    </w:p>
    <w:p w14:paraId="22F33D59" w14:textId="77777777" w:rsidR="003828D4" w:rsidRDefault="003828D4" w:rsidP="003903A3">
      <w:pPr>
        <w:ind w:left="-397" w:right="-397"/>
        <w:jc w:val="both"/>
        <w:rPr>
          <w:color w:val="000000" w:themeColor="text1"/>
        </w:rPr>
      </w:pPr>
    </w:p>
    <w:p w14:paraId="688536A1" w14:textId="7AA705D6" w:rsidR="003828D4" w:rsidRDefault="003828D4" w:rsidP="003903A3">
      <w:pPr>
        <w:ind w:left="-397" w:right="-397"/>
        <w:jc w:val="both"/>
        <w:rPr>
          <w:color w:val="000000" w:themeColor="text1"/>
        </w:rPr>
      </w:pPr>
      <w:r>
        <w:rPr>
          <w:color w:val="000000" w:themeColor="text1"/>
        </w:rPr>
        <w:t xml:space="preserve">Sandberg, L.G., </w:t>
      </w:r>
      <w:r w:rsidR="00A00248">
        <w:rPr>
          <w:color w:val="000000" w:themeColor="text1"/>
        </w:rPr>
        <w:t>(</w:t>
      </w:r>
      <w:r>
        <w:rPr>
          <w:color w:val="000000" w:themeColor="text1"/>
        </w:rPr>
        <w:t>1979</w:t>
      </w:r>
      <w:r w:rsidR="00A00248">
        <w:rPr>
          <w:color w:val="000000" w:themeColor="text1"/>
        </w:rPr>
        <w:t>)</w:t>
      </w:r>
      <w:r>
        <w:rPr>
          <w:color w:val="000000" w:themeColor="text1"/>
        </w:rPr>
        <w:t xml:space="preserve">, ‘The Case of the Impoverished Sophisticate’ </w:t>
      </w:r>
      <w:r w:rsidRPr="0065215D">
        <w:rPr>
          <w:i/>
          <w:color w:val="000000" w:themeColor="text1"/>
        </w:rPr>
        <w:t>The Journal of Economic History</w:t>
      </w:r>
      <w:r w:rsidR="0065215D">
        <w:rPr>
          <w:color w:val="000000" w:themeColor="text1"/>
        </w:rPr>
        <w:t>, 39</w:t>
      </w:r>
      <w:r w:rsidR="00E504AA">
        <w:rPr>
          <w:color w:val="000000" w:themeColor="text1"/>
        </w:rPr>
        <w:t>(</w:t>
      </w:r>
      <w:r w:rsidR="0065215D">
        <w:rPr>
          <w:color w:val="000000" w:themeColor="text1"/>
        </w:rPr>
        <w:t>1</w:t>
      </w:r>
      <w:r w:rsidR="00E504AA">
        <w:rPr>
          <w:color w:val="000000" w:themeColor="text1"/>
        </w:rPr>
        <w:t>)</w:t>
      </w:r>
      <w:r>
        <w:rPr>
          <w:color w:val="000000" w:themeColor="text1"/>
        </w:rPr>
        <w:t>, pp.</w:t>
      </w:r>
      <w:r w:rsidR="00E504AA">
        <w:rPr>
          <w:color w:val="000000" w:themeColor="text1"/>
        </w:rPr>
        <w:t xml:space="preserve"> </w:t>
      </w:r>
      <w:r>
        <w:rPr>
          <w:color w:val="000000" w:themeColor="text1"/>
        </w:rPr>
        <w:t>225-241</w:t>
      </w:r>
      <w:r w:rsidR="00E504AA">
        <w:rPr>
          <w:color w:val="000000" w:themeColor="text1"/>
        </w:rPr>
        <w:t>.</w:t>
      </w:r>
    </w:p>
    <w:p w14:paraId="598D9A46" w14:textId="77777777" w:rsidR="00CC0701" w:rsidRDefault="00CC0701" w:rsidP="00F71AF5">
      <w:pPr>
        <w:ind w:right="-397"/>
        <w:jc w:val="both"/>
        <w:rPr>
          <w:color w:val="000000" w:themeColor="text1"/>
        </w:rPr>
      </w:pPr>
    </w:p>
    <w:p w14:paraId="28645CD4" w14:textId="77777777" w:rsidR="003903A3" w:rsidRPr="0011102A" w:rsidRDefault="00CC0701" w:rsidP="000A7484">
      <w:pPr>
        <w:ind w:left="-397" w:right="-397"/>
        <w:jc w:val="both"/>
        <w:rPr>
          <w:color w:val="000000" w:themeColor="text1"/>
        </w:rPr>
      </w:pPr>
      <w:r w:rsidRPr="00CC0701">
        <w:rPr>
          <w:color w:val="000000" w:themeColor="text1"/>
        </w:rPr>
        <w:t xml:space="preserve">Schneider, B.R., </w:t>
      </w:r>
      <w:r w:rsidR="00A00248">
        <w:rPr>
          <w:color w:val="000000" w:themeColor="text1"/>
        </w:rPr>
        <w:t>(</w:t>
      </w:r>
      <w:r w:rsidRPr="00CC0701">
        <w:rPr>
          <w:color w:val="000000" w:themeColor="text1"/>
        </w:rPr>
        <w:t>2013</w:t>
      </w:r>
      <w:r w:rsidR="00A00248">
        <w:rPr>
          <w:color w:val="000000" w:themeColor="text1"/>
        </w:rPr>
        <w:t>)</w:t>
      </w:r>
      <w:r w:rsidRPr="00CC0701">
        <w:rPr>
          <w:color w:val="000000" w:themeColor="text1"/>
        </w:rPr>
        <w:t xml:space="preserve">, </w:t>
      </w:r>
      <w:r w:rsidRPr="0065215D">
        <w:rPr>
          <w:i/>
          <w:color w:val="000000" w:themeColor="text1"/>
        </w:rPr>
        <w:t>Hierarchical Capitalism in Latin America</w:t>
      </w:r>
      <w:r w:rsidRPr="00CC0701">
        <w:rPr>
          <w:color w:val="000000" w:themeColor="text1"/>
        </w:rPr>
        <w:t>, Cambridge: Cambridge University Press</w:t>
      </w:r>
      <w:r w:rsidR="000A7484">
        <w:rPr>
          <w:color w:val="000000" w:themeColor="text1"/>
        </w:rPr>
        <w:t xml:space="preserve"> </w:t>
      </w:r>
    </w:p>
    <w:p w14:paraId="2D49EBFC" w14:textId="77777777" w:rsidR="00CB634E" w:rsidRDefault="00CB634E" w:rsidP="003903A3">
      <w:pPr>
        <w:ind w:left="-397" w:right="-397"/>
        <w:jc w:val="both"/>
        <w:rPr>
          <w:color w:val="000000" w:themeColor="text1"/>
        </w:rPr>
      </w:pPr>
    </w:p>
    <w:p w14:paraId="07EEFA84" w14:textId="77777777" w:rsidR="00CB634E" w:rsidRDefault="00FE609A" w:rsidP="003903A3">
      <w:pPr>
        <w:ind w:left="-397" w:right="-397"/>
        <w:jc w:val="both"/>
        <w:rPr>
          <w:color w:val="000000" w:themeColor="text1"/>
        </w:rPr>
      </w:pPr>
      <w:proofErr w:type="spellStart"/>
      <w:r>
        <w:rPr>
          <w:color w:val="000000" w:themeColor="text1"/>
        </w:rPr>
        <w:t>Skocpol</w:t>
      </w:r>
      <w:proofErr w:type="spellEnd"/>
      <w:r>
        <w:rPr>
          <w:color w:val="000000" w:themeColor="text1"/>
        </w:rPr>
        <w:t xml:space="preserve">, T., </w:t>
      </w:r>
      <w:r w:rsidR="00A00248">
        <w:rPr>
          <w:color w:val="000000" w:themeColor="text1"/>
        </w:rPr>
        <w:t>(</w:t>
      </w:r>
      <w:r>
        <w:rPr>
          <w:color w:val="000000" w:themeColor="text1"/>
        </w:rPr>
        <w:t>1992</w:t>
      </w:r>
      <w:r w:rsidR="00A00248">
        <w:rPr>
          <w:color w:val="000000" w:themeColor="text1"/>
        </w:rPr>
        <w:t>)</w:t>
      </w:r>
      <w:r w:rsidR="00CB634E">
        <w:rPr>
          <w:color w:val="000000" w:themeColor="text1"/>
        </w:rPr>
        <w:t xml:space="preserve">, </w:t>
      </w:r>
      <w:r w:rsidR="00CB634E" w:rsidRPr="0065215D">
        <w:rPr>
          <w:i/>
          <w:color w:val="000000" w:themeColor="text1"/>
        </w:rPr>
        <w:t>Protecting Soldiers and Mothers</w:t>
      </w:r>
      <w:r w:rsidR="00CB634E">
        <w:rPr>
          <w:color w:val="000000" w:themeColor="text1"/>
        </w:rPr>
        <w:t>, Cambridge: Harvard University Press.</w:t>
      </w:r>
    </w:p>
    <w:p w14:paraId="760D56DE" w14:textId="77777777" w:rsidR="00707045" w:rsidRDefault="00707045" w:rsidP="003903A3">
      <w:pPr>
        <w:ind w:left="-397" w:right="-397"/>
        <w:jc w:val="both"/>
        <w:rPr>
          <w:color w:val="000000" w:themeColor="text1"/>
        </w:rPr>
      </w:pPr>
    </w:p>
    <w:p w14:paraId="78CA7656" w14:textId="77777777" w:rsidR="00707045" w:rsidRDefault="00707045" w:rsidP="00707045">
      <w:pPr>
        <w:ind w:left="-397" w:right="-397"/>
        <w:jc w:val="both"/>
        <w:rPr>
          <w:color w:val="000000" w:themeColor="text1"/>
        </w:rPr>
      </w:pPr>
      <w:r>
        <w:rPr>
          <w:color w:val="000000" w:themeColor="text1"/>
        </w:rPr>
        <w:t xml:space="preserve">Sen, A., (1992), </w:t>
      </w:r>
      <w:r w:rsidRPr="0065215D">
        <w:rPr>
          <w:i/>
          <w:color w:val="000000" w:themeColor="text1"/>
        </w:rPr>
        <w:t>Inequality Re-examined</w:t>
      </w:r>
      <w:r>
        <w:rPr>
          <w:color w:val="000000" w:themeColor="text1"/>
        </w:rPr>
        <w:t>, Oxford: Clarendon Press.</w:t>
      </w:r>
    </w:p>
    <w:p w14:paraId="22272860" w14:textId="77777777" w:rsidR="003903A3" w:rsidRPr="0011102A" w:rsidRDefault="003903A3" w:rsidP="003903A3">
      <w:pPr>
        <w:ind w:right="-397"/>
        <w:jc w:val="both"/>
        <w:rPr>
          <w:color w:val="000000" w:themeColor="text1"/>
        </w:rPr>
      </w:pPr>
    </w:p>
    <w:p w14:paraId="5344A7DE" w14:textId="77777777" w:rsidR="003903A3" w:rsidRDefault="00566433" w:rsidP="003903A3">
      <w:pPr>
        <w:ind w:left="-397" w:right="-397"/>
        <w:jc w:val="both"/>
        <w:rPr>
          <w:color w:val="000000" w:themeColor="text1"/>
        </w:rPr>
      </w:pPr>
      <w:r>
        <w:rPr>
          <w:color w:val="000000" w:themeColor="text1"/>
        </w:rPr>
        <w:t>Sen, A.</w:t>
      </w:r>
      <w:r w:rsidR="002F1695">
        <w:rPr>
          <w:color w:val="000000" w:themeColor="text1"/>
        </w:rPr>
        <w:t xml:space="preserve">, </w:t>
      </w:r>
      <w:r w:rsidR="00A00248">
        <w:rPr>
          <w:color w:val="000000" w:themeColor="text1"/>
        </w:rPr>
        <w:t>(</w:t>
      </w:r>
      <w:r w:rsidR="002F1695">
        <w:rPr>
          <w:color w:val="000000" w:themeColor="text1"/>
        </w:rPr>
        <w:t>1998</w:t>
      </w:r>
      <w:r w:rsidR="00A00248">
        <w:rPr>
          <w:color w:val="000000" w:themeColor="text1"/>
        </w:rPr>
        <w:t>)</w:t>
      </w:r>
      <w:r w:rsidR="003903A3" w:rsidRPr="0011102A">
        <w:rPr>
          <w:color w:val="000000" w:themeColor="text1"/>
        </w:rPr>
        <w:t xml:space="preserve">, </w:t>
      </w:r>
      <w:r w:rsidR="003903A3" w:rsidRPr="0065215D">
        <w:rPr>
          <w:i/>
          <w:color w:val="000000" w:themeColor="text1"/>
        </w:rPr>
        <w:t>Development as Freedom</w:t>
      </w:r>
      <w:r w:rsidR="003903A3" w:rsidRPr="0011102A">
        <w:rPr>
          <w:color w:val="000000" w:themeColor="text1"/>
        </w:rPr>
        <w:t>, Oxford: Oxford University Press.</w:t>
      </w:r>
    </w:p>
    <w:p w14:paraId="0BE8C3F2" w14:textId="77777777" w:rsidR="00707045" w:rsidRDefault="00707045" w:rsidP="003903A3">
      <w:pPr>
        <w:ind w:left="-397" w:right="-397"/>
        <w:jc w:val="both"/>
        <w:rPr>
          <w:color w:val="000000" w:themeColor="text1"/>
        </w:rPr>
      </w:pPr>
    </w:p>
    <w:p w14:paraId="7BB1DBA6" w14:textId="77777777" w:rsidR="00707045" w:rsidRDefault="00707045" w:rsidP="00707045">
      <w:pPr>
        <w:ind w:left="-397" w:right="-397"/>
        <w:jc w:val="both"/>
        <w:rPr>
          <w:color w:val="000000" w:themeColor="text1"/>
        </w:rPr>
      </w:pPr>
      <w:r w:rsidRPr="0015648D">
        <w:rPr>
          <w:color w:val="000000" w:themeColor="text1"/>
        </w:rPr>
        <w:lastRenderedPageBreak/>
        <w:t xml:space="preserve">Sennett, R. </w:t>
      </w:r>
      <w:r>
        <w:rPr>
          <w:color w:val="000000" w:themeColor="text1"/>
        </w:rPr>
        <w:t>(</w:t>
      </w:r>
      <w:r w:rsidRPr="0015648D">
        <w:rPr>
          <w:color w:val="000000" w:themeColor="text1"/>
        </w:rPr>
        <w:t>2003</w:t>
      </w:r>
      <w:r>
        <w:rPr>
          <w:color w:val="000000" w:themeColor="text1"/>
        </w:rPr>
        <w:t>)</w:t>
      </w:r>
      <w:r w:rsidRPr="0015648D">
        <w:rPr>
          <w:color w:val="000000" w:themeColor="text1"/>
        </w:rPr>
        <w:t xml:space="preserve">, </w:t>
      </w:r>
      <w:r w:rsidRPr="0015648D">
        <w:rPr>
          <w:i/>
          <w:color w:val="000000" w:themeColor="text1"/>
        </w:rPr>
        <w:t>Respect</w:t>
      </w:r>
      <w:r w:rsidRPr="0015648D">
        <w:rPr>
          <w:color w:val="000000" w:themeColor="text1"/>
        </w:rPr>
        <w:t>, Penguin, London.</w:t>
      </w:r>
    </w:p>
    <w:p w14:paraId="08863C6A" w14:textId="77777777" w:rsidR="003903A3" w:rsidRPr="0011102A" w:rsidRDefault="003903A3" w:rsidP="002F1695">
      <w:pPr>
        <w:ind w:right="-397"/>
        <w:jc w:val="both"/>
        <w:rPr>
          <w:color w:val="000000" w:themeColor="text1"/>
        </w:rPr>
      </w:pPr>
    </w:p>
    <w:p w14:paraId="20C8741E" w14:textId="77777777" w:rsidR="003903A3" w:rsidRDefault="00C41AE2" w:rsidP="003903A3">
      <w:pPr>
        <w:ind w:left="-397" w:right="-397"/>
        <w:jc w:val="both"/>
        <w:rPr>
          <w:color w:val="000000" w:themeColor="text1"/>
        </w:rPr>
      </w:pPr>
      <w:r>
        <w:rPr>
          <w:color w:val="000000" w:themeColor="text1"/>
        </w:rPr>
        <w:t>Sennett, R.</w:t>
      </w:r>
      <w:r w:rsidR="003903A3">
        <w:rPr>
          <w:color w:val="000000" w:themeColor="text1"/>
        </w:rPr>
        <w:t xml:space="preserve">, </w:t>
      </w:r>
      <w:r w:rsidR="00A00248">
        <w:rPr>
          <w:color w:val="000000" w:themeColor="text1"/>
        </w:rPr>
        <w:t>(</w:t>
      </w:r>
      <w:r w:rsidR="003903A3">
        <w:rPr>
          <w:color w:val="000000" w:themeColor="text1"/>
        </w:rPr>
        <w:t>2008</w:t>
      </w:r>
      <w:r w:rsidR="00A00248">
        <w:rPr>
          <w:color w:val="000000" w:themeColor="text1"/>
        </w:rPr>
        <w:t>)</w:t>
      </w:r>
      <w:r w:rsidR="003903A3" w:rsidRPr="0011102A">
        <w:rPr>
          <w:color w:val="000000" w:themeColor="text1"/>
        </w:rPr>
        <w:t xml:space="preserve">, </w:t>
      </w:r>
      <w:r w:rsidR="003903A3" w:rsidRPr="003C0239">
        <w:rPr>
          <w:i/>
          <w:color w:val="000000" w:themeColor="text1"/>
        </w:rPr>
        <w:t>The Craftsman</w:t>
      </w:r>
      <w:r w:rsidR="003903A3" w:rsidRPr="0011102A">
        <w:rPr>
          <w:color w:val="000000" w:themeColor="text1"/>
        </w:rPr>
        <w:t>, Allen Lane: Penguin Books, London, New York.</w:t>
      </w:r>
    </w:p>
    <w:p w14:paraId="451B72EC" w14:textId="77777777" w:rsidR="00C41AE2" w:rsidRDefault="00C41AE2" w:rsidP="003903A3">
      <w:pPr>
        <w:ind w:left="-397" w:right="-397"/>
        <w:jc w:val="both"/>
        <w:rPr>
          <w:color w:val="000000" w:themeColor="text1"/>
        </w:rPr>
      </w:pPr>
    </w:p>
    <w:p w14:paraId="377BD698" w14:textId="77777777" w:rsidR="005C1A82" w:rsidRDefault="005C1A82" w:rsidP="003903A3">
      <w:pPr>
        <w:ind w:left="-397" w:right="-397"/>
        <w:jc w:val="both"/>
        <w:rPr>
          <w:color w:val="000000" w:themeColor="text1"/>
        </w:rPr>
      </w:pPr>
    </w:p>
    <w:p w14:paraId="24E448BB" w14:textId="77777777" w:rsidR="005C1A82" w:rsidRPr="0015648D" w:rsidRDefault="005C1A82" w:rsidP="003903A3">
      <w:pPr>
        <w:ind w:left="-397" w:right="-397"/>
        <w:jc w:val="both"/>
        <w:rPr>
          <w:color w:val="000000" w:themeColor="text1"/>
        </w:rPr>
      </w:pPr>
      <w:proofErr w:type="spellStart"/>
      <w:r>
        <w:rPr>
          <w:color w:val="000000" w:themeColor="text1"/>
        </w:rPr>
        <w:t>Slo</w:t>
      </w:r>
      <w:r w:rsidR="00A97764">
        <w:rPr>
          <w:color w:val="000000" w:themeColor="text1"/>
        </w:rPr>
        <w:t>m</w:t>
      </w:r>
      <w:r>
        <w:rPr>
          <w:color w:val="000000" w:themeColor="text1"/>
        </w:rPr>
        <w:t>an</w:t>
      </w:r>
      <w:proofErr w:type="spellEnd"/>
      <w:r>
        <w:rPr>
          <w:color w:val="000000" w:themeColor="text1"/>
        </w:rPr>
        <w:t xml:space="preserve">, P. </w:t>
      </w:r>
      <w:r w:rsidR="00A00248">
        <w:rPr>
          <w:color w:val="000000" w:themeColor="text1"/>
        </w:rPr>
        <w:t>(</w:t>
      </w:r>
      <w:r>
        <w:rPr>
          <w:color w:val="000000" w:themeColor="text1"/>
        </w:rPr>
        <w:t>2019</w:t>
      </w:r>
      <w:r w:rsidR="00A00248">
        <w:rPr>
          <w:color w:val="000000" w:themeColor="text1"/>
        </w:rPr>
        <w:t>)</w:t>
      </w:r>
      <w:r>
        <w:rPr>
          <w:color w:val="000000" w:themeColor="text1"/>
        </w:rPr>
        <w:t xml:space="preserve">, </w:t>
      </w:r>
      <w:r w:rsidRPr="00A00248">
        <w:rPr>
          <w:i/>
          <w:color w:val="000000" w:themeColor="text1"/>
        </w:rPr>
        <w:t>Transfer State</w:t>
      </w:r>
      <w:r>
        <w:rPr>
          <w:color w:val="000000" w:themeColor="text1"/>
        </w:rPr>
        <w:t>, Oxford; Oxford University Press</w:t>
      </w:r>
    </w:p>
    <w:p w14:paraId="64C6FAA9" w14:textId="77777777" w:rsidR="0015648D" w:rsidRPr="0065215D" w:rsidRDefault="0015648D" w:rsidP="003903A3">
      <w:pPr>
        <w:ind w:left="-397" w:right="-397"/>
        <w:jc w:val="both"/>
        <w:rPr>
          <w:rFonts w:cs="Times New Roman"/>
          <w:color w:val="000000" w:themeColor="text1"/>
        </w:rPr>
      </w:pPr>
    </w:p>
    <w:p w14:paraId="408AFF3C" w14:textId="0AED1DE5" w:rsidR="00AB76C6" w:rsidRPr="0065215D" w:rsidRDefault="008C5FA3" w:rsidP="00AB76C6">
      <w:pPr>
        <w:ind w:left="-397" w:right="-397"/>
        <w:jc w:val="both"/>
        <w:rPr>
          <w:rFonts w:cs="Times New Roman"/>
          <w:i/>
          <w:iCs/>
          <w:lang w:val="en"/>
        </w:rPr>
      </w:pPr>
      <w:r w:rsidRPr="0065215D">
        <w:rPr>
          <w:rFonts w:cs="Times New Roman"/>
          <w:bCs/>
          <w:lang w:val="en"/>
        </w:rPr>
        <w:t xml:space="preserve">Smallwood, J., </w:t>
      </w:r>
      <w:r w:rsidR="00A00248" w:rsidRPr="0065215D">
        <w:rPr>
          <w:rFonts w:cs="Times New Roman"/>
          <w:bCs/>
          <w:lang w:val="en"/>
        </w:rPr>
        <w:t>(</w:t>
      </w:r>
      <w:r w:rsidRPr="0065215D">
        <w:rPr>
          <w:rFonts w:cs="Times New Roman"/>
          <w:lang w:val="en"/>
        </w:rPr>
        <w:t>2013</w:t>
      </w:r>
      <w:r w:rsidR="00A00248" w:rsidRPr="0065215D">
        <w:rPr>
          <w:rFonts w:cs="Times New Roman"/>
          <w:lang w:val="en"/>
        </w:rPr>
        <w:t>)</w:t>
      </w:r>
      <w:r w:rsidRPr="0065215D">
        <w:rPr>
          <w:rFonts w:cs="Times New Roman"/>
          <w:lang w:val="en"/>
        </w:rPr>
        <w:t>,</w:t>
      </w:r>
      <w:r w:rsidR="0015648D" w:rsidRPr="0065215D">
        <w:rPr>
          <w:rFonts w:cs="Times New Roman"/>
          <w:lang w:val="en"/>
        </w:rPr>
        <w:t xml:space="preserve"> </w:t>
      </w:r>
      <w:r w:rsidR="0065215D" w:rsidRPr="0065215D">
        <w:rPr>
          <w:rFonts w:cs="Times New Roman"/>
          <w:lang w:val="en"/>
        </w:rPr>
        <w:t>‘</w:t>
      </w:r>
      <w:r w:rsidR="0015648D" w:rsidRPr="0065215D">
        <w:rPr>
          <w:rFonts w:cs="Times New Roman"/>
          <w:lang w:val="en"/>
        </w:rPr>
        <w:t xml:space="preserve">Distinguishing how from why the mind </w:t>
      </w:r>
      <w:proofErr w:type="gramStart"/>
      <w:r w:rsidR="0015648D" w:rsidRPr="0065215D">
        <w:rPr>
          <w:rFonts w:cs="Times New Roman"/>
          <w:lang w:val="en"/>
        </w:rPr>
        <w:t>wand</w:t>
      </w:r>
      <w:r w:rsidR="0065215D" w:rsidRPr="0065215D">
        <w:rPr>
          <w:rFonts w:cs="Times New Roman"/>
          <w:lang w:val="en"/>
        </w:rPr>
        <w:t>ers’</w:t>
      </w:r>
      <w:proofErr w:type="gramEnd"/>
      <w:r w:rsidR="0015648D" w:rsidRPr="0065215D">
        <w:rPr>
          <w:rFonts w:cs="Times New Roman"/>
          <w:lang w:val="en"/>
        </w:rPr>
        <w:t xml:space="preserve">. </w:t>
      </w:r>
      <w:r w:rsidR="0015648D" w:rsidRPr="0065215D">
        <w:rPr>
          <w:rFonts w:cs="Times New Roman"/>
          <w:i/>
          <w:iCs/>
          <w:lang w:val="en"/>
        </w:rPr>
        <w:t>Psychological Bulletin.</w:t>
      </w:r>
      <w:r w:rsidR="0065215D" w:rsidRPr="0065215D">
        <w:rPr>
          <w:rFonts w:cs="Times New Roman"/>
          <w:color w:val="000000"/>
          <w:shd w:val="clear" w:color="auto" w:fill="FFFFFF"/>
        </w:rPr>
        <w:t xml:space="preserve"> 139(3)</w:t>
      </w:r>
      <w:r w:rsidR="00E504AA">
        <w:rPr>
          <w:rFonts w:cs="Times New Roman"/>
          <w:color w:val="000000"/>
          <w:shd w:val="clear" w:color="auto" w:fill="FFFFFF"/>
        </w:rPr>
        <w:t xml:space="preserve">, pp. </w:t>
      </w:r>
      <w:r w:rsidR="0065215D" w:rsidRPr="0065215D">
        <w:rPr>
          <w:rFonts w:cs="Times New Roman"/>
          <w:color w:val="000000"/>
          <w:shd w:val="clear" w:color="auto" w:fill="FFFFFF"/>
        </w:rPr>
        <w:t>519-535.</w:t>
      </w:r>
    </w:p>
    <w:p w14:paraId="2F6E7278" w14:textId="3A1D19AB" w:rsidR="00730C59" w:rsidRDefault="00AB76C6" w:rsidP="00730C59">
      <w:pPr>
        <w:pStyle w:val="BISReference"/>
        <w:spacing w:before="100" w:beforeAutospacing="1" w:after="100" w:afterAutospacing="1"/>
        <w:ind w:left="-397" w:right="-397" w:firstLine="0"/>
        <w:rPr>
          <w:rFonts w:ascii="Times New Roman" w:eastAsiaTheme="minorHAnsi" w:hAnsi="Times New Roman"/>
          <w:color w:val="000000" w:themeColor="text1"/>
          <w:sz w:val="24"/>
          <w:szCs w:val="24"/>
          <w:lang w:eastAsia="en-US"/>
        </w:rPr>
      </w:pPr>
      <w:r w:rsidRPr="0065215D">
        <w:rPr>
          <w:rFonts w:ascii="Times New Roman" w:eastAsiaTheme="minorHAnsi" w:hAnsi="Times New Roman"/>
          <w:color w:val="000000" w:themeColor="text1"/>
          <w:sz w:val="24"/>
          <w:szCs w:val="24"/>
          <w:lang w:eastAsia="en-US"/>
        </w:rPr>
        <w:t xml:space="preserve">Sokoloff, K.L. and </w:t>
      </w:r>
      <w:proofErr w:type="spellStart"/>
      <w:r w:rsidRPr="0065215D">
        <w:rPr>
          <w:rFonts w:ascii="Times New Roman" w:eastAsiaTheme="minorHAnsi" w:hAnsi="Times New Roman"/>
          <w:color w:val="000000" w:themeColor="text1"/>
          <w:sz w:val="24"/>
          <w:szCs w:val="24"/>
          <w:lang w:eastAsia="en-US"/>
        </w:rPr>
        <w:t>Engerman</w:t>
      </w:r>
      <w:proofErr w:type="spellEnd"/>
      <w:r w:rsidRPr="0065215D">
        <w:rPr>
          <w:rFonts w:ascii="Times New Roman" w:eastAsiaTheme="minorHAnsi" w:hAnsi="Times New Roman"/>
          <w:color w:val="000000" w:themeColor="text1"/>
          <w:sz w:val="24"/>
          <w:szCs w:val="24"/>
          <w:lang w:eastAsia="en-US"/>
        </w:rPr>
        <w:t xml:space="preserve">, S.L., </w:t>
      </w:r>
      <w:r w:rsidR="00A00248" w:rsidRPr="0065215D">
        <w:rPr>
          <w:rFonts w:ascii="Times New Roman" w:eastAsiaTheme="minorHAnsi" w:hAnsi="Times New Roman"/>
          <w:color w:val="000000" w:themeColor="text1"/>
          <w:sz w:val="24"/>
          <w:szCs w:val="24"/>
          <w:lang w:eastAsia="en-US"/>
        </w:rPr>
        <w:t>(</w:t>
      </w:r>
      <w:r w:rsidRPr="0065215D">
        <w:rPr>
          <w:rFonts w:ascii="Times New Roman" w:eastAsiaTheme="minorHAnsi" w:hAnsi="Times New Roman"/>
          <w:color w:val="000000" w:themeColor="text1"/>
          <w:sz w:val="24"/>
          <w:szCs w:val="24"/>
          <w:lang w:eastAsia="en-US"/>
        </w:rPr>
        <w:t>2000</w:t>
      </w:r>
      <w:r w:rsidR="00A00248" w:rsidRPr="0065215D">
        <w:rPr>
          <w:rFonts w:ascii="Times New Roman" w:eastAsiaTheme="minorHAnsi" w:hAnsi="Times New Roman"/>
          <w:color w:val="000000" w:themeColor="text1"/>
          <w:sz w:val="24"/>
          <w:szCs w:val="24"/>
          <w:lang w:eastAsia="en-US"/>
        </w:rPr>
        <w:t>)</w:t>
      </w:r>
      <w:r w:rsidRPr="0065215D">
        <w:rPr>
          <w:rFonts w:ascii="Times New Roman" w:eastAsiaTheme="minorHAnsi" w:hAnsi="Times New Roman"/>
          <w:color w:val="000000" w:themeColor="text1"/>
          <w:sz w:val="24"/>
          <w:szCs w:val="24"/>
          <w:lang w:eastAsia="en-US"/>
        </w:rPr>
        <w:t xml:space="preserve">, History Lessons, </w:t>
      </w:r>
      <w:r w:rsidRPr="0065215D">
        <w:rPr>
          <w:rFonts w:ascii="Times New Roman" w:eastAsiaTheme="minorHAnsi" w:hAnsi="Times New Roman"/>
          <w:i/>
          <w:color w:val="000000" w:themeColor="text1"/>
          <w:sz w:val="24"/>
          <w:szCs w:val="24"/>
          <w:lang w:eastAsia="en-US"/>
        </w:rPr>
        <w:t>Journal of Economic Perspectives</w:t>
      </w:r>
      <w:r w:rsidR="0065215D">
        <w:rPr>
          <w:rFonts w:ascii="Times New Roman" w:eastAsiaTheme="minorHAnsi" w:hAnsi="Times New Roman"/>
          <w:color w:val="000000" w:themeColor="text1"/>
          <w:sz w:val="24"/>
          <w:szCs w:val="24"/>
          <w:lang w:eastAsia="en-US"/>
        </w:rPr>
        <w:t>, 14</w:t>
      </w:r>
      <w:r w:rsidR="00E504AA">
        <w:rPr>
          <w:rFonts w:ascii="Times New Roman" w:eastAsiaTheme="minorHAnsi" w:hAnsi="Times New Roman"/>
          <w:color w:val="000000" w:themeColor="text1"/>
          <w:sz w:val="24"/>
          <w:szCs w:val="24"/>
          <w:lang w:eastAsia="en-US"/>
        </w:rPr>
        <w:t xml:space="preserve">(4), pp. </w:t>
      </w:r>
      <w:r w:rsidRPr="0065215D">
        <w:rPr>
          <w:rFonts w:ascii="Times New Roman" w:eastAsiaTheme="minorHAnsi" w:hAnsi="Times New Roman"/>
          <w:color w:val="000000" w:themeColor="text1"/>
          <w:sz w:val="24"/>
          <w:szCs w:val="24"/>
          <w:lang w:eastAsia="en-US"/>
        </w:rPr>
        <w:t>217-</w:t>
      </w:r>
      <w:r>
        <w:rPr>
          <w:rFonts w:ascii="Times New Roman" w:eastAsiaTheme="minorHAnsi" w:hAnsi="Times New Roman"/>
          <w:color w:val="000000" w:themeColor="text1"/>
          <w:sz w:val="24"/>
          <w:szCs w:val="24"/>
          <w:lang w:eastAsia="en-US"/>
        </w:rPr>
        <w:t>232.</w:t>
      </w:r>
    </w:p>
    <w:p w14:paraId="3B2A3EFC" w14:textId="77777777" w:rsidR="00730C59" w:rsidRPr="003828D4" w:rsidRDefault="00730C59" w:rsidP="003828D4">
      <w:pPr>
        <w:pStyle w:val="BISReference"/>
        <w:spacing w:before="100" w:beforeAutospacing="1" w:after="100" w:afterAutospacing="1"/>
        <w:ind w:left="-397" w:right="-397" w:firstLine="0"/>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t>Solow, R</w:t>
      </w:r>
      <w:r w:rsidR="007B4905">
        <w:rPr>
          <w:rFonts w:ascii="Times New Roman" w:eastAsiaTheme="minorHAnsi" w:hAnsi="Times New Roman"/>
          <w:color w:val="000000" w:themeColor="text1"/>
          <w:sz w:val="24"/>
          <w:szCs w:val="24"/>
          <w:lang w:eastAsia="en-US"/>
        </w:rPr>
        <w:t xml:space="preserve">., </w:t>
      </w:r>
      <w:r w:rsidR="00A00248">
        <w:rPr>
          <w:rFonts w:ascii="Times New Roman" w:eastAsiaTheme="minorHAnsi" w:hAnsi="Times New Roman"/>
          <w:color w:val="000000" w:themeColor="text1"/>
          <w:sz w:val="24"/>
          <w:szCs w:val="24"/>
          <w:lang w:eastAsia="en-US"/>
        </w:rPr>
        <w:t>(</w:t>
      </w:r>
      <w:r w:rsidR="007B4905">
        <w:rPr>
          <w:rFonts w:ascii="Times New Roman" w:eastAsiaTheme="minorHAnsi" w:hAnsi="Times New Roman"/>
          <w:color w:val="000000" w:themeColor="text1"/>
          <w:sz w:val="24"/>
          <w:szCs w:val="24"/>
          <w:lang w:eastAsia="en-US"/>
        </w:rPr>
        <w:t>199</w:t>
      </w:r>
      <w:r>
        <w:rPr>
          <w:rFonts w:ascii="Times New Roman" w:eastAsiaTheme="minorHAnsi" w:hAnsi="Times New Roman"/>
          <w:color w:val="000000" w:themeColor="text1"/>
          <w:sz w:val="24"/>
          <w:szCs w:val="24"/>
          <w:lang w:eastAsia="en-US"/>
        </w:rPr>
        <w:t>0</w:t>
      </w:r>
      <w:r w:rsidR="00A00248">
        <w:rPr>
          <w:rFonts w:ascii="Times New Roman" w:eastAsiaTheme="minorHAnsi" w:hAnsi="Times New Roman"/>
          <w:color w:val="000000" w:themeColor="text1"/>
          <w:sz w:val="24"/>
          <w:szCs w:val="24"/>
          <w:lang w:eastAsia="en-US"/>
        </w:rPr>
        <w:t>)</w:t>
      </w:r>
      <w:r>
        <w:rPr>
          <w:rFonts w:ascii="Times New Roman" w:eastAsiaTheme="minorHAnsi" w:hAnsi="Times New Roman"/>
          <w:color w:val="000000" w:themeColor="text1"/>
          <w:sz w:val="24"/>
          <w:szCs w:val="24"/>
          <w:lang w:eastAsia="en-US"/>
        </w:rPr>
        <w:t xml:space="preserve">, </w:t>
      </w:r>
      <w:r w:rsidRPr="0065215D">
        <w:rPr>
          <w:rFonts w:ascii="Times New Roman" w:eastAsiaTheme="minorHAnsi" w:hAnsi="Times New Roman"/>
          <w:i/>
          <w:color w:val="000000" w:themeColor="text1"/>
          <w:sz w:val="24"/>
          <w:szCs w:val="24"/>
          <w:lang w:eastAsia="en-US"/>
        </w:rPr>
        <w:t>The Labour Market as a Social Institution</w:t>
      </w:r>
      <w:r>
        <w:rPr>
          <w:rFonts w:ascii="Times New Roman" w:eastAsiaTheme="minorHAnsi" w:hAnsi="Times New Roman"/>
          <w:color w:val="000000" w:themeColor="text1"/>
          <w:sz w:val="24"/>
          <w:szCs w:val="24"/>
          <w:lang w:eastAsia="en-US"/>
        </w:rPr>
        <w:t xml:space="preserve">, Oxford: </w:t>
      </w:r>
      <w:r w:rsidR="007B4905">
        <w:rPr>
          <w:rFonts w:ascii="Times New Roman" w:eastAsiaTheme="minorHAnsi" w:hAnsi="Times New Roman"/>
          <w:color w:val="000000" w:themeColor="text1"/>
          <w:sz w:val="24"/>
          <w:szCs w:val="24"/>
          <w:lang w:eastAsia="en-US"/>
        </w:rPr>
        <w:t>Wiley-</w:t>
      </w:r>
      <w:r>
        <w:rPr>
          <w:rFonts w:ascii="Times New Roman" w:eastAsiaTheme="minorHAnsi" w:hAnsi="Times New Roman"/>
          <w:color w:val="000000" w:themeColor="text1"/>
          <w:sz w:val="24"/>
          <w:szCs w:val="24"/>
          <w:lang w:eastAsia="en-US"/>
        </w:rPr>
        <w:t>Blackwell</w:t>
      </w:r>
    </w:p>
    <w:p w14:paraId="5EBF17C5" w14:textId="096E75B7" w:rsidR="004D426E" w:rsidRDefault="004D426E" w:rsidP="003903A3">
      <w:pPr>
        <w:ind w:left="-397" w:right="-397"/>
        <w:jc w:val="both"/>
        <w:rPr>
          <w:color w:val="000000" w:themeColor="text1"/>
        </w:rPr>
      </w:pPr>
      <w:proofErr w:type="spellStart"/>
      <w:r>
        <w:rPr>
          <w:color w:val="000000" w:themeColor="text1"/>
        </w:rPr>
        <w:t>Soysal</w:t>
      </w:r>
      <w:proofErr w:type="spellEnd"/>
      <w:r>
        <w:rPr>
          <w:color w:val="000000" w:themeColor="text1"/>
        </w:rPr>
        <w:t xml:space="preserve">, Y. and Strang, D. (1989), Construction of </w:t>
      </w:r>
      <w:r w:rsidR="00674303">
        <w:rPr>
          <w:color w:val="000000" w:themeColor="text1"/>
        </w:rPr>
        <w:t>the First Mass Education System</w:t>
      </w:r>
      <w:r>
        <w:rPr>
          <w:color w:val="000000" w:themeColor="text1"/>
        </w:rPr>
        <w:t>s</w:t>
      </w:r>
      <w:r w:rsidR="00674303">
        <w:rPr>
          <w:color w:val="000000" w:themeColor="text1"/>
        </w:rPr>
        <w:t xml:space="preserve"> </w:t>
      </w:r>
      <w:r>
        <w:rPr>
          <w:color w:val="000000" w:themeColor="text1"/>
        </w:rPr>
        <w:t xml:space="preserve">in Nineteenth Century Europe, </w:t>
      </w:r>
      <w:r w:rsidRPr="0065215D">
        <w:rPr>
          <w:i/>
          <w:color w:val="000000" w:themeColor="text1"/>
        </w:rPr>
        <w:t>Sociology of Education</w:t>
      </w:r>
      <w:r>
        <w:rPr>
          <w:color w:val="000000" w:themeColor="text1"/>
        </w:rPr>
        <w:t>, 62(4)</w:t>
      </w:r>
      <w:r w:rsidR="00E504AA">
        <w:rPr>
          <w:color w:val="000000" w:themeColor="text1"/>
        </w:rPr>
        <w:t xml:space="preserve">, pp. </w:t>
      </w:r>
      <w:r>
        <w:rPr>
          <w:color w:val="000000" w:themeColor="text1"/>
        </w:rPr>
        <w:t xml:space="preserve"> 277-288.</w:t>
      </w:r>
    </w:p>
    <w:p w14:paraId="63FFD2AE" w14:textId="77777777" w:rsidR="001325F1" w:rsidRDefault="001325F1" w:rsidP="003903A3">
      <w:pPr>
        <w:ind w:left="-397" w:right="-397"/>
        <w:jc w:val="both"/>
        <w:rPr>
          <w:color w:val="000000" w:themeColor="text1"/>
        </w:rPr>
      </w:pPr>
    </w:p>
    <w:p w14:paraId="68424F8D" w14:textId="77777777" w:rsidR="001325F1" w:rsidRPr="0015648D" w:rsidRDefault="001325F1" w:rsidP="003903A3">
      <w:pPr>
        <w:ind w:left="-397" w:right="-397"/>
        <w:jc w:val="both"/>
        <w:rPr>
          <w:color w:val="000000" w:themeColor="text1"/>
        </w:rPr>
      </w:pPr>
      <w:r>
        <w:rPr>
          <w:color w:val="000000" w:themeColor="text1"/>
        </w:rPr>
        <w:t xml:space="preserve">Standing, G. (2017), </w:t>
      </w:r>
      <w:r w:rsidRPr="001325F1">
        <w:rPr>
          <w:i/>
          <w:color w:val="000000" w:themeColor="text1"/>
        </w:rPr>
        <w:t>Basic Income,</w:t>
      </w:r>
      <w:r>
        <w:rPr>
          <w:color w:val="000000" w:themeColor="text1"/>
        </w:rPr>
        <w:t xml:space="preserve"> London: Penguin.</w:t>
      </w:r>
    </w:p>
    <w:p w14:paraId="52F2B51B" w14:textId="77777777" w:rsidR="001325F1" w:rsidRDefault="001325F1" w:rsidP="001325F1">
      <w:pPr>
        <w:ind w:right="-397"/>
        <w:jc w:val="both"/>
        <w:rPr>
          <w:color w:val="000000" w:themeColor="text1"/>
        </w:rPr>
      </w:pPr>
    </w:p>
    <w:p w14:paraId="441AA154" w14:textId="77777777" w:rsidR="003903A3" w:rsidRPr="0011102A" w:rsidRDefault="003903A3" w:rsidP="003903A3">
      <w:pPr>
        <w:ind w:left="-397" w:right="-397"/>
        <w:jc w:val="both"/>
        <w:rPr>
          <w:color w:val="000000" w:themeColor="text1"/>
        </w:rPr>
      </w:pPr>
      <w:r>
        <w:rPr>
          <w:color w:val="000000" w:themeColor="text1"/>
        </w:rPr>
        <w:t xml:space="preserve">Standing, Guy, </w:t>
      </w:r>
      <w:r w:rsidR="00A00248">
        <w:rPr>
          <w:color w:val="000000" w:themeColor="text1"/>
        </w:rPr>
        <w:t>(</w:t>
      </w:r>
      <w:r>
        <w:rPr>
          <w:color w:val="000000" w:themeColor="text1"/>
        </w:rPr>
        <w:t>2002</w:t>
      </w:r>
      <w:r w:rsidR="00A00248">
        <w:rPr>
          <w:color w:val="000000" w:themeColor="text1"/>
        </w:rPr>
        <w:t>)</w:t>
      </w:r>
      <w:r w:rsidRPr="0011102A">
        <w:rPr>
          <w:color w:val="000000" w:themeColor="text1"/>
        </w:rPr>
        <w:t xml:space="preserve">, </w:t>
      </w:r>
      <w:r w:rsidRPr="003C0239">
        <w:rPr>
          <w:i/>
          <w:color w:val="000000" w:themeColor="text1"/>
        </w:rPr>
        <w:t>Beyond the New Paternalism</w:t>
      </w:r>
      <w:r w:rsidRPr="0011102A">
        <w:rPr>
          <w:color w:val="000000" w:themeColor="text1"/>
        </w:rPr>
        <w:t>, London: Verso.</w:t>
      </w:r>
    </w:p>
    <w:p w14:paraId="4CABE929" w14:textId="77777777" w:rsidR="00CC0701" w:rsidRPr="00CC0701" w:rsidRDefault="00CC0701" w:rsidP="00CC0701">
      <w:pPr>
        <w:ind w:right="-397"/>
        <w:jc w:val="both"/>
        <w:rPr>
          <w:color w:val="000000" w:themeColor="text1"/>
        </w:rPr>
      </w:pPr>
    </w:p>
    <w:p w14:paraId="7A1C94F8" w14:textId="77777777" w:rsidR="00CC0701" w:rsidRPr="00CC0701" w:rsidRDefault="00CC0701" w:rsidP="00CC0701">
      <w:pPr>
        <w:ind w:left="-397" w:right="-397"/>
        <w:jc w:val="both"/>
        <w:rPr>
          <w:color w:val="000000" w:themeColor="text1"/>
        </w:rPr>
      </w:pPr>
      <w:proofErr w:type="spellStart"/>
      <w:r w:rsidRPr="00CC0701">
        <w:rPr>
          <w:color w:val="000000" w:themeColor="text1"/>
        </w:rPr>
        <w:t>Steinmo</w:t>
      </w:r>
      <w:proofErr w:type="spellEnd"/>
      <w:r w:rsidRPr="00CC0701">
        <w:rPr>
          <w:color w:val="000000" w:themeColor="text1"/>
        </w:rPr>
        <w:t xml:space="preserve">, S.H., </w:t>
      </w:r>
      <w:r w:rsidR="00A00248">
        <w:rPr>
          <w:color w:val="000000" w:themeColor="text1"/>
        </w:rPr>
        <w:t>(</w:t>
      </w:r>
      <w:r w:rsidRPr="00CC0701">
        <w:rPr>
          <w:color w:val="000000" w:themeColor="text1"/>
        </w:rPr>
        <w:t>2018</w:t>
      </w:r>
      <w:r w:rsidR="00A00248">
        <w:rPr>
          <w:color w:val="000000" w:themeColor="text1"/>
        </w:rPr>
        <w:t>)</w:t>
      </w:r>
      <w:r w:rsidRPr="00CC0701">
        <w:rPr>
          <w:color w:val="000000" w:themeColor="text1"/>
        </w:rPr>
        <w:t xml:space="preserve">, </w:t>
      </w:r>
      <w:r w:rsidRPr="0065215D">
        <w:rPr>
          <w:i/>
          <w:color w:val="000000" w:themeColor="text1"/>
        </w:rPr>
        <w:t>The Leap of Faith</w:t>
      </w:r>
      <w:r w:rsidRPr="00CC0701">
        <w:rPr>
          <w:color w:val="000000" w:themeColor="text1"/>
        </w:rPr>
        <w:t>, Oxford: Oxford University Press </w:t>
      </w:r>
    </w:p>
    <w:p w14:paraId="358BEE72" w14:textId="77777777" w:rsidR="003903A3" w:rsidRDefault="003903A3" w:rsidP="00CC0701">
      <w:pPr>
        <w:ind w:right="-397"/>
        <w:jc w:val="both"/>
        <w:rPr>
          <w:color w:val="000000" w:themeColor="text1"/>
        </w:rPr>
      </w:pPr>
    </w:p>
    <w:p w14:paraId="54476B19" w14:textId="77777777" w:rsidR="003903A3" w:rsidRDefault="003903A3" w:rsidP="003903A3">
      <w:pPr>
        <w:ind w:left="-397" w:right="-397"/>
        <w:jc w:val="both"/>
        <w:rPr>
          <w:color w:val="000000" w:themeColor="text1"/>
        </w:rPr>
      </w:pPr>
      <w:proofErr w:type="spellStart"/>
      <w:r>
        <w:rPr>
          <w:color w:val="000000" w:themeColor="text1"/>
        </w:rPr>
        <w:t>Steinmo</w:t>
      </w:r>
      <w:proofErr w:type="spellEnd"/>
      <w:r>
        <w:rPr>
          <w:color w:val="000000" w:themeColor="text1"/>
        </w:rPr>
        <w:t xml:space="preserve">, Sven, </w:t>
      </w:r>
      <w:r w:rsidR="00A00248">
        <w:rPr>
          <w:color w:val="000000" w:themeColor="text1"/>
        </w:rPr>
        <w:t>(</w:t>
      </w:r>
      <w:r>
        <w:rPr>
          <w:color w:val="000000" w:themeColor="text1"/>
        </w:rPr>
        <w:t>2010</w:t>
      </w:r>
      <w:r w:rsidR="00A00248">
        <w:rPr>
          <w:color w:val="000000" w:themeColor="text1"/>
        </w:rPr>
        <w:t>)</w:t>
      </w:r>
      <w:r>
        <w:rPr>
          <w:color w:val="000000" w:themeColor="text1"/>
        </w:rPr>
        <w:t xml:space="preserve">, </w:t>
      </w:r>
      <w:r w:rsidRPr="003C0239">
        <w:rPr>
          <w:i/>
          <w:color w:val="000000" w:themeColor="text1"/>
        </w:rPr>
        <w:t>The Evolution of Modern States</w:t>
      </w:r>
      <w:r>
        <w:rPr>
          <w:color w:val="000000" w:themeColor="text1"/>
        </w:rPr>
        <w:t>, Cambridge: Cambridge University Press.</w:t>
      </w:r>
    </w:p>
    <w:p w14:paraId="52E47632" w14:textId="77777777" w:rsidR="00503AD2" w:rsidRDefault="00503AD2" w:rsidP="002F1695">
      <w:pPr>
        <w:ind w:right="-397"/>
        <w:jc w:val="both"/>
        <w:rPr>
          <w:rFonts w:eastAsiaTheme="minorHAnsi"/>
          <w:color w:val="000000" w:themeColor="text1"/>
          <w:lang w:eastAsia="en-US"/>
        </w:rPr>
      </w:pPr>
    </w:p>
    <w:p w14:paraId="21974D62" w14:textId="77777777" w:rsidR="00503AD2" w:rsidRDefault="00503AD2" w:rsidP="003903A3">
      <w:pPr>
        <w:ind w:left="-397" w:right="-397"/>
        <w:jc w:val="both"/>
        <w:rPr>
          <w:rFonts w:eastAsiaTheme="minorHAnsi"/>
          <w:color w:val="000000" w:themeColor="text1"/>
          <w:lang w:eastAsia="en-US"/>
        </w:rPr>
      </w:pPr>
      <w:proofErr w:type="spellStart"/>
      <w:r>
        <w:rPr>
          <w:rFonts w:eastAsiaTheme="minorHAnsi"/>
          <w:color w:val="000000" w:themeColor="text1"/>
          <w:lang w:eastAsia="en-US"/>
        </w:rPr>
        <w:t>Streeck</w:t>
      </w:r>
      <w:proofErr w:type="spellEnd"/>
      <w:r>
        <w:rPr>
          <w:rFonts w:eastAsiaTheme="minorHAnsi"/>
          <w:color w:val="000000" w:themeColor="text1"/>
          <w:lang w:eastAsia="en-US"/>
        </w:rPr>
        <w:t xml:space="preserve">, W. and </w:t>
      </w:r>
      <w:proofErr w:type="spellStart"/>
      <w:r>
        <w:rPr>
          <w:rFonts w:eastAsiaTheme="minorHAnsi"/>
          <w:color w:val="000000" w:themeColor="text1"/>
          <w:lang w:eastAsia="en-US"/>
        </w:rPr>
        <w:t>Thel</w:t>
      </w:r>
      <w:r w:rsidR="0065215D">
        <w:rPr>
          <w:rFonts w:eastAsiaTheme="minorHAnsi"/>
          <w:color w:val="000000" w:themeColor="text1"/>
          <w:lang w:eastAsia="en-US"/>
        </w:rPr>
        <w:t>en</w:t>
      </w:r>
      <w:proofErr w:type="spellEnd"/>
      <w:r w:rsidR="0065215D">
        <w:rPr>
          <w:rFonts w:eastAsiaTheme="minorHAnsi"/>
          <w:color w:val="000000" w:themeColor="text1"/>
          <w:lang w:eastAsia="en-US"/>
        </w:rPr>
        <w:t>, K. (2005), ‘Introduction</w:t>
      </w:r>
      <w:proofErr w:type="gramStart"/>
      <w:r w:rsidR="0065215D">
        <w:rPr>
          <w:rFonts w:eastAsiaTheme="minorHAnsi"/>
          <w:color w:val="000000" w:themeColor="text1"/>
          <w:lang w:eastAsia="en-US"/>
        </w:rPr>
        <w:t xml:space="preserve">’, </w:t>
      </w:r>
      <w:r>
        <w:rPr>
          <w:rFonts w:eastAsiaTheme="minorHAnsi"/>
          <w:color w:val="000000" w:themeColor="text1"/>
          <w:lang w:eastAsia="en-US"/>
        </w:rPr>
        <w:t xml:space="preserve"> </w:t>
      </w:r>
      <w:r w:rsidRPr="0065215D">
        <w:rPr>
          <w:rFonts w:eastAsiaTheme="minorHAnsi"/>
          <w:i/>
          <w:color w:val="000000" w:themeColor="text1"/>
          <w:lang w:eastAsia="en-US"/>
        </w:rPr>
        <w:t>Beyond</w:t>
      </w:r>
      <w:proofErr w:type="gramEnd"/>
      <w:r w:rsidRPr="0065215D">
        <w:rPr>
          <w:rFonts w:eastAsiaTheme="minorHAnsi"/>
          <w:i/>
          <w:color w:val="000000" w:themeColor="text1"/>
          <w:lang w:eastAsia="en-US"/>
        </w:rPr>
        <w:t xml:space="preserve"> Continuity</w:t>
      </w:r>
      <w:r>
        <w:rPr>
          <w:rFonts w:eastAsiaTheme="minorHAnsi"/>
          <w:color w:val="000000" w:themeColor="text1"/>
          <w:lang w:eastAsia="en-US"/>
        </w:rPr>
        <w:t xml:space="preserve">, W. </w:t>
      </w:r>
      <w:proofErr w:type="spellStart"/>
      <w:r>
        <w:rPr>
          <w:rFonts w:eastAsiaTheme="minorHAnsi"/>
          <w:color w:val="000000" w:themeColor="text1"/>
          <w:lang w:eastAsia="en-US"/>
        </w:rPr>
        <w:t>Streeck</w:t>
      </w:r>
      <w:proofErr w:type="spellEnd"/>
      <w:r>
        <w:rPr>
          <w:rFonts w:eastAsiaTheme="minorHAnsi"/>
          <w:color w:val="000000" w:themeColor="text1"/>
          <w:lang w:eastAsia="en-US"/>
        </w:rPr>
        <w:t xml:space="preserve"> and K. </w:t>
      </w:r>
      <w:proofErr w:type="spellStart"/>
      <w:r>
        <w:rPr>
          <w:rFonts w:eastAsiaTheme="minorHAnsi"/>
          <w:color w:val="000000" w:themeColor="text1"/>
          <w:lang w:eastAsia="en-US"/>
        </w:rPr>
        <w:t>Thelen</w:t>
      </w:r>
      <w:proofErr w:type="spellEnd"/>
      <w:r>
        <w:rPr>
          <w:rFonts w:eastAsiaTheme="minorHAnsi"/>
          <w:color w:val="000000" w:themeColor="text1"/>
          <w:lang w:eastAsia="en-US"/>
        </w:rPr>
        <w:t xml:space="preserve"> (Eds.) Oxford: Oxford University Press.</w:t>
      </w:r>
    </w:p>
    <w:p w14:paraId="44806DAF" w14:textId="77777777" w:rsidR="005332C1" w:rsidRDefault="005332C1" w:rsidP="003903A3">
      <w:pPr>
        <w:ind w:left="-397" w:right="-397"/>
        <w:jc w:val="both"/>
        <w:rPr>
          <w:rFonts w:eastAsiaTheme="minorHAnsi"/>
          <w:color w:val="000000" w:themeColor="text1"/>
          <w:lang w:eastAsia="en-US"/>
        </w:rPr>
      </w:pPr>
    </w:p>
    <w:p w14:paraId="0DFCBE8D" w14:textId="77777777" w:rsidR="00707045" w:rsidRDefault="005332C1" w:rsidP="003903A3">
      <w:pPr>
        <w:ind w:left="-397" w:right="-397"/>
        <w:jc w:val="both"/>
        <w:rPr>
          <w:rFonts w:eastAsiaTheme="minorHAnsi"/>
          <w:color w:val="000000" w:themeColor="text1"/>
          <w:lang w:eastAsia="en-US"/>
        </w:rPr>
      </w:pPr>
      <w:proofErr w:type="spellStart"/>
      <w:r>
        <w:rPr>
          <w:rFonts w:eastAsiaTheme="minorHAnsi"/>
          <w:color w:val="000000" w:themeColor="text1"/>
          <w:lang w:eastAsia="en-US"/>
        </w:rPr>
        <w:t>Streeck</w:t>
      </w:r>
      <w:proofErr w:type="spellEnd"/>
      <w:r>
        <w:rPr>
          <w:rFonts w:eastAsiaTheme="minorHAnsi"/>
          <w:color w:val="000000" w:themeColor="text1"/>
          <w:lang w:eastAsia="en-US"/>
        </w:rPr>
        <w:t xml:space="preserve">, W. and </w:t>
      </w:r>
      <w:proofErr w:type="spellStart"/>
      <w:r>
        <w:rPr>
          <w:rFonts w:eastAsiaTheme="minorHAnsi"/>
          <w:color w:val="000000" w:themeColor="text1"/>
          <w:lang w:eastAsia="en-US"/>
        </w:rPr>
        <w:t>Sch</w:t>
      </w:r>
      <w:r>
        <w:rPr>
          <w:rFonts w:eastAsiaTheme="minorHAnsi" w:cs="Times New Roman"/>
          <w:color w:val="000000" w:themeColor="text1"/>
          <w:lang w:eastAsia="en-US"/>
        </w:rPr>
        <w:t>ä</w:t>
      </w:r>
      <w:r>
        <w:rPr>
          <w:rFonts w:eastAsiaTheme="minorHAnsi"/>
          <w:color w:val="000000" w:themeColor="text1"/>
          <w:lang w:eastAsia="en-US"/>
        </w:rPr>
        <w:t>fer</w:t>
      </w:r>
      <w:proofErr w:type="spellEnd"/>
      <w:r>
        <w:rPr>
          <w:rFonts w:eastAsiaTheme="minorHAnsi"/>
          <w:color w:val="000000" w:themeColor="text1"/>
          <w:lang w:eastAsia="en-US"/>
        </w:rPr>
        <w:t>, A., 2013, (Eds.) Politics in the Age of Austerity, Polity.</w:t>
      </w:r>
    </w:p>
    <w:p w14:paraId="3426D0E2" w14:textId="77777777" w:rsidR="00707045" w:rsidRPr="00900526" w:rsidRDefault="00707045" w:rsidP="00707045">
      <w:pPr>
        <w:spacing w:before="100" w:beforeAutospacing="1" w:after="100" w:afterAutospacing="1"/>
        <w:ind w:left="-397" w:right="-397"/>
        <w:jc w:val="both"/>
        <w:rPr>
          <w:rFonts w:cs="Times New Roman"/>
          <w:i/>
          <w:color w:val="000000" w:themeColor="text1"/>
        </w:rPr>
      </w:pPr>
      <w:r>
        <w:rPr>
          <w:rFonts w:cs="Times New Roman"/>
          <w:color w:val="000000" w:themeColor="text1"/>
        </w:rPr>
        <w:t xml:space="preserve">Sutton Trust, (2007), </w:t>
      </w:r>
      <w:r w:rsidRPr="00712485">
        <w:rPr>
          <w:rFonts w:cs="Times New Roman"/>
          <w:i/>
          <w:color w:val="000000" w:themeColor="text1"/>
        </w:rPr>
        <w:t>The Educational backgrounds of 500 leading Figures</w:t>
      </w:r>
    </w:p>
    <w:p w14:paraId="34513ABE" w14:textId="77777777" w:rsidR="003903A3" w:rsidRPr="00384FA1" w:rsidRDefault="003903A3" w:rsidP="003903A3">
      <w:pPr>
        <w:spacing w:before="100" w:beforeAutospacing="1" w:after="100" w:afterAutospacing="1"/>
        <w:ind w:left="-397" w:right="-397"/>
        <w:jc w:val="both"/>
        <w:rPr>
          <w:rFonts w:cs="Times New Roman"/>
          <w:i/>
          <w:color w:val="000000" w:themeColor="text1"/>
        </w:rPr>
      </w:pPr>
      <w:r>
        <w:rPr>
          <w:rFonts w:cs="Times New Roman"/>
          <w:color w:val="000000" w:themeColor="text1"/>
        </w:rPr>
        <w:t xml:space="preserve">Sutton Trust, </w:t>
      </w:r>
      <w:r w:rsidR="00A00248">
        <w:rPr>
          <w:rFonts w:cs="Times New Roman"/>
          <w:color w:val="000000" w:themeColor="text1"/>
        </w:rPr>
        <w:t>(</w:t>
      </w:r>
      <w:r>
        <w:rPr>
          <w:rFonts w:cs="Times New Roman"/>
          <w:color w:val="000000" w:themeColor="text1"/>
        </w:rPr>
        <w:t>2014a</w:t>
      </w:r>
      <w:r w:rsidR="00A00248">
        <w:rPr>
          <w:rFonts w:cs="Times New Roman"/>
          <w:color w:val="000000" w:themeColor="text1"/>
        </w:rPr>
        <w:t>)</w:t>
      </w:r>
      <w:r>
        <w:rPr>
          <w:rFonts w:cs="Times New Roman"/>
          <w:color w:val="000000" w:themeColor="text1"/>
        </w:rPr>
        <w:t xml:space="preserve">, </w:t>
      </w:r>
      <w:r>
        <w:rPr>
          <w:rFonts w:cs="Times New Roman"/>
          <w:i/>
          <w:color w:val="000000" w:themeColor="text1"/>
        </w:rPr>
        <w:t xml:space="preserve">Ability Groups and Too Much Praise </w:t>
      </w:r>
      <w:proofErr w:type="gramStart"/>
      <w:r>
        <w:rPr>
          <w:rFonts w:cs="Times New Roman"/>
          <w:i/>
          <w:color w:val="000000" w:themeColor="text1"/>
        </w:rPr>
        <w:t>can</w:t>
      </w:r>
      <w:proofErr w:type="gramEnd"/>
      <w:r>
        <w:rPr>
          <w:rFonts w:cs="Times New Roman"/>
          <w:i/>
          <w:color w:val="000000" w:themeColor="text1"/>
        </w:rPr>
        <w:t xml:space="preserve"> Harm students, </w:t>
      </w:r>
      <w:r w:rsidRPr="00384FA1">
        <w:rPr>
          <w:rFonts w:cs="Times New Roman"/>
          <w:color w:val="000000" w:themeColor="text1"/>
        </w:rPr>
        <w:t>October.</w:t>
      </w:r>
    </w:p>
    <w:p w14:paraId="2B474E89" w14:textId="2243D28A" w:rsidR="003903A3" w:rsidRDefault="003903A3" w:rsidP="003903A3">
      <w:pPr>
        <w:spacing w:before="100" w:beforeAutospacing="1" w:after="100" w:afterAutospacing="1"/>
        <w:ind w:left="-397" w:right="-397"/>
        <w:jc w:val="both"/>
        <w:rPr>
          <w:rFonts w:cs="Times New Roman"/>
          <w:color w:val="000000" w:themeColor="text1"/>
        </w:rPr>
      </w:pPr>
      <w:r w:rsidRPr="00062FC6">
        <w:rPr>
          <w:rFonts w:cs="Times New Roman"/>
          <w:color w:val="000000" w:themeColor="text1"/>
        </w:rPr>
        <w:t xml:space="preserve">Sutton Trust, </w:t>
      </w:r>
      <w:r w:rsidR="00A00248">
        <w:rPr>
          <w:rFonts w:cs="Times New Roman"/>
          <w:color w:val="000000" w:themeColor="text1"/>
        </w:rPr>
        <w:t>(</w:t>
      </w:r>
      <w:r w:rsidRPr="00062FC6">
        <w:rPr>
          <w:rFonts w:cs="Times New Roman"/>
          <w:color w:val="000000" w:themeColor="text1"/>
        </w:rPr>
        <w:t>2014</w:t>
      </w:r>
      <w:r>
        <w:rPr>
          <w:rFonts w:cs="Times New Roman"/>
          <w:color w:val="000000" w:themeColor="text1"/>
        </w:rPr>
        <w:t>b</w:t>
      </w:r>
      <w:r w:rsidR="00A00248">
        <w:rPr>
          <w:rFonts w:cs="Times New Roman"/>
          <w:color w:val="000000" w:themeColor="text1"/>
        </w:rPr>
        <w:t>)</w:t>
      </w:r>
      <w:r w:rsidRPr="00062FC6">
        <w:rPr>
          <w:rFonts w:cs="Times New Roman"/>
          <w:color w:val="000000" w:themeColor="text1"/>
        </w:rPr>
        <w:t xml:space="preserve">, </w:t>
      </w:r>
      <w:r w:rsidRPr="00062FC6">
        <w:rPr>
          <w:rFonts w:cs="Times New Roman"/>
          <w:i/>
          <w:color w:val="000000" w:themeColor="text1"/>
        </w:rPr>
        <w:t>Open Access</w:t>
      </w:r>
      <w:r w:rsidRPr="00062FC6">
        <w:rPr>
          <w:rFonts w:cs="Times New Roman"/>
          <w:color w:val="000000" w:themeColor="text1"/>
        </w:rPr>
        <w:t>,</w:t>
      </w:r>
      <w:r>
        <w:rPr>
          <w:rFonts w:cs="Times New Roman"/>
          <w:color w:val="000000" w:themeColor="text1"/>
        </w:rPr>
        <w:t xml:space="preserve"> June.</w:t>
      </w:r>
    </w:p>
    <w:p w14:paraId="3A45A3FA" w14:textId="1196DE05" w:rsidR="00900526" w:rsidRDefault="00900526" w:rsidP="00900526">
      <w:pPr>
        <w:spacing w:before="100" w:beforeAutospacing="1" w:after="100" w:afterAutospacing="1"/>
        <w:ind w:left="-397" w:right="-397"/>
        <w:jc w:val="both"/>
        <w:rPr>
          <w:color w:val="000000" w:themeColor="text1"/>
        </w:rPr>
      </w:pPr>
      <w:proofErr w:type="spellStart"/>
      <w:r>
        <w:rPr>
          <w:color w:val="000000" w:themeColor="text1"/>
        </w:rPr>
        <w:t>Svallfors</w:t>
      </w:r>
      <w:proofErr w:type="spellEnd"/>
      <w:r>
        <w:rPr>
          <w:color w:val="000000" w:themeColor="text1"/>
        </w:rPr>
        <w:t xml:space="preserve">, S., </w:t>
      </w:r>
      <w:r w:rsidR="00A00248">
        <w:rPr>
          <w:color w:val="000000" w:themeColor="text1"/>
        </w:rPr>
        <w:t>(</w:t>
      </w:r>
      <w:r>
        <w:rPr>
          <w:color w:val="000000" w:themeColor="text1"/>
        </w:rPr>
        <w:t>2011</w:t>
      </w:r>
      <w:r w:rsidR="00A00248">
        <w:rPr>
          <w:color w:val="000000" w:themeColor="text1"/>
        </w:rPr>
        <w:t>)</w:t>
      </w:r>
      <w:r w:rsidR="0065215D">
        <w:rPr>
          <w:color w:val="000000" w:themeColor="text1"/>
        </w:rPr>
        <w:t>, ‘A bedrock of Support?</w:t>
      </w:r>
      <w:r>
        <w:rPr>
          <w:color w:val="000000" w:themeColor="text1"/>
        </w:rPr>
        <w:t xml:space="preserve"> </w:t>
      </w:r>
      <w:r w:rsidRPr="0065215D">
        <w:rPr>
          <w:i/>
          <w:color w:val="000000" w:themeColor="text1"/>
        </w:rPr>
        <w:t>Social Policy and Administration</w:t>
      </w:r>
      <w:r>
        <w:rPr>
          <w:color w:val="000000" w:themeColor="text1"/>
        </w:rPr>
        <w:t>, 45</w:t>
      </w:r>
      <w:r w:rsidR="00E504AA">
        <w:rPr>
          <w:color w:val="000000" w:themeColor="text1"/>
        </w:rPr>
        <w:t>(</w:t>
      </w:r>
      <w:r>
        <w:rPr>
          <w:color w:val="000000" w:themeColor="text1"/>
        </w:rPr>
        <w:t>7</w:t>
      </w:r>
      <w:r w:rsidR="00E504AA">
        <w:rPr>
          <w:color w:val="000000" w:themeColor="text1"/>
        </w:rPr>
        <w:t>)</w:t>
      </w:r>
      <w:r>
        <w:rPr>
          <w:color w:val="000000" w:themeColor="text1"/>
        </w:rPr>
        <w:t xml:space="preserve">, </w:t>
      </w:r>
      <w:r w:rsidR="00E504AA">
        <w:rPr>
          <w:color w:val="000000" w:themeColor="text1"/>
        </w:rPr>
        <w:t xml:space="preserve">pp. </w:t>
      </w:r>
      <w:r>
        <w:rPr>
          <w:color w:val="000000" w:themeColor="text1"/>
        </w:rPr>
        <w:t>806-825.</w:t>
      </w:r>
    </w:p>
    <w:p w14:paraId="1CB07F7F" w14:textId="77777777" w:rsidR="00FF0B9E" w:rsidRDefault="00FF0B9E" w:rsidP="00FF0B9E">
      <w:pPr>
        <w:spacing w:before="100" w:beforeAutospacing="1" w:after="100" w:afterAutospacing="1"/>
        <w:ind w:left="-397" w:right="-397"/>
        <w:jc w:val="both"/>
        <w:rPr>
          <w:color w:val="000000" w:themeColor="text1"/>
        </w:rPr>
      </w:pPr>
      <w:r>
        <w:rPr>
          <w:color w:val="000000" w:themeColor="text1"/>
        </w:rPr>
        <w:t xml:space="preserve">Taylor, R.A. (2017), </w:t>
      </w:r>
      <w:r w:rsidRPr="00FF0B9E">
        <w:rPr>
          <w:i/>
          <w:color w:val="000000" w:themeColor="text1"/>
        </w:rPr>
        <w:t>Exit Left</w:t>
      </w:r>
      <w:r>
        <w:rPr>
          <w:color w:val="000000" w:themeColor="text1"/>
        </w:rPr>
        <w:t>, Oxford: Oxford University Press.</w:t>
      </w:r>
    </w:p>
    <w:p w14:paraId="3A17DE2A" w14:textId="63D014CB" w:rsidR="00B359B4" w:rsidRPr="00276019" w:rsidRDefault="00B359B4" w:rsidP="003903A3">
      <w:pPr>
        <w:spacing w:before="100" w:beforeAutospacing="1" w:after="100" w:afterAutospacing="1"/>
        <w:ind w:left="-397" w:right="-397"/>
        <w:jc w:val="both"/>
        <w:rPr>
          <w:rFonts w:cs="Times New Roman"/>
          <w:color w:val="000000" w:themeColor="text1"/>
          <w:lang w:val="da-DK"/>
        </w:rPr>
      </w:pPr>
      <w:proofErr w:type="spellStart"/>
      <w:r w:rsidRPr="00276019">
        <w:rPr>
          <w:rStyle w:val="surname"/>
          <w:rFonts w:cs="Times New Roman"/>
          <w:color w:val="333333"/>
          <w:bdr w:val="none" w:sz="0" w:space="0" w:color="auto" w:frame="1"/>
          <w:shd w:val="clear" w:color="auto" w:fill="FFFFFF"/>
          <w:lang w:val="da-DK"/>
        </w:rPr>
        <w:t>Tesfaye</w:t>
      </w:r>
      <w:proofErr w:type="spellEnd"/>
      <w:r w:rsidRPr="00276019">
        <w:rPr>
          <w:rStyle w:val="name"/>
          <w:rFonts w:cs="Times New Roman"/>
          <w:color w:val="333333"/>
          <w:bdr w:val="none" w:sz="0" w:space="0" w:color="auto" w:frame="1"/>
          <w:shd w:val="clear" w:color="auto" w:fill="FFFFFF"/>
          <w:lang w:val="da-DK"/>
        </w:rPr>
        <w:t>, </w:t>
      </w:r>
      <w:r w:rsidRPr="00276019">
        <w:rPr>
          <w:rStyle w:val="given-names"/>
          <w:rFonts w:cs="Times New Roman"/>
          <w:color w:val="333333"/>
          <w:bdr w:val="none" w:sz="0" w:space="0" w:color="auto" w:frame="1"/>
          <w:shd w:val="clear" w:color="auto" w:fill="FFFFFF"/>
          <w:lang w:val="da-DK"/>
        </w:rPr>
        <w:t>M.</w:t>
      </w:r>
      <w:r w:rsidRPr="00276019">
        <w:rPr>
          <w:rFonts w:cs="Times New Roman"/>
          <w:color w:val="333333"/>
          <w:shd w:val="clear" w:color="auto" w:fill="FFFFFF"/>
          <w:lang w:val="da-DK"/>
        </w:rPr>
        <w:t> (</w:t>
      </w:r>
      <w:r w:rsidRPr="00276019">
        <w:rPr>
          <w:rStyle w:val="year"/>
          <w:rFonts w:cs="Times New Roman"/>
          <w:color w:val="333333"/>
          <w:bdr w:val="none" w:sz="0" w:space="0" w:color="auto" w:frame="1"/>
          <w:shd w:val="clear" w:color="auto" w:fill="FFFFFF"/>
          <w:lang w:val="da-DK"/>
        </w:rPr>
        <w:t>2013</w:t>
      </w:r>
      <w:r w:rsidRPr="00276019">
        <w:rPr>
          <w:rFonts w:cs="Times New Roman"/>
          <w:color w:val="333333"/>
          <w:shd w:val="clear" w:color="auto" w:fill="FFFFFF"/>
          <w:lang w:val="da-DK"/>
        </w:rPr>
        <w:t>) </w:t>
      </w:r>
      <w:r w:rsidRPr="00276019">
        <w:rPr>
          <w:rStyle w:val="source"/>
          <w:rFonts w:cs="Times New Roman"/>
          <w:i/>
          <w:iCs/>
          <w:color w:val="333333"/>
          <w:bdr w:val="none" w:sz="0" w:space="0" w:color="auto" w:frame="1"/>
          <w:shd w:val="clear" w:color="auto" w:fill="FFFFFF"/>
          <w:lang w:val="da-DK"/>
        </w:rPr>
        <w:t>Kloge Hænder</w:t>
      </w:r>
      <w:r w:rsidRPr="00276019">
        <w:rPr>
          <w:rFonts w:cs="Times New Roman"/>
          <w:color w:val="333333"/>
          <w:shd w:val="clear" w:color="auto" w:fill="FFFFFF"/>
          <w:lang w:val="da-DK"/>
        </w:rPr>
        <w:t>, </w:t>
      </w:r>
      <w:r w:rsidRPr="00276019">
        <w:rPr>
          <w:rStyle w:val="publisher-loc"/>
          <w:rFonts w:cs="Times New Roman"/>
          <w:color w:val="333333"/>
          <w:bdr w:val="none" w:sz="0" w:space="0" w:color="auto" w:frame="1"/>
          <w:shd w:val="clear" w:color="auto" w:fill="FFFFFF"/>
          <w:lang w:val="da-DK"/>
        </w:rPr>
        <w:t>Copenhagen</w:t>
      </w:r>
      <w:r w:rsidRPr="00276019">
        <w:rPr>
          <w:rFonts w:cs="Times New Roman"/>
          <w:color w:val="333333"/>
          <w:shd w:val="clear" w:color="auto" w:fill="FFFFFF"/>
          <w:lang w:val="da-DK"/>
        </w:rPr>
        <w:t>: </w:t>
      </w:r>
      <w:r w:rsidRPr="00276019">
        <w:rPr>
          <w:rStyle w:val="publisher-name"/>
          <w:rFonts w:cs="Times New Roman"/>
          <w:color w:val="333333"/>
          <w:bdr w:val="none" w:sz="0" w:space="0" w:color="auto" w:frame="1"/>
          <w:shd w:val="clear" w:color="auto" w:fill="FFFFFF"/>
          <w:lang w:val="da-DK"/>
        </w:rPr>
        <w:t>Gyldendal</w:t>
      </w:r>
    </w:p>
    <w:p w14:paraId="40B2BF7C" w14:textId="77777777" w:rsidR="003903A3" w:rsidRDefault="003903A3" w:rsidP="003903A3">
      <w:pPr>
        <w:spacing w:before="100" w:beforeAutospacing="1" w:after="100" w:afterAutospacing="1"/>
        <w:ind w:left="-397" w:right="-397"/>
        <w:jc w:val="both"/>
        <w:rPr>
          <w:color w:val="000000"/>
        </w:rPr>
      </w:pPr>
      <w:r w:rsidRPr="00B359B4">
        <w:rPr>
          <w:rFonts w:cs="Times New Roman"/>
          <w:color w:val="000000" w:themeColor="text1"/>
        </w:rPr>
        <w:t xml:space="preserve">The Economist, </w:t>
      </w:r>
      <w:r w:rsidR="00A00248">
        <w:rPr>
          <w:rFonts w:cs="Times New Roman"/>
          <w:color w:val="000000" w:themeColor="text1"/>
        </w:rPr>
        <w:t>(</w:t>
      </w:r>
      <w:r w:rsidRPr="00B359B4">
        <w:rPr>
          <w:rFonts w:cs="Times New Roman"/>
          <w:color w:val="000000" w:themeColor="text1"/>
        </w:rPr>
        <w:t>2014</w:t>
      </w:r>
      <w:r w:rsidR="00A00248">
        <w:rPr>
          <w:rFonts w:cs="Times New Roman"/>
          <w:color w:val="000000" w:themeColor="text1"/>
        </w:rPr>
        <w:t>)</w:t>
      </w:r>
      <w:r w:rsidRPr="00AA5411">
        <w:rPr>
          <w:color w:val="000000" w:themeColor="text1"/>
        </w:rPr>
        <w:t xml:space="preserve">, Special </w:t>
      </w:r>
      <w:r>
        <w:rPr>
          <w:color w:val="000000"/>
        </w:rPr>
        <w:t xml:space="preserve">Report: The World Economy, </w:t>
      </w:r>
      <w:r w:rsidRPr="001410C7">
        <w:rPr>
          <w:color w:val="806000" w:themeColor="accent4" w:themeShade="80"/>
        </w:rPr>
        <w:t>October 4</w:t>
      </w:r>
      <w:r w:rsidRPr="001410C7">
        <w:rPr>
          <w:color w:val="806000" w:themeColor="accent4" w:themeShade="80"/>
          <w:vertAlign w:val="superscript"/>
        </w:rPr>
        <w:t>th</w:t>
      </w:r>
      <w:r w:rsidRPr="001410C7">
        <w:rPr>
          <w:color w:val="806000" w:themeColor="accent4" w:themeShade="80"/>
        </w:rPr>
        <w:t>-10</w:t>
      </w:r>
      <w:r w:rsidRPr="001410C7">
        <w:rPr>
          <w:color w:val="806000" w:themeColor="accent4" w:themeShade="80"/>
          <w:vertAlign w:val="superscript"/>
        </w:rPr>
        <w:t>th</w:t>
      </w:r>
      <w:r>
        <w:rPr>
          <w:color w:val="806000" w:themeColor="accent4" w:themeShade="80"/>
        </w:rPr>
        <w:t>.</w:t>
      </w:r>
    </w:p>
    <w:p w14:paraId="2468C3CD" w14:textId="40EA4810" w:rsidR="00C95E85" w:rsidRPr="0065215D" w:rsidRDefault="003903A3" w:rsidP="00FE2AEF">
      <w:pPr>
        <w:spacing w:before="100" w:beforeAutospacing="1" w:after="100" w:afterAutospacing="1"/>
        <w:ind w:left="-397" w:right="-397"/>
        <w:jc w:val="both"/>
        <w:rPr>
          <w:color w:val="000000"/>
        </w:rPr>
      </w:pPr>
      <w:r>
        <w:rPr>
          <w:color w:val="000000"/>
        </w:rPr>
        <w:t xml:space="preserve">The Family and Childcare Trust Annual Report </w:t>
      </w:r>
      <w:r w:rsidR="00A00248">
        <w:rPr>
          <w:color w:val="000000"/>
        </w:rPr>
        <w:t>(</w:t>
      </w:r>
      <w:r>
        <w:rPr>
          <w:color w:val="000000"/>
        </w:rPr>
        <w:t>2014</w:t>
      </w:r>
      <w:r w:rsidR="00A00248">
        <w:rPr>
          <w:color w:val="000000"/>
        </w:rPr>
        <w:t>)</w:t>
      </w:r>
      <w:r>
        <w:rPr>
          <w:color w:val="000000"/>
        </w:rPr>
        <w:t xml:space="preserve">, United </w:t>
      </w:r>
      <w:r w:rsidRPr="0065215D">
        <w:rPr>
          <w:color w:val="000000"/>
        </w:rPr>
        <w:t xml:space="preserve">Kingdom. </w:t>
      </w:r>
    </w:p>
    <w:p w14:paraId="622C5B73" w14:textId="77777777" w:rsidR="008E6FFD" w:rsidRDefault="00A00248" w:rsidP="003903A3">
      <w:pPr>
        <w:ind w:left="-397" w:right="-397"/>
        <w:rPr>
          <w:rFonts w:cs="Times New Roman"/>
        </w:rPr>
      </w:pPr>
      <w:proofErr w:type="spellStart"/>
      <w:r>
        <w:rPr>
          <w:rFonts w:cs="Times New Roman"/>
        </w:rPr>
        <w:t>Thelen</w:t>
      </w:r>
      <w:proofErr w:type="spellEnd"/>
      <w:r>
        <w:rPr>
          <w:rFonts w:cs="Times New Roman"/>
        </w:rPr>
        <w:t>, L., (2014),</w:t>
      </w:r>
      <w:r w:rsidR="008E6FFD">
        <w:rPr>
          <w:rFonts w:cs="Times New Roman"/>
        </w:rPr>
        <w:t xml:space="preserve"> </w:t>
      </w:r>
      <w:r w:rsidR="008E6FFD" w:rsidRPr="00A00248">
        <w:rPr>
          <w:rFonts w:cs="Times New Roman"/>
          <w:i/>
        </w:rPr>
        <w:t>Varieties of Liberalization,</w:t>
      </w:r>
      <w:r w:rsidR="008E6FFD">
        <w:rPr>
          <w:rFonts w:cs="Times New Roman"/>
        </w:rPr>
        <w:t xml:space="preserve"> Cambridge: Cambridge University press.</w:t>
      </w:r>
    </w:p>
    <w:p w14:paraId="5ABD2BA9" w14:textId="77777777" w:rsidR="008E6FFD" w:rsidRDefault="008E6FFD" w:rsidP="008E6FFD">
      <w:pPr>
        <w:ind w:right="-397"/>
        <w:rPr>
          <w:rFonts w:cs="Times New Roman"/>
        </w:rPr>
      </w:pPr>
    </w:p>
    <w:p w14:paraId="2640C6EA" w14:textId="77777777" w:rsidR="00C95E85" w:rsidRDefault="008E6FFD" w:rsidP="003903A3">
      <w:pPr>
        <w:ind w:left="-397" w:right="-397"/>
        <w:rPr>
          <w:rFonts w:cs="Times New Roman"/>
        </w:rPr>
      </w:pPr>
      <w:proofErr w:type="spellStart"/>
      <w:r>
        <w:rPr>
          <w:rFonts w:cs="Times New Roman"/>
        </w:rPr>
        <w:t>Thelen</w:t>
      </w:r>
      <w:proofErr w:type="spellEnd"/>
      <w:r>
        <w:rPr>
          <w:rFonts w:cs="Times New Roman"/>
        </w:rPr>
        <w:t xml:space="preserve">, K., </w:t>
      </w:r>
      <w:r w:rsidR="00A00248">
        <w:rPr>
          <w:rFonts w:cs="Times New Roman"/>
        </w:rPr>
        <w:t>(</w:t>
      </w:r>
      <w:r>
        <w:rPr>
          <w:rFonts w:cs="Times New Roman"/>
        </w:rPr>
        <w:t>2004</w:t>
      </w:r>
      <w:r w:rsidR="00A00248">
        <w:rPr>
          <w:rFonts w:cs="Times New Roman"/>
        </w:rPr>
        <w:t>)</w:t>
      </w:r>
      <w:r w:rsidR="00C95E85">
        <w:rPr>
          <w:rFonts w:cs="Times New Roman"/>
        </w:rPr>
        <w:t xml:space="preserve">, </w:t>
      </w:r>
      <w:r w:rsidR="00E619BF" w:rsidRPr="00A00248">
        <w:rPr>
          <w:rFonts w:cs="Times New Roman"/>
          <w:i/>
        </w:rPr>
        <w:t>How Institut</w:t>
      </w:r>
      <w:r w:rsidR="00A00248" w:rsidRPr="00A00248">
        <w:rPr>
          <w:rFonts w:cs="Times New Roman"/>
          <w:i/>
        </w:rPr>
        <w:t>ions Evolve</w:t>
      </w:r>
      <w:r w:rsidRPr="00A00248">
        <w:rPr>
          <w:rFonts w:cs="Times New Roman"/>
          <w:i/>
        </w:rPr>
        <w:t>,</w:t>
      </w:r>
      <w:r>
        <w:rPr>
          <w:rFonts w:cs="Times New Roman"/>
        </w:rPr>
        <w:t xml:space="preserve"> New York</w:t>
      </w:r>
      <w:r w:rsidR="00E619BF">
        <w:rPr>
          <w:rFonts w:cs="Times New Roman"/>
        </w:rPr>
        <w:t>: Cambridge University Press.</w:t>
      </w:r>
    </w:p>
    <w:p w14:paraId="1E1BD4A7" w14:textId="77777777" w:rsidR="00042BEA" w:rsidRDefault="00042BEA" w:rsidP="00FE2AEF">
      <w:pPr>
        <w:ind w:right="-397"/>
        <w:rPr>
          <w:rFonts w:cs="Times New Roman"/>
        </w:rPr>
      </w:pPr>
    </w:p>
    <w:p w14:paraId="2CB9D5BF" w14:textId="0C29ED2F" w:rsidR="003903A3" w:rsidRPr="00FE2AEF" w:rsidRDefault="00042BEA" w:rsidP="00FE2AEF">
      <w:pPr>
        <w:ind w:left="-397" w:right="-397"/>
      </w:pPr>
      <w:r>
        <w:rPr>
          <w:rFonts w:cs="Times New Roman"/>
        </w:rPr>
        <w:t xml:space="preserve">Tilly, C., </w:t>
      </w:r>
      <w:r w:rsidR="00A00248">
        <w:rPr>
          <w:rFonts w:cs="Times New Roman"/>
        </w:rPr>
        <w:t>(</w:t>
      </w:r>
      <w:r>
        <w:rPr>
          <w:rFonts w:cs="Times New Roman"/>
        </w:rPr>
        <w:t>1985</w:t>
      </w:r>
      <w:r w:rsidR="00A00248">
        <w:rPr>
          <w:rFonts w:cs="Times New Roman"/>
        </w:rPr>
        <w:t>)</w:t>
      </w:r>
      <w:r>
        <w:rPr>
          <w:rFonts w:cs="Times New Roman"/>
        </w:rPr>
        <w:t xml:space="preserve">, </w:t>
      </w:r>
      <w:r>
        <w:t>War Making and Sta</w:t>
      </w:r>
      <w:r w:rsidR="0065215D">
        <w:t>te Making as Organized Crime,</w:t>
      </w:r>
      <w:r>
        <w:t xml:space="preserve"> </w:t>
      </w:r>
      <w:r w:rsidRPr="00A00248">
        <w:rPr>
          <w:i/>
        </w:rPr>
        <w:t>Bringing the State</w:t>
      </w:r>
      <w:r w:rsidR="0065215D">
        <w:rPr>
          <w:i/>
        </w:rPr>
        <w:t xml:space="preserve"> Back In,</w:t>
      </w:r>
      <w:r w:rsidR="00FE2AEF">
        <w:t xml:space="preserve"> edited by Peter Evans et al</w:t>
      </w:r>
      <w:r>
        <w:t>, Cambridge: Cambridge University</w:t>
      </w:r>
      <w:r w:rsidR="00E504AA">
        <w:t>.</w:t>
      </w:r>
    </w:p>
    <w:p w14:paraId="7049DA5F" w14:textId="77777777" w:rsidR="00FE2AEF" w:rsidRDefault="00FE2AEF" w:rsidP="003903A3">
      <w:pPr>
        <w:ind w:left="-397" w:right="-397"/>
        <w:jc w:val="both"/>
        <w:rPr>
          <w:color w:val="000000" w:themeColor="text1"/>
        </w:rPr>
      </w:pPr>
    </w:p>
    <w:p w14:paraId="5C4B747B" w14:textId="77777777" w:rsidR="003903A3" w:rsidRDefault="003903A3" w:rsidP="003903A3">
      <w:pPr>
        <w:ind w:left="-397" w:right="-397"/>
        <w:jc w:val="both"/>
        <w:rPr>
          <w:color w:val="000000" w:themeColor="text1"/>
        </w:rPr>
      </w:pPr>
      <w:r w:rsidRPr="0011102A">
        <w:rPr>
          <w:color w:val="000000" w:themeColor="text1"/>
        </w:rPr>
        <w:t xml:space="preserve">van </w:t>
      </w:r>
      <w:proofErr w:type="spellStart"/>
      <w:r w:rsidRPr="0011102A">
        <w:rPr>
          <w:color w:val="000000" w:themeColor="text1"/>
        </w:rPr>
        <w:t>Parijs</w:t>
      </w:r>
      <w:proofErr w:type="spellEnd"/>
      <w:r w:rsidRPr="0011102A">
        <w:rPr>
          <w:color w:val="000000" w:themeColor="text1"/>
        </w:rPr>
        <w:t>, P</w:t>
      </w:r>
      <w:r>
        <w:rPr>
          <w:color w:val="000000" w:themeColor="text1"/>
        </w:rPr>
        <w:t xml:space="preserve">., </w:t>
      </w:r>
      <w:r w:rsidR="00A00248">
        <w:rPr>
          <w:color w:val="000000" w:themeColor="text1"/>
        </w:rPr>
        <w:t>(</w:t>
      </w:r>
      <w:r>
        <w:rPr>
          <w:color w:val="000000" w:themeColor="text1"/>
        </w:rPr>
        <w:t>1995</w:t>
      </w:r>
      <w:r w:rsidR="00A00248">
        <w:rPr>
          <w:color w:val="000000" w:themeColor="text1"/>
        </w:rPr>
        <w:t>)</w:t>
      </w:r>
      <w:r w:rsidRPr="0011102A">
        <w:rPr>
          <w:color w:val="000000" w:themeColor="text1"/>
        </w:rPr>
        <w:t xml:space="preserve">, </w:t>
      </w:r>
      <w:r w:rsidR="00FE2AEF">
        <w:rPr>
          <w:i/>
          <w:color w:val="000000" w:themeColor="text1"/>
        </w:rPr>
        <w:t>Real Freedom for All</w:t>
      </w:r>
      <w:r>
        <w:rPr>
          <w:color w:val="000000" w:themeColor="text1"/>
        </w:rPr>
        <w:t>, Oxford: Clarendon Press.</w:t>
      </w:r>
    </w:p>
    <w:p w14:paraId="55C08A31" w14:textId="77777777" w:rsidR="008C14C5" w:rsidRDefault="008C14C5" w:rsidP="000A7484">
      <w:pPr>
        <w:ind w:right="-397"/>
        <w:jc w:val="both"/>
        <w:rPr>
          <w:color w:val="000000" w:themeColor="text1"/>
        </w:rPr>
      </w:pPr>
    </w:p>
    <w:p w14:paraId="56826F23" w14:textId="530C132F" w:rsidR="0057049C" w:rsidRDefault="0057049C" w:rsidP="003903A3">
      <w:pPr>
        <w:ind w:left="-397" w:right="-397"/>
        <w:jc w:val="both"/>
        <w:rPr>
          <w:color w:val="000000" w:themeColor="text1"/>
        </w:rPr>
      </w:pPr>
      <w:proofErr w:type="spellStart"/>
      <w:r>
        <w:rPr>
          <w:color w:val="000000" w:themeColor="text1"/>
        </w:rPr>
        <w:t>Vanderborght</w:t>
      </w:r>
      <w:proofErr w:type="spellEnd"/>
      <w:r>
        <w:rPr>
          <w:color w:val="000000" w:themeColor="text1"/>
        </w:rPr>
        <w:t xml:space="preserve">, Y. and van </w:t>
      </w:r>
      <w:proofErr w:type="spellStart"/>
      <w:r>
        <w:rPr>
          <w:color w:val="000000" w:themeColor="text1"/>
        </w:rPr>
        <w:t>Parijs</w:t>
      </w:r>
      <w:proofErr w:type="spellEnd"/>
      <w:r>
        <w:rPr>
          <w:color w:val="000000" w:themeColor="text1"/>
        </w:rPr>
        <w:t xml:space="preserve">, P., </w:t>
      </w:r>
      <w:r w:rsidR="00A00248">
        <w:rPr>
          <w:color w:val="000000" w:themeColor="text1"/>
        </w:rPr>
        <w:t>(</w:t>
      </w:r>
      <w:r>
        <w:rPr>
          <w:color w:val="000000" w:themeColor="text1"/>
        </w:rPr>
        <w:t>2017</w:t>
      </w:r>
      <w:r w:rsidR="00A00248">
        <w:rPr>
          <w:color w:val="000000" w:themeColor="text1"/>
        </w:rPr>
        <w:t>)</w:t>
      </w:r>
      <w:r>
        <w:rPr>
          <w:color w:val="000000" w:themeColor="text1"/>
        </w:rPr>
        <w:t xml:space="preserve">, </w:t>
      </w:r>
      <w:r w:rsidRPr="0065215D">
        <w:rPr>
          <w:i/>
          <w:color w:val="000000" w:themeColor="text1"/>
        </w:rPr>
        <w:t>Basic I</w:t>
      </w:r>
      <w:r w:rsidR="00FE2AEF" w:rsidRPr="0065215D">
        <w:rPr>
          <w:i/>
          <w:color w:val="000000" w:themeColor="text1"/>
        </w:rPr>
        <w:t>ncome</w:t>
      </w:r>
      <w:r>
        <w:rPr>
          <w:color w:val="000000" w:themeColor="text1"/>
        </w:rPr>
        <w:t>, Massachusetts: Harvard University Press</w:t>
      </w:r>
    </w:p>
    <w:p w14:paraId="1148C46C" w14:textId="2FA42E9D" w:rsidR="00157369" w:rsidRDefault="00157369" w:rsidP="003903A3">
      <w:pPr>
        <w:ind w:left="-397" w:right="-397"/>
        <w:jc w:val="both"/>
        <w:rPr>
          <w:color w:val="000000" w:themeColor="text1"/>
        </w:rPr>
      </w:pPr>
    </w:p>
    <w:p w14:paraId="489D0C89" w14:textId="44682BF3" w:rsidR="00157369" w:rsidRDefault="00157369" w:rsidP="003903A3">
      <w:pPr>
        <w:ind w:left="-397" w:right="-397"/>
        <w:jc w:val="both"/>
        <w:rPr>
          <w:color w:val="000000" w:themeColor="text1"/>
        </w:rPr>
      </w:pPr>
      <w:r>
        <w:rPr>
          <w:color w:val="000000" w:themeColor="text1"/>
        </w:rPr>
        <w:t xml:space="preserve">White, S. 2003, </w:t>
      </w:r>
      <w:r w:rsidRPr="00157369">
        <w:rPr>
          <w:i/>
          <w:color w:val="000000" w:themeColor="text1"/>
        </w:rPr>
        <w:t>The Civic Minimum</w:t>
      </w:r>
      <w:r>
        <w:rPr>
          <w:color w:val="000000" w:themeColor="text1"/>
        </w:rPr>
        <w:t>, Oxford: Oxford University Press</w:t>
      </w:r>
    </w:p>
    <w:p w14:paraId="64EE7CC9" w14:textId="77777777" w:rsidR="008D5FE2" w:rsidRDefault="008D5FE2" w:rsidP="007A690F">
      <w:pPr>
        <w:ind w:right="-397"/>
        <w:jc w:val="both"/>
        <w:rPr>
          <w:color w:val="000000" w:themeColor="text1"/>
        </w:rPr>
      </w:pPr>
    </w:p>
    <w:p w14:paraId="6E01C4A7" w14:textId="77777777" w:rsidR="003C7537" w:rsidRDefault="008D5FE2" w:rsidP="003C7537">
      <w:pPr>
        <w:ind w:left="-397" w:right="-397"/>
        <w:jc w:val="both"/>
        <w:rPr>
          <w:color w:val="000000" w:themeColor="text1"/>
        </w:rPr>
      </w:pPr>
      <w:r>
        <w:t>Wickham et al</w:t>
      </w:r>
      <w:r w:rsidR="00500E35">
        <w:t>.</w:t>
      </w:r>
      <w:r>
        <w:t xml:space="preserve"> (2020), Effects on mental health of a UK w</w:t>
      </w:r>
      <w:r w:rsidR="0065215D">
        <w:t>elfare reform</w:t>
      </w:r>
      <w:r>
        <w:t xml:space="preserve">, </w:t>
      </w:r>
      <w:r w:rsidRPr="00A00248">
        <w:rPr>
          <w:i/>
        </w:rPr>
        <w:t>Lancet Public Health</w:t>
      </w:r>
      <w:r>
        <w:t xml:space="preserve"> </w:t>
      </w:r>
      <w:proofErr w:type="gramStart"/>
      <w:r>
        <w:t>2020</w:t>
      </w:r>
      <w:r w:rsidR="00E504AA">
        <w:t xml:space="preserve">, </w:t>
      </w:r>
      <w:r>
        <w:t xml:space="preserve"> 5</w:t>
      </w:r>
      <w:proofErr w:type="gramEnd"/>
      <w:r w:rsidR="00E504AA">
        <w:t xml:space="preserve">, pp. </w:t>
      </w:r>
      <w:r>
        <w:t>157–</w:t>
      </w:r>
      <w:r w:rsidR="00E504AA">
        <w:t>1</w:t>
      </w:r>
      <w:r>
        <w:t>64</w:t>
      </w:r>
    </w:p>
    <w:p w14:paraId="0172E2CE" w14:textId="77777777" w:rsidR="003C7537" w:rsidRDefault="003C7537" w:rsidP="003C7537">
      <w:pPr>
        <w:ind w:left="-397" w:right="-397"/>
        <w:jc w:val="both"/>
        <w:rPr>
          <w:color w:val="000000" w:themeColor="text1"/>
        </w:rPr>
      </w:pPr>
    </w:p>
    <w:p w14:paraId="7181BE7E" w14:textId="4DA7750C" w:rsidR="00730C59" w:rsidRDefault="003903A3" w:rsidP="003C7537">
      <w:pPr>
        <w:ind w:left="-397" w:right="-397"/>
        <w:jc w:val="both"/>
        <w:rPr>
          <w:color w:val="000000"/>
        </w:rPr>
      </w:pPr>
      <w:r>
        <w:rPr>
          <w:color w:val="000000"/>
        </w:rPr>
        <w:t xml:space="preserve">Williams, A., </w:t>
      </w:r>
      <w:r w:rsidR="00A00248">
        <w:rPr>
          <w:color w:val="000000"/>
        </w:rPr>
        <w:t>(</w:t>
      </w:r>
      <w:r>
        <w:rPr>
          <w:color w:val="000000"/>
        </w:rPr>
        <w:t>2008</w:t>
      </w:r>
      <w:r w:rsidR="00A00248">
        <w:rPr>
          <w:color w:val="000000"/>
        </w:rPr>
        <w:t>)</w:t>
      </w:r>
      <w:r>
        <w:rPr>
          <w:color w:val="000000"/>
        </w:rPr>
        <w:t xml:space="preserve">, Liberty, Equality and Property, in </w:t>
      </w:r>
      <w:r w:rsidR="00157369">
        <w:rPr>
          <w:color w:val="000000"/>
        </w:rPr>
        <w:t xml:space="preserve">John S </w:t>
      </w:r>
      <w:proofErr w:type="spellStart"/>
      <w:r w:rsidR="00157369">
        <w:rPr>
          <w:color w:val="000000"/>
        </w:rPr>
        <w:t>Dryzek</w:t>
      </w:r>
      <w:proofErr w:type="spellEnd"/>
      <w:r w:rsidRPr="004C4DF0">
        <w:rPr>
          <w:color w:val="000000"/>
        </w:rPr>
        <w:t xml:space="preserve"> </w:t>
      </w:r>
      <w:r w:rsidR="00900526">
        <w:rPr>
          <w:color w:val="000000"/>
        </w:rPr>
        <w:t xml:space="preserve">et al </w:t>
      </w:r>
      <w:r w:rsidRPr="004C4DF0">
        <w:rPr>
          <w:color w:val="000000"/>
        </w:rPr>
        <w:t xml:space="preserve">(eds.), </w:t>
      </w:r>
      <w:r w:rsidRPr="00051712">
        <w:rPr>
          <w:i/>
          <w:color w:val="000000"/>
        </w:rPr>
        <w:t>The Oxford Handbook of Political Theory</w:t>
      </w:r>
      <w:r>
        <w:rPr>
          <w:color w:val="000000"/>
        </w:rPr>
        <w:t xml:space="preserve">, </w:t>
      </w:r>
      <w:r w:rsidRPr="004C4DF0">
        <w:rPr>
          <w:color w:val="000000"/>
        </w:rPr>
        <w:t>Oxford</w:t>
      </w:r>
      <w:r>
        <w:rPr>
          <w:color w:val="000000"/>
        </w:rPr>
        <w:t>: Oxford University Press</w:t>
      </w:r>
      <w:r w:rsidRPr="004C4DF0">
        <w:rPr>
          <w:color w:val="000000"/>
        </w:rPr>
        <w:t xml:space="preserve">. </w:t>
      </w:r>
    </w:p>
    <w:p w14:paraId="157AE8BD" w14:textId="77777777" w:rsidR="00157369" w:rsidRPr="003C7537" w:rsidRDefault="00157369" w:rsidP="003C7537">
      <w:pPr>
        <w:ind w:left="-397" w:right="-397"/>
        <w:jc w:val="both"/>
        <w:rPr>
          <w:color w:val="000000" w:themeColor="text1"/>
        </w:rPr>
      </w:pPr>
    </w:p>
    <w:p w14:paraId="1975EBF3" w14:textId="77777777" w:rsidR="00730C59" w:rsidRDefault="00730C59" w:rsidP="003903A3">
      <w:pPr>
        <w:ind w:left="-397" w:right="-397"/>
        <w:jc w:val="both"/>
        <w:rPr>
          <w:color w:val="000000" w:themeColor="text1"/>
        </w:rPr>
      </w:pPr>
      <w:r>
        <w:rPr>
          <w:color w:val="000000" w:themeColor="text1"/>
        </w:rPr>
        <w:t xml:space="preserve">You, J-I., and Chang H-J, </w:t>
      </w:r>
      <w:r w:rsidR="00A00248">
        <w:rPr>
          <w:color w:val="000000" w:themeColor="text1"/>
        </w:rPr>
        <w:t>(</w:t>
      </w:r>
      <w:r>
        <w:rPr>
          <w:color w:val="000000" w:themeColor="text1"/>
        </w:rPr>
        <w:t>1993</w:t>
      </w:r>
      <w:r w:rsidR="00A00248">
        <w:rPr>
          <w:color w:val="000000" w:themeColor="text1"/>
        </w:rPr>
        <w:t>)</w:t>
      </w:r>
      <w:r>
        <w:rPr>
          <w:color w:val="000000" w:themeColor="text1"/>
        </w:rPr>
        <w:t xml:space="preserve">, The Myth of the Free Labour Market in Korea, </w:t>
      </w:r>
      <w:r w:rsidRPr="00A00248">
        <w:rPr>
          <w:i/>
          <w:color w:val="000000" w:themeColor="text1"/>
        </w:rPr>
        <w:t>Contributions to Political Economy</w:t>
      </w:r>
      <w:r>
        <w:rPr>
          <w:color w:val="000000" w:themeColor="text1"/>
        </w:rPr>
        <w:t>, 12, pp.26-49</w:t>
      </w:r>
    </w:p>
    <w:p w14:paraId="5BE98CA3" w14:textId="77777777" w:rsidR="003903A3" w:rsidRDefault="003903A3" w:rsidP="003903A3">
      <w:pPr>
        <w:ind w:left="-397" w:right="-397"/>
        <w:jc w:val="both"/>
        <w:rPr>
          <w:color w:val="000000" w:themeColor="text1"/>
        </w:rPr>
      </w:pPr>
    </w:p>
    <w:p w14:paraId="29C52E5F" w14:textId="77777777" w:rsidR="003903A3" w:rsidRDefault="009A5D08" w:rsidP="003903A3">
      <w:pPr>
        <w:ind w:left="-397" w:right="-397"/>
        <w:jc w:val="both"/>
        <w:rPr>
          <w:color w:val="000000" w:themeColor="text1"/>
        </w:rPr>
      </w:pPr>
      <w:r>
        <w:rPr>
          <w:color w:val="000000" w:themeColor="text1"/>
        </w:rPr>
        <w:t xml:space="preserve">Young, I. M., </w:t>
      </w:r>
      <w:r w:rsidR="00A00248">
        <w:rPr>
          <w:color w:val="000000" w:themeColor="text1"/>
        </w:rPr>
        <w:t>(</w:t>
      </w:r>
      <w:r>
        <w:rPr>
          <w:color w:val="000000" w:themeColor="text1"/>
        </w:rPr>
        <w:t>1990</w:t>
      </w:r>
      <w:r w:rsidR="00A00248">
        <w:rPr>
          <w:color w:val="000000" w:themeColor="text1"/>
        </w:rPr>
        <w:t>)</w:t>
      </w:r>
      <w:r w:rsidR="003903A3">
        <w:rPr>
          <w:color w:val="000000" w:themeColor="text1"/>
        </w:rPr>
        <w:t xml:space="preserve">, </w:t>
      </w:r>
      <w:r w:rsidR="003903A3" w:rsidRPr="00A00248">
        <w:rPr>
          <w:i/>
          <w:color w:val="000000" w:themeColor="text1"/>
        </w:rPr>
        <w:t>Justice and the Politics of Difference</w:t>
      </w:r>
      <w:r w:rsidR="003903A3">
        <w:rPr>
          <w:color w:val="000000" w:themeColor="text1"/>
        </w:rPr>
        <w:t>, Princeton University Press.</w:t>
      </w:r>
    </w:p>
    <w:p w14:paraId="0C90AE3C" w14:textId="77777777" w:rsidR="003903A3" w:rsidRDefault="003903A3" w:rsidP="003903A3">
      <w:pPr>
        <w:ind w:left="-397" w:right="-397"/>
        <w:jc w:val="both"/>
        <w:rPr>
          <w:color w:val="000000" w:themeColor="text1"/>
        </w:rPr>
      </w:pPr>
    </w:p>
    <w:p w14:paraId="2578DE5C" w14:textId="77777777" w:rsidR="00251936" w:rsidRDefault="00251936">
      <w:pPr>
        <w:spacing w:after="160" w:line="259" w:lineRule="auto"/>
        <w:rPr>
          <w:color w:val="000000" w:themeColor="text1"/>
        </w:rPr>
      </w:pPr>
    </w:p>
    <w:p w14:paraId="28F7297E" w14:textId="77777777" w:rsidR="003903A3" w:rsidRDefault="003903A3" w:rsidP="003903A3">
      <w:pPr>
        <w:rPr>
          <w:b/>
        </w:rPr>
      </w:pPr>
    </w:p>
    <w:p w14:paraId="2CFF97D9" w14:textId="77777777" w:rsidR="003903A3" w:rsidRDefault="003903A3" w:rsidP="003903A3">
      <w:pPr>
        <w:rPr>
          <w:b/>
        </w:rPr>
      </w:pPr>
    </w:p>
    <w:p w14:paraId="647127D6" w14:textId="77777777" w:rsidR="003903A3" w:rsidRDefault="003903A3" w:rsidP="003903A3">
      <w:pPr>
        <w:rPr>
          <w:b/>
        </w:rPr>
      </w:pPr>
      <w:r>
        <w:rPr>
          <w:b/>
        </w:rPr>
        <w:t>Diagrams, Graphs and Tables</w:t>
      </w:r>
    </w:p>
    <w:p w14:paraId="64122BEF" w14:textId="77777777" w:rsidR="003903A3" w:rsidRDefault="003903A3" w:rsidP="003903A3">
      <w:pPr>
        <w:rPr>
          <w:b/>
        </w:rPr>
      </w:pPr>
    </w:p>
    <w:p w14:paraId="282C5EF2" w14:textId="77777777" w:rsidR="003903A3" w:rsidRDefault="009357FD" w:rsidP="003903A3">
      <w:pPr>
        <w:rPr>
          <w:b/>
        </w:rPr>
      </w:pPr>
      <w:r w:rsidRPr="009357FD">
        <w:rPr>
          <w:b/>
          <w:noProof/>
          <w:lang w:eastAsia="en-GB" w:bidi="ar-SA"/>
        </w:rPr>
        <w:drawing>
          <wp:inline distT="0" distB="0" distL="0" distR="0" wp14:anchorId="3C133C96" wp14:editId="4908213B">
            <wp:extent cx="554355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44325" cy="3429479"/>
                    </a:xfrm>
                    <a:prstGeom prst="rect">
                      <a:avLst/>
                    </a:prstGeom>
                  </pic:spPr>
                </pic:pic>
              </a:graphicData>
            </a:graphic>
          </wp:inline>
        </w:drawing>
      </w:r>
    </w:p>
    <w:p w14:paraId="49432BB3" w14:textId="77777777" w:rsidR="003903A3" w:rsidRDefault="003903A3" w:rsidP="003903A3">
      <w:pPr>
        <w:rPr>
          <w:b/>
        </w:rPr>
      </w:pPr>
    </w:p>
    <w:p w14:paraId="30F05E4D" w14:textId="77777777" w:rsidR="003903A3" w:rsidRDefault="003903A3" w:rsidP="003903A3">
      <w:pPr>
        <w:rPr>
          <w:b/>
        </w:rPr>
      </w:pPr>
    </w:p>
    <w:p w14:paraId="105E7582" w14:textId="77777777" w:rsidR="003903A3" w:rsidRDefault="003903A3" w:rsidP="003903A3">
      <w:pPr>
        <w:rPr>
          <w:b/>
        </w:rPr>
      </w:pPr>
    </w:p>
    <w:p w14:paraId="12CEC549" w14:textId="77777777" w:rsidR="003903A3" w:rsidRDefault="003903A3" w:rsidP="003903A3">
      <w:pPr>
        <w:rPr>
          <w:b/>
        </w:rPr>
      </w:pPr>
    </w:p>
    <w:p w14:paraId="217338D2" w14:textId="77777777" w:rsidR="003903A3" w:rsidRDefault="003903A3" w:rsidP="003903A3">
      <w:pPr>
        <w:rPr>
          <w:b/>
        </w:rPr>
      </w:pPr>
    </w:p>
    <w:p w14:paraId="5C5785B6" w14:textId="77777777" w:rsidR="003903A3" w:rsidRDefault="009357FD" w:rsidP="003903A3">
      <w:pPr>
        <w:rPr>
          <w:b/>
        </w:rPr>
      </w:pPr>
      <w:r w:rsidRPr="009357FD">
        <w:rPr>
          <w:b/>
          <w:noProof/>
          <w:lang w:eastAsia="en-GB" w:bidi="ar-SA"/>
        </w:rPr>
        <w:drawing>
          <wp:inline distT="0" distB="0" distL="0" distR="0" wp14:anchorId="57EFACFF" wp14:editId="20CCA74D">
            <wp:extent cx="5619750" cy="3429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20535" cy="3429479"/>
                    </a:xfrm>
                    <a:prstGeom prst="rect">
                      <a:avLst/>
                    </a:prstGeom>
                  </pic:spPr>
                </pic:pic>
              </a:graphicData>
            </a:graphic>
          </wp:inline>
        </w:drawing>
      </w:r>
    </w:p>
    <w:p w14:paraId="24B18484" w14:textId="77777777" w:rsidR="003903A3" w:rsidRDefault="003903A3" w:rsidP="003903A3">
      <w:pPr>
        <w:rPr>
          <w:b/>
        </w:rPr>
      </w:pPr>
    </w:p>
    <w:p w14:paraId="493576EC" w14:textId="77777777" w:rsidR="003903A3" w:rsidRDefault="003903A3" w:rsidP="003903A3">
      <w:pPr>
        <w:rPr>
          <w:b/>
        </w:rPr>
      </w:pPr>
    </w:p>
    <w:p w14:paraId="232013B4" w14:textId="77777777" w:rsidR="003903A3" w:rsidRDefault="003903A3" w:rsidP="003903A3">
      <w:pPr>
        <w:rPr>
          <w:b/>
        </w:rPr>
      </w:pPr>
    </w:p>
    <w:p w14:paraId="20A09D4F" w14:textId="77777777" w:rsidR="003903A3" w:rsidRDefault="003903A3" w:rsidP="003903A3">
      <w:pPr>
        <w:rPr>
          <w:b/>
        </w:rPr>
      </w:pPr>
    </w:p>
    <w:p w14:paraId="4CBFAD06" w14:textId="77777777" w:rsidR="003903A3" w:rsidRDefault="003903A3" w:rsidP="003903A3">
      <w:pPr>
        <w:rPr>
          <w:b/>
        </w:rPr>
      </w:pPr>
    </w:p>
    <w:p w14:paraId="705DAA66" w14:textId="77777777" w:rsidR="003903A3" w:rsidRDefault="009357FD" w:rsidP="003903A3">
      <w:pPr>
        <w:rPr>
          <w:b/>
        </w:rPr>
      </w:pPr>
      <w:r w:rsidRPr="009357FD">
        <w:rPr>
          <w:b/>
          <w:noProof/>
          <w:lang w:eastAsia="en-GB" w:bidi="ar-SA"/>
        </w:rPr>
        <w:drawing>
          <wp:inline distT="0" distB="0" distL="0" distR="0" wp14:anchorId="663B07B1" wp14:editId="01A2FF86">
            <wp:extent cx="5648325" cy="3429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49114" cy="3429479"/>
                    </a:xfrm>
                    <a:prstGeom prst="rect">
                      <a:avLst/>
                    </a:prstGeom>
                  </pic:spPr>
                </pic:pic>
              </a:graphicData>
            </a:graphic>
          </wp:inline>
        </w:drawing>
      </w:r>
    </w:p>
    <w:p w14:paraId="545F087C" w14:textId="77777777" w:rsidR="003903A3" w:rsidRDefault="003903A3" w:rsidP="003903A3">
      <w:pPr>
        <w:rPr>
          <w:b/>
        </w:rPr>
      </w:pPr>
    </w:p>
    <w:p w14:paraId="5CD55995" w14:textId="77777777" w:rsidR="003903A3" w:rsidRDefault="003903A3" w:rsidP="003903A3">
      <w:pPr>
        <w:rPr>
          <w:b/>
        </w:rPr>
      </w:pPr>
    </w:p>
    <w:p w14:paraId="7FDA8F7A" w14:textId="77777777" w:rsidR="003903A3" w:rsidRDefault="003903A3" w:rsidP="003903A3">
      <w:pPr>
        <w:rPr>
          <w:b/>
        </w:rPr>
      </w:pPr>
    </w:p>
    <w:p w14:paraId="7EBF402A" w14:textId="77777777" w:rsidR="003903A3" w:rsidRDefault="003903A3" w:rsidP="003903A3">
      <w:pPr>
        <w:rPr>
          <w:b/>
        </w:rPr>
      </w:pPr>
    </w:p>
    <w:p w14:paraId="0A0D8D69" w14:textId="77777777" w:rsidR="003903A3" w:rsidRDefault="003903A3" w:rsidP="003903A3">
      <w:pPr>
        <w:rPr>
          <w:b/>
        </w:rPr>
      </w:pPr>
    </w:p>
    <w:p w14:paraId="44F6BC40" w14:textId="77777777" w:rsidR="003903A3" w:rsidRDefault="003903A3" w:rsidP="003903A3">
      <w:pPr>
        <w:rPr>
          <w:b/>
        </w:rPr>
      </w:pPr>
    </w:p>
    <w:p w14:paraId="48A0CB8D" w14:textId="77777777" w:rsidR="003903A3" w:rsidRDefault="009357FD" w:rsidP="003903A3">
      <w:pPr>
        <w:rPr>
          <w:b/>
        </w:rPr>
      </w:pPr>
      <w:r w:rsidRPr="009357FD">
        <w:rPr>
          <w:b/>
          <w:noProof/>
          <w:lang w:eastAsia="en-GB" w:bidi="ar-SA"/>
        </w:rPr>
        <w:drawing>
          <wp:inline distT="0" distB="0" distL="0" distR="0" wp14:anchorId="65317292" wp14:editId="35054267">
            <wp:extent cx="5591175" cy="3429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91956" cy="3429479"/>
                    </a:xfrm>
                    <a:prstGeom prst="rect">
                      <a:avLst/>
                    </a:prstGeom>
                  </pic:spPr>
                </pic:pic>
              </a:graphicData>
            </a:graphic>
          </wp:inline>
        </w:drawing>
      </w:r>
    </w:p>
    <w:p w14:paraId="5BADB411" w14:textId="77777777" w:rsidR="003903A3" w:rsidRDefault="003903A3" w:rsidP="003903A3">
      <w:pPr>
        <w:rPr>
          <w:b/>
        </w:rPr>
      </w:pPr>
    </w:p>
    <w:p w14:paraId="31E1D3D5" w14:textId="77777777" w:rsidR="003903A3" w:rsidRDefault="003903A3" w:rsidP="003903A3">
      <w:pPr>
        <w:rPr>
          <w:b/>
        </w:rPr>
      </w:pPr>
    </w:p>
    <w:p w14:paraId="3F885C2F" w14:textId="77777777" w:rsidR="003903A3" w:rsidRDefault="003903A3" w:rsidP="003903A3">
      <w:pPr>
        <w:rPr>
          <w:b/>
        </w:rPr>
      </w:pPr>
    </w:p>
    <w:p w14:paraId="6D454DB0" w14:textId="77777777" w:rsidR="003903A3" w:rsidRDefault="003903A3" w:rsidP="003903A3">
      <w:pPr>
        <w:rPr>
          <w:b/>
        </w:rPr>
      </w:pPr>
    </w:p>
    <w:p w14:paraId="16C2583E" w14:textId="77777777" w:rsidR="003903A3" w:rsidRDefault="003903A3" w:rsidP="003903A3">
      <w:pPr>
        <w:rPr>
          <w:b/>
        </w:rPr>
      </w:pPr>
    </w:p>
    <w:p w14:paraId="38C00D61" w14:textId="77777777" w:rsidR="003903A3" w:rsidRDefault="003903A3" w:rsidP="003903A3">
      <w:pPr>
        <w:rPr>
          <w:b/>
        </w:rPr>
      </w:pPr>
    </w:p>
    <w:p w14:paraId="3ACE0753" w14:textId="77777777" w:rsidR="003903A3" w:rsidRDefault="003903A3" w:rsidP="003903A3">
      <w:pPr>
        <w:rPr>
          <w:b/>
        </w:rPr>
      </w:pPr>
    </w:p>
    <w:p w14:paraId="0CFBC0C4" w14:textId="77777777" w:rsidR="003903A3" w:rsidRDefault="003903A3" w:rsidP="003903A3">
      <w:pPr>
        <w:rPr>
          <w:b/>
        </w:rPr>
      </w:pPr>
    </w:p>
    <w:p w14:paraId="311EC8DD" w14:textId="77777777" w:rsidR="003903A3" w:rsidRDefault="003903A3" w:rsidP="003903A3">
      <w:pPr>
        <w:rPr>
          <w:b/>
        </w:rPr>
      </w:pPr>
    </w:p>
    <w:p w14:paraId="050C9FD4" w14:textId="77777777" w:rsidR="003903A3" w:rsidRDefault="003903A3" w:rsidP="003903A3">
      <w:pPr>
        <w:rPr>
          <w:b/>
        </w:rPr>
      </w:pPr>
    </w:p>
    <w:p w14:paraId="505C3DD0" w14:textId="77777777" w:rsidR="003903A3" w:rsidRDefault="009357FD" w:rsidP="003903A3">
      <w:pPr>
        <w:rPr>
          <w:b/>
        </w:rPr>
      </w:pPr>
      <w:r w:rsidRPr="009357FD">
        <w:rPr>
          <w:b/>
          <w:noProof/>
          <w:lang w:eastAsia="en-GB" w:bidi="ar-SA"/>
        </w:rPr>
        <w:drawing>
          <wp:inline distT="0" distB="0" distL="0" distR="0" wp14:anchorId="25D135EC" wp14:editId="660E63AB">
            <wp:extent cx="5676900" cy="3429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77693" cy="3429479"/>
                    </a:xfrm>
                    <a:prstGeom prst="rect">
                      <a:avLst/>
                    </a:prstGeom>
                  </pic:spPr>
                </pic:pic>
              </a:graphicData>
            </a:graphic>
          </wp:inline>
        </w:drawing>
      </w:r>
    </w:p>
    <w:p w14:paraId="7DBC3E6F" w14:textId="77777777" w:rsidR="003903A3" w:rsidRDefault="003903A3" w:rsidP="003903A3">
      <w:pPr>
        <w:rPr>
          <w:b/>
        </w:rPr>
      </w:pPr>
    </w:p>
    <w:p w14:paraId="39B41B6A" w14:textId="77777777" w:rsidR="003903A3" w:rsidRDefault="009357FD" w:rsidP="003903A3">
      <w:pPr>
        <w:rPr>
          <w:b/>
        </w:rPr>
      </w:pPr>
      <w:r w:rsidRPr="009357FD">
        <w:rPr>
          <w:b/>
          <w:noProof/>
          <w:lang w:eastAsia="en-GB" w:bidi="ar-SA"/>
        </w:rPr>
        <w:drawing>
          <wp:inline distT="0" distB="0" distL="0" distR="0" wp14:anchorId="51127528" wp14:editId="4C2557CC">
            <wp:extent cx="5705475" cy="3429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06272" cy="3429479"/>
                    </a:xfrm>
                    <a:prstGeom prst="rect">
                      <a:avLst/>
                    </a:prstGeom>
                  </pic:spPr>
                </pic:pic>
              </a:graphicData>
            </a:graphic>
          </wp:inline>
        </w:drawing>
      </w:r>
    </w:p>
    <w:p w14:paraId="4D8C8B59" w14:textId="77777777" w:rsidR="003903A3" w:rsidRDefault="003903A3" w:rsidP="003903A3">
      <w:pPr>
        <w:rPr>
          <w:b/>
        </w:rPr>
      </w:pPr>
    </w:p>
    <w:p w14:paraId="23CAA702" w14:textId="77777777" w:rsidR="003903A3" w:rsidRDefault="003903A3" w:rsidP="003903A3">
      <w:pPr>
        <w:rPr>
          <w:b/>
        </w:rPr>
      </w:pPr>
    </w:p>
    <w:p w14:paraId="3075AAC1" w14:textId="77777777" w:rsidR="003903A3" w:rsidRDefault="009357FD" w:rsidP="003903A3">
      <w:pPr>
        <w:rPr>
          <w:b/>
        </w:rPr>
      </w:pPr>
      <w:r w:rsidRPr="009357FD">
        <w:rPr>
          <w:b/>
          <w:noProof/>
          <w:lang w:eastAsia="en-GB" w:bidi="ar-SA"/>
        </w:rPr>
        <w:drawing>
          <wp:inline distT="0" distB="0" distL="0" distR="0" wp14:anchorId="4FA605E6" wp14:editId="2F3D2BC3">
            <wp:extent cx="5657850" cy="3429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58640" cy="3429479"/>
                    </a:xfrm>
                    <a:prstGeom prst="rect">
                      <a:avLst/>
                    </a:prstGeom>
                  </pic:spPr>
                </pic:pic>
              </a:graphicData>
            </a:graphic>
          </wp:inline>
        </w:drawing>
      </w:r>
    </w:p>
    <w:p w14:paraId="2D247C57" w14:textId="77777777" w:rsidR="003903A3" w:rsidRDefault="003903A3" w:rsidP="003903A3">
      <w:pPr>
        <w:rPr>
          <w:b/>
        </w:rPr>
      </w:pPr>
    </w:p>
    <w:p w14:paraId="6BC2E15B" w14:textId="77777777" w:rsidR="003903A3" w:rsidRDefault="003903A3" w:rsidP="003903A3">
      <w:pPr>
        <w:rPr>
          <w:b/>
        </w:rPr>
      </w:pPr>
    </w:p>
    <w:p w14:paraId="2E4C5267" w14:textId="77777777" w:rsidR="003903A3" w:rsidRDefault="003903A3" w:rsidP="003903A3">
      <w:pPr>
        <w:rPr>
          <w:b/>
        </w:rPr>
      </w:pPr>
    </w:p>
    <w:p w14:paraId="4101F416" w14:textId="77777777" w:rsidR="003903A3" w:rsidRDefault="003903A3" w:rsidP="003903A3">
      <w:pPr>
        <w:rPr>
          <w:b/>
        </w:rPr>
      </w:pPr>
    </w:p>
    <w:p w14:paraId="02FDD274" w14:textId="77777777" w:rsidR="003903A3" w:rsidRDefault="009357FD" w:rsidP="003903A3">
      <w:pPr>
        <w:rPr>
          <w:b/>
        </w:rPr>
      </w:pPr>
      <w:r w:rsidRPr="009357FD">
        <w:rPr>
          <w:b/>
          <w:noProof/>
          <w:lang w:eastAsia="en-GB" w:bidi="ar-SA"/>
        </w:rPr>
        <w:lastRenderedPageBreak/>
        <w:drawing>
          <wp:inline distT="0" distB="0" distL="0" distR="0" wp14:anchorId="58C49E32" wp14:editId="09F5D383">
            <wp:extent cx="4572638" cy="342947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572638" cy="3429479"/>
                    </a:xfrm>
                    <a:prstGeom prst="rect">
                      <a:avLst/>
                    </a:prstGeom>
                  </pic:spPr>
                </pic:pic>
              </a:graphicData>
            </a:graphic>
          </wp:inline>
        </w:drawing>
      </w:r>
    </w:p>
    <w:p w14:paraId="5E7F532D" w14:textId="77777777" w:rsidR="003903A3" w:rsidRDefault="003903A3" w:rsidP="003903A3">
      <w:pPr>
        <w:rPr>
          <w:b/>
        </w:rPr>
      </w:pPr>
    </w:p>
    <w:p w14:paraId="55A6D78A" w14:textId="77777777" w:rsidR="003903A3" w:rsidRDefault="003903A3" w:rsidP="003903A3">
      <w:pPr>
        <w:rPr>
          <w:b/>
        </w:rPr>
      </w:pPr>
    </w:p>
    <w:p w14:paraId="7CA7B314" w14:textId="77777777" w:rsidR="003903A3" w:rsidRDefault="003903A3" w:rsidP="003903A3">
      <w:pPr>
        <w:rPr>
          <w:b/>
        </w:rPr>
      </w:pPr>
    </w:p>
    <w:p w14:paraId="488E0053" w14:textId="77777777" w:rsidR="003903A3" w:rsidRDefault="003903A3" w:rsidP="003903A3">
      <w:pPr>
        <w:rPr>
          <w:b/>
        </w:rPr>
      </w:pPr>
    </w:p>
    <w:p w14:paraId="0AAF45F3" w14:textId="77777777" w:rsidR="003903A3" w:rsidRDefault="003903A3" w:rsidP="003903A3">
      <w:pPr>
        <w:rPr>
          <w:b/>
        </w:rPr>
      </w:pPr>
    </w:p>
    <w:p w14:paraId="011B2DEF" w14:textId="77777777" w:rsidR="003903A3" w:rsidRDefault="003903A3" w:rsidP="003903A3">
      <w:pPr>
        <w:rPr>
          <w:b/>
        </w:rPr>
      </w:pPr>
    </w:p>
    <w:p w14:paraId="0ABDD536" w14:textId="77777777" w:rsidR="003903A3" w:rsidRDefault="003903A3" w:rsidP="003903A3">
      <w:pPr>
        <w:rPr>
          <w:b/>
        </w:rPr>
      </w:pPr>
    </w:p>
    <w:p w14:paraId="2FA9329D" w14:textId="77777777" w:rsidR="003903A3" w:rsidRDefault="009357FD" w:rsidP="003903A3">
      <w:pPr>
        <w:rPr>
          <w:b/>
        </w:rPr>
      </w:pPr>
      <w:r w:rsidRPr="009357FD">
        <w:rPr>
          <w:b/>
          <w:noProof/>
          <w:lang w:eastAsia="en-GB" w:bidi="ar-SA"/>
        </w:rPr>
        <w:drawing>
          <wp:inline distT="0" distB="0" distL="0" distR="0" wp14:anchorId="36BFF8EB" wp14:editId="7DBD2F47">
            <wp:extent cx="5991225" cy="3657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92064" cy="3658112"/>
                    </a:xfrm>
                    <a:prstGeom prst="rect">
                      <a:avLst/>
                    </a:prstGeom>
                  </pic:spPr>
                </pic:pic>
              </a:graphicData>
            </a:graphic>
          </wp:inline>
        </w:drawing>
      </w:r>
    </w:p>
    <w:p w14:paraId="090786A5" w14:textId="77777777" w:rsidR="003903A3" w:rsidRDefault="003903A3" w:rsidP="003903A3">
      <w:pPr>
        <w:rPr>
          <w:b/>
        </w:rPr>
      </w:pPr>
    </w:p>
    <w:p w14:paraId="00C51C5C" w14:textId="77777777" w:rsidR="003903A3" w:rsidRDefault="003903A3" w:rsidP="003903A3">
      <w:pPr>
        <w:rPr>
          <w:b/>
        </w:rPr>
      </w:pPr>
    </w:p>
    <w:p w14:paraId="24DD97EE" w14:textId="77777777" w:rsidR="003903A3" w:rsidRDefault="003903A3" w:rsidP="003903A3">
      <w:pPr>
        <w:rPr>
          <w:b/>
        </w:rPr>
      </w:pPr>
    </w:p>
    <w:p w14:paraId="641A3E85" w14:textId="77777777" w:rsidR="003903A3" w:rsidRDefault="003903A3" w:rsidP="003903A3">
      <w:pPr>
        <w:rPr>
          <w:b/>
        </w:rPr>
      </w:pPr>
    </w:p>
    <w:p w14:paraId="5DDD52B9" w14:textId="77777777" w:rsidR="003903A3" w:rsidRDefault="009357FD" w:rsidP="003903A3">
      <w:pPr>
        <w:rPr>
          <w:b/>
        </w:rPr>
      </w:pPr>
      <w:r w:rsidRPr="009357FD">
        <w:rPr>
          <w:b/>
          <w:noProof/>
          <w:lang w:eastAsia="en-GB" w:bidi="ar-SA"/>
        </w:rPr>
        <w:drawing>
          <wp:inline distT="0" distB="0" distL="0" distR="0" wp14:anchorId="5DCBA3D0" wp14:editId="6858477D">
            <wp:extent cx="4572638" cy="342947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572638" cy="3429479"/>
                    </a:xfrm>
                    <a:prstGeom prst="rect">
                      <a:avLst/>
                    </a:prstGeom>
                  </pic:spPr>
                </pic:pic>
              </a:graphicData>
            </a:graphic>
          </wp:inline>
        </w:drawing>
      </w:r>
    </w:p>
    <w:p w14:paraId="0EBB7E51" w14:textId="77777777" w:rsidR="003903A3" w:rsidRDefault="003903A3" w:rsidP="003903A3">
      <w:pPr>
        <w:rPr>
          <w:b/>
        </w:rPr>
      </w:pPr>
    </w:p>
    <w:p w14:paraId="49E9AD9C" w14:textId="77777777" w:rsidR="003903A3" w:rsidRDefault="003903A3" w:rsidP="003903A3">
      <w:pPr>
        <w:rPr>
          <w:b/>
        </w:rPr>
      </w:pPr>
    </w:p>
    <w:p w14:paraId="24B61EC1" w14:textId="77777777" w:rsidR="003903A3" w:rsidRDefault="003903A3" w:rsidP="003903A3">
      <w:pPr>
        <w:rPr>
          <w:b/>
        </w:rPr>
      </w:pPr>
    </w:p>
    <w:p w14:paraId="79C686DC" w14:textId="77777777" w:rsidR="003903A3" w:rsidRDefault="003903A3" w:rsidP="003903A3">
      <w:pPr>
        <w:rPr>
          <w:b/>
        </w:rPr>
      </w:pPr>
    </w:p>
    <w:p w14:paraId="5030A154" w14:textId="77777777" w:rsidR="003903A3" w:rsidRDefault="003903A3" w:rsidP="003903A3">
      <w:pPr>
        <w:rPr>
          <w:b/>
        </w:rPr>
      </w:pPr>
    </w:p>
    <w:p w14:paraId="74A9F3A5" w14:textId="77777777" w:rsidR="003903A3" w:rsidRDefault="003903A3" w:rsidP="003903A3">
      <w:pPr>
        <w:rPr>
          <w:b/>
        </w:rPr>
      </w:pPr>
    </w:p>
    <w:p w14:paraId="36F502DE" w14:textId="77777777" w:rsidR="003903A3" w:rsidRDefault="003903A3" w:rsidP="003903A3">
      <w:pPr>
        <w:rPr>
          <w:b/>
        </w:rPr>
      </w:pPr>
    </w:p>
    <w:p w14:paraId="707BD749" w14:textId="77777777" w:rsidR="003903A3" w:rsidRDefault="009357FD" w:rsidP="003903A3">
      <w:pPr>
        <w:rPr>
          <w:b/>
        </w:rPr>
      </w:pPr>
      <w:r w:rsidRPr="009357FD">
        <w:rPr>
          <w:b/>
          <w:noProof/>
          <w:lang w:eastAsia="en-GB" w:bidi="ar-SA"/>
        </w:rPr>
        <w:drawing>
          <wp:inline distT="0" distB="0" distL="0" distR="0" wp14:anchorId="1DBB79F4" wp14:editId="3C423C90">
            <wp:extent cx="4572638" cy="342947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72638" cy="3429479"/>
                    </a:xfrm>
                    <a:prstGeom prst="rect">
                      <a:avLst/>
                    </a:prstGeom>
                  </pic:spPr>
                </pic:pic>
              </a:graphicData>
            </a:graphic>
          </wp:inline>
        </w:drawing>
      </w:r>
    </w:p>
    <w:p w14:paraId="59FF0726" w14:textId="77777777" w:rsidR="003903A3" w:rsidRDefault="003903A3" w:rsidP="003903A3">
      <w:pPr>
        <w:rPr>
          <w:b/>
        </w:rPr>
      </w:pPr>
    </w:p>
    <w:p w14:paraId="27C231EB" w14:textId="77777777" w:rsidR="003903A3" w:rsidRDefault="003903A3" w:rsidP="003903A3">
      <w:pPr>
        <w:rPr>
          <w:b/>
        </w:rPr>
      </w:pPr>
    </w:p>
    <w:p w14:paraId="6001DA89" w14:textId="77777777" w:rsidR="003903A3" w:rsidRDefault="003903A3" w:rsidP="003903A3">
      <w:pPr>
        <w:rPr>
          <w:b/>
        </w:rPr>
      </w:pPr>
    </w:p>
    <w:p w14:paraId="4229B5A0" w14:textId="77777777" w:rsidR="003903A3" w:rsidRDefault="009357FD" w:rsidP="003903A3">
      <w:pPr>
        <w:rPr>
          <w:b/>
        </w:rPr>
      </w:pPr>
      <w:r w:rsidRPr="009357FD">
        <w:rPr>
          <w:b/>
          <w:noProof/>
          <w:lang w:eastAsia="en-GB" w:bidi="ar-SA"/>
        </w:rPr>
        <w:lastRenderedPageBreak/>
        <w:drawing>
          <wp:inline distT="0" distB="0" distL="0" distR="0" wp14:anchorId="541A3F9F" wp14:editId="0E079267">
            <wp:extent cx="4572638" cy="342947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572638" cy="3429479"/>
                    </a:xfrm>
                    <a:prstGeom prst="rect">
                      <a:avLst/>
                    </a:prstGeom>
                  </pic:spPr>
                </pic:pic>
              </a:graphicData>
            </a:graphic>
          </wp:inline>
        </w:drawing>
      </w:r>
    </w:p>
    <w:p w14:paraId="55299EA1" w14:textId="77777777" w:rsidR="003903A3" w:rsidRDefault="003903A3" w:rsidP="003903A3">
      <w:pPr>
        <w:rPr>
          <w:b/>
        </w:rPr>
      </w:pPr>
    </w:p>
    <w:p w14:paraId="38B768B8" w14:textId="77777777" w:rsidR="003903A3" w:rsidRDefault="003903A3" w:rsidP="003903A3">
      <w:pPr>
        <w:rPr>
          <w:b/>
        </w:rPr>
      </w:pPr>
    </w:p>
    <w:p w14:paraId="6F3939B3" w14:textId="77777777" w:rsidR="003903A3" w:rsidRDefault="003903A3" w:rsidP="003903A3">
      <w:pPr>
        <w:rPr>
          <w:b/>
        </w:rPr>
      </w:pPr>
    </w:p>
    <w:p w14:paraId="01678696" w14:textId="77777777" w:rsidR="003903A3" w:rsidRDefault="003903A3" w:rsidP="003903A3">
      <w:pPr>
        <w:rPr>
          <w:b/>
        </w:rPr>
      </w:pPr>
    </w:p>
    <w:p w14:paraId="7BA2D406" w14:textId="77777777" w:rsidR="003903A3" w:rsidRDefault="003903A3" w:rsidP="003903A3">
      <w:pPr>
        <w:rPr>
          <w:b/>
        </w:rPr>
      </w:pPr>
    </w:p>
    <w:p w14:paraId="30ACD87A" w14:textId="77777777" w:rsidR="003903A3" w:rsidRDefault="003903A3" w:rsidP="003903A3">
      <w:pPr>
        <w:rPr>
          <w:b/>
        </w:rPr>
      </w:pPr>
    </w:p>
    <w:p w14:paraId="71F98DB8" w14:textId="77777777" w:rsidR="003903A3" w:rsidRDefault="003903A3" w:rsidP="003903A3">
      <w:pPr>
        <w:rPr>
          <w:b/>
        </w:rPr>
      </w:pPr>
    </w:p>
    <w:p w14:paraId="0DBEBE0A" w14:textId="77777777" w:rsidR="003903A3" w:rsidRDefault="003903A3" w:rsidP="003903A3">
      <w:pPr>
        <w:rPr>
          <w:b/>
        </w:rPr>
      </w:pPr>
    </w:p>
    <w:p w14:paraId="698D3237" w14:textId="77777777" w:rsidR="003903A3" w:rsidRDefault="003903A3" w:rsidP="003903A3">
      <w:pPr>
        <w:rPr>
          <w:b/>
        </w:rPr>
      </w:pPr>
    </w:p>
    <w:p w14:paraId="68CC44BD" w14:textId="77777777" w:rsidR="003903A3" w:rsidRDefault="009357FD" w:rsidP="003903A3">
      <w:pPr>
        <w:rPr>
          <w:b/>
        </w:rPr>
      </w:pPr>
      <w:r w:rsidRPr="009357FD">
        <w:rPr>
          <w:b/>
          <w:noProof/>
          <w:lang w:eastAsia="en-GB" w:bidi="ar-SA"/>
        </w:rPr>
        <w:drawing>
          <wp:inline distT="0" distB="0" distL="0" distR="0" wp14:anchorId="53883283" wp14:editId="2B06B52A">
            <wp:extent cx="4572638" cy="342947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572638" cy="3429479"/>
                    </a:xfrm>
                    <a:prstGeom prst="rect">
                      <a:avLst/>
                    </a:prstGeom>
                  </pic:spPr>
                </pic:pic>
              </a:graphicData>
            </a:graphic>
          </wp:inline>
        </w:drawing>
      </w:r>
    </w:p>
    <w:p w14:paraId="7F7601EA" w14:textId="77777777" w:rsidR="003903A3" w:rsidRDefault="003903A3" w:rsidP="003903A3">
      <w:pPr>
        <w:rPr>
          <w:b/>
        </w:rPr>
      </w:pPr>
    </w:p>
    <w:p w14:paraId="6D34667D" w14:textId="77777777" w:rsidR="003903A3" w:rsidRDefault="003903A3" w:rsidP="003903A3">
      <w:pPr>
        <w:rPr>
          <w:b/>
        </w:rPr>
      </w:pPr>
    </w:p>
    <w:p w14:paraId="0E4CCC9D" w14:textId="77777777" w:rsidR="003903A3" w:rsidRDefault="003903A3" w:rsidP="003903A3">
      <w:pPr>
        <w:rPr>
          <w:b/>
        </w:rPr>
      </w:pPr>
    </w:p>
    <w:p w14:paraId="3352589C" w14:textId="77777777" w:rsidR="003903A3" w:rsidRDefault="003903A3" w:rsidP="003903A3">
      <w:pPr>
        <w:rPr>
          <w:b/>
        </w:rPr>
      </w:pPr>
    </w:p>
    <w:p w14:paraId="791E2DA3" w14:textId="77777777" w:rsidR="003903A3" w:rsidRDefault="009357FD" w:rsidP="003903A3">
      <w:pPr>
        <w:rPr>
          <w:b/>
        </w:rPr>
      </w:pPr>
      <w:r w:rsidRPr="009357FD">
        <w:rPr>
          <w:b/>
          <w:noProof/>
          <w:lang w:eastAsia="en-GB" w:bidi="ar-SA"/>
        </w:rPr>
        <w:drawing>
          <wp:inline distT="0" distB="0" distL="0" distR="0" wp14:anchorId="3B60E37A" wp14:editId="0F038349">
            <wp:extent cx="4572638" cy="342947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72638" cy="3429479"/>
                    </a:xfrm>
                    <a:prstGeom prst="rect">
                      <a:avLst/>
                    </a:prstGeom>
                  </pic:spPr>
                </pic:pic>
              </a:graphicData>
            </a:graphic>
          </wp:inline>
        </w:drawing>
      </w:r>
    </w:p>
    <w:p w14:paraId="15C9C5AC" w14:textId="77777777" w:rsidR="003903A3" w:rsidRDefault="003903A3" w:rsidP="003903A3">
      <w:pPr>
        <w:rPr>
          <w:b/>
        </w:rPr>
      </w:pPr>
    </w:p>
    <w:p w14:paraId="78B109E8" w14:textId="77777777" w:rsidR="003903A3" w:rsidRDefault="003903A3" w:rsidP="003903A3">
      <w:pPr>
        <w:rPr>
          <w:b/>
        </w:rPr>
      </w:pPr>
    </w:p>
    <w:p w14:paraId="3AD612DA" w14:textId="77777777" w:rsidR="003903A3" w:rsidRDefault="003903A3" w:rsidP="003903A3">
      <w:pPr>
        <w:rPr>
          <w:b/>
        </w:rPr>
      </w:pPr>
    </w:p>
    <w:p w14:paraId="419DFB8E" w14:textId="77777777" w:rsidR="003903A3" w:rsidRDefault="009357FD" w:rsidP="003903A3">
      <w:pPr>
        <w:rPr>
          <w:b/>
        </w:rPr>
      </w:pPr>
      <w:r w:rsidRPr="009357FD">
        <w:rPr>
          <w:b/>
          <w:noProof/>
          <w:lang w:eastAsia="en-GB" w:bidi="ar-SA"/>
        </w:rPr>
        <w:drawing>
          <wp:inline distT="0" distB="0" distL="0" distR="0" wp14:anchorId="14D03155" wp14:editId="12014AFF">
            <wp:extent cx="4572638" cy="342947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572638" cy="3429479"/>
                    </a:xfrm>
                    <a:prstGeom prst="rect">
                      <a:avLst/>
                    </a:prstGeom>
                  </pic:spPr>
                </pic:pic>
              </a:graphicData>
            </a:graphic>
          </wp:inline>
        </w:drawing>
      </w:r>
    </w:p>
    <w:p w14:paraId="64C83F90" w14:textId="77777777" w:rsidR="003903A3" w:rsidRDefault="003903A3" w:rsidP="003903A3">
      <w:pPr>
        <w:rPr>
          <w:b/>
        </w:rPr>
      </w:pPr>
    </w:p>
    <w:p w14:paraId="713B745D" w14:textId="77777777" w:rsidR="003903A3" w:rsidRDefault="009357FD" w:rsidP="003903A3">
      <w:pPr>
        <w:rPr>
          <w:b/>
        </w:rPr>
      </w:pPr>
      <w:r w:rsidRPr="009357FD">
        <w:rPr>
          <w:b/>
          <w:noProof/>
          <w:lang w:eastAsia="en-GB" w:bidi="ar-SA"/>
        </w:rPr>
        <w:lastRenderedPageBreak/>
        <w:drawing>
          <wp:inline distT="0" distB="0" distL="0" distR="0" wp14:anchorId="56A6C631" wp14:editId="570E306C">
            <wp:extent cx="4572638" cy="342947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572638" cy="3429479"/>
                    </a:xfrm>
                    <a:prstGeom prst="rect">
                      <a:avLst/>
                    </a:prstGeom>
                  </pic:spPr>
                </pic:pic>
              </a:graphicData>
            </a:graphic>
          </wp:inline>
        </w:drawing>
      </w:r>
    </w:p>
    <w:p w14:paraId="10EC1A0F" w14:textId="77777777" w:rsidR="003903A3" w:rsidRDefault="003903A3" w:rsidP="003903A3">
      <w:pPr>
        <w:rPr>
          <w:b/>
        </w:rPr>
      </w:pPr>
    </w:p>
    <w:p w14:paraId="4CB0781B" w14:textId="77777777" w:rsidR="003903A3" w:rsidRDefault="003903A3" w:rsidP="003903A3">
      <w:pPr>
        <w:rPr>
          <w:b/>
        </w:rPr>
      </w:pPr>
    </w:p>
    <w:p w14:paraId="28FC88AA" w14:textId="77777777" w:rsidR="003903A3" w:rsidRDefault="003903A3" w:rsidP="003903A3">
      <w:pPr>
        <w:rPr>
          <w:b/>
        </w:rPr>
      </w:pPr>
    </w:p>
    <w:p w14:paraId="7B13A7F6" w14:textId="77777777" w:rsidR="003903A3" w:rsidRDefault="003903A3" w:rsidP="003903A3">
      <w:pPr>
        <w:rPr>
          <w:b/>
        </w:rPr>
      </w:pPr>
    </w:p>
    <w:p w14:paraId="3C1F9023" w14:textId="77777777" w:rsidR="003903A3" w:rsidRDefault="003903A3" w:rsidP="003903A3">
      <w:pPr>
        <w:rPr>
          <w:b/>
        </w:rPr>
      </w:pPr>
    </w:p>
    <w:p w14:paraId="21E96DA7" w14:textId="77777777" w:rsidR="003903A3" w:rsidRDefault="003903A3" w:rsidP="003903A3">
      <w:pPr>
        <w:rPr>
          <w:b/>
        </w:rPr>
      </w:pPr>
    </w:p>
    <w:p w14:paraId="13205877" w14:textId="77777777" w:rsidR="003903A3" w:rsidRDefault="003903A3" w:rsidP="003903A3">
      <w:pPr>
        <w:rPr>
          <w:b/>
        </w:rPr>
      </w:pPr>
    </w:p>
    <w:p w14:paraId="5AEE9AEE" w14:textId="77777777" w:rsidR="003903A3" w:rsidRDefault="003903A3" w:rsidP="003903A3">
      <w:pPr>
        <w:rPr>
          <w:b/>
        </w:rPr>
      </w:pPr>
    </w:p>
    <w:p w14:paraId="0EBA842A" w14:textId="77777777" w:rsidR="003903A3" w:rsidRDefault="003903A3" w:rsidP="003903A3">
      <w:pPr>
        <w:rPr>
          <w:b/>
        </w:rPr>
      </w:pPr>
    </w:p>
    <w:p w14:paraId="246D01B9" w14:textId="77777777" w:rsidR="003903A3" w:rsidRDefault="003903A3" w:rsidP="003903A3">
      <w:pPr>
        <w:rPr>
          <w:b/>
        </w:rPr>
      </w:pPr>
    </w:p>
    <w:p w14:paraId="04E7CE1C" w14:textId="77777777" w:rsidR="003903A3" w:rsidRDefault="009357FD" w:rsidP="003903A3">
      <w:pPr>
        <w:rPr>
          <w:b/>
        </w:rPr>
      </w:pPr>
      <w:r w:rsidRPr="009357FD">
        <w:rPr>
          <w:b/>
          <w:noProof/>
          <w:lang w:eastAsia="en-GB" w:bidi="ar-SA"/>
        </w:rPr>
        <w:drawing>
          <wp:inline distT="0" distB="0" distL="0" distR="0" wp14:anchorId="56648B48" wp14:editId="72C59E7E">
            <wp:extent cx="5358809" cy="342900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358809" cy="3429000"/>
                    </a:xfrm>
                    <a:prstGeom prst="rect">
                      <a:avLst/>
                    </a:prstGeom>
                  </pic:spPr>
                </pic:pic>
              </a:graphicData>
            </a:graphic>
          </wp:inline>
        </w:drawing>
      </w:r>
    </w:p>
    <w:p w14:paraId="4BDAA89E" w14:textId="77777777" w:rsidR="003903A3" w:rsidRDefault="003903A3" w:rsidP="003903A3">
      <w:pPr>
        <w:rPr>
          <w:b/>
        </w:rPr>
      </w:pPr>
    </w:p>
    <w:p w14:paraId="1E8381D4" w14:textId="77777777" w:rsidR="003903A3" w:rsidRDefault="003903A3" w:rsidP="003903A3">
      <w:pPr>
        <w:rPr>
          <w:b/>
        </w:rPr>
      </w:pPr>
    </w:p>
    <w:p w14:paraId="36185FFB" w14:textId="77777777" w:rsidR="003903A3" w:rsidRDefault="003903A3" w:rsidP="003903A3">
      <w:pPr>
        <w:rPr>
          <w:b/>
        </w:rPr>
      </w:pPr>
    </w:p>
    <w:p w14:paraId="60270257" w14:textId="77777777" w:rsidR="003903A3" w:rsidRDefault="003903A3" w:rsidP="003903A3">
      <w:pPr>
        <w:rPr>
          <w:b/>
        </w:rPr>
      </w:pPr>
    </w:p>
    <w:p w14:paraId="53919B7F" w14:textId="77777777" w:rsidR="003903A3" w:rsidRDefault="003903A3" w:rsidP="003903A3">
      <w:pPr>
        <w:rPr>
          <w:b/>
        </w:rPr>
      </w:pPr>
    </w:p>
    <w:p w14:paraId="14073374" w14:textId="77777777" w:rsidR="003903A3" w:rsidRDefault="003903A3" w:rsidP="003903A3">
      <w:pPr>
        <w:rPr>
          <w:b/>
        </w:rPr>
      </w:pPr>
    </w:p>
    <w:p w14:paraId="734D9439" w14:textId="77777777" w:rsidR="003903A3" w:rsidRDefault="009357FD" w:rsidP="003903A3">
      <w:pPr>
        <w:rPr>
          <w:b/>
        </w:rPr>
      </w:pPr>
      <w:r w:rsidRPr="009357FD">
        <w:rPr>
          <w:b/>
          <w:noProof/>
          <w:lang w:eastAsia="en-GB" w:bidi="ar-SA"/>
        </w:rPr>
        <w:drawing>
          <wp:inline distT="0" distB="0" distL="0" distR="0" wp14:anchorId="391E2739" wp14:editId="54D3923E">
            <wp:extent cx="4572638" cy="342947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572638" cy="3429479"/>
                    </a:xfrm>
                    <a:prstGeom prst="rect">
                      <a:avLst/>
                    </a:prstGeom>
                  </pic:spPr>
                </pic:pic>
              </a:graphicData>
            </a:graphic>
          </wp:inline>
        </w:drawing>
      </w:r>
    </w:p>
    <w:p w14:paraId="023C398F" w14:textId="77777777" w:rsidR="003903A3" w:rsidRDefault="003903A3" w:rsidP="003903A3">
      <w:pPr>
        <w:rPr>
          <w:b/>
        </w:rPr>
      </w:pPr>
    </w:p>
    <w:p w14:paraId="45E963B8" w14:textId="77777777" w:rsidR="003903A3" w:rsidRDefault="003903A3" w:rsidP="003903A3">
      <w:pPr>
        <w:rPr>
          <w:b/>
        </w:rPr>
      </w:pPr>
    </w:p>
    <w:p w14:paraId="25A36F26" w14:textId="77777777" w:rsidR="003903A3" w:rsidRDefault="003903A3" w:rsidP="003903A3">
      <w:pPr>
        <w:rPr>
          <w:b/>
        </w:rPr>
      </w:pPr>
    </w:p>
    <w:p w14:paraId="09EBCE76" w14:textId="77777777" w:rsidR="003903A3" w:rsidRDefault="003903A3" w:rsidP="003903A3">
      <w:pPr>
        <w:rPr>
          <w:b/>
        </w:rPr>
      </w:pPr>
    </w:p>
    <w:p w14:paraId="365C4D8C" w14:textId="77777777" w:rsidR="003903A3" w:rsidRDefault="003903A3" w:rsidP="003903A3">
      <w:pPr>
        <w:rPr>
          <w:b/>
        </w:rPr>
      </w:pPr>
    </w:p>
    <w:p w14:paraId="0E17D50B" w14:textId="77777777" w:rsidR="003903A3" w:rsidRDefault="003903A3" w:rsidP="003903A3">
      <w:pPr>
        <w:rPr>
          <w:b/>
        </w:rPr>
      </w:pPr>
    </w:p>
    <w:p w14:paraId="4354D106" w14:textId="77777777" w:rsidR="003903A3" w:rsidRDefault="003903A3" w:rsidP="003903A3">
      <w:pPr>
        <w:rPr>
          <w:b/>
        </w:rPr>
      </w:pPr>
    </w:p>
    <w:p w14:paraId="27E3BEB4" w14:textId="77777777" w:rsidR="003903A3" w:rsidRDefault="003903A3" w:rsidP="003903A3">
      <w:pPr>
        <w:rPr>
          <w:b/>
        </w:rPr>
      </w:pPr>
    </w:p>
    <w:p w14:paraId="6717CBF7" w14:textId="77777777" w:rsidR="003903A3" w:rsidRPr="00E8418F" w:rsidRDefault="003903A3" w:rsidP="003903A3">
      <w:pPr>
        <w:rPr>
          <w:b/>
        </w:rPr>
      </w:pPr>
    </w:p>
    <w:p w14:paraId="16F8B500" w14:textId="77777777" w:rsidR="003903A3" w:rsidRPr="0011102A" w:rsidRDefault="003903A3" w:rsidP="003903A3">
      <w:pPr>
        <w:rPr>
          <w:color w:val="000000" w:themeColor="text1"/>
        </w:rPr>
      </w:pPr>
    </w:p>
    <w:p w14:paraId="5E44748D" w14:textId="77777777" w:rsidR="003903A3" w:rsidRDefault="003903A3" w:rsidP="003903A3"/>
    <w:p w14:paraId="03381DDE" w14:textId="77777777" w:rsidR="003903A3" w:rsidRDefault="003903A3" w:rsidP="003903A3">
      <w:pPr>
        <w:ind w:left="-680" w:right="-397" w:firstLine="283"/>
        <w:jc w:val="both"/>
        <w:rPr>
          <w:color w:val="000000" w:themeColor="text1"/>
        </w:rPr>
      </w:pPr>
    </w:p>
    <w:p w14:paraId="1ADE7C8E" w14:textId="77777777" w:rsidR="003903A3" w:rsidRDefault="003903A3" w:rsidP="003903A3"/>
    <w:p w14:paraId="645D2230" w14:textId="77777777" w:rsidR="003903A3" w:rsidRPr="00DE4C9A" w:rsidRDefault="003903A3" w:rsidP="003903A3">
      <w:pPr>
        <w:ind w:left="-397" w:right="-397"/>
        <w:jc w:val="both"/>
        <w:rPr>
          <w:color w:val="44546A" w:themeColor="text2"/>
        </w:rPr>
      </w:pPr>
    </w:p>
    <w:p w14:paraId="63F56AAB" w14:textId="77777777" w:rsidR="003903A3" w:rsidRDefault="003903A3" w:rsidP="003903A3"/>
    <w:p w14:paraId="590A1D27" w14:textId="77777777" w:rsidR="003903A3" w:rsidRDefault="003903A3" w:rsidP="00A97F9D">
      <w:pPr>
        <w:ind w:left="-397" w:right="-397"/>
        <w:jc w:val="both"/>
        <w:rPr>
          <w:color w:val="833C0B" w:themeColor="accent2" w:themeShade="80"/>
        </w:rPr>
      </w:pPr>
    </w:p>
    <w:p w14:paraId="740D44BF" w14:textId="77777777" w:rsidR="002E2A52" w:rsidRDefault="002E2A52"/>
    <w:sectPr w:rsidR="002E2A52">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02C38" w14:textId="77777777" w:rsidR="0018698A" w:rsidRDefault="0018698A" w:rsidP="00A97F9D">
      <w:r>
        <w:separator/>
      </w:r>
    </w:p>
  </w:endnote>
  <w:endnote w:type="continuationSeparator" w:id="0">
    <w:p w14:paraId="048A522F" w14:textId="77777777" w:rsidR="0018698A" w:rsidRDefault="0018698A" w:rsidP="00A9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erpetua">
    <w:panose1 w:val="020205020604010203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C Square Sans Pro">
    <w:altName w:val="Microsoft Sans Serif"/>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EC Square Sans Pro Light">
    <w:altName w:val="Calibri"/>
    <w:panose1 w:val="020B0604020202020204"/>
    <w:charset w:val="00"/>
    <w:family w:val="swiss"/>
    <w:notTrueType/>
    <w:pitch w:val="default"/>
    <w:sig w:usb0="00000003" w:usb1="00000000" w:usb2="00000000" w:usb3="00000000" w:csb0="00000001" w:csb1="00000000"/>
  </w:font>
  <w:font w:name="LinoFrutigerNext-Light">
    <w:altName w:val="MS Mincho"/>
    <w:panose1 w:val="020B0604020202020204"/>
    <w:charset w:val="80"/>
    <w:family w:val="auto"/>
    <w:notTrueType/>
    <w:pitch w:val="default"/>
    <w:sig w:usb0="00000001" w:usb1="08070000" w:usb2="00000010" w:usb3="00000000" w:csb0="00020000" w:csb1="00000000"/>
  </w:font>
  <w:font w:name="LinoFrutigerNext-LightItalic">
    <w:altName w:val="MS Mincho"/>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56911"/>
      <w:docPartObj>
        <w:docPartGallery w:val="Page Numbers (Bottom of Page)"/>
        <w:docPartUnique/>
      </w:docPartObj>
    </w:sdtPr>
    <w:sdtEndPr>
      <w:rPr>
        <w:noProof/>
      </w:rPr>
    </w:sdtEndPr>
    <w:sdtContent>
      <w:p w14:paraId="41934D26" w14:textId="7E4FFC79" w:rsidR="001A50C4" w:rsidRDefault="001A50C4">
        <w:pPr>
          <w:pStyle w:val="Footer"/>
          <w:jc w:val="right"/>
        </w:pPr>
        <w:r>
          <w:fldChar w:fldCharType="begin"/>
        </w:r>
        <w:r>
          <w:instrText xml:space="preserve"> PAGE   \* MERGEFORMAT </w:instrText>
        </w:r>
        <w:r>
          <w:fldChar w:fldCharType="separate"/>
        </w:r>
        <w:r w:rsidR="00835C62">
          <w:rPr>
            <w:noProof/>
          </w:rPr>
          <w:t>1</w:t>
        </w:r>
        <w:r>
          <w:rPr>
            <w:noProof/>
          </w:rPr>
          <w:fldChar w:fldCharType="end"/>
        </w:r>
      </w:p>
    </w:sdtContent>
  </w:sdt>
  <w:p w14:paraId="4B03937B" w14:textId="77777777" w:rsidR="001A50C4" w:rsidRDefault="001A5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E67D8" w14:textId="77777777" w:rsidR="0018698A" w:rsidRDefault="0018698A" w:rsidP="00A97F9D">
      <w:r>
        <w:separator/>
      </w:r>
    </w:p>
  </w:footnote>
  <w:footnote w:type="continuationSeparator" w:id="0">
    <w:p w14:paraId="402CAEA2" w14:textId="77777777" w:rsidR="0018698A" w:rsidRDefault="0018698A" w:rsidP="00A97F9D">
      <w:r>
        <w:continuationSeparator/>
      </w:r>
    </w:p>
  </w:footnote>
  <w:footnote w:id="1">
    <w:p w14:paraId="29E4C2F9" w14:textId="77777777" w:rsidR="001A50C4" w:rsidRPr="00470269" w:rsidRDefault="001A50C4" w:rsidP="00566433">
      <w:pPr>
        <w:pStyle w:val="FootnoteText"/>
        <w:ind w:left="-397" w:right="-397"/>
        <w:jc w:val="both"/>
        <w:rPr>
          <w:color w:val="000000" w:themeColor="text1"/>
        </w:rPr>
      </w:pPr>
      <w:r w:rsidRPr="00470269">
        <w:rPr>
          <w:rStyle w:val="FootnoteReference"/>
          <w:color w:val="000000" w:themeColor="text1"/>
        </w:rPr>
        <w:footnoteRef/>
      </w:r>
      <w:r w:rsidRPr="00470269">
        <w:rPr>
          <w:color w:val="000000" w:themeColor="text1"/>
        </w:rPr>
        <w:t xml:space="preserve"> </w:t>
      </w:r>
      <w:r w:rsidRPr="00470269">
        <w:rPr>
          <w:rFonts w:eastAsia="Times New Roman"/>
          <w:color w:val="000000" w:themeColor="text1"/>
        </w:rPr>
        <w:t>Concern in LALET to restrict intervention to the distributive frame</w:t>
      </w:r>
      <w:r>
        <w:rPr>
          <w:rFonts w:eastAsia="Times New Roman"/>
          <w:color w:val="000000" w:themeColor="text1"/>
        </w:rPr>
        <w:t>,</w:t>
      </w:r>
      <w:r w:rsidRPr="00470269">
        <w:rPr>
          <w:rFonts w:eastAsia="Times New Roman"/>
          <w:color w:val="000000" w:themeColor="text1"/>
        </w:rPr>
        <w:t xml:space="preserve"> overshadowed concern with </w:t>
      </w:r>
      <w:r w:rsidRPr="00641923">
        <w:rPr>
          <w:rFonts w:eastAsia="Times New Roman"/>
          <w:color w:val="000000" w:themeColor="text1"/>
        </w:rPr>
        <w:t>inequality (Williams,</w:t>
      </w:r>
      <w:r>
        <w:rPr>
          <w:rFonts w:eastAsia="Times New Roman"/>
          <w:color w:val="000000" w:themeColor="text1"/>
        </w:rPr>
        <w:t xml:space="preserve"> 2008, p. 504).</w:t>
      </w:r>
    </w:p>
  </w:footnote>
  <w:footnote w:id="2">
    <w:p w14:paraId="48188F77" w14:textId="0DC22219" w:rsidR="001A50C4" w:rsidRPr="00942635" w:rsidRDefault="001A50C4" w:rsidP="00566433">
      <w:pPr>
        <w:pStyle w:val="FootnoteText"/>
        <w:ind w:left="-397" w:right="-397"/>
        <w:jc w:val="both"/>
      </w:pPr>
      <w:r w:rsidRPr="00564A5F">
        <w:rPr>
          <w:rStyle w:val="FootnoteReference"/>
          <w:color w:val="000000" w:themeColor="text1"/>
        </w:rPr>
        <w:footnoteRef/>
      </w:r>
      <w:r>
        <w:rPr>
          <w:rFonts w:eastAsia="Times New Roman"/>
          <w:color w:val="000000" w:themeColor="text1"/>
        </w:rPr>
        <w:t xml:space="preserve"> Meade (1964, pp. 35-8)</w:t>
      </w:r>
      <w:r w:rsidRPr="00564A5F">
        <w:rPr>
          <w:rFonts w:eastAsia="Times New Roman"/>
          <w:color w:val="000000" w:themeColor="text1"/>
        </w:rPr>
        <w:t xml:space="preserve"> saw different policies as at the root of different </w:t>
      </w:r>
      <w:r w:rsidRPr="00564A5F">
        <w:rPr>
          <w:rFonts w:eastAsia="Times New Roman"/>
          <w:i/>
          <w:color w:val="000000" w:themeColor="text1"/>
        </w:rPr>
        <w:t>systems</w:t>
      </w:r>
      <w:r w:rsidRPr="00564A5F">
        <w:rPr>
          <w:rFonts w:eastAsia="Times New Roman"/>
          <w:color w:val="000000" w:themeColor="text1"/>
        </w:rPr>
        <w:t xml:space="preserve"> (e.g. progressive taxation, </w:t>
      </w:r>
      <w:proofErr w:type="spellStart"/>
      <w:r w:rsidRPr="00564A5F">
        <w:rPr>
          <w:rFonts w:eastAsia="Times New Roman"/>
          <w:color w:val="000000" w:themeColor="text1"/>
        </w:rPr>
        <w:t>solidaristic</w:t>
      </w:r>
      <w:proofErr w:type="spellEnd"/>
      <w:r w:rsidRPr="00564A5F">
        <w:rPr>
          <w:rFonts w:eastAsia="Times New Roman"/>
          <w:color w:val="000000" w:themeColor="text1"/>
        </w:rPr>
        <w:t xml:space="preserve"> unionism, minimum wages, universal unconditional allowances, respectively), and rejected all </w:t>
      </w:r>
      <w:r>
        <w:rPr>
          <w:rFonts w:eastAsia="Times New Roman"/>
          <w:color w:val="000000"/>
        </w:rPr>
        <w:t>but the last as</w:t>
      </w:r>
      <w:r>
        <w:rPr>
          <w:color w:val="000000" w:themeColor="text1"/>
        </w:rPr>
        <w:t xml:space="preserve"> out of date. </w:t>
      </w:r>
    </w:p>
  </w:footnote>
  <w:footnote w:id="3">
    <w:p w14:paraId="7144AD3B" w14:textId="0D303B81" w:rsidR="001A50C4" w:rsidRPr="00143111" w:rsidRDefault="001A50C4" w:rsidP="00566433">
      <w:pPr>
        <w:pStyle w:val="FootnoteText"/>
        <w:ind w:left="-397" w:right="-397"/>
        <w:jc w:val="both"/>
      </w:pPr>
      <w:r w:rsidRPr="00143111">
        <w:rPr>
          <w:rStyle w:val="FootnoteReference"/>
        </w:rPr>
        <w:footnoteRef/>
      </w:r>
      <w:r w:rsidRPr="00143111">
        <w:t xml:space="preserve"> </w:t>
      </w:r>
      <w:proofErr w:type="spellStart"/>
      <w:r>
        <w:t>Pikkety</w:t>
      </w:r>
      <w:proofErr w:type="spellEnd"/>
      <w:r>
        <w:t xml:space="preserve"> (2014, p. 265) links </w:t>
      </w:r>
      <w:r w:rsidRPr="00143111">
        <w:t xml:space="preserve">growing </w:t>
      </w:r>
      <w:r w:rsidR="00211449">
        <w:t xml:space="preserve">earnings inequality </w:t>
      </w:r>
      <w:r>
        <w:t xml:space="preserve">in Anglo-Saxon countries </w:t>
      </w:r>
      <w:r w:rsidR="00211449">
        <w:t xml:space="preserve">to rules which permit </w:t>
      </w:r>
      <w:r w:rsidRPr="00143111">
        <w:t>‘super-m</w:t>
      </w:r>
      <w:r>
        <w:t>anagers’ to set their own wage.</w:t>
      </w:r>
    </w:p>
  </w:footnote>
  <w:footnote w:id="4">
    <w:p w14:paraId="72B6AAF0" w14:textId="39EF8932" w:rsidR="001A50C4" w:rsidRPr="004B135E" w:rsidRDefault="001A50C4" w:rsidP="00566433">
      <w:pPr>
        <w:ind w:left="-397" w:right="-397"/>
        <w:jc w:val="both"/>
        <w:rPr>
          <w:color w:val="000000" w:themeColor="text1"/>
        </w:rPr>
      </w:pPr>
      <w:r w:rsidRPr="00397AF7">
        <w:rPr>
          <w:rStyle w:val="FootnoteReference"/>
          <w:sz w:val="20"/>
          <w:szCs w:val="20"/>
        </w:rPr>
        <w:footnoteRef/>
      </w:r>
      <w:r w:rsidRPr="00397AF7">
        <w:rPr>
          <w:sz w:val="20"/>
          <w:szCs w:val="20"/>
        </w:rPr>
        <w:t xml:space="preserve"> </w:t>
      </w:r>
      <w:r w:rsidR="00211449">
        <w:rPr>
          <w:color w:val="000000" w:themeColor="text1"/>
          <w:sz w:val="20"/>
          <w:szCs w:val="20"/>
        </w:rPr>
        <w:t xml:space="preserve">Overtaken only </w:t>
      </w:r>
      <w:proofErr w:type="gramStart"/>
      <w:r w:rsidR="00211449">
        <w:rPr>
          <w:color w:val="000000" w:themeColor="text1"/>
          <w:sz w:val="20"/>
          <w:szCs w:val="20"/>
        </w:rPr>
        <w:t xml:space="preserve">by </w:t>
      </w:r>
      <w:r w:rsidRPr="00397AF7">
        <w:rPr>
          <w:color w:val="000000" w:themeColor="text1"/>
          <w:sz w:val="20"/>
          <w:szCs w:val="20"/>
        </w:rPr>
        <w:t xml:space="preserve"> Switzerland</w:t>
      </w:r>
      <w:proofErr w:type="gramEnd"/>
      <w:r w:rsidRPr="00397AF7">
        <w:rPr>
          <w:color w:val="000000" w:themeColor="text1"/>
          <w:sz w:val="20"/>
          <w:szCs w:val="20"/>
        </w:rPr>
        <w:t xml:space="preserve"> and France</w:t>
      </w:r>
      <w:r w:rsidR="00211449">
        <w:rPr>
          <w:color w:val="000000" w:themeColor="text1"/>
          <w:sz w:val="20"/>
          <w:szCs w:val="20"/>
        </w:rPr>
        <w:t xml:space="preserve"> in Europe</w:t>
      </w:r>
      <w:r w:rsidRPr="00397AF7">
        <w:rPr>
          <w:color w:val="000000" w:themeColor="text1"/>
          <w:sz w:val="20"/>
          <w:szCs w:val="20"/>
        </w:rPr>
        <w:t>, education coverage was uniformly high in Nordic countries by 1870 (at 58,</w:t>
      </w:r>
      <w:r>
        <w:rPr>
          <w:color w:val="000000" w:themeColor="text1"/>
          <w:sz w:val="20"/>
          <w:szCs w:val="20"/>
        </w:rPr>
        <w:t xml:space="preserve"> </w:t>
      </w:r>
      <w:r w:rsidRPr="00397AF7">
        <w:rPr>
          <w:color w:val="000000" w:themeColor="text1"/>
          <w:sz w:val="20"/>
          <w:szCs w:val="20"/>
        </w:rPr>
        <w:t>71 and 61 % in Denmark, Sweden and Norway), compared with 49 % in the UK and the highest in Southern Europe</w:t>
      </w:r>
      <w:r>
        <w:rPr>
          <w:color w:val="000000" w:themeColor="text1"/>
          <w:sz w:val="20"/>
          <w:szCs w:val="20"/>
        </w:rPr>
        <w:t>,</w:t>
      </w:r>
      <w:r w:rsidRPr="00397AF7">
        <w:rPr>
          <w:color w:val="000000" w:themeColor="text1"/>
          <w:sz w:val="20"/>
          <w:szCs w:val="20"/>
        </w:rPr>
        <w:t xml:space="preserve"> 29% in Italy</w:t>
      </w:r>
      <w:r>
        <w:rPr>
          <w:color w:val="000000" w:themeColor="text1"/>
          <w:sz w:val="20"/>
          <w:szCs w:val="20"/>
        </w:rPr>
        <w:t xml:space="preserve"> (</w:t>
      </w:r>
      <w:proofErr w:type="spellStart"/>
      <w:r w:rsidRPr="00397AF7">
        <w:rPr>
          <w:color w:val="000000" w:themeColor="text1"/>
          <w:sz w:val="20"/>
          <w:szCs w:val="20"/>
        </w:rPr>
        <w:t>Soysal</w:t>
      </w:r>
      <w:proofErr w:type="spellEnd"/>
      <w:r w:rsidRPr="00397AF7">
        <w:rPr>
          <w:color w:val="000000" w:themeColor="text1"/>
          <w:sz w:val="20"/>
          <w:szCs w:val="20"/>
        </w:rPr>
        <w:t xml:space="preserve"> and Strang</w:t>
      </w:r>
      <w:r>
        <w:rPr>
          <w:color w:val="000000" w:themeColor="text1"/>
          <w:sz w:val="20"/>
          <w:szCs w:val="20"/>
        </w:rPr>
        <w:t xml:space="preserve">, </w:t>
      </w:r>
      <w:r w:rsidRPr="00397AF7">
        <w:rPr>
          <w:color w:val="000000" w:themeColor="text1"/>
          <w:sz w:val="20"/>
          <w:szCs w:val="20"/>
        </w:rPr>
        <w:t>1989)</w:t>
      </w:r>
      <w:r>
        <w:rPr>
          <w:color w:val="000000" w:themeColor="text1"/>
          <w:sz w:val="20"/>
          <w:szCs w:val="20"/>
        </w:rPr>
        <w:t>.</w:t>
      </w:r>
    </w:p>
  </w:footnote>
  <w:footnote w:id="5">
    <w:p w14:paraId="64C8B8CA" w14:textId="2E0449FB" w:rsidR="001A50C4" w:rsidRPr="00FC2DC0" w:rsidRDefault="001A50C4" w:rsidP="00566433">
      <w:pPr>
        <w:pStyle w:val="FootnoteText"/>
        <w:ind w:left="-397" w:right="-397"/>
        <w:jc w:val="both"/>
        <w:rPr>
          <w:color w:val="000000" w:themeColor="text1"/>
        </w:rPr>
      </w:pPr>
      <w:r w:rsidRPr="00C75C07">
        <w:rPr>
          <w:rStyle w:val="FootnoteReference"/>
          <w:color w:val="000000" w:themeColor="text1"/>
        </w:rPr>
        <w:footnoteRef/>
      </w:r>
      <w:r w:rsidRPr="00C75C07">
        <w:rPr>
          <w:color w:val="000000" w:themeColor="text1"/>
        </w:rPr>
        <w:t xml:space="preserve"> OECD </w:t>
      </w:r>
      <w:r>
        <w:rPr>
          <w:color w:val="000000" w:themeColor="text1"/>
        </w:rPr>
        <w:t>(</w:t>
      </w:r>
      <w:r w:rsidRPr="00C75C07">
        <w:rPr>
          <w:color w:val="000000" w:themeColor="text1"/>
        </w:rPr>
        <w:t xml:space="preserve">2008e, </w:t>
      </w:r>
      <w:r>
        <w:rPr>
          <w:color w:val="000000" w:themeColor="text1"/>
        </w:rPr>
        <w:t xml:space="preserve">p. </w:t>
      </w:r>
      <w:r w:rsidRPr="00C75C07">
        <w:rPr>
          <w:color w:val="000000" w:themeColor="text1"/>
        </w:rPr>
        <w:t>36</w:t>
      </w:r>
      <w:r>
        <w:rPr>
          <w:color w:val="000000" w:themeColor="text1"/>
        </w:rPr>
        <w:t>)</w:t>
      </w:r>
      <w:r w:rsidRPr="00C75C07">
        <w:rPr>
          <w:color w:val="000000" w:themeColor="text1"/>
        </w:rPr>
        <w:t>.</w:t>
      </w:r>
    </w:p>
  </w:footnote>
  <w:footnote w:id="6">
    <w:p w14:paraId="0366041D" w14:textId="7596F0EE" w:rsidR="001A50C4" w:rsidRPr="005404FA" w:rsidRDefault="001A50C4" w:rsidP="00566433">
      <w:pPr>
        <w:ind w:left="-397" w:right="-397"/>
        <w:jc w:val="both"/>
        <w:rPr>
          <w:color w:val="000000" w:themeColor="text1"/>
        </w:rPr>
      </w:pPr>
      <w:r w:rsidRPr="00FC2DC0">
        <w:rPr>
          <w:rStyle w:val="FootnoteReference"/>
          <w:color w:val="000000" w:themeColor="text1"/>
        </w:rPr>
        <w:footnoteRef/>
      </w:r>
      <w:r w:rsidRPr="00FC2DC0">
        <w:rPr>
          <w:color w:val="000000" w:themeColor="text1"/>
          <w:sz w:val="20"/>
          <w:szCs w:val="20"/>
        </w:rPr>
        <w:t xml:space="preserve"> The UK’s 2013 marginal rate tax cut was according to </w:t>
      </w:r>
      <w:r w:rsidRPr="00FC2DC0">
        <w:rPr>
          <w:color w:val="000000" w:themeColor="text1"/>
          <w:sz w:val="20"/>
          <w:szCs w:val="20"/>
          <w:lang w:val="en"/>
        </w:rPr>
        <w:t>accountants KPMG reported in</w:t>
      </w:r>
      <w:r w:rsidRPr="00FC2DC0">
        <w:rPr>
          <w:color w:val="000000" w:themeColor="text1"/>
          <w:sz w:val="20"/>
          <w:szCs w:val="20"/>
        </w:rPr>
        <w:t xml:space="preserve"> the </w:t>
      </w:r>
      <w:r>
        <w:rPr>
          <w:color w:val="000000" w:themeColor="text1"/>
          <w:sz w:val="20"/>
          <w:szCs w:val="20"/>
        </w:rPr>
        <w:t>Daily T</w:t>
      </w:r>
      <w:r w:rsidRPr="00FC2DC0">
        <w:rPr>
          <w:color w:val="000000" w:themeColor="text1"/>
          <w:sz w:val="20"/>
          <w:szCs w:val="20"/>
        </w:rPr>
        <w:t>elegraph (3</w:t>
      </w:r>
      <w:r w:rsidRPr="00FC2DC0">
        <w:rPr>
          <w:color w:val="000000" w:themeColor="text1"/>
          <w:sz w:val="20"/>
          <w:szCs w:val="20"/>
          <w:vertAlign w:val="superscript"/>
        </w:rPr>
        <w:t>rd</w:t>
      </w:r>
      <w:r w:rsidRPr="00FC2DC0">
        <w:rPr>
          <w:color w:val="000000" w:themeColor="text1"/>
          <w:sz w:val="20"/>
          <w:szCs w:val="20"/>
        </w:rPr>
        <w:t xml:space="preserve"> December 2014) the largest in the world that year.</w:t>
      </w:r>
    </w:p>
  </w:footnote>
  <w:footnote w:id="7">
    <w:p w14:paraId="7BB88122" w14:textId="77777777" w:rsidR="001A50C4" w:rsidRDefault="001A50C4" w:rsidP="00566433">
      <w:pPr>
        <w:pStyle w:val="FootnoteText"/>
        <w:ind w:left="-397" w:right="-397"/>
        <w:jc w:val="both"/>
      </w:pPr>
      <w:r>
        <w:rPr>
          <w:rStyle w:val="FootnoteReference"/>
        </w:rPr>
        <w:footnoteRef/>
      </w:r>
      <w:r>
        <w:t xml:space="preserve"> For 2010 trends, see Haagh (2019e).</w:t>
      </w:r>
    </w:p>
  </w:footnote>
  <w:footnote w:id="8">
    <w:p w14:paraId="703EE2D2" w14:textId="2D16492F" w:rsidR="001A50C4" w:rsidRPr="008E5908" w:rsidRDefault="001A50C4" w:rsidP="00566433">
      <w:pPr>
        <w:ind w:left="-397" w:right="-397"/>
        <w:jc w:val="both"/>
        <w:rPr>
          <w:color w:val="000000" w:themeColor="text1"/>
          <w:sz w:val="20"/>
          <w:szCs w:val="20"/>
        </w:rPr>
      </w:pPr>
      <w:r w:rsidRPr="008E5908">
        <w:rPr>
          <w:rStyle w:val="FootnoteReference"/>
          <w:sz w:val="20"/>
          <w:szCs w:val="20"/>
        </w:rPr>
        <w:footnoteRef/>
      </w:r>
      <w:r w:rsidRPr="008E5908">
        <w:rPr>
          <w:sz w:val="20"/>
          <w:szCs w:val="20"/>
        </w:rPr>
        <w:t xml:space="preserve"> </w:t>
      </w:r>
      <w:r w:rsidR="00D93BD3">
        <w:rPr>
          <w:color w:val="000000" w:themeColor="text1"/>
          <w:sz w:val="20"/>
          <w:szCs w:val="20"/>
        </w:rPr>
        <w:t>P</w:t>
      </w:r>
      <w:r w:rsidRPr="008E5908">
        <w:rPr>
          <w:color w:val="000000" w:themeColor="text1"/>
          <w:sz w:val="20"/>
          <w:szCs w:val="20"/>
        </w:rPr>
        <w:t xml:space="preserve">ublic health </w:t>
      </w:r>
      <w:r>
        <w:rPr>
          <w:color w:val="000000" w:themeColor="text1"/>
          <w:sz w:val="20"/>
          <w:szCs w:val="20"/>
        </w:rPr>
        <w:t xml:space="preserve">as well as long-term care </w:t>
      </w:r>
      <w:r w:rsidRPr="008E5908">
        <w:rPr>
          <w:color w:val="000000" w:themeColor="text1"/>
          <w:sz w:val="20"/>
          <w:szCs w:val="20"/>
        </w:rPr>
        <w:t>expenditure in GDP is high in Nordic countries (and in Denmark the highest</w:t>
      </w:r>
      <w:r>
        <w:rPr>
          <w:color w:val="000000" w:themeColor="text1"/>
          <w:sz w:val="20"/>
          <w:szCs w:val="20"/>
        </w:rPr>
        <w:t xml:space="preserve">; </w:t>
      </w:r>
      <w:r w:rsidRPr="008E5908">
        <w:rPr>
          <w:color w:val="000000" w:themeColor="text1"/>
          <w:sz w:val="20"/>
          <w:szCs w:val="20"/>
        </w:rPr>
        <w:t>OECD, 2011a, pp. 36, 165, 72, 177, 163</w:t>
      </w:r>
    </w:p>
  </w:footnote>
  <w:footnote w:id="9">
    <w:p w14:paraId="37907AAA" w14:textId="2FDE3973" w:rsidR="001A50C4" w:rsidRPr="00784BF3" w:rsidRDefault="001A50C4" w:rsidP="00566433">
      <w:pPr>
        <w:ind w:left="-397" w:right="-397"/>
        <w:jc w:val="both"/>
        <w:rPr>
          <w:color w:val="000000" w:themeColor="text1"/>
          <w:sz w:val="20"/>
          <w:szCs w:val="20"/>
        </w:rPr>
      </w:pPr>
      <w:r w:rsidRPr="008E5908">
        <w:rPr>
          <w:rStyle w:val="FootnoteReference"/>
          <w:sz w:val="20"/>
          <w:szCs w:val="20"/>
        </w:rPr>
        <w:footnoteRef/>
      </w:r>
      <w:r>
        <w:rPr>
          <w:sz w:val="20"/>
          <w:szCs w:val="20"/>
        </w:rPr>
        <w:t xml:space="preserve"> </w:t>
      </w:r>
      <w:r w:rsidRPr="008E5908">
        <w:rPr>
          <w:color w:val="000000" w:themeColor="text1"/>
          <w:sz w:val="20"/>
          <w:szCs w:val="20"/>
        </w:rPr>
        <w:t>Swede</w:t>
      </w:r>
      <w:r>
        <w:rPr>
          <w:color w:val="000000" w:themeColor="text1"/>
          <w:sz w:val="20"/>
          <w:szCs w:val="20"/>
        </w:rPr>
        <w:t>n</w:t>
      </w:r>
      <w:r w:rsidRPr="008E5908">
        <w:rPr>
          <w:color w:val="000000" w:themeColor="text1"/>
          <w:sz w:val="20"/>
          <w:szCs w:val="20"/>
        </w:rPr>
        <w:t>’</w:t>
      </w:r>
      <w:r>
        <w:rPr>
          <w:color w:val="000000" w:themeColor="text1"/>
          <w:sz w:val="20"/>
          <w:szCs w:val="20"/>
        </w:rPr>
        <w:t>s</w:t>
      </w:r>
      <w:r w:rsidRPr="00784BF3">
        <w:rPr>
          <w:color w:val="000000" w:themeColor="text1"/>
          <w:sz w:val="20"/>
          <w:szCs w:val="20"/>
        </w:rPr>
        <w:t xml:space="preserve"> support for paying higher taxes – and trust in other c</w:t>
      </w:r>
      <w:r>
        <w:rPr>
          <w:color w:val="000000" w:themeColor="text1"/>
          <w:sz w:val="20"/>
          <w:szCs w:val="20"/>
        </w:rPr>
        <w:t>itizens’ honesty</w:t>
      </w:r>
      <w:r w:rsidRPr="00784BF3">
        <w:rPr>
          <w:color w:val="000000" w:themeColor="text1"/>
          <w:sz w:val="20"/>
          <w:szCs w:val="20"/>
        </w:rPr>
        <w:t xml:space="preserve"> - grew dramatically in the 2000s during a period of cutbacks and recession (</w:t>
      </w:r>
      <w:proofErr w:type="spellStart"/>
      <w:r w:rsidRPr="00784BF3">
        <w:rPr>
          <w:color w:val="000000" w:themeColor="text1"/>
          <w:sz w:val="20"/>
          <w:szCs w:val="20"/>
        </w:rPr>
        <w:t>Sval</w:t>
      </w:r>
      <w:r>
        <w:rPr>
          <w:color w:val="000000" w:themeColor="text1"/>
          <w:sz w:val="20"/>
          <w:szCs w:val="20"/>
        </w:rPr>
        <w:t>l</w:t>
      </w:r>
      <w:r w:rsidRPr="00784BF3">
        <w:rPr>
          <w:color w:val="000000" w:themeColor="text1"/>
          <w:sz w:val="20"/>
          <w:szCs w:val="20"/>
        </w:rPr>
        <w:t>fors</w:t>
      </w:r>
      <w:proofErr w:type="spellEnd"/>
      <w:r>
        <w:rPr>
          <w:color w:val="000000" w:themeColor="text1"/>
          <w:sz w:val="20"/>
          <w:szCs w:val="20"/>
        </w:rPr>
        <w:t>,</w:t>
      </w:r>
      <w:r w:rsidRPr="00784BF3">
        <w:rPr>
          <w:color w:val="000000" w:themeColor="text1"/>
          <w:sz w:val="20"/>
          <w:szCs w:val="20"/>
        </w:rPr>
        <w:t xml:space="preserve"> 2011, </w:t>
      </w:r>
      <w:r>
        <w:rPr>
          <w:color w:val="000000" w:themeColor="text1"/>
          <w:sz w:val="20"/>
          <w:szCs w:val="20"/>
        </w:rPr>
        <w:t xml:space="preserve">pp. </w:t>
      </w:r>
      <w:r w:rsidRPr="00784BF3">
        <w:rPr>
          <w:color w:val="000000" w:themeColor="text1"/>
          <w:sz w:val="20"/>
          <w:szCs w:val="20"/>
        </w:rPr>
        <w:t>81</w:t>
      </w:r>
      <w:r>
        <w:rPr>
          <w:color w:val="000000" w:themeColor="text1"/>
          <w:sz w:val="20"/>
          <w:szCs w:val="20"/>
        </w:rPr>
        <w:t xml:space="preserve">1-812). </w:t>
      </w:r>
    </w:p>
  </w:footnote>
  <w:footnote w:id="10">
    <w:p w14:paraId="3CBEA6A5" w14:textId="18C5A0D0" w:rsidR="001A50C4" w:rsidRPr="00D916A3" w:rsidRDefault="001A50C4" w:rsidP="00566433">
      <w:pPr>
        <w:pStyle w:val="FootnoteText"/>
        <w:ind w:left="-397" w:right="-397"/>
        <w:jc w:val="both"/>
      </w:pPr>
      <w:r w:rsidRPr="00D916A3">
        <w:rPr>
          <w:rStyle w:val="FootnoteReference"/>
        </w:rPr>
        <w:footnoteRef/>
      </w:r>
      <w:r>
        <w:t xml:space="preserve"> T</w:t>
      </w:r>
      <w:r w:rsidRPr="00D916A3">
        <w:t>his compares with only 64 companies overall in Britain</w:t>
      </w:r>
      <w:r>
        <w:t>,</w:t>
      </w:r>
      <w:r w:rsidRPr="00D916A3">
        <w:t xml:space="preserve"> reportedly taking apprentices at the height of pro-apprenticeship policy in 2007 under Labour’s flagship Job-Centre Plus network</w:t>
      </w:r>
      <w:r>
        <w:t xml:space="preserve"> (</w:t>
      </w:r>
      <w:r w:rsidRPr="00D916A3">
        <w:t>Financial Times, 10</w:t>
      </w:r>
      <w:r w:rsidRPr="00D916A3">
        <w:rPr>
          <w:vertAlign w:val="superscript"/>
        </w:rPr>
        <w:t>th</w:t>
      </w:r>
      <w:r w:rsidRPr="00D916A3">
        <w:t xml:space="preserve"> September 2007</w:t>
      </w:r>
      <w:r>
        <w:t>)</w:t>
      </w:r>
      <w:r w:rsidRPr="00D916A3">
        <w:t>.</w:t>
      </w:r>
    </w:p>
  </w:footnote>
  <w:footnote w:id="11">
    <w:p w14:paraId="790BEE71" w14:textId="1D2480AE" w:rsidR="001A50C4" w:rsidRPr="00D916A3" w:rsidRDefault="001A50C4" w:rsidP="00566433">
      <w:pPr>
        <w:ind w:left="-397" w:right="-397"/>
        <w:jc w:val="both"/>
        <w:rPr>
          <w:color w:val="000000" w:themeColor="text1"/>
          <w:sz w:val="20"/>
          <w:szCs w:val="20"/>
        </w:rPr>
      </w:pPr>
      <w:r w:rsidRPr="00E45C6F">
        <w:rPr>
          <w:rStyle w:val="FootnoteReference"/>
          <w:color w:val="000000" w:themeColor="text1"/>
        </w:rPr>
        <w:footnoteRef/>
      </w:r>
      <w:r w:rsidRPr="00E45C6F">
        <w:rPr>
          <w:rFonts w:cs="Times New Roman"/>
          <w:color w:val="000000" w:themeColor="text1"/>
          <w:sz w:val="20"/>
          <w:szCs w:val="20"/>
        </w:rPr>
        <w:t xml:space="preserve"> </w:t>
      </w:r>
      <w:r>
        <w:rPr>
          <w:color w:val="000000" w:themeColor="text1"/>
          <w:sz w:val="20"/>
          <w:szCs w:val="20"/>
        </w:rPr>
        <w:t>T</w:t>
      </w:r>
      <w:r w:rsidRPr="00E45C6F">
        <w:rPr>
          <w:color w:val="000000" w:themeColor="text1"/>
          <w:sz w:val="20"/>
          <w:szCs w:val="20"/>
        </w:rPr>
        <w:t>here are more students in independently (parent-) governed schools in Nordic states (13 % in Denmark – 39</w:t>
      </w:r>
      <w:r>
        <w:rPr>
          <w:color w:val="000000" w:themeColor="text1"/>
          <w:sz w:val="20"/>
          <w:szCs w:val="20"/>
        </w:rPr>
        <w:t>%</w:t>
      </w:r>
      <w:r w:rsidRPr="00E45C6F">
        <w:rPr>
          <w:color w:val="000000" w:themeColor="text1"/>
          <w:sz w:val="20"/>
          <w:szCs w:val="20"/>
        </w:rPr>
        <w:t xml:space="preserve"> in the capital Copenhagen - against 7 % in the UK). </w:t>
      </w:r>
      <w:r>
        <w:rPr>
          <w:color w:val="000000" w:themeColor="text1"/>
          <w:sz w:val="20"/>
          <w:szCs w:val="20"/>
        </w:rPr>
        <w:t>M</w:t>
      </w:r>
      <w:r w:rsidRPr="00E45C6F">
        <w:rPr>
          <w:color w:val="000000" w:themeColor="text1"/>
          <w:sz w:val="20"/>
          <w:szCs w:val="20"/>
        </w:rPr>
        <w:t xml:space="preserve">any </w:t>
      </w:r>
      <w:proofErr w:type="gramStart"/>
      <w:r w:rsidRPr="00E45C6F">
        <w:rPr>
          <w:color w:val="000000" w:themeColor="text1"/>
          <w:sz w:val="20"/>
          <w:szCs w:val="20"/>
        </w:rPr>
        <w:t>charge</w:t>
      </w:r>
      <w:proofErr w:type="gramEnd"/>
      <w:r w:rsidRPr="00E45C6F">
        <w:rPr>
          <w:color w:val="000000" w:themeColor="text1"/>
          <w:sz w:val="20"/>
          <w:szCs w:val="20"/>
        </w:rPr>
        <w:t xml:space="preserve"> a small </w:t>
      </w:r>
      <w:r w:rsidR="00D93BD3">
        <w:rPr>
          <w:color w:val="000000" w:themeColor="text1"/>
          <w:sz w:val="20"/>
          <w:szCs w:val="20"/>
        </w:rPr>
        <w:t xml:space="preserve">fee though – as noted earlier - </w:t>
      </w:r>
      <w:r w:rsidRPr="00E45C6F">
        <w:rPr>
          <w:color w:val="000000" w:themeColor="text1"/>
          <w:sz w:val="20"/>
          <w:szCs w:val="20"/>
        </w:rPr>
        <w:t>the level</w:t>
      </w:r>
      <w:r w:rsidR="00D93BD3">
        <w:rPr>
          <w:color w:val="000000" w:themeColor="text1"/>
          <w:sz w:val="20"/>
          <w:szCs w:val="20"/>
        </w:rPr>
        <w:t xml:space="preserve"> and effect are contained through</w:t>
      </w:r>
      <w:r w:rsidRPr="00E45C6F">
        <w:rPr>
          <w:color w:val="000000" w:themeColor="text1"/>
          <w:sz w:val="20"/>
          <w:szCs w:val="20"/>
        </w:rPr>
        <w:t xml:space="preserve"> public policy. </w:t>
      </w:r>
      <w:r w:rsidR="00D93BD3">
        <w:rPr>
          <w:color w:val="000000" w:themeColor="text1"/>
          <w:sz w:val="20"/>
          <w:szCs w:val="20"/>
        </w:rPr>
        <w:t>F</w:t>
      </w:r>
      <w:r w:rsidRPr="00AA5411">
        <w:rPr>
          <w:color w:val="000000" w:themeColor="text1"/>
          <w:sz w:val="20"/>
          <w:szCs w:val="20"/>
        </w:rPr>
        <w:t xml:space="preserve">or the same type of school – Steiner, the fees are about 5.6 times higher in the UK (Kr. 15,500 or about £1,737 per year in </w:t>
      </w:r>
      <w:proofErr w:type="spellStart"/>
      <w:r w:rsidRPr="00AA5411">
        <w:rPr>
          <w:color w:val="000000" w:themeColor="text1"/>
          <w:sz w:val="20"/>
          <w:szCs w:val="20"/>
        </w:rPr>
        <w:t>Århus</w:t>
      </w:r>
      <w:proofErr w:type="spellEnd"/>
      <w:r w:rsidRPr="00AA5411">
        <w:rPr>
          <w:color w:val="000000" w:themeColor="text1"/>
          <w:sz w:val="20"/>
          <w:szCs w:val="20"/>
        </w:rPr>
        <w:t xml:space="preserve"> in Denmark in 2013, and £9,800 in Hounslow, </w:t>
      </w:r>
      <w:r w:rsidRPr="00D916A3">
        <w:rPr>
          <w:color w:val="000000" w:themeColor="text1"/>
          <w:sz w:val="20"/>
          <w:szCs w:val="20"/>
        </w:rPr>
        <w:t>UK</w:t>
      </w:r>
      <w:r>
        <w:rPr>
          <w:color w:val="000000" w:themeColor="text1"/>
          <w:sz w:val="20"/>
          <w:szCs w:val="20"/>
        </w:rPr>
        <w:t>)</w:t>
      </w:r>
      <w:r w:rsidRPr="00D916A3">
        <w:rPr>
          <w:color w:val="000000" w:themeColor="text1"/>
          <w:sz w:val="20"/>
          <w:szCs w:val="20"/>
        </w:rPr>
        <w:t xml:space="preserve">. </w:t>
      </w:r>
      <w:r>
        <w:rPr>
          <w:color w:val="000000" w:themeColor="text1"/>
          <w:sz w:val="20"/>
          <w:szCs w:val="20"/>
        </w:rPr>
        <w:t xml:space="preserve">Available at: </w:t>
      </w:r>
      <w:hyperlink r:id="rId1" w:history="1">
        <w:r w:rsidRPr="00D916A3">
          <w:rPr>
            <w:rStyle w:val="Hyperlink"/>
            <w:rFonts w:eastAsiaTheme="majorEastAsia"/>
            <w:color w:val="000000" w:themeColor="text1"/>
            <w:sz w:val="20"/>
            <w:szCs w:val="20"/>
            <w:u w:val="none"/>
          </w:rPr>
          <w:t>http://www.steinerskolen-aarhus.dk/information/skolepenge/</w:t>
        </w:r>
      </w:hyperlink>
      <w:r>
        <w:rPr>
          <w:rStyle w:val="Hyperlink"/>
          <w:rFonts w:eastAsiaTheme="majorEastAsia"/>
          <w:color w:val="000000" w:themeColor="text1"/>
          <w:sz w:val="20"/>
          <w:szCs w:val="20"/>
          <w:u w:val="none"/>
        </w:rPr>
        <w:t xml:space="preserve">; and also at: </w:t>
      </w:r>
      <w:hyperlink r:id="rId2" w:history="1">
        <w:r w:rsidRPr="00D916A3">
          <w:rPr>
            <w:rStyle w:val="Hyperlink"/>
            <w:rFonts w:eastAsiaTheme="majorEastAsia"/>
            <w:color w:val="000000" w:themeColor="text1"/>
            <w:sz w:val="20"/>
            <w:szCs w:val="20"/>
            <w:u w:val="none"/>
          </w:rPr>
          <w:t>http://www.stmichaelsteiner.hounslow.sch.uk/information/finance.html</w:t>
        </w:r>
      </w:hyperlink>
    </w:p>
  </w:footnote>
  <w:footnote w:id="12">
    <w:p w14:paraId="59C75179" w14:textId="77777777" w:rsidR="001A50C4" w:rsidRPr="00F0580C" w:rsidRDefault="001A50C4" w:rsidP="00566433">
      <w:pPr>
        <w:pStyle w:val="FootnoteText"/>
        <w:ind w:left="-397" w:right="-397"/>
        <w:jc w:val="both"/>
        <w:rPr>
          <w:color w:val="000000" w:themeColor="text1"/>
        </w:rPr>
      </w:pPr>
      <w:r w:rsidRPr="006707EA">
        <w:rPr>
          <w:rStyle w:val="FootnoteReference"/>
          <w:color w:val="000000" w:themeColor="text1"/>
        </w:rPr>
        <w:footnoteRef/>
      </w:r>
      <w:r w:rsidRPr="006707EA">
        <w:rPr>
          <w:color w:val="000000" w:themeColor="text1"/>
        </w:rPr>
        <w:t xml:space="preserve"> Thus, in only 7 years, between 2000 and 2007, the share of public finance for elementary education in Britain fell from 88.7 per cent to 78.1 per cent (the lowest level in the OECD) whilst the share of pupils attending state schools remained constant.</w:t>
      </w:r>
      <w:r w:rsidRPr="006707EA">
        <w:rPr>
          <w:rStyle w:val="FootnoteReference"/>
          <w:color w:val="000000" w:themeColor="text1"/>
        </w:rPr>
        <w:t xml:space="preserve"> </w:t>
      </w:r>
    </w:p>
  </w:footnote>
  <w:footnote w:id="13">
    <w:p w14:paraId="4E8D6280" w14:textId="01AB485D" w:rsidR="001A50C4" w:rsidRPr="006707EA" w:rsidRDefault="001A50C4" w:rsidP="00566433">
      <w:pPr>
        <w:pStyle w:val="FootnoteText"/>
        <w:ind w:left="-397" w:right="-397"/>
        <w:jc w:val="both"/>
        <w:rPr>
          <w:color w:val="000000" w:themeColor="text1"/>
        </w:rPr>
      </w:pPr>
      <w:r w:rsidRPr="00D916A3">
        <w:rPr>
          <w:rStyle w:val="FootnoteReference"/>
          <w:color w:val="000000" w:themeColor="text1"/>
        </w:rPr>
        <w:footnoteRef/>
      </w:r>
      <w:r>
        <w:rPr>
          <w:color w:val="000000" w:themeColor="text1"/>
        </w:rPr>
        <w:t xml:space="preserve"> P</w:t>
      </w:r>
      <w:r w:rsidRPr="00D916A3">
        <w:rPr>
          <w:color w:val="000000" w:themeColor="text1"/>
        </w:rPr>
        <w:t xml:space="preserve">rivate educational fees rose by 83 per cent in real terms between 1992 and 2010, </w:t>
      </w:r>
      <w:r w:rsidRPr="006707EA">
        <w:rPr>
          <w:color w:val="000000" w:themeColor="text1"/>
        </w:rPr>
        <w:t>almost 3 times the rise in average incomes (</w:t>
      </w:r>
      <w:r>
        <w:rPr>
          <w:color w:val="000000" w:themeColor="text1"/>
        </w:rPr>
        <w:t xml:space="preserve">Daily </w:t>
      </w:r>
      <w:r w:rsidRPr="006707EA">
        <w:rPr>
          <w:color w:val="000000" w:themeColor="text1"/>
        </w:rPr>
        <w:t>Telegraph</w:t>
      </w:r>
      <w:r>
        <w:rPr>
          <w:color w:val="000000" w:themeColor="text1"/>
        </w:rPr>
        <w:t>,</w:t>
      </w:r>
      <w:r w:rsidRPr="006707EA">
        <w:rPr>
          <w:color w:val="000000" w:themeColor="text1"/>
        </w:rPr>
        <w:t xml:space="preserve"> 18 June 2010). Half of this rise occurred since 200</w:t>
      </w:r>
      <w:r>
        <w:rPr>
          <w:color w:val="000000" w:themeColor="text1"/>
        </w:rPr>
        <w:t>5 (Daily Telegraph 15 Jan 2010)</w:t>
      </w:r>
      <w:r w:rsidRPr="006707EA">
        <w:rPr>
          <w:color w:val="000000" w:themeColor="text1"/>
        </w:rPr>
        <w:t>.</w:t>
      </w:r>
    </w:p>
  </w:footnote>
  <w:footnote w:id="14">
    <w:p w14:paraId="2108B6A6" w14:textId="2303CFE9" w:rsidR="001A50C4" w:rsidRPr="00F0580C" w:rsidRDefault="001A50C4" w:rsidP="00566433">
      <w:pPr>
        <w:pStyle w:val="FootnoteText"/>
        <w:ind w:left="-397" w:right="-397"/>
        <w:jc w:val="both"/>
        <w:rPr>
          <w:color w:val="000000" w:themeColor="text1"/>
        </w:rPr>
      </w:pPr>
      <w:r w:rsidRPr="00F0580C">
        <w:rPr>
          <w:rStyle w:val="FootnoteReference"/>
          <w:color w:val="000000" w:themeColor="text1"/>
        </w:rPr>
        <w:footnoteRef/>
      </w:r>
      <w:r w:rsidRPr="00F0580C">
        <w:rPr>
          <w:color w:val="000000" w:themeColor="text1"/>
        </w:rPr>
        <w:t xml:space="preserve"> Between 2009 and 2014 child-care costs in Britain rose by 27 per cent, whilst real wages remained stagn</w:t>
      </w:r>
      <w:r>
        <w:rPr>
          <w:color w:val="000000" w:themeColor="text1"/>
        </w:rPr>
        <w:t>an</w:t>
      </w:r>
      <w:r w:rsidRPr="00F0580C">
        <w:rPr>
          <w:color w:val="000000" w:themeColor="text1"/>
        </w:rPr>
        <w:t>t</w:t>
      </w:r>
      <w:r>
        <w:rPr>
          <w:color w:val="000000" w:themeColor="text1"/>
        </w:rPr>
        <w:t xml:space="preserve"> (</w:t>
      </w:r>
      <w:r w:rsidRPr="00F0580C">
        <w:rPr>
          <w:color w:val="000000" w:themeColor="text1"/>
        </w:rPr>
        <w:t>The Family and Childcare Trust</w:t>
      </w:r>
      <w:r>
        <w:rPr>
          <w:color w:val="000000" w:themeColor="text1"/>
        </w:rPr>
        <w:t>,</w:t>
      </w:r>
      <w:r w:rsidRPr="00F0580C">
        <w:rPr>
          <w:color w:val="000000" w:themeColor="text1"/>
        </w:rPr>
        <w:t xml:space="preserve"> 2014</w:t>
      </w:r>
      <w:r>
        <w:rPr>
          <w:color w:val="000000" w:themeColor="text1"/>
        </w:rPr>
        <w:t>)</w:t>
      </w:r>
      <w:r w:rsidRPr="00F0580C">
        <w:rPr>
          <w:color w:val="000000" w:themeColor="text1"/>
        </w:rPr>
        <w:t>.</w:t>
      </w:r>
    </w:p>
  </w:footnote>
  <w:footnote w:id="15">
    <w:p w14:paraId="6653B23A" w14:textId="644BD2FE" w:rsidR="001A50C4" w:rsidRPr="00D8379E" w:rsidRDefault="001A50C4" w:rsidP="00566433">
      <w:pPr>
        <w:pStyle w:val="FootnoteText"/>
        <w:ind w:left="-397" w:right="-397"/>
        <w:jc w:val="both"/>
        <w:rPr>
          <w:rFonts w:eastAsia="Arial Unicode MS"/>
          <w:color w:val="000000" w:themeColor="text1"/>
        </w:rPr>
      </w:pPr>
      <w:r w:rsidRPr="00F0580C">
        <w:rPr>
          <w:rStyle w:val="FootnoteReference"/>
        </w:rPr>
        <w:footnoteRef/>
      </w:r>
      <w:r w:rsidRPr="00F0580C">
        <w:t xml:space="preserve"> Zero-hour contracts, permitting employer discr</w:t>
      </w:r>
      <w:r>
        <w:t>etion in work-hours</w:t>
      </w:r>
      <w:r w:rsidRPr="00F0580C">
        <w:t xml:space="preserve"> </w:t>
      </w:r>
      <w:r w:rsidRPr="00F0580C">
        <w:rPr>
          <w:rFonts w:eastAsia="Times New Roman"/>
          <w:color w:val="000000" w:themeColor="text1"/>
          <w:lang w:eastAsia="en-GB" w:bidi="ar-SA"/>
        </w:rPr>
        <w:t>are especially</w:t>
      </w:r>
      <w:r>
        <w:rPr>
          <w:rFonts w:eastAsia="Times New Roman"/>
          <w:color w:val="000000" w:themeColor="text1"/>
          <w:lang w:eastAsia="en-GB" w:bidi="ar-SA"/>
        </w:rPr>
        <w:t xml:space="preserve"> prevalent in Britain (</w:t>
      </w:r>
      <w:r>
        <w:rPr>
          <w:rFonts w:eastAsia="Arial Unicode MS"/>
          <w:color w:val="000000" w:themeColor="text1"/>
        </w:rPr>
        <w:t xml:space="preserve">EOWL, 2010) </w:t>
      </w:r>
      <w:r>
        <w:rPr>
          <w:rFonts w:eastAsia="Times New Roman"/>
          <w:color w:val="000000" w:themeColor="text1"/>
          <w:lang w:eastAsia="en-GB" w:bidi="ar-SA"/>
        </w:rPr>
        <w:t>and in services for</w:t>
      </w:r>
      <w:r w:rsidRPr="0011102A">
        <w:rPr>
          <w:rFonts w:eastAsia="Times New Roman"/>
          <w:color w:val="000000" w:themeColor="text1"/>
          <w:lang w:eastAsia="en-GB" w:bidi="ar-SA"/>
        </w:rPr>
        <w:t xml:space="preserve"> vulnerable groups (adult domiciliary care, </w:t>
      </w:r>
      <w:proofErr w:type="spellStart"/>
      <w:r w:rsidRPr="0011102A">
        <w:rPr>
          <w:rFonts w:eastAsia="Times New Roman"/>
          <w:color w:val="000000" w:themeColor="text1"/>
          <w:lang w:eastAsia="en-GB" w:bidi="ar-SA"/>
        </w:rPr>
        <w:t>Pyper</w:t>
      </w:r>
      <w:proofErr w:type="spellEnd"/>
      <w:r w:rsidRPr="0011102A">
        <w:rPr>
          <w:rFonts w:eastAsia="Times New Roman"/>
          <w:color w:val="000000" w:themeColor="text1"/>
          <w:lang w:eastAsia="en-GB" w:bidi="ar-SA"/>
        </w:rPr>
        <w:t xml:space="preserve"> and McGuinness</w:t>
      </w:r>
      <w:r>
        <w:rPr>
          <w:rFonts w:eastAsia="Times New Roman"/>
          <w:color w:val="000000" w:themeColor="text1"/>
          <w:lang w:eastAsia="en-GB" w:bidi="ar-SA"/>
        </w:rPr>
        <w:t xml:space="preserve">, </w:t>
      </w:r>
      <w:r w:rsidRPr="0011102A">
        <w:rPr>
          <w:rFonts w:eastAsia="Times New Roman"/>
          <w:color w:val="000000" w:themeColor="text1"/>
          <w:lang w:eastAsia="en-GB" w:bidi="ar-SA"/>
        </w:rPr>
        <w:t xml:space="preserve">2013, </w:t>
      </w:r>
      <w:r>
        <w:rPr>
          <w:rFonts w:eastAsia="Times New Roman"/>
          <w:color w:val="000000" w:themeColor="text1"/>
          <w:lang w:eastAsia="en-GB" w:bidi="ar-SA"/>
        </w:rPr>
        <w:t xml:space="preserve">p. </w:t>
      </w:r>
      <w:r w:rsidRPr="0011102A">
        <w:rPr>
          <w:rFonts w:eastAsia="Times New Roman"/>
          <w:color w:val="000000" w:themeColor="text1"/>
          <w:lang w:eastAsia="en-GB" w:bidi="ar-SA"/>
        </w:rPr>
        <w:t xml:space="preserve">5) – </w:t>
      </w:r>
      <w:r>
        <w:rPr>
          <w:rFonts w:eastAsia="Times New Roman"/>
          <w:color w:val="000000" w:themeColor="text1"/>
          <w:lang w:eastAsia="en-GB" w:bidi="ar-SA"/>
        </w:rPr>
        <w:t xml:space="preserve">typically carried out by women - at 61 % of such jobs </w:t>
      </w:r>
      <w:r w:rsidRPr="0011102A">
        <w:rPr>
          <w:rFonts w:eastAsia="Times New Roman"/>
          <w:color w:val="000000" w:themeColor="text1"/>
          <w:lang w:eastAsia="en-GB" w:bidi="ar-SA"/>
        </w:rPr>
        <w:t>against 3-4 % of al</w:t>
      </w:r>
      <w:r>
        <w:rPr>
          <w:rFonts w:eastAsia="Times New Roman"/>
          <w:color w:val="000000" w:themeColor="text1"/>
          <w:lang w:eastAsia="en-GB" w:bidi="ar-SA"/>
        </w:rPr>
        <w:t>l jobs in England</w:t>
      </w:r>
      <w:r w:rsidRPr="0011102A">
        <w:rPr>
          <w:rFonts w:eastAsia="Times New Roman"/>
          <w:color w:val="000000" w:themeColor="text1"/>
          <w:lang w:eastAsia="en-GB" w:bidi="ar-SA"/>
        </w:rPr>
        <w:t xml:space="preserve">. </w:t>
      </w:r>
    </w:p>
  </w:footnote>
  <w:footnote w:id="16">
    <w:p w14:paraId="33E9568E" w14:textId="4BEA57B4" w:rsidR="001A50C4" w:rsidRPr="006707EA" w:rsidRDefault="001A50C4" w:rsidP="00566433">
      <w:pPr>
        <w:pStyle w:val="FootnoteText"/>
        <w:ind w:left="-397" w:right="-397"/>
        <w:jc w:val="both"/>
        <w:rPr>
          <w:color w:val="000000" w:themeColor="text1"/>
        </w:rPr>
      </w:pPr>
      <w:r w:rsidRPr="006707EA">
        <w:rPr>
          <w:rStyle w:val="FootnoteReference"/>
          <w:color w:val="000000" w:themeColor="text1"/>
        </w:rPr>
        <w:footnoteRef/>
      </w:r>
      <w:r w:rsidRPr="006707EA">
        <w:rPr>
          <w:color w:val="000000" w:themeColor="text1"/>
        </w:rPr>
        <w:t xml:space="preserve"> In 10 out of total of 32 countries in the report</w:t>
      </w:r>
      <w:r>
        <w:rPr>
          <w:color w:val="000000" w:themeColor="text1"/>
        </w:rPr>
        <w:t>,</w:t>
      </w:r>
      <w:r w:rsidRPr="006707EA">
        <w:rPr>
          <w:color w:val="000000" w:themeColor="text1"/>
        </w:rPr>
        <w:t xml:space="preserve"> the figure for children in informal care was over 40 %, at 42 % in the UK, and 54 % in Holland. (European Commission 2013, </w:t>
      </w:r>
      <w:r>
        <w:rPr>
          <w:color w:val="000000" w:themeColor="text1"/>
        </w:rPr>
        <w:t xml:space="preserve">p. </w:t>
      </w:r>
      <w:r w:rsidRPr="006707EA">
        <w:rPr>
          <w:color w:val="000000" w:themeColor="text1"/>
        </w:rPr>
        <w:t>33), compared with under 5 % in Nordic states.</w:t>
      </w:r>
      <w:r>
        <w:rPr>
          <w:rFonts w:cs="EC Square Sans Pro Light"/>
          <w:color w:val="000000" w:themeColor="text1"/>
        </w:rPr>
        <w:t xml:space="preserve"> </w:t>
      </w:r>
    </w:p>
  </w:footnote>
  <w:footnote w:id="17">
    <w:p w14:paraId="19AA4640" w14:textId="783370C6" w:rsidR="001A50C4" w:rsidRPr="006707EA" w:rsidRDefault="001A50C4" w:rsidP="00566433">
      <w:pPr>
        <w:pStyle w:val="FootnoteText"/>
        <w:ind w:left="-397" w:right="-397"/>
        <w:jc w:val="both"/>
        <w:rPr>
          <w:color w:val="000000" w:themeColor="text1"/>
        </w:rPr>
      </w:pPr>
      <w:r w:rsidRPr="006707EA">
        <w:rPr>
          <w:rStyle w:val="FootnoteReference"/>
          <w:color w:val="000000" w:themeColor="text1"/>
        </w:rPr>
        <w:footnoteRef/>
      </w:r>
      <w:r w:rsidRPr="006707EA">
        <w:rPr>
          <w:color w:val="000000" w:themeColor="text1"/>
        </w:rPr>
        <w:t xml:space="preserve"> </w:t>
      </w:r>
      <w:r>
        <w:rPr>
          <w:color w:val="000000" w:themeColor="text1"/>
        </w:rPr>
        <w:t>B</w:t>
      </w:r>
      <w:r w:rsidRPr="006707EA">
        <w:rPr>
          <w:color w:val="000000" w:themeColor="text1"/>
        </w:rPr>
        <w:t xml:space="preserve">y July 2013, </w:t>
      </w:r>
      <w:r>
        <w:rPr>
          <w:color w:val="000000" w:themeColor="text1"/>
        </w:rPr>
        <w:t>1 in 5 firms used the contracts</w:t>
      </w:r>
      <w:r w:rsidRPr="006707EA">
        <w:rPr>
          <w:color w:val="000000" w:themeColor="text1"/>
        </w:rPr>
        <w:t xml:space="preserve"> (Guardian Friday 16</w:t>
      </w:r>
      <w:r w:rsidRPr="006707EA">
        <w:rPr>
          <w:color w:val="000000" w:themeColor="text1"/>
          <w:vertAlign w:val="superscript"/>
        </w:rPr>
        <w:t>th</w:t>
      </w:r>
      <w:r>
        <w:rPr>
          <w:color w:val="000000" w:themeColor="text1"/>
        </w:rPr>
        <w:t xml:space="preserve"> August 2013), up </w:t>
      </w:r>
      <w:r w:rsidRPr="006707EA">
        <w:rPr>
          <w:color w:val="000000" w:themeColor="text1"/>
        </w:rPr>
        <w:t xml:space="preserve">from 4% in 2004 </w:t>
      </w:r>
      <w:r w:rsidRPr="006707EA">
        <w:rPr>
          <w:rStyle w:val="PageNumber"/>
          <w:color w:val="000000" w:themeColor="text1"/>
        </w:rPr>
        <w:t>(</w:t>
      </w:r>
      <w:proofErr w:type="spellStart"/>
      <w:r w:rsidRPr="006707EA">
        <w:rPr>
          <w:rStyle w:val="PageNumber"/>
          <w:color w:val="000000" w:themeColor="text1"/>
        </w:rPr>
        <w:t>Pyper</w:t>
      </w:r>
      <w:proofErr w:type="spellEnd"/>
      <w:r w:rsidRPr="006707EA">
        <w:rPr>
          <w:rStyle w:val="PageNumber"/>
          <w:color w:val="000000" w:themeColor="text1"/>
        </w:rPr>
        <w:t xml:space="preserve"> and McGuinness</w:t>
      </w:r>
      <w:r>
        <w:rPr>
          <w:rStyle w:val="PageNumber"/>
          <w:color w:val="000000" w:themeColor="text1"/>
        </w:rPr>
        <w:t>,</w:t>
      </w:r>
      <w:r w:rsidRPr="006707EA">
        <w:rPr>
          <w:rStyle w:val="PageNumber"/>
          <w:color w:val="000000" w:themeColor="text1"/>
        </w:rPr>
        <w:t xml:space="preserve"> 2013, </w:t>
      </w:r>
      <w:r>
        <w:rPr>
          <w:rStyle w:val="PageNumber"/>
          <w:color w:val="000000" w:themeColor="text1"/>
        </w:rPr>
        <w:t xml:space="preserve">p. </w:t>
      </w:r>
      <w:r w:rsidRPr="006707EA">
        <w:rPr>
          <w:rStyle w:val="PageNumber"/>
          <w:color w:val="000000" w:themeColor="text1"/>
        </w:rPr>
        <w:t>4</w:t>
      </w:r>
      <w:proofErr w:type="gramStart"/>
      <w:r w:rsidRPr="006707EA">
        <w:rPr>
          <w:rStyle w:val="PageNumber"/>
          <w:color w:val="000000" w:themeColor="text1"/>
        </w:rPr>
        <w:t xml:space="preserve">). </w:t>
      </w:r>
      <w:r w:rsidRPr="006707EA">
        <w:rPr>
          <w:color w:val="000000" w:themeColor="text1"/>
        </w:rPr>
        <w:t xml:space="preserve"> </w:t>
      </w:r>
      <w:r>
        <w:rPr>
          <w:rFonts w:eastAsia="Arial Unicode MS"/>
          <w:color w:val="000000" w:themeColor="text1"/>
        </w:rPr>
        <w:t>.</w:t>
      </w:r>
      <w:proofErr w:type="gramEnd"/>
    </w:p>
  </w:footnote>
  <w:footnote w:id="18">
    <w:p w14:paraId="3455D5B9" w14:textId="77777777" w:rsidR="001A50C4" w:rsidRPr="006707EA" w:rsidRDefault="001A50C4" w:rsidP="00566433">
      <w:pPr>
        <w:pStyle w:val="FootnoteText"/>
        <w:ind w:left="-397" w:right="-397"/>
        <w:jc w:val="both"/>
        <w:rPr>
          <w:color w:val="000000" w:themeColor="text1"/>
        </w:rPr>
      </w:pPr>
      <w:r w:rsidRPr="006707EA">
        <w:rPr>
          <w:rStyle w:val="FootnoteReference"/>
          <w:color w:val="000000" w:themeColor="text1"/>
        </w:rPr>
        <w:footnoteRef/>
      </w:r>
      <w:r w:rsidRPr="006707EA">
        <w:rPr>
          <w:color w:val="000000" w:themeColor="text1"/>
        </w:rPr>
        <w:t xml:space="preserve"> Britain in 2013 had an average - but by education the most divided - share of youth (15-to-29-year-olds) not in education or employment in the OECD: 24 per cent with low schooling were inactive as compared with 8 per cent with high education. In Denmark, Sweden and Norway the figures are (10.3, 8.2; 8.1, 4.9; 9.8, 6.6). </w:t>
      </w:r>
      <w:r>
        <w:rPr>
          <w:color w:val="000000" w:themeColor="text1"/>
        </w:rPr>
        <w:t>(</w:t>
      </w:r>
      <w:r w:rsidRPr="006707EA">
        <w:rPr>
          <w:color w:val="000000" w:themeColor="text1"/>
        </w:rPr>
        <w:t>OECD</w:t>
      </w:r>
      <w:r>
        <w:rPr>
          <w:color w:val="000000" w:themeColor="text1"/>
        </w:rPr>
        <w:t>,</w:t>
      </w:r>
      <w:r w:rsidRPr="006707EA">
        <w:rPr>
          <w:color w:val="000000" w:themeColor="text1"/>
        </w:rPr>
        <w:t xml:space="preserve"> 2014, </w:t>
      </w:r>
      <w:r>
        <w:rPr>
          <w:color w:val="000000" w:themeColor="text1"/>
        </w:rPr>
        <w:t xml:space="preserve">p. </w:t>
      </w:r>
      <w:r w:rsidRPr="006707EA">
        <w:rPr>
          <w:color w:val="000000" w:themeColor="text1"/>
        </w:rPr>
        <w:t>103</w:t>
      </w:r>
      <w:r>
        <w:rPr>
          <w:color w:val="000000" w:themeColor="text1"/>
        </w:rPr>
        <w:t>)</w:t>
      </w:r>
      <w:r w:rsidRPr="006707EA">
        <w:rPr>
          <w:color w:val="000000" w:themeColor="text1"/>
        </w:rPr>
        <w:t>.</w:t>
      </w:r>
    </w:p>
  </w:footnote>
  <w:footnote w:id="19">
    <w:p w14:paraId="5BF4F731" w14:textId="41E7A469" w:rsidR="001A50C4" w:rsidRPr="006707EA" w:rsidRDefault="001A50C4" w:rsidP="00566433">
      <w:pPr>
        <w:pStyle w:val="FootnoteText"/>
        <w:ind w:left="-397" w:right="-397"/>
        <w:jc w:val="both"/>
        <w:rPr>
          <w:color w:val="000000" w:themeColor="text1"/>
        </w:rPr>
      </w:pPr>
      <w:r w:rsidRPr="006707EA">
        <w:rPr>
          <w:rStyle w:val="FootnoteReference"/>
          <w:color w:val="000000" w:themeColor="text1"/>
        </w:rPr>
        <w:footnoteRef/>
      </w:r>
      <w:r w:rsidRPr="006707EA">
        <w:rPr>
          <w:color w:val="000000" w:themeColor="text1"/>
        </w:rPr>
        <w:t xml:space="preserve"> According to </w:t>
      </w:r>
      <w:proofErr w:type="spellStart"/>
      <w:r w:rsidRPr="006707EA">
        <w:rPr>
          <w:color w:val="000000" w:themeColor="text1"/>
        </w:rPr>
        <w:t>Burtless</w:t>
      </w:r>
      <w:proofErr w:type="spellEnd"/>
      <w:r w:rsidRPr="006707EA">
        <w:rPr>
          <w:color w:val="000000" w:themeColor="text1"/>
        </w:rPr>
        <w:t xml:space="preserve"> et al</w:t>
      </w:r>
      <w:r>
        <w:rPr>
          <w:color w:val="000000" w:themeColor="text1"/>
        </w:rPr>
        <w:t>. (</w:t>
      </w:r>
      <w:r w:rsidRPr="006707EA">
        <w:rPr>
          <w:color w:val="000000" w:themeColor="text1"/>
        </w:rPr>
        <w:t>2010</w:t>
      </w:r>
      <w:r>
        <w:rPr>
          <w:color w:val="000000" w:themeColor="text1"/>
        </w:rPr>
        <w:t>)</w:t>
      </w:r>
      <w:r w:rsidRPr="006707EA">
        <w:rPr>
          <w:color w:val="000000" w:themeColor="text1"/>
        </w:rPr>
        <w:t xml:space="preserve">, in the UK top earners work </w:t>
      </w:r>
      <w:r>
        <w:rPr>
          <w:color w:val="000000" w:themeColor="text1"/>
        </w:rPr>
        <w:t xml:space="preserve">3 </w:t>
      </w:r>
      <w:r w:rsidRPr="006707EA">
        <w:rPr>
          <w:color w:val="000000" w:themeColor="text1"/>
        </w:rPr>
        <w:t>times as many hours as the lowest earners, as compared with 1.6 in the US and 1.5 in Austria.</w:t>
      </w:r>
    </w:p>
  </w:footnote>
  <w:footnote w:id="20">
    <w:p w14:paraId="49D665B4" w14:textId="77777777" w:rsidR="001A50C4" w:rsidRPr="006707EA" w:rsidRDefault="001A50C4" w:rsidP="00566433">
      <w:pPr>
        <w:pStyle w:val="FootnoteText"/>
        <w:ind w:left="-397" w:right="-397"/>
        <w:jc w:val="both"/>
        <w:rPr>
          <w:color w:val="000000" w:themeColor="text1"/>
        </w:rPr>
      </w:pPr>
      <w:r w:rsidRPr="006707EA">
        <w:rPr>
          <w:rStyle w:val="FootnoteReference"/>
          <w:color w:val="000000" w:themeColor="text1"/>
        </w:rPr>
        <w:footnoteRef/>
      </w:r>
      <w:r w:rsidRPr="006707EA">
        <w:rPr>
          <w:color w:val="000000" w:themeColor="text1"/>
        </w:rPr>
        <w:t xml:space="preserve"> Introduced in April 2013, the ‘under-occupancy tax’ is intended to entice residents </w:t>
      </w:r>
      <w:r>
        <w:rPr>
          <w:color w:val="000000" w:themeColor="text1"/>
        </w:rPr>
        <w:t>with an extra room to move or take a tenant.</w:t>
      </w:r>
    </w:p>
  </w:footnote>
  <w:footnote w:id="21">
    <w:p w14:paraId="4108885A" w14:textId="77777777" w:rsidR="001A50C4" w:rsidRDefault="001A50C4" w:rsidP="00566433">
      <w:pPr>
        <w:pStyle w:val="FootnoteText"/>
        <w:ind w:left="-397" w:right="-397"/>
        <w:jc w:val="both"/>
      </w:pPr>
      <w:r>
        <w:rPr>
          <w:rStyle w:val="FootnoteReference"/>
        </w:rPr>
        <w:footnoteRef/>
      </w:r>
      <w:r w:rsidRPr="00C93189">
        <w:rPr>
          <w:lang w:val="da-DK"/>
        </w:rPr>
        <w:t xml:space="preserve"> Børnepenge –</w:t>
      </w:r>
      <w:proofErr w:type="spellStart"/>
      <w:r w:rsidRPr="00C93189">
        <w:rPr>
          <w:lang w:val="da-DK"/>
        </w:rPr>
        <w:t>børne</w:t>
      </w:r>
      <w:proofErr w:type="spellEnd"/>
      <w:r w:rsidRPr="00C93189">
        <w:rPr>
          <w:lang w:val="da-DK"/>
        </w:rPr>
        <w:t xml:space="preserve"> og ungeydelserne, Babyxplore.dk, 3. </w:t>
      </w:r>
      <w:proofErr w:type="gramStart"/>
      <w:r>
        <w:t>December</w:t>
      </w:r>
      <w:proofErr w:type="gramEnd"/>
      <w:r>
        <w:t xml:space="preserve"> 2014</w:t>
      </w:r>
    </w:p>
  </w:footnote>
  <w:footnote w:id="22">
    <w:p w14:paraId="38AC23E8" w14:textId="547125E3" w:rsidR="001A50C4" w:rsidRPr="00327C34" w:rsidRDefault="001A50C4" w:rsidP="00AF05BC">
      <w:pPr>
        <w:pStyle w:val="FootnoteText"/>
        <w:ind w:left="-397" w:right="-397"/>
        <w:jc w:val="both"/>
        <w:rPr>
          <w:b/>
        </w:rPr>
      </w:pPr>
      <w:r>
        <w:rPr>
          <w:rStyle w:val="FootnoteReference"/>
        </w:rPr>
        <w:footnoteRef/>
      </w:r>
      <w:r>
        <w:t xml:space="preserve"> In Britain, the initial financial response to Co</w:t>
      </w:r>
      <w:r w:rsidR="00D93BD3">
        <w:t xml:space="preserve">ronavirus comprised cash </w:t>
      </w:r>
      <w:r>
        <w:t>for businesses, though mainly in the form of loans (BBC 2019, March 17th</w:t>
      </w:r>
      <w:r w:rsidR="00D93BD3">
        <w:t>). A</w:t>
      </w:r>
      <w:r w:rsidRPr="00327C34">
        <w:t xml:space="preserve"> scheme to support 80 % of individuals’ wages, an equivalent package for the self-employed, and upping the level of Universal Credit payments (albeit by much less) for those depending on assistance, followed</w:t>
      </w:r>
      <w:r>
        <w:t xml:space="preserve"> (</w:t>
      </w:r>
      <w:r w:rsidR="009E3882">
        <w:t>Financial Times 2020</w:t>
      </w:r>
      <w:r w:rsidRPr="009E3882">
        <w:t>)</w:t>
      </w:r>
      <w:r w:rsidRPr="00327C34">
        <w:t xml:space="preserve">. </w:t>
      </w:r>
      <w:r w:rsidR="009E3882">
        <w:t>The</w:t>
      </w:r>
      <w:r w:rsidR="009E3882" w:rsidRPr="00327C34">
        <w:t xml:space="preserve"> UK in this sense in effect mimicked – albeit </w:t>
      </w:r>
      <w:r w:rsidR="009E3882" w:rsidRPr="009E3882">
        <w:t>only temporari</w:t>
      </w:r>
      <w:r w:rsidR="009E3882" w:rsidRPr="00327C34">
        <w:t xml:space="preserve">ly – the </w:t>
      </w:r>
      <w:r w:rsidR="009E3882" w:rsidRPr="009E3882">
        <w:t>two-tier more com</w:t>
      </w:r>
      <w:r w:rsidR="009E3882">
        <w:t>p</w:t>
      </w:r>
      <w:r w:rsidR="009E3882" w:rsidRPr="00327C34">
        <w:t xml:space="preserve">rehensive economic security system of Nordic </w:t>
      </w:r>
      <w:r w:rsidR="009E3882">
        <w:t xml:space="preserve">and East Asian </w:t>
      </w:r>
      <w:r w:rsidR="009E3882" w:rsidRPr="009E3882">
        <w:t>states, co</w:t>
      </w:r>
      <w:r w:rsidR="009E3882" w:rsidRPr="00327C34">
        <w:t>mprising of both wage-linked and basic security systems</w:t>
      </w:r>
      <w:r w:rsidR="00D93BD3">
        <w:t>.</w:t>
      </w:r>
      <w:r w:rsidR="009E3882" w:rsidRPr="00327C3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259"/>
    <w:multiLevelType w:val="hybridMultilevel"/>
    <w:tmpl w:val="DEDC45DA"/>
    <w:lvl w:ilvl="0" w:tplc="1C2E885E">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 w15:restartNumberingAfterBreak="0">
    <w:nsid w:val="08B831FB"/>
    <w:multiLevelType w:val="hybridMultilevel"/>
    <w:tmpl w:val="193218A4"/>
    <w:lvl w:ilvl="0" w:tplc="C71AB4F8">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2" w15:restartNumberingAfterBreak="0">
    <w:nsid w:val="0AAC1D07"/>
    <w:multiLevelType w:val="hybridMultilevel"/>
    <w:tmpl w:val="F4C01BDE"/>
    <w:lvl w:ilvl="0" w:tplc="3BC6AE9A">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3" w15:restartNumberingAfterBreak="0">
    <w:nsid w:val="0DE95D8F"/>
    <w:multiLevelType w:val="hybridMultilevel"/>
    <w:tmpl w:val="84D2DE78"/>
    <w:lvl w:ilvl="0" w:tplc="A522A702">
      <w:start w:val="1"/>
      <w:numFmt w:val="decimal"/>
      <w:lvlText w:val="%1."/>
      <w:lvlJc w:val="left"/>
      <w:pPr>
        <w:ind w:left="-37" w:hanging="36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4" w15:restartNumberingAfterBreak="0">
    <w:nsid w:val="0FDC2319"/>
    <w:multiLevelType w:val="hybridMultilevel"/>
    <w:tmpl w:val="546E8274"/>
    <w:lvl w:ilvl="0" w:tplc="4F88952C">
      <w:start w:val="1"/>
      <w:numFmt w:val="upp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5" w15:restartNumberingAfterBreak="0">
    <w:nsid w:val="174C799E"/>
    <w:multiLevelType w:val="hybridMultilevel"/>
    <w:tmpl w:val="FA46D630"/>
    <w:lvl w:ilvl="0" w:tplc="4F028B3C">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6" w15:restartNumberingAfterBreak="0">
    <w:nsid w:val="1E5D0E92"/>
    <w:multiLevelType w:val="hybridMultilevel"/>
    <w:tmpl w:val="CBC037CA"/>
    <w:lvl w:ilvl="0" w:tplc="ED6E2B48">
      <w:start w:val="3"/>
      <w:numFmt w:val="bullet"/>
      <w:lvlText w:val="-"/>
      <w:lvlJc w:val="left"/>
      <w:pPr>
        <w:ind w:left="-37" w:hanging="360"/>
      </w:pPr>
      <w:rPr>
        <w:rFonts w:ascii="Times New Roman" w:eastAsia="SimSun" w:hAnsi="Times New Roman" w:cs="Times New Roman" w:hint="default"/>
      </w:rPr>
    </w:lvl>
    <w:lvl w:ilvl="1" w:tplc="08090003" w:tentative="1">
      <w:start w:val="1"/>
      <w:numFmt w:val="bullet"/>
      <w:lvlText w:val="o"/>
      <w:lvlJc w:val="left"/>
      <w:pPr>
        <w:ind w:left="683" w:hanging="360"/>
      </w:pPr>
      <w:rPr>
        <w:rFonts w:ascii="Courier New" w:hAnsi="Courier New" w:cs="Courier New" w:hint="default"/>
      </w:rPr>
    </w:lvl>
    <w:lvl w:ilvl="2" w:tplc="08090005" w:tentative="1">
      <w:start w:val="1"/>
      <w:numFmt w:val="bullet"/>
      <w:lvlText w:val=""/>
      <w:lvlJc w:val="left"/>
      <w:pPr>
        <w:ind w:left="1403" w:hanging="360"/>
      </w:pPr>
      <w:rPr>
        <w:rFonts w:ascii="Wingdings" w:hAnsi="Wingdings" w:hint="default"/>
      </w:rPr>
    </w:lvl>
    <w:lvl w:ilvl="3" w:tplc="08090001" w:tentative="1">
      <w:start w:val="1"/>
      <w:numFmt w:val="bullet"/>
      <w:lvlText w:val=""/>
      <w:lvlJc w:val="left"/>
      <w:pPr>
        <w:ind w:left="2123" w:hanging="360"/>
      </w:pPr>
      <w:rPr>
        <w:rFonts w:ascii="Symbol" w:hAnsi="Symbol" w:hint="default"/>
      </w:rPr>
    </w:lvl>
    <w:lvl w:ilvl="4" w:tplc="08090003" w:tentative="1">
      <w:start w:val="1"/>
      <w:numFmt w:val="bullet"/>
      <w:lvlText w:val="o"/>
      <w:lvlJc w:val="left"/>
      <w:pPr>
        <w:ind w:left="2843" w:hanging="360"/>
      </w:pPr>
      <w:rPr>
        <w:rFonts w:ascii="Courier New" w:hAnsi="Courier New" w:cs="Courier New" w:hint="default"/>
      </w:rPr>
    </w:lvl>
    <w:lvl w:ilvl="5" w:tplc="08090005" w:tentative="1">
      <w:start w:val="1"/>
      <w:numFmt w:val="bullet"/>
      <w:lvlText w:val=""/>
      <w:lvlJc w:val="left"/>
      <w:pPr>
        <w:ind w:left="3563" w:hanging="360"/>
      </w:pPr>
      <w:rPr>
        <w:rFonts w:ascii="Wingdings" w:hAnsi="Wingdings" w:hint="default"/>
      </w:rPr>
    </w:lvl>
    <w:lvl w:ilvl="6" w:tplc="08090001" w:tentative="1">
      <w:start w:val="1"/>
      <w:numFmt w:val="bullet"/>
      <w:lvlText w:val=""/>
      <w:lvlJc w:val="left"/>
      <w:pPr>
        <w:ind w:left="4283" w:hanging="360"/>
      </w:pPr>
      <w:rPr>
        <w:rFonts w:ascii="Symbol" w:hAnsi="Symbol" w:hint="default"/>
      </w:rPr>
    </w:lvl>
    <w:lvl w:ilvl="7" w:tplc="08090003" w:tentative="1">
      <w:start w:val="1"/>
      <w:numFmt w:val="bullet"/>
      <w:lvlText w:val="o"/>
      <w:lvlJc w:val="left"/>
      <w:pPr>
        <w:ind w:left="5003" w:hanging="360"/>
      </w:pPr>
      <w:rPr>
        <w:rFonts w:ascii="Courier New" w:hAnsi="Courier New" w:cs="Courier New" w:hint="default"/>
      </w:rPr>
    </w:lvl>
    <w:lvl w:ilvl="8" w:tplc="08090005" w:tentative="1">
      <w:start w:val="1"/>
      <w:numFmt w:val="bullet"/>
      <w:lvlText w:val=""/>
      <w:lvlJc w:val="left"/>
      <w:pPr>
        <w:ind w:left="5723" w:hanging="360"/>
      </w:pPr>
      <w:rPr>
        <w:rFonts w:ascii="Wingdings" w:hAnsi="Wingdings" w:hint="default"/>
      </w:rPr>
    </w:lvl>
  </w:abstractNum>
  <w:abstractNum w:abstractNumId="7" w15:restartNumberingAfterBreak="0">
    <w:nsid w:val="207D049A"/>
    <w:multiLevelType w:val="hybridMultilevel"/>
    <w:tmpl w:val="CE9AA07E"/>
    <w:lvl w:ilvl="0" w:tplc="AC46864E">
      <w:start w:val="40"/>
      <w:numFmt w:val="bullet"/>
      <w:lvlText w:val="-"/>
      <w:lvlJc w:val="left"/>
      <w:pPr>
        <w:ind w:left="-37" w:hanging="360"/>
      </w:pPr>
      <w:rPr>
        <w:rFonts w:ascii="Times New Roman" w:eastAsia="Times New Roman" w:hAnsi="Times New Roman" w:cs="Times New Roman" w:hint="default"/>
      </w:rPr>
    </w:lvl>
    <w:lvl w:ilvl="1" w:tplc="08090003" w:tentative="1">
      <w:start w:val="1"/>
      <w:numFmt w:val="bullet"/>
      <w:lvlText w:val="o"/>
      <w:lvlJc w:val="left"/>
      <w:pPr>
        <w:ind w:left="683" w:hanging="360"/>
      </w:pPr>
      <w:rPr>
        <w:rFonts w:ascii="Courier New" w:hAnsi="Courier New" w:cs="Courier New" w:hint="default"/>
      </w:rPr>
    </w:lvl>
    <w:lvl w:ilvl="2" w:tplc="08090005" w:tentative="1">
      <w:start w:val="1"/>
      <w:numFmt w:val="bullet"/>
      <w:lvlText w:val=""/>
      <w:lvlJc w:val="left"/>
      <w:pPr>
        <w:ind w:left="1403" w:hanging="360"/>
      </w:pPr>
      <w:rPr>
        <w:rFonts w:ascii="Wingdings" w:hAnsi="Wingdings" w:hint="default"/>
      </w:rPr>
    </w:lvl>
    <w:lvl w:ilvl="3" w:tplc="08090001" w:tentative="1">
      <w:start w:val="1"/>
      <w:numFmt w:val="bullet"/>
      <w:lvlText w:val=""/>
      <w:lvlJc w:val="left"/>
      <w:pPr>
        <w:ind w:left="2123" w:hanging="360"/>
      </w:pPr>
      <w:rPr>
        <w:rFonts w:ascii="Symbol" w:hAnsi="Symbol" w:hint="default"/>
      </w:rPr>
    </w:lvl>
    <w:lvl w:ilvl="4" w:tplc="08090003" w:tentative="1">
      <w:start w:val="1"/>
      <w:numFmt w:val="bullet"/>
      <w:lvlText w:val="o"/>
      <w:lvlJc w:val="left"/>
      <w:pPr>
        <w:ind w:left="2843" w:hanging="360"/>
      </w:pPr>
      <w:rPr>
        <w:rFonts w:ascii="Courier New" w:hAnsi="Courier New" w:cs="Courier New" w:hint="default"/>
      </w:rPr>
    </w:lvl>
    <w:lvl w:ilvl="5" w:tplc="08090005" w:tentative="1">
      <w:start w:val="1"/>
      <w:numFmt w:val="bullet"/>
      <w:lvlText w:val=""/>
      <w:lvlJc w:val="left"/>
      <w:pPr>
        <w:ind w:left="3563" w:hanging="360"/>
      </w:pPr>
      <w:rPr>
        <w:rFonts w:ascii="Wingdings" w:hAnsi="Wingdings" w:hint="default"/>
      </w:rPr>
    </w:lvl>
    <w:lvl w:ilvl="6" w:tplc="08090001" w:tentative="1">
      <w:start w:val="1"/>
      <w:numFmt w:val="bullet"/>
      <w:lvlText w:val=""/>
      <w:lvlJc w:val="left"/>
      <w:pPr>
        <w:ind w:left="4283" w:hanging="360"/>
      </w:pPr>
      <w:rPr>
        <w:rFonts w:ascii="Symbol" w:hAnsi="Symbol" w:hint="default"/>
      </w:rPr>
    </w:lvl>
    <w:lvl w:ilvl="7" w:tplc="08090003" w:tentative="1">
      <w:start w:val="1"/>
      <w:numFmt w:val="bullet"/>
      <w:lvlText w:val="o"/>
      <w:lvlJc w:val="left"/>
      <w:pPr>
        <w:ind w:left="5003" w:hanging="360"/>
      </w:pPr>
      <w:rPr>
        <w:rFonts w:ascii="Courier New" w:hAnsi="Courier New" w:cs="Courier New" w:hint="default"/>
      </w:rPr>
    </w:lvl>
    <w:lvl w:ilvl="8" w:tplc="08090005" w:tentative="1">
      <w:start w:val="1"/>
      <w:numFmt w:val="bullet"/>
      <w:lvlText w:val=""/>
      <w:lvlJc w:val="left"/>
      <w:pPr>
        <w:ind w:left="5723" w:hanging="360"/>
      </w:pPr>
      <w:rPr>
        <w:rFonts w:ascii="Wingdings" w:hAnsi="Wingdings" w:hint="default"/>
      </w:rPr>
    </w:lvl>
  </w:abstractNum>
  <w:abstractNum w:abstractNumId="8" w15:restartNumberingAfterBreak="0">
    <w:nsid w:val="24173D29"/>
    <w:multiLevelType w:val="hybridMultilevel"/>
    <w:tmpl w:val="235493B2"/>
    <w:lvl w:ilvl="0" w:tplc="B532BE90">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9" w15:restartNumberingAfterBreak="0">
    <w:nsid w:val="2AD02FB3"/>
    <w:multiLevelType w:val="hybridMultilevel"/>
    <w:tmpl w:val="1FDA61A2"/>
    <w:lvl w:ilvl="0" w:tplc="D9CE2DB6">
      <w:start w:val="2"/>
      <w:numFmt w:val="bullet"/>
      <w:lvlText w:val="-"/>
      <w:lvlJc w:val="left"/>
      <w:pPr>
        <w:ind w:left="23" w:hanging="360"/>
      </w:pPr>
      <w:rPr>
        <w:rFonts w:ascii="Times New Roman" w:eastAsia="Times New Roman" w:hAnsi="Times New Roman" w:cs="Times New Roman" w:hint="default"/>
      </w:rPr>
    </w:lvl>
    <w:lvl w:ilvl="1" w:tplc="08090003" w:tentative="1">
      <w:start w:val="1"/>
      <w:numFmt w:val="bullet"/>
      <w:lvlText w:val="o"/>
      <w:lvlJc w:val="left"/>
      <w:pPr>
        <w:ind w:left="743" w:hanging="360"/>
      </w:pPr>
      <w:rPr>
        <w:rFonts w:ascii="Courier New" w:hAnsi="Courier New" w:cs="Courier New" w:hint="default"/>
      </w:rPr>
    </w:lvl>
    <w:lvl w:ilvl="2" w:tplc="08090005" w:tentative="1">
      <w:start w:val="1"/>
      <w:numFmt w:val="bullet"/>
      <w:lvlText w:val=""/>
      <w:lvlJc w:val="left"/>
      <w:pPr>
        <w:ind w:left="1463" w:hanging="360"/>
      </w:pPr>
      <w:rPr>
        <w:rFonts w:ascii="Wingdings" w:hAnsi="Wingdings" w:hint="default"/>
      </w:rPr>
    </w:lvl>
    <w:lvl w:ilvl="3" w:tplc="08090001" w:tentative="1">
      <w:start w:val="1"/>
      <w:numFmt w:val="bullet"/>
      <w:lvlText w:val=""/>
      <w:lvlJc w:val="left"/>
      <w:pPr>
        <w:ind w:left="2183" w:hanging="360"/>
      </w:pPr>
      <w:rPr>
        <w:rFonts w:ascii="Symbol" w:hAnsi="Symbol" w:hint="default"/>
      </w:rPr>
    </w:lvl>
    <w:lvl w:ilvl="4" w:tplc="08090003" w:tentative="1">
      <w:start w:val="1"/>
      <w:numFmt w:val="bullet"/>
      <w:lvlText w:val="o"/>
      <w:lvlJc w:val="left"/>
      <w:pPr>
        <w:ind w:left="2903" w:hanging="360"/>
      </w:pPr>
      <w:rPr>
        <w:rFonts w:ascii="Courier New" w:hAnsi="Courier New" w:cs="Courier New" w:hint="default"/>
      </w:rPr>
    </w:lvl>
    <w:lvl w:ilvl="5" w:tplc="08090005" w:tentative="1">
      <w:start w:val="1"/>
      <w:numFmt w:val="bullet"/>
      <w:lvlText w:val=""/>
      <w:lvlJc w:val="left"/>
      <w:pPr>
        <w:ind w:left="3623" w:hanging="360"/>
      </w:pPr>
      <w:rPr>
        <w:rFonts w:ascii="Wingdings" w:hAnsi="Wingdings" w:hint="default"/>
      </w:rPr>
    </w:lvl>
    <w:lvl w:ilvl="6" w:tplc="08090001" w:tentative="1">
      <w:start w:val="1"/>
      <w:numFmt w:val="bullet"/>
      <w:lvlText w:val=""/>
      <w:lvlJc w:val="left"/>
      <w:pPr>
        <w:ind w:left="4343" w:hanging="360"/>
      </w:pPr>
      <w:rPr>
        <w:rFonts w:ascii="Symbol" w:hAnsi="Symbol" w:hint="default"/>
      </w:rPr>
    </w:lvl>
    <w:lvl w:ilvl="7" w:tplc="08090003" w:tentative="1">
      <w:start w:val="1"/>
      <w:numFmt w:val="bullet"/>
      <w:lvlText w:val="o"/>
      <w:lvlJc w:val="left"/>
      <w:pPr>
        <w:ind w:left="5063" w:hanging="360"/>
      </w:pPr>
      <w:rPr>
        <w:rFonts w:ascii="Courier New" w:hAnsi="Courier New" w:cs="Courier New" w:hint="default"/>
      </w:rPr>
    </w:lvl>
    <w:lvl w:ilvl="8" w:tplc="08090005" w:tentative="1">
      <w:start w:val="1"/>
      <w:numFmt w:val="bullet"/>
      <w:lvlText w:val=""/>
      <w:lvlJc w:val="left"/>
      <w:pPr>
        <w:ind w:left="5783" w:hanging="360"/>
      </w:pPr>
      <w:rPr>
        <w:rFonts w:ascii="Wingdings" w:hAnsi="Wingdings" w:hint="default"/>
      </w:rPr>
    </w:lvl>
  </w:abstractNum>
  <w:abstractNum w:abstractNumId="10" w15:restartNumberingAfterBreak="0">
    <w:nsid w:val="439F6331"/>
    <w:multiLevelType w:val="hybridMultilevel"/>
    <w:tmpl w:val="21DEABAC"/>
    <w:lvl w:ilvl="0" w:tplc="C7BE8288">
      <w:start w:val="1"/>
      <w:numFmt w:val="decimal"/>
      <w:lvlText w:val="%1."/>
      <w:lvlJc w:val="left"/>
      <w:pPr>
        <w:ind w:left="-37" w:hanging="36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1" w15:restartNumberingAfterBreak="0">
    <w:nsid w:val="43CE6A97"/>
    <w:multiLevelType w:val="hybridMultilevel"/>
    <w:tmpl w:val="FA067828"/>
    <w:lvl w:ilvl="0" w:tplc="0952CA2E">
      <w:start w:val="1"/>
      <w:numFmt w:val="lowerLetter"/>
      <w:lvlText w:val="%1."/>
      <w:lvlJc w:val="left"/>
      <w:pPr>
        <w:ind w:left="-37" w:hanging="36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2" w15:restartNumberingAfterBreak="0">
    <w:nsid w:val="43D27EDC"/>
    <w:multiLevelType w:val="hybridMultilevel"/>
    <w:tmpl w:val="1E2E4500"/>
    <w:lvl w:ilvl="0" w:tplc="53D6D300">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3" w15:restartNumberingAfterBreak="0">
    <w:nsid w:val="457C7567"/>
    <w:multiLevelType w:val="hybridMultilevel"/>
    <w:tmpl w:val="044AE9E0"/>
    <w:lvl w:ilvl="0" w:tplc="536E2A5A">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4" w15:restartNumberingAfterBreak="0">
    <w:nsid w:val="4C8E29D8"/>
    <w:multiLevelType w:val="hybridMultilevel"/>
    <w:tmpl w:val="6BD0752C"/>
    <w:lvl w:ilvl="0" w:tplc="F266C6A0">
      <w:start w:val="3"/>
      <w:numFmt w:val="bullet"/>
      <w:lvlText w:val="-"/>
      <w:lvlJc w:val="left"/>
      <w:pPr>
        <w:ind w:left="-37" w:hanging="360"/>
      </w:pPr>
      <w:rPr>
        <w:rFonts w:ascii="Times New Roman" w:eastAsia="SimSun" w:hAnsi="Times New Roman" w:cs="Times New Roman" w:hint="default"/>
        <w:color w:val="000000" w:themeColor="text1"/>
      </w:rPr>
    </w:lvl>
    <w:lvl w:ilvl="1" w:tplc="08090003" w:tentative="1">
      <w:start w:val="1"/>
      <w:numFmt w:val="bullet"/>
      <w:lvlText w:val="o"/>
      <w:lvlJc w:val="left"/>
      <w:pPr>
        <w:ind w:left="683" w:hanging="360"/>
      </w:pPr>
      <w:rPr>
        <w:rFonts w:ascii="Courier New" w:hAnsi="Courier New" w:cs="Courier New" w:hint="default"/>
      </w:rPr>
    </w:lvl>
    <w:lvl w:ilvl="2" w:tplc="08090005" w:tentative="1">
      <w:start w:val="1"/>
      <w:numFmt w:val="bullet"/>
      <w:lvlText w:val=""/>
      <w:lvlJc w:val="left"/>
      <w:pPr>
        <w:ind w:left="1403" w:hanging="360"/>
      </w:pPr>
      <w:rPr>
        <w:rFonts w:ascii="Wingdings" w:hAnsi="Wingdings" w:hint="default"/>
      </w:rPr>
    </w:lvl>
    <w:lvl w:ilvl="3" w:tplc="08090001" w:tentative="1">
      <w:start w:val="1"/>
      <w:numFmt w:val="bullet"/>
      <w:lvlText w:val=""/>
      <w:lvlJc w:val="left"/>
      <w:pPr>
        <w:ind w:left="2123" w:hanging="360"/>
      </w:pPr>
      <w:rPr>
        <w:rFonts w:ascii="Symbol" w:hAnsi="Symbol" w:hint="default"/>
      </w:rPr>
    </w:lvl>
    <w:lvl w:ilvl="4" w:tplc="08090003" w:tentative="1">
      <w:start w:val="1"/>
      <w:numFmt w:val="bullet"/>
      <w:lvlText w:val="o"/>
      <w:lvlJc w:val="left"/>
      <w:pPr>
        <w:ind w:left="2843" w:hanging="360"/>
      </w:pPr>
      <w:rPr>
        <w:rFonts w:ascii="Courier New" w:hAnsi="Courier New" w:cs="Courier New" w:hint="default"/>
      </w:rPr>
    </w:lvl>
    <w:lvl w:ilvl="5" w:tplc="08090005" w:tentative="1">
      <w:start w:val="1"/>
      <w:numFmt w:val="bullet"/>
      <w:lvlText w:val=""/>
      <w:lvlJc w:val="left"/>
      <w:pPr>
        <w:ind w:left="3563" w:hanging="360"/>
      </w:pPr>
      <w:rPr>
        <w:rFonts w:ascii="Wingdings" w:hAnsi="Wingdings" w:hint="default"/>
      </w:rPr>
    </w:lvl>
    <w:lvl w:ilvl="6" w:tplc="08090001" w:tentative="1">
      <w:start w:val="1"/>
      <w:numFmt w:val="bullet"/>
      <w:lvlText w:val=""/>
      <w:lvlJc w:val="left"/>
      <w:pPr>
        <w:ind w:left="4283" w:hanging="360"/>
      </w:pPr>
      <w:rPr>
        <w:rFonts w:ascii="Symbol" w:hAnsi="Symbol" w:hint="default"/>
      </w:rPr>
    </w:lvl>
    <w:lvl w:ilvl="7" w:tplc="08090003" w:tentative="1">
      <w:start w:val="1"/>
      <w:numFmt w:val="bullet"/>
      <w:lvlText w:val="o"/>
      <w:lvlJc w:val="left"/>
      <w:pPr>
        <w:ind w:left="5003" w:hanging="360"/>
      </w:pPr>
      <w:rPr>
        <w:rFonts w:ascii="Courier New" w:hAnsi="Courier New" w:cs="Courier New" w:hint="default"/>
      </w:rPr>
    </w:lvl>
    <w:lvl w:ilvl="8" w:tplc="08090005" w:tentative="1">
      <w:start w:val="1"/>
      <w:numFmt w:val="bullet"/>
      <w:lvlText w:val=""/>
      <w:lvlJc w:val="left"/>
      <w:pPr>
        <w:ind w:left="5723" w:hanging="360"/>
      </w:pPr>
      <w:rPr>
        <w:rFonts w:ascii="Wingdings" w:hAnsi="Wingdings" w:hint="default"/>
      </w:rPr>
    </w:lvl>
  </w:abstractNum>
  <w:abstractNum w:abstractNumId="15" w15:restartNumberingAfterBreak="0">
    <w:nsid w:val="598B66F4"/>
    <w:multiLevelType w:val="hybridMultilevel"/>
    <w:tmpl w:val="27044B18"/>
    <w:lvl w:ilvl="0" w:tplc="68C24BF4">
      <w:start w:val="1"/>
      <w:numFmt w:val="upp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6" w15:restartNumberingAfterBreak="0">
    <w:nsid w:val="5A682330"/>
    <w:multiLevelType w:val="hybridMultilevel"/>
    <w:tmpl w:val="1764D45C"/>
    <w:lvl w:ilvl="0" w:tplc="044667DE">
      <w:start w:val="2"/>
      <w:numFmt w:val="bullet"/>
      <w:lvlText w:val="-"/>
      <w:lvlJc w:val="left"/>
      <w:pPr>
        <w:ind w:left="-37" w:hanging="360"/>
      </w:pPr>
      <w:rPr>
        <w:rFonts w:ascii="Times New Roman" w:eastAsia="SimSun" w:hAnsi="Times New Roman" w:cs="Times New Roman" w:hint="default"/>
      </w:rPr>
    </w:lvl>
    <w:lvl w:ilvl="1" w:tplc="08090003" w:tentative="1">
      <w:start w:val="1"/>
      <w:numFmt w:val="bullet"/>
      <w:lvlText w:val="o"/>
      <w:lvlJc w:val="left"/>
      <w:pPr>
        <w:ind w:left="683" w:hanging="360"/>
      </w:pPr>
      <w:rPr>
        <w:rFonts w:ascii="Courier New" w:hAnsi="Courier New" w:cs="Courier New" w:hint="default"/>
      </w:rPr>
    </w:lvl>
    <w:lvl w:ilvl="2" w:tplc="08090005" w:tentative="1">
      <w:start w:val="1"/>
      <w:numFmt w:val="bullet"/>
      <w:lvlText w:val=""/>
      <w:lvlJc w:val="left"/>
      <w:pPr>
        <w:ind w:left="1403" w:hanging="360"/>
      </w:pPr>
      <w:rPr>
        <w:rFonts w:ascii="Wingdings" w:hAnsi="Wingdings" w:hint="default"/>
      </w:rPr>
    </w:lvl>
    <w:lvl w:ilvl="3" w:tplc="08090001" w:tentative="1">
      <w:start w:val="1"/>
      <w:numFmt w:val="bullet"/>
      <w:lvlText w:val=""/>
      <w:lvlJc w:val="left"/>
      <w:pPr>
        <w:ind w:left="2123" w:hanging="360"/>
      </w:pPr>
      <w:rPr>
        <w:rFonts w:ascii="Symbol" w:hAnsi="Symbol" w:hint="default"/>
      </w:rPr>
    </w:lvl>
    <w:lvl w:ilvl="4" w:tplc="08090003" w:tentative="1">
      <w:start w:val="1"/>
      <w:numFmt w:val="bullet"/>
      <w:lvlText w:val="o"/>
      <w:lvlJc w:val="left"/>
      <w:pPr>
        <w:ind w:left="2843" w:hanging="360"/>
      </w:pPr>
      <w:rPr>
        <w:rFonts w:ascii="Courier New" w:hAnsi="Courier New" w:cs="Courier New" w:hint="default"/>
      </w:rPr>
    </w:lvl>
    <w:lvl w:ilvl="5" w:tplc="08090005" w:tentative="1">
      <w:start w:val="1"/>
      <w:numFmt w:val="bullet"/>
      <w:lvlText w:val=""/>
      <w:lvlJc w:val="left"/>
      <w:pPr>
        <w:ind w:left="3563" w:hanging="360"/>
      </w:pPr>
      <w:rPr>
        <w:rFonts w:ascii="Wingdings" w:hAnsi="Wingdings" w:hint="default"/>
      </w:rPr>
    </w:lvl>
    <w:lvl w:ilvl="6" w:tplc="08090001" w:tentative="1">
      <w:start w:val="1"/>
      <w:numFmt w:val="bullet"/>
      <w:lvlText w:val=""/>
      <w:lvlJc w:val="left"/>
      <w:pPr>
        <w:ind w:left="4283" w:hanging="360"/>
      </w:pPr>
      <w:rPr>
        <w:rFonts w:ascii="Symbol" w:hAnsi="Symbol" w:hint="default"/>
      </w:rPr>
    </w:lvl>
    <w:lvl w:ilvl="7" w:tplc="08090003" w:tentative="1">
      <w:start w:val="1"/>
      <w:numFmt w:val="bullet"/>
      <w:lvlText w:val="o"/>
      <w:lvlJc w:val="left"/>
      <w:pPr>
        <w:ind w:left="5003" w:hanging="360"/>
      </w:pPr>
      <w:rPr>
        <w:rFonts w:ascii="Courier New" w:hAnsi="Courier New" w:cs="Courier New" w:hint="default"/>
      </w:rPr>
    </w:lvl>
    <w:lvl w:ilvl="8" w:tplc="08090005" w:tentative="1">
      <w:start w:val="1"/>
      <w:numFmt w:val="bullet"/>
      <w:lvlText w:val=""/>
      <w:lvlJc w:val="left"/>
      <w:pPr>
        <w:ind w:left="5723" w:hanging="360"/>
      </w:pPr>
      <w:rPr>
        <w:rFonts w:ascii="Wingdings" w:hAnsi="Wingdings" w:hint="default"/>
      </w:rPr>
    </w:lvl>
  </w:abstractNum>
  <w:abstractNum w:abstractNumId="17" w15:restartNumberingAfterBreak="0">
    <w:nsid w:val="60B37C48"/>
    <w:multiLevelType w:val="hybridMultilevel"/>
    <w:tmpl w:val="48567632"/>
    <w:lvl w:ilvl="0" w:tplc="BFC2F0F4">
      <w:start w:val="1"/>
      <w:numFmt w:val="upperRoman"/>
      <w:lvlText w:val="%1."/>
      <w:lvlJc w:val="left"/>
      <w:pPr>
        <w:ind w:left="40" w:hanging="720"/>
      </w:pPr>
      <w:rPr>
        <w:rFonts w:hint="default"/>
      </w:rPr>
    </w:lvl>
    <w:lvl w:ilvl="1" w:tplc="08090019" w:tentative="1">
      <w:start w:val="1"/>
      <w:numFmt w:val="lowerLetter"/>
      <w:lvlText w:val="%2."/>
      <w:lvlJc w:val="left"/>
      <w:pPr>
        <w:ind w:left="400" w:hanging="360"/>
      </w:pPr>
    </w:lvl>
    <w:lvl w:ilvl="2" w:tplc="0809001B" w:tentative="1">
      <w:start w:val="1"/>
      <w:numFmt w:val="lowerRoman"/>
      <w:lvlText w:val="%3."/>
      <w:lvlJc w:val="right"/>
      <w:pPr>
        <w:ind w:left="1120" w:hanging="180"/>
      </w:pPr>
    </w:lvl>
    <w:lvl w:ilvl="3" w:tplc="0809000F" w:tentative="1">
      <w:start w:val="1"/>
      <w:numFmt w:val="decimal"/>
      <w:lvlText w:val="%4."/>
      <w:lvlJc w:val="left"/>
      <w:pPr>
        <w:ind w:left="1840" w:hanging="360"/>
      </w:pPr>
    </w:lvl>
    <w:lvl w:ilvl="4" w:tplc="08090019" w:tentative="1">
      <w:start w:val="1"/>
      <w:numFmt w:val="lowerLetter"/>
      <w:lvlText w:val="%5."/>
      <w:lvlJc w:val="left"/>
      <w:pPr>
        <w:ind w:left="2560" w:hanging="360"/>
      </w:pPr>
    </w:lvl>
    <w:lvl w:ilvl="5" w:tplc="0809001B" w:tentative="1">
      <w:start w:val="1"/>
      <w:numFmt w:val="lowerRoman"/>
      <w:lvlText w:val="%6."/>
      <w:lvlJc w:val="right"/>
      <w:pPr>
        <w:ind w:left="3280" w:hanging="180"/>
      </w:pPr>
    </w:lvl>
    <w:lvl w:ilvl="6" w:tplc="0809000F" w:tentative="1">
      <w:start w:val="1"/>
      <w:numFmt w:val="decimal"/>
      <w:lvlText w:val="%7."/>
      <w:lvlJc w:val="left"/>
      <w:pPr>
        <w:ind w:left="4000" w:hanging="360"/>
      </w:pPr>
    </w:lvl>
    <w:lvl w:ilvl="7" w:tplc="08090019" w:tentative="1">
      <w:start w:val="1"/>
      <w:numFmt w:val="lowerLetter"/>
      <w:lvlText w:val="%8."/>
      <w:lvlJc w:val="left"/>
      <w:pPr>
        <w:ind w:left="4720" w:hanging="360"/>
      </w:pPr>
    </w:lvl>
    <w:lvl w:ilvl="8" w:tplc="0809001B" w:tentative="1">
      <w:start w:val="1"/>
      <w:numFmt w:val="lowerRoman"/>
      <w:lvlText w:val="%9."/>
      <w:lvlJc w:val="right"/>
      <w:pPr>
        <w:ind w:left="5440" w:hanging="180"/>
      </w:pPr>
    </w:lvl>
  </w:abstractNum>
  <w:abstractNum w:abstractNumId="18" w15:restartNumberingAfterBreak="0">
    <w:nsid w:val="646A7A4A"/>
    <w:multiLevelType w:val="hybridMultilevel"/>
    <w:tmpl w:val="22AA37AE"/>
    <w:lvl w:ilvl="0" w:tplc="908E33D0">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9" w15:restartNumberingAfterBreak="0">
    <w:nsid w:val="6EB60616"/>
    <w:multiLevelType w:val="multilevel"/>
    <w:tmpl w:val="6B3A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C0CCE"/>
    <w:multiLevelType w:val="hybridMultilevel"/>
    <w:tmpl w:val="A8065F3A"/>
    <w:lvl w:ilvl="0" w:tplc="341EBCD4">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21" w15:restartNumberingAfterBreak="0">
    <w:nsid w:val="7F2D3B43"/>
    <w:multiLevelType w:val="hybridMultilevel"/>
    <w:tmpl w:val="5FD2810A"/>
    <w:lvl w:ilvl="0" w:tplc="230E4332">
      <w:start w:val="1"/>
      <w:numFmt w:val="decimal"/>
      <w:lvlText w:val="%1."/>
      <w:lvlJc w:val="left"/>
      <w:pPr>
        <w:ind w:left="-37" w:hanging="36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num w:numId="1">
    <w:abstractNumId w:val="18"/>
  </w:num>
  <w:num w:numId="2">
    <w:abstractNumId w:val="15"/>
  </w:num>
  <w:num w:numId="3">
    <w:abstractNumId w:val="17"/>
  </w:num>
  <w:num w:numId="4">
    <w:abstractNumId w:val="10"/>
  </w:num>
  <w:num w:numId="5">
    <w:abstractNumId w:val="12"/>
  </w:num>
  <w:num w:numId="6">
    <w:abstractNumId w:val="7"/>
  </w:num>
  <w:num w:numId="7">
    <w:abstractNumId w:val="11"/>
  </w:num>
  <w:num w:numId="8">
    <w:abstractNumId w:val="5"/>
  </w:num>
  <w:num w:numId="9">
    <w:abstractNumId w:val="2"/>
  </w:num>
  <w:num w:numId="10">
    <w:abstractNumId w:val="0"/>
  </w:num>
  <w:num w:numId="11">
    <w:abstractNumId w:val="4"/>
  </w:num>
  <w:num w:numId="12">
    <w:abstractNumId w:val="6"/>
  </w:num>
  <w:num w:numId="13">
    <w:abstractNumId w:val="14"/>
  </w:num>
  <w:num w:numId="14">
    <w:abstractNumId w:val="8"/>
  </w:num>
  <w:num w:numId="15">
    <w:abstractNumId w:val="13"/>
  </w:num>
  <w:num w:numId="16">
    <w:abstractNumId w:val="20"/>
  </w:num>
  <w:num w:numId="17">
    <w:abstractNumId w:val="16"/>
  </w:num>
  <w:num w:numId="18">
    <w:abstractNumId w:val="1"/>
  </w:num>
  <w:num w:numId="19">
    <w:abstractNumId w:val="3"/>
  </w:num>
  <w:num w:numId="20">
    <w:abstractNumId w:val="9"/>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9D"/>
    <w:rsid w:val="00000214"/>
    <w:rsid w:val="00000796"/>
    <w:rsid w:val="00000FFA"/>
    <w:rsid w:val="00002B8E"/>
    <w:rsid w:val="00003A5B"/>
    <w:rsid w:val="00004A41"/>
    <w:rsid w:val="00004C36"/>
    <w:rsid w:val="000100DE"/>
    <w:rsid w:val="000111AB"/>
    <w:rsid w:val="000116B4"/>
    <w:rsid w:val="00012754"/>
    <w:rsid w:val="00012A84"/>
    <w:rsid w:val="00013D4C"/>
    <w:rsid w:val="00015F1A"/>
    <w:rsid w:val="00016C26"/>
    <w:rsid w:val="000259C3"/>
    <w:rsid w:val="00025C33"/>
    <w:rsid w:val="00027B8C"/>
    <w:rsid w:val="000314C3"/>
    <w:rsid w:val="00031630"/>
    <w:rsid w:val="000324D6"/>
    <w:rsid w:val="00032C2F"/>
    <w:rsid w:val="00033935"/>
    <w:rsid w:val="0003511B"/>
    <w:rsid w:val="00036551"/>
    <w:rsid w:val="00041ABC"/>
    <w:rsid w:val="00041BB5"/>
    <w:rsid w:val="000427D3"/>
    <w:rsid w:val="00042BEA"/>
    <w:rsid w:val="00043329"/>
    <w:rsid w:val="000454A8"/>
    <w:rsid w:val="00047BAF"/>
    <w:rsid w:val="00047F16"/>
    <w:rsid w:val="0005467F"/>
    <w:rsid w:val="00054E89"/>
    <w:rsid w:val="000553FC"/>
    <w:rsid w:val="00055892"/>
    <w:rsid w:val="00056FB2"/>
    <w:rsid w:val="00060623"/>
    <w:rsid w:val="00061BE9"/>
    <w:rsid w:val="00064668"/>
    <w:rsid w:val="000665FC"/>
    <w:rsid w:val="00072458"/>
    <w:rsid w:val="000744CA"/>
    <w:rsid w:val="000776B0"/>
    <w:rsid w:val="00077A4F"/>
    <w:rsid w:val="00081227"/>
    <w:rsid w:val="0008483F"/>
    <w:rsid w:val="00084EB7"/>
    <w:rsid w:val="0009541E"/>
    <w:rsid w:val="00097A32"/>
    <w:rsid w:val="000A118F"/>
    <w:rsid w:val="000A3ABB"/>
    <w:rsid w:val="000A3BCC"/>
    <w:rsid w:val="000A4F2F"/>
    <w:rsid w:val="000A53E9"/>
    <w:rsid w:val="000A6C2C"/>
    <w:rsid w:val="000A7484"/>
    <w:rsid w:val="000B18B8"/>
    <w:rsid w:val="000C070B"/>
    <w:rsid w:val="000C0869"/>
    <w:rsid w:val="000C0B67"/>
    <w:rsid w:val="000C3D4F"/>
    <w:rsid w:val="000C5C27"/>
    <w:rsid w:val="000C5D3B"/>
    <w:rsid w:val="000C7C94"/>
    <w:rsid w:val="000D06E0"/>
    <w:rsid w:val="000D1686"/>
    <w:rsid w:val="000D2584"/>
    <w:rsid w:val="000D27E6"/>
    <w:rsid w:val="000D6793"/>
    <w:rsid w:val="000E1FFD"/>
    <w:rsid w:val="000E3646"/>
    <w:rsid w:val="000E48AC"/>
    <w:rsid w:val="000E4D9F"/>
    <w:rsid w:val="000E6EE3"/>
    <w:rsid w:val="000F0363"/>
    <w:rsid w:val="000F0C3A"/>
    <w:rsid w:val="00100A4F"/>
    <w:rsid w:val="0010351A"/>
    <w:rsid w:val="00103536"/>
    <w:rsid w:val="00106155"/>
    <w:rsid w:val="001108C0"/>
    <w:rsid w:val="0011150E"/>
    <w:rsid w:val="001115B9"/>
    <w:rsid w:val="00114FE2"/>
    <w:rsid w:val="001174CE"/>
    <w:rsid w:val="00117F1B"/>
    <w:rsid w:val="0012332B"/>
    <w:rsid w:val="00123961"/>
    <w:rsid w:val="00125E9B"/>
    <w:rsid w:val="001265FC"/>
    <w:rsid w:val="00130716"/>
    <w:rsid w:val="00130F04"/>
    <w:rsid w:val="00131191"/>
    <w:rsid w:val="001325F1"/>
    <w:rsid w:val="00133318"/>
    <w:rsid w:val="001339D3"/>
    <w:rsid w:val="001341B5"/>
    <w:rsid w:val="0013446D"/>
    <w:rsid w:val="001355C1"/>
    <w:rsid w:val="001364F0"/>
    <w:rsid w:val="00140120"/>
    <w:rsid w:val="00140599"/>
    <w:rsid w:val="00140E61"/>
    <w:rsid w:val="00141F81"/>
    <w:rsid w:val="00143111"/>
    <w:rsid w:val="00147B6D"/>
    <w:rsid w:val="0015113B"/>
    <w:rsid w:val="0015125E"/>
    <w:rsid w:val="001548AD"/>
    <w:rsid w:val="0015648D"/>
    <w:rsid w:val="00157369"/>
    <w:rsid w:val="00162CE1"/>
    <w:rsid w:val="001635C3"/>
    <w:rsid w:val="00163768"/>
    <w:rsid w:val="00163C70"/>
    <w:rsid w:val="001665B9"/>
    <w:rsid w:val="001700E7"/>
    <w:rsid w:val="00172AD3"/>
    <w:rsid w:val="001732ED"/>
    <w:rsid w:val="00174D25"/>
    <w:rsid w:val="00175654"/>
    <w:rsid w:val="001763B8"/>
    <w:rsid w:val="00180EBC"/>
    <w:rsid w:val="0018698A"/>
    <w:rsid w:val="001908F3"/>
    <w:rsid w:val="00191232"/>
    <w:rsid w:val="00191CEC"/>
    <w:rsid w:val="00196F4A"/>
    <w:rsid w:val="00197149"/>
    <w:rsid w:val="001A07AC"/>
    <w:rsid w:val="001A1CEC"/>
    <w:rsid w:val="001A1F72"/>
    <w:rsid w:val="001A2BAE"/>
    <w:rsid w:val="001A2DE8"/>
    <w:rsid w:val="001A50C4"/>
    <w:rsid w:val="001A7354"/>
    <w:rsid w:val="001A77F5"/>
    <w:rsid w:val="001A7D01"/>
    <w:rsid w:val="001B01F6"/>
    <w:rsid w:val="001B0B56"/>
    <w:rsid w:val="001B0FE5"/>
    <w:rsid w:val="001B1D0F"/>
    <w:rsid w:val="001B28D7"/>
    <w:rsid w:val="001B29DC"/>
    <w:rsid w:val="001B306A"/>
    <w:rsid w:val="001B35CE"/>
    <w:rsid w:val="001B4FBF"/>
    <w:rsid w:val="001B58B2"/>
    <w:rsid w:val="001B6D13"/>
    <w:rsid w:val="001B6E40"/>
    <w:rsid w:val="001B7E81"/>
    <w:rsid w:val="001C2AEE"/>
    <w:rsid w:val="001C46FD"/>
    <w:rsid w:val="001C5914"/>
    <w:rsid w:val="001C7A3A"/>
    <w:rsid w:val="001D1AD3"/>
    <w:rsid w:val="001D1E99"/>
    <w:rsid w:val="001D3990"/>
    <w:rsid w:val="001D61B9"/>
    <w:rsid w:val="001D6264"/>
    <w:rsid w:val="001E0C78"/>
    <w:rsid w:val="001E150D"/>
    <w:rsid w:val="001E1A3B"/>
    <w:rsid w:val="001E2EDD"/>
    <w:rsid w:val="001E32C3"/>
    <w:rsid w:val="001E3B41"/>
    <w:rsid w:val="001E5489"/>
    <w:rsid w:val="001E6D4B"/>
    <w:rsid w:val="001E7D98"/>
    <w:rsid w:val="001F1318"/>
    <w:rsid w:val="001F1CD3"/>
    <w:rsid w:val="001F2400"/>
    <w:rsid w:val="001F328D"/>
    <w:rsid w:val="001F54FA"/>
    <w:rsid w:val="001F657F"/>
    <w:rsid w:val="001F7602"/>
    <w:rsid w:val="00200A0F"/>
    <w:rsid w:val="00203110"/>
    <w:rsid w:val="00204328"/>
    <w:rsid w:val="002047BA"/>
    <w:rsid w:val="00206B1A"/>
    <w:rsid w:val="00207B4D"/>
    <w:rsid w:val="002113FB"/>
    <w:rsid w:val="00211449"/>
    <w:rsid w:val="002121EA"/>
    <w:rsid w:val="00214CA0"/>
    <w:rsid w:val="0021569A"/>
    <w:rsid w:val="00223327"/>
    <w:rsid w:val="00224CBA"/>
    <w:rsid w:val="00225CC3"/>
    <w:rsid w:val="00227783"/>
    <w:rsid w:val="00232998"/>
    <w:rsid w:val="00232C31"/>
    <w:rsid w:val="00233273"/>
    <w:rsid w:val="0023395B"/>
    <w:rsid w:val="00234207"/>
    <w:rsid w:val="00236320"/>
    <w:rsid w:val="00240688"/>
    <w:rsid w:val="00245D14"/>
    <w:rsid w:val="00251936"/>
    <w:rsid w:val="00253088"/>
    <w:rsid w:val="0025429F"/>
    <w:rsid w:val="0025594D"/>
    <w:rsid w:val="00256CB4"/>
    <w:rsid w:val="002605A8"/>
    <w:rsid w:val="00266975"/>
    <w:rsid w:val="00266B12"/>
    <w:rsid w:val="00266EF4"/>
    <w:rsid w:val="0026787A"/>
    <w:rsid w:val="002725C1"/>
    <w:rsid w:val="0027598C"/>
    <w:rsid w:val="00276019"/>
    <w:rsid w:val="00276B36"/>
    <w:rsid w:val="00276C20"/>
    <w:rsid w:val="00282505"/>
    <w:rsid w:val="00283B2D"/>
    <w:rsid w:val="00286B3D"/>
    <w:rsid w:val="00292CE3"/>
    <w:rsid w:val="00292DEA"/>
    <w:rsid w:val="00293BD6"/>
    <w:rsid w:val="002948EE"/>
    <w:rsid w:val="002A0BEE"/>
    <w:rsid w:val="002A317A"/>
    <w:rsid w:val="002A3ACE"/>
    <w:rsid w:val="002A3E91"/>
    <w:rsid w:val="002A6BC2"/>
    <w:rsid w:val="002B0E8D"/>
    <w:rsid w:val="002B39E9"/>
    <w:rsid w:val="002B538E"/>
    <w:rsid w:val="002C0D8F"/>
    <w:rsid w:val="002C2032"/>
    <w:rsid w:val="002C25A2"/>
    <w:rsid w:val="002D26B3"/>
    <w:rsid w:val="002D2ACA"/>
    <w:rsid w:val="002D40AC"/>
    <w:rsid w:val="002D6D48"/>
    <w:rsid w:val="002D7AC1"/>
    <w:rsid w:val="002E00C0"/>
    <w:rsid w:val="002E0262"/>
    <w:rsid w:val="002E2A52"/>
    <w:rsid w:val="002E300F"/>
    <w:rsid w:val="002E42F0"/>
    <w:rsid w:val="002E55A9"/>
    <w:rsid w:val="002F1695"/>
    <w:rsid w:val="002F2273"/>
    <w:rsid w:val="002F4C4D"/>
    <w:rsid w:val="002F5D2C"/>
    <w:rsid w:val="002F7ADA"/>
    <w:rsid w:val="00301BB7"/>
    <w:rsid w:val="00301C62"/>
    <w:rsid w:val="003025CF"/>
    <w:rsid w:val="0030731F"/>
    <w:rsid w:val="00310888"/>
    <w:rsid w:val="00311340"/>
    <w:rsid w:val="0032024C"/>
    <w:rsid w:val="0032029D"/>
    <w:rsid w:val="003203CA"/>
    <w:rsid w:val="0032250A"/>
    <w:rsid w:val="00323D27"/>
    <w:rsid w:val="00325FC0"/>
    <w:rsid w:val="00326F85"/>
    <w:rsid w:val="00327C34"/>
    <w:rsid w:val="0033136D"/>
    <w:rsid w:val="00336635"/>
    <w:rsid w:val="00336806"/>
    <w:rsid w:val="003378B0"/>
    <w:rsid w:val="00342AAE"/>
    <w:rsid w:val="003441A6"/>
    <w:rsid w:val="003456AA"/>
    <w:rsid w:val="00345D3D"/>
    <w:rsid w:val="00345E98"/>
    <w:rsid w:val="00346402"/>
    <w:rsid w:val="003506E6"/>
    <w:rsid w:val="00352AF7"/>
    <w:rsid w:val="00352FA3"/>
    <w:rsid w:val="00353723"/>
    <w:rsid w:val="00354F79"/>
    <w:rsid w:val="00356890"/>
    <w:rsid w:val="00361A88"/>
    <w:rsid w:val="00364F07"/>
    <w:rsid w:val="0037115D"/>
    <w:rsid w:val="00371436"/>
    <w:rsid w:val="00371445"/>
    <w:rsid w:val="003825AA"/>
    <w:rsid w:val="003828D4"/>
    <w:rsid w:val="003839CB"/>
    <w:rsid w:val="00383B4B"/>
    <w:rsid w:val="00383BCD"/>
    <w:rsid w:val="00384A32"/>
    <w:rsid w:val="00387F9D"/>
    <w:rsid w:val="003903A3"/>
    <w:rsid w:val="003903DB"/>
    <w:rsid w:val="00390578"/>
    <w:rsid w:val="00391257"/>
    <w:rsid w:val="00391DF4"/>
    <w:rsid w:val="00394138"/>
    <w:rsid w:val="003950AB"/>
    <w:rsid w:val="00396EA0"/>
    <w:rsid w:val="00396EBE"/>
    <w:rsid w:val="003A06AE"/>
    <w:rsid w:val="003A495D"/>
    <w:rsid w:val="003A4B8A"/>
    <w:rsid w:val="003A5423"/>
    <w:rsid w:val="003A5524"/>
    <w:rsid w:val="003A6C0F"/>
    <w:rsid w:val="003A6CA7"/>
    <w:rsid w:val="003A7B0C"/>
    <w:rsid w:val="003B0731"/>
    <w:rsid w:val="003B2FF4"/>
    <w:rsid w:val="003B3424"/>
    <w:rsid w:val="003B46B7"/>
    <w:rsid w:val="003B4A6E"/>
    <w:rsid w:val="003B6343"/>
    <w:rsid w:val="003B6D49"/>
    <w:rsid w:val="003C12C8"/>
    <w:rsid w:val="003C1726"/>
    <w:rsid w:val="003C39D9"/>
    <w:rsid w:val="003C3D9B"/>
    <w:rsid w:val="003C5180"/>
    <w:rsid w:val="003C7537"/>
    <w:rsid w:val="003D2EE9"/>
    <w:rsid w:val="003D5887"/>
    <w:rsid w:val="003D6BF7"/>
    <w:rsid w:val="003E3224"/>
    <w:rsid w:val="003E5ECB"/>
    <w:rsid w:val="003E6965"/>
    <w:rsid w:val="003F258D"/>
    <w:rsid w:val="003F6DB4"/>
    <w:rsid w:val="003F7D25"/>
    <w:rsid w:val="00401882"/>
    <w:rsid w:val="00403814"/>
    <w:rsid w:val="00407187"/>
    <w:rsid w:val="00414529"/>
    <w:rsid w:val="00420DCC"/>
    <w:rsid w:val="00421F33"/>
    <w:rsid w:val="00424145"/>
    <w:rsid w:val="00426645"/>
    <w:rsid w:val="00430A1D"/>
    <w:rsid w:val="00430B73"/>
    <w:rsid w:val="00431297"/>
    <w:rsid w:val="00432775"/>
    <w:rsid w:val="00434590"/>
    <w:rsid w:val="00434A5F"/>
    <w:rsid w:val="0043750D"/>
    <w:rsid w:val="00437C33"/>
    <w:rsid w:val="004420C6"/>
    <w:rsid w:val="0044256E"/>
    <w:rsid w:val="00443E06"/>
    <w:rsid w:val="00446E9E"/>
    <w:rsid w:val="00451614"/>
    <w:rsid w:val="00452A3C"/>
    <w:rsid w:val="00455753"/>
    <w:rsid w:val="00456455"/>
    <w:rsid w:val="0046488D"/>
    <w:rsid w:val="00464C75"/>
    <w:rsid w:val="00465E1F"/>
    <w:rsid w:val="00465FDB"/>
    <w:rsid w:val="004661B4"/>
    <w:rsid w:val="00466344"/>
    <w:rsid w:val="00466553"/>
    <w:rsid w:val="00467BBE"/>
    <w:rsid w:val="00470269"/>
    <w:rsid w:val="0047136E"/>
    <w:rsid w:val="00471554"/>
    <w:rsid w:val="00471906"/>
    <w:rsid w:val="00472963"/>
    <w:rsid w:val="00484EDA"/>
    <w:rsid w:val="00485CCA"/>
    <w:rsid w:val="00487D6E"/>
    <w:rsid w:val="0049011D"/>
    <w:rsid w:val="00493845"/>
    <w:rsid w:val="0049447B"/>
    <w:rsid w:val="00496655"/>
    <w:rsid w:val="00497BFD"/>
    <w:rsid w:val="004A07AE"/>
    <w:rsid w:val="004A18C5"/>
    <w:rsid w:val="004A6F67"/>
    <w:rsid w:val="004A6FCD"/>
    <w:rsid w:val="004A73BB"/>
    <w:rsid w:val="004B0377"/>
    <w:rsid w:val="004B1659"/>
    <w:rsid w:val="004C26E5"/>
    <w:rsid w:val="004C68C3"/>
    <w:rsid w:val="004C7863"/>
    <w:rsid w:val="004D0E3C"/>
    <w:rsid w:val="004D426E"/>
    <w:rsid w:val="004D5171"/>
    <w:rsid w:val="004D6B3C"/>
    <w:rsid w:val="004D6F84"/>
    <w:rsid w:val="004D7227"/>
    <w:rsid w:val="004D7D76"/>
    <w:rsid w:val="004E047E"/>
    <w:rsid w:val="004E1696"/>
    <w:rsid w:val="004E1A28"/>
    <w:rsid w:val="004E1FD4"/>
    <w:rsid w:val="004E2DCC"/>
    <w:rsid w:val="004E627D"/>
    <w:rsid w:val="004F106C"/>
    <w:rsid w:val="004F1703"/>
    <w:rsid w:val="004F2835"/>
    <w:rsid w:val="004F2980"/>
    <w:rsid w:val="004F348F"/>
    <w:rsid w:val="004F5091"/>
    <w:rsid w:val="004F7A3F"/>
    <w:rsid w:val="00500E35"/>
    <w:rsid w:val="00500EB1"/>
    <w:rsid w:val="00501545"/>
    <w:rsid w:val="005017C4"/>
    <w:rsid w:val="005028CF"/>
    <w:rsid w:val="00503AD2"/>
    <w:rsid w:val="00504BC6"/>
    <w:rsid w:val="005110C1"/>
    <w:rsid w:val="00511C44"/>
    <w:rsid w:val="00516265"/>
    <w:rsid w:val="0051757E"/>
    <w:rsid w:val="005216A5"/>
    <w:rsid w:val="0052265D"/>
    <w:rsid w:val="00524155"/>
    <w:rsid w:val="005243AB"/>
    <w:rsid w:val="00527301"/>
    <w:rsid w:val="00530F03"/>
    <w:rsid w:val="00532530"/>
    <w:rsid w:val="00532621"/>
    <w:rsid w:val="00532758"/>
    <w:rsid w:val="005332C1"/>
    <w:rsid w:val="005338EA"/>
    <w:rsid w:val="00533FA7"/>
    <w:rsid w:val="00536BB8"/>
    <w:rsid w:val="00541E06"/>
    <w:rsid w:val="005439A6"/>
    <w:rsid w:val="00544DE7"/>
    <w:rsid w:val="00546CB1"/>
    <w:rsid w:val="00547377"/>
    <w:rsid w:val="00551953"/>
    <w:rsid w:val="00555BE8"/>
    <w:rsid w:val="00557274"/>
    <w:rsid w:val="005600FE"/>
    <w:rsid w:val="005604C2"/>
    <w:rsid w:val="00560953"/>
    <w:rsid w:val="00560D7F"/>
    <w:rsid w:val="0056108C"/>
    <w:rsid w:val="00562291"/>
    <w:rsid w:val="00562299"/>
    <w:rsid w:val="00563E43"/>
    <w:rsid w:val="00564A5F"/>
    <w:rsid w:val="00565189"/>
    <w:rsid w:val="00566433"/>
    <w:rsid w:val="00567757"/>
    <w:rsid w:val="00570403"/>
    <w:rsid w:val="0057049C"/>
    <w:rsid w:val="00571A1D"/>
    <w:rsid w:val="005726CD"/>
    <w:rsid w:val="00572C88"/>
    <w:rsid w:val="005732D6"/>
    <w:rsid w:val="005766FA"/>
    <w:rsid w:val="0057759C"/>
    <w:rsid w:val="00580772"/>
    <w:rsid w:val="00584036"/>
    <w:rsid w:val="00584FC7"/>
    <w:rsid w:val="00585905"/>
    <w:rsid w:val="00585F84"/>
    <w:rsid w:val="005863C4"/>
    <w:rsid w:val="00590723"/>
    <w:rsid w:val="00592219"/>
    <w:rsid w:val="00593897"/>
    <w:rsid w:val="005948E8"/>
    <w:rsid w:val="00594CC0"/>
    <w:rsid w:val="00597DC6"/>
    <w:rsid w:val="005A01B3"/>
    <w:rsid w:val="005A196B"/>
    <w:rsid w:val="005A1FBB"/>
    <w:rsid w:val="005A2EEE"/>
    <w:rsid w:val="005A3ED2"/>
    <w:rsid w:val="005A47F5"/>
    <w:rsid w:val="005A58FE"/>
    <w:rsid w:val="005A6B13"/>
    <w:rsid w:val="005B5806"/>
    <w:rsid w:val="005B5C88"/>
    <w:rsid w:val="005C19ED"/>
    <w:rsid w:val="005C1A82"/>
    <w:rsid w:val="005C24B1"/>
    <w:rsid w:val="005C4A8B"/>
    <w:rsid w:val="005C6435"/>
    <w:rsid w:val="005C6DD7"/>
    <w:rsid w:val="005C7CBE"/>
    <w:rsid w:val="005D466F"/>
    <w:rsid w:val="005D6C36"/>
    <w:rsid w:val="005D7C2E"/>
    <w:rsid w:val="005D7F61"/>
    <w:rsid w:val="005E0D2B"/>
    <w:rsid w:val="005E10DC"/>
    <w:rsid w:val="005E1476"/>
    <w:rsid w:val="005E31D9"/>
    <w:rsid w:val="005E55D3"/>
    <w:rsid w:val="005E6867"/>
    <w:rsid w:val="005F0145"/>
    <w:rsid w:val="005F27F1"/>
    <w:rsid w:val="005F281B"/>
    <w:rsid w:val="005F317B"/>
    <w:rsid w:val="005F4489"/>
    <w:rsid w:val="005F465B"/>
    <w:rsid w:val="005F4939"/>
    <w:rsid w:val="005F4D2C"/>
    <w:rsid w:val="005F584B"/>
    <w:rsid w:val="005F6370"/>
    <w:rsid w:val="005F7922"/>
    <w:rsid w:val="006002D0"/>
    <w:rsid w:val="00601B09"/>
    <w:rsid w:val="00601D91"/>
    <w:rsid w:val="00602187"/>
    <w:rsid w:val="00602F7C"/>
    <w:rsid w:val="006032C8"/>
    <w:rsid w:val="00604415"/>
    <w:rsid w:val="00604561"/>
    <w:rsid w:val="00605F1A"/>
    <w:rsid w:val="006066EF"/>
    <w:rsid w:val="00613D2F"/>
    <w:rsid w:val="00615AB3"/>
    <w:rsid w:val="00615E73"/>
    <w:rsid w:val="00617233"/>
    <w:rsid w:val="00622072"/>
    <w:rsid w:val="00622242"/>
    <w:rsid w:val="00622250"/>
    <w:rsid w:val="00635449"/>
    <w:rsid w:val="00635F0C"/>
    <w:rsid w:val="00641923"/>
    <w:rsid w:val="006463CD"/>
    <w:rsid w:val="006512FE"/>
    <w:rsid w:val="0065215D"/>
    <w:rsid w:val="0065325C"/>
    <w:rsid w:val="0065527F"/>
    <w:rsid w:val="0065539F"/>
    <w:rsid w:val="00656729"/>
    <w:rsid w:val="0065690A"/>
    <w:rsid w:val="00656EEF"/>
    <w:rsid w:val="00657BCB"/>
    <w:rsid w:val="0066116F"/>
    <w:rsid w:val="00662694"/>
    <w:rsid w:val="00664636"/>
    <w:rsid w:val="00666124"/>
    <w:rsid w:val="00667BC6"/>
    <w:rsid w:val="006707EA"/>
    <w:rsid w:val="00671139"/>
    <w:rsid w:val="006713BB"/>
    <w:rsid w:val="00672BCF"/>
    <w:rsid w:val="00673923"/>
    <w:rsid w:val="00674303"/>
    <w:rsid w:val="00675340"/>
    <w:rsid w:val="006753B5"/>
    <w:rsid w:val="00675FA0"/>
    <w:rsid w:val="00682D42"/>
    <w:rsid w:val="0068352E"/>
    <w:rsid w:val="006835AA"/>
    <w:rsid w:val="006838D2"/>
    <w:rsid w:val="0068618F"/>
    <w:rsid w:val="00686E17"/>
    <w:rsid w:val="00687A76"/>
    <w:rsid w:val="006910B6"/>
    <w:rsid w:val="00692AAF"/>
    <w:rsid w:val="0069343A"/>
    <w:rsid w:val="00694B15"/>
    <w:rsid w:val="00695CB3"/>
    <w:rsid w:val="00697927"/>
    <w:rsid w:val="006A72D1"/>
    <w:rsid w:val="006B072B"/>
    <w:rsid w:val="006B1358"/>
    <w:rsid w:val="006B26E2"/>
    <w:rsid w:val="006B3745"/>
    <w:rsid w:val="006C069F"/>
    <w:rsid w:val="006C102C"/>
    <w:rsid w:val="006C34B7"/>
    <w:rsid w:val="006C3F5F"/>
    <w:rsid w:val="006C429B"/>
    <w:rsid w:val="006C4F39"/>
    <w:rsid w:val="006C5F5B"/>
    <w:rsid w:val="006D1EB2"/>
    <w:rsid w:val="006D226D"/>
    <w:rsid w:val="006D58A6"/>
    <w:rsid w:val="006D5956"/>
    <w:rsid w:val="006E3254"/>
    <w:rsid w:val="006E3562"/>
    <w:rsid w:val="006E3927"/>
    <w:rsid w:val="006E6BC3"/>
    <w:rsid w:val="006F0352"/>
    <w:rsid w:val="006F156A"/>
    <w:rsid w:val="006F168E"/>
    <w:rsid w:val="006F6646"/>
    <w:rsid w:val="00702780"/>
    <w:rsid w:val="00704F4E"/>
    <w:rsid w:val="00705211"/>
    <w:rsid w:val="0070632E"/>
    <w:rsid w:val="00707045"/>
    <w:rsid w:val="00710838"/>
    <w:rsid w:val="007119F6"/>
    <w:rsid w:val="00713953"/>
    <w:rsid w:val="007165D2"/>
    <w:rsid w:val="00720C16"/>
    <w:rsid w:val="00730C59"/>
    <w:rsid w:val="00731ED8"/>
    <w:rsid w:val="00732E77"/>
    <w:rsid w:val="00736D71"/>
    <w:rsid w:val="00737076"/>
    <w:rsid w:val="007404C0"/>
    <w:rsid w:val="00742BA5"/>
    <w:rsid w:val="00744001"/>
    <w:rsid w:val="00744C3F"/>
    <w:rsid w:val="0074585B"/>
    <w:rsid w:val="0074664B"/>
    <w:rsid w:val="00746F35"/>
    <w:rsid w:val="00752F8C"/>
    <w:rsid w:val="00753827"/>
    <w:rsid w:val="00753C59"/>
    <w:rsid w:val="00754AF1"/>
    <w:rsid w:val="00755329"/>
    <w:rsid w:val="00761745"/>
    <w:rsid w:val="00763756"/>
    <w:rsid w:val="007748B2"/>
    <w:rsid w:val="0077581E"/>
    <w:rsid w:val="007773A0"/>
    <w:rsid w:val="00780616"/>
    <w:rsid w:val="00781862"/>
    <w:rsid w:val="00782ED6"/>
    <w:rsid w:val="00784BF3"/>
    <w:rsid w:val="007863B2"/>
    <w:rsid w:val="00786F0B"/>
    <w:rsid w:val="00790501"/>
    <w:rsid w:val="00791CC9"/>
    <w:rsid w:val="007921BD"/>
    <w:rsid w:val="00792282"/>
    <w:rsid w:val="00794F85"/>
    <w:rsid w:val="0079673B"/>
    <w:rsid w:val="00797CD1"/>
    <w:rsid w:val="00797CEF"/>
    <w:rsid w:val="007A125F"/>
    <w:rsid w:val="007A54C1"/>
    <w:rsid w:val="007A5E4C"/>
    <w:rsid w:val="007A690F"/>
    <w:rsid w:val="007A7015"/>
    <w:rsid w:val="007B0268"/>
    <w:rsid w:val="007B08EA"/>
    <w:rsid w:val="007B3244"/>
    <w:rsid w:val="007B4905"/>
    <w:rsid w:val="007B6667"/>
    <w:rsid w:val="007C1565"/>
    <w:rsid w:val="007C4F66"/>
    <w:rsid w:val="007D1864"/>
    <w:rsid w:val="007D5788"/>
    <w:rsid w:val="007D5ECA"/>
    <w:rsid w:val="007D6138"/>
    <w:rsid w:val="007E06CA"/>
    <w:rsid w:val="007E1F57"/>
    <w:rsid w:val="007E2842"/>
    <w:rsid w:val="007E3341"/>
    <w:rsid w:val="007E4A2F"/>
    <w:rsid w:val="007E5602"/>
    <w:rsid w:val="007E6444"/>
    <w:rsid w:val="007E799C"/>
    <w:rsid w:val="007E7B3A"/>
    <w:rsid w:val="008036C3"/>
    <w:rsid w:val="00804C19"/>
    <w:rsid w:val="00807919"/>
    <w:rsid w:val="00807ED4"/>
    <w:rsid w:val="0081432C"/>
    <w:rsid w:val="00815274"/>
    <w:rsid w:val="00816573"/>
    <w:rsid w:val="0082091D"/>
    <w:rsid w:val="00820B27"/>
    <w:rsid w:val="0082255D"/>
    <w:rsid w:val="00823D9C"/>
    <w:rsid w:val="0082404E"/>
    <w:rsid w:val="00825EAF"/>
    <w:rsid w:val="00827C4C"/>
    <w:rsid w:val="00827D3E"/>
    <w:rsid w:val="00830844"/>
    <w:rsid w:val="00832066"/>
    <w:rsid w:val="00832CEB"/>
    <w:rsid w:val="00835895"/>
    <w:rsid w:val="00835C62"/>
    <w:rsid w:val="00841FAA"/>
    <w:rsid w:val="0084520F"/>
    <w:rsid w:val="00851B95"/>
    <w:rsid w:val="00851CF6"/>
    <w:rsid w:val="00852074"/>
    <w:rsid w:val="0085418F"/>
    <w:rsid w:val="008576FA"/>
    <w:rsid w:val="00861F4D"/>
    <w:rsid w:val="0086201A"/>
    <w:rsid w:val="00863B4E"/>
    <w:rsid w:val="008643C1"/>
    <w:rsid w:val="0086583E"/>
    <w:rsid w:val="00872176"/>
    <w:rsid w:val="0087280D"/>
    <w:rsid w:val="00873C9C"/>
    <w:rsid w:val="00873F88"/>
    <w:rsid w:val="008801B4"/>
    <w:rsid w:val="00881C76"/>
    <w:rsid w:val="0088312B"/>
    <w:rsid w:val="00885E75"/>
    <w:rsid w:val="00886062"/>
    <w:rsid w:val="008863FF"/>
    <w:rsid w:val="008868CE"/>
    <w:rsid w:val="00887B27"/>
    <w:rsid w:val="00892E10"/>
    <w:rsid w:val="008935E9"/>
    <w:rsid w:val="00895235"/>
    <w:rsid w:val="00896816"/>
    <w:rsid w:val="008A04EF"/>
    <w:rsid w:val="008A0FAC"/>
    <w:rsid w:val="008A2C67"/>
    <w:rsid w:val="008A49C6"/>
    <w:rsid w:val="008A50D0"/>
    <w:rsid w:val="008A52B2"/>
    <w:rsid w:val="008A5743"/>
    <w:rsid w:val="008B093E"/>
    <w:rsid w:val="008B178E"/>
    <w:rsid w:val="008B309F"/>
    <w:rsid w:val="008B39C3"/>
    <w:rsid w:val="008B3F00"/>
    <w:rsid w:val="008B4898"/>
    <w:rsid w:val="008B595B"/>
    <w:rsid w:val="008C14C5"/>
    <w:rsid w:val="008C22C0"/>
    <w:rsid w:val="008C3281"/>
    <w:rsid w:val="008C33D2"/>
    <w:rsid w:val="008C49E7"/>
    <w:rsid w:val="008C5341"/>
    <w:rsid w:val="008C5FA3"/>
    <w:rsid w:val="008D1DA1"/>
    <w:rsid w:val="008D25A7"/>
    <w:rsid w:val="008D38AC"/>
    <w:rsid w:val="008D4667"/>
    <w:rsid w:val="008D5FE2"/>
    <w:rsid w:val="008D6A66"/>
    <w:rsid w:val="008E19B7"/>
    <w:rsid w:val="008E2DA6"/>
    <w:rsid w:val="008E3C78"/>
    <w:rsid w:val="008E533B"/>
    <w:rsid w:val="008E5908"/>
    <w:rsid w:val="008E685A"/>
    <w:rsid w:val="008E6FFD"/>
    <w:rsid w:val="008F24A1"/>
    <w:rsid w:val="008F6825"/>
    <w:rsid w:val="008F693F"/>
    <w:rsid w:val="00900526"/>
    <w:rsid w:val="00900C91"/>
    <w:rsid w:val="0090164E"/>
    <w:rsid w:val="00902C42"/>
    <w:rsid w:val="00902DE6"/>
    <w:rsid w:val="009033DB"/>
    <w:rsid w:val="00903D6A"/>
    <w:rsid w:val="00906591"/>
    <w:rsid w:val="0090783B"/>
    <w:rsid w:val="009141E0"/>
    <w:rsid w:val="009161F5"/>
    <w:rsid w:val="00921073"/>
    <w:rsid w:val="0092108C"/>
    <w:rsid w:val="00921CC3"/>
    <w:rsid w:val="00922281"/>
    <w:rsid w:val="00923C99"/>
    <w:rsid w:val="00927770"/>
    <w:rsid w:val="00931FB1"/>
    <w:rsid w:val="00934165"/>
    <w:rsid w:val="009357FD"/>
    <w:rsid w:val="00943A7F"/>
    <w:rsid w:val="009445FC"/>
    <w:rsid w:val="00946CC0"/>
    <w:rsid w:val="009473C2"/>
    <w:rsid w:val="0095085D"/>
    <w:rsid w:val="0095131E"/>
    <w:rsid w:val="009572EE"/>
    <w:rsid w:val="00957664"/>
    <w:rsid w:val="009611C5"/>
    <w:rsid w:val="009633A9"/>
    <w:rsid w:val="009641B5"/>
    <w:rsid w:val="00964366"/>
    <w:rsid w:val="009705B7"/>
    <w:rsid w:val="00970702"/>
    <w:rsid w:val="00971702"/>
    <w:rsid w:val="00972FB6"/>
    <w:rsid w:val="009732A5"/>
    <w:rsid w:val="00974091"/>
    <w:rsid w:val="009804F1"/>
    <w:rsid w:val="00981DB1"/>
    <w:rsid w:val="00984C40"/>
    <w:rsid w:val="00984D4E"/>
    <w:rsid w:val="0099038C"/>
    <w:rsid w:val="009920DF"/>
    <w:rsid w:val="009A3FEE"/>
    <w:rsid w:val="009A46B7"/>
    <w:rsid w:val="009A5D08"/>
    <w:rsid w:val="009A7CF7"/>
    <w:rsid w:val="009B1973"/>
    <w:rsid w:val="009B3EC3"/>
    <w:rsid w:val="009B55FF"/>
    <w:rsid w:val="009B7956"/>
    <w:rsid w:val="009C0066"/>
    <w:rsid w:val="009C29A9"/>
    <w:rsid w:val="009C2B2C"/>
    <w:rsid w:val="009C3BC7"/>
    <w:rsid w:val="009C4898"/>
    <w:rsid w:val="009D2E99"/>
    <w:rsid w:val="009D44C5"/>
    <w:rsid w:val="009D459A"/>
    <w:rsid w:val="009D53BE"/>
    <w:rsid w:val="009D64CC"/>
    <w:rsid w:val="009D6CBF"/>
    <w:rsid w:val="009D7CD4"/>
    <w:rsid w:val="009E1217"/>
    <w:rsid w:val="009E3250"/>
    <w:rsid w:val="009E3882"/>
    <w:rsid w:val="009E54A7"/>
    <w:rsid w:val="009E689F"/>
    <w:rsid w:val="009F00B2"/>
    <w:rsid w:val="00A00248"/>
    <w:rsid w:val="00A0056F"/>
    <w:rsid w:val="00A032A5"/>
    <w:rsid w:val="00A0634B"/>
    <w:rsid w:val="00A0684E"/>
    <w:rsid w:val="00A06861"/>
    <w:rsid w:val="00A074DC"/>
    <w:rsid w:val="00A07B99"/>
    <w:rsid w:val="00A11A27"/>
    <w:rsid w:val="00A12E23"/>
    <w:rsid w:val="00A1626F"/>
    <w:rsid w:val="00A2002E"/>
    <w:rsid w:val="00A20FA5"/>
    <w:rsid w:val="00A239C2"/>
    <w:rsid w:val="00A25A53"/>
    <w:rsid w:val="00A269A3"/>
    <w:rsid w:val="00A27506"/>
    <w:rsid w:val="00A31CE6"/>
    <w:rsid w:val="00A344E3"/>
    <w:rsid w:val="00A36B97"/>
    <w:rsid w:val="00A40F2A"/>
    <w:rsid w:val="00A4569E"/>
    <w:rsid w:val="00A45899"/>
    <w:rsid w:val="00A47C54"/>
    <w:rsid w:val="00A55445"/>
    <w:rsid w:val="00A6026E"/>
    <w:rsid w:val="00A609BF"/>
    <w:rsid w:val="00A60BCC"/>
    <w:rsid w:val="00A614C5"/>
    <w:rsid w:val="00A6169B"/>
    <w:rsid w:val="00A64B39"/>
    <w:rsid w:val="00A64D69"/>
    <w:rsid w:val="00A67205"/>
    <w:rsid w:val="00A677B3"/>
    <w:rsid w:val="00A71990"/>
    <w:rsid w:val="00A73D21"/>
    <w:rsid w:val="00A7559A"/>
    <w:rsid w:val="00A758B8"/>
    <w:rsid w:val="00A75FFA"/>
    <w:rsid w:val="00A76B60"/>
    <w:rsid w:val="00A76BE2"/>
    <w:rsid w:val="00A824BC"/>
    <w:rsid w:val="00A84773"/>
    <w:rsid w:val="00A85230"/>
    <w:rsid w:val="00A86449"/>
    <w:rsid w:val="00A87404"/>
    <w:rsid w:val="00A8775E"/>
    <w:rsid w:val="00A879E9"/>
    <w:rsid w:val="00A906C7"/>
    <w:rsid w:val="00A91C74"/>
    <w:rsid w:val="00A924F3"/>
    <w:rsid w:val="00A9259F"/>
    <w:rsid w:val="00A93AC6"/>
    <w:rsid w:val="00A94B2D"/>
    <w:rsid w:val="00A96291"/>
    <w:rsid w:val="00A97764"/>
    <w:rsid w:val="00A97F9D"/>
    <w:rsid w:val="00AA07ED"/>
    <w:rsid w:val="00AA3E22"/>
    <w:rsid w:val="00AA456F"/>
    <w:rsid w:val="00AA57EE"/>
    <w:rsid w:val="00AA60F0"/>
    <w:rsid w:val="00AA6883"/>
    <w:rsid w:val="00AA760E"/>
    <w:rsid w:val="00AA7F7D"/>
    <w:rsid w:val="00AB051C"/>
    <w:rsid w:val="00AB1734"/>
    <w:rsid w:val="00AB34AD"/>
    <w:rsid w:val="00AB5F0A"/>
    <w:rsid w:val="00AB76C6"/>
    <w:rsid w:val="00AC0585"/>
    <w:rsid w:val="00AC06D7"/>
    <w:rsid w:val="00AC14F1"/>
    <w:rsid w:val="00AC2829"/>
    <w:rsid w:val="00AC29E4"/>
    <w:rsid w:val="00AC2E58"/>
    <w:rsid w:val="00AC5107"/>
    <w:rsid w:val="00AC6607"/>
    <w:rsid w:val="00AC6676"/>
    <w:rsid w:val="00AC7351"/>
    <w:rsid w:val="00AC7477"/>
    <w:rsid w:val="00AD1420"/>
    <w:rsid w:val="00AD2D85"/>
    <w:rsid w:val="00AD6255"/>
    <w:rsid w:val="00AD7EFF"/>
    <w:rsid w:val="00AE3A47"/>
    <w:rsid w:val="00AE43A8"/>
    <w:rsid w:val="00AE62B1"/>
    <w:rsid w:val="00AF05BC"/>
    <w:rsid w:val="00AF1337"/>
    <w:rsid w:val="00AF280D"/>
    <w:rsid w:val="00AF3D85"/>
    <w:rsid w:val="00B018E3"/>
    <w:rsid w:val="00B02A80"/>
    <w:rsid w:val="00B06AAE"/>
    <w:rsid w:val="00B10A31"/>
    <w:rsid w:val="00B14FC9"/>
    <w:rsid w:val="00B15E87"/>
    <w:rsid w:val="00B16B2C"/>
    <w:rsid w:val="00B25466"/>
    <w:rsid w:val="00B30B7D"/>
    <w:rsid w:val="00B359B4"/>
    <w:rsid w:val="00B40B25"/>
    <w:rsid w:val="00B4160A"/>
    <w:rsid w:val="00B4379C"/>
    <w:rsid w:val="00B44555"/>
    <w:rsid w:val="00B46235"/>
    <w:rsid w:val="00B4682D"/>
    <w:rsid w:val="00B4750D"/>
    <w:rsid w:val="00B50C96"/>
    <w:rsid w:val="00B5309B"/>
    <w:rsid w:val="00B549ED"/>
    <w:rsid w:val="00B567FE"/>
    <w:rsid w:val="00B56F86"/>
    <w:rsid w:val="00B60317"/>
    <w:rsid w:val="00B62CAF"/>
    <w:rsid w:val="00B70098"/>
    <w:rsid w:val="00B72122"/>
    <w:rsid w:val="00B72222"/>
    <w:rsid w:val="00B72B2A"/>
    <w:rsid w:val="00B762D8"/>
    <w:rsid w:val="00B76CDF"/>
    <w:rsid w:val="00B77461"/>
    <w:rsid w:val="00B87760"/>
    <w:rsid w:val="00B943E2"/>
    <w:rsid w:val="00B944A0"/>
    <w:rsid w:val="00B955C5"/>
    <w:rsid w:val="00B95AB7"/>
    <w:rsid w:val="00B96BBD"/>
    <w:rsid w:val="00B973A2"/>
    <w:rsid w:val="00B97673"/>
    <w:rsid w:val="00BA5A51"/>
    <w:rsid w:val="00BA6E1D"/>
    <w:rsid w:val="00BB0B9A"/>
    <w:rsid w:val="00BB6260"/>
    <w:rsid w:val="00BC0920"/>
    <w:rsid w:val="00BC250B"/>
    <w:rsid w:val="00BC27F2"/>
    <w:rsid w:val="00BC292D"/>
    <w:rsid w:val="00BC3CBB"/>
    <w:rsid w:val="00BC4CE2"/>
    <w:rsid w:val="00BC6F79"/>
    <w:rsid w:val="00BC7DC6"/>
    <w:rsid w:val="00BD04F8"/>
    <w:rsid w:val="00BD3F13"/>
    <w:rsid w:val="00BD4492"/>
    <w:rsid w:val="00BD7BC2"/>
    <w:rsid w:val="00BE35D1"/>
    <w:rsid w:val="00BE3FE3"/>
    <w:rsid w:val="00BF263C"/>
    <w:rsid w:val="00BF374F"/>
    <w:rsid w:val="00BF64E0"/>
    <w:rsid w:val="00BF799C"/>
    <w:rsid w:val="00C023F9"/>
    <w:rsid w:val="00C0301D"/>
    <w:rsid w:val="00C03660"/>
    <w:rsid w:val="00C0524D"/>
    <w:rsid w:val="00C12A43"/>
    <w:rsid w:val="00C139C2"/>
    <w:rsid w:val="00C144F1"/>
    <w:rsid w:val="00C14AA0"/>
    <w:rsid w:val="00C15001"/>
    <w:rsid w:val="00C21203"/>
    <w:rsid w:val="00C21CDA"/>
    <w:rsid w:val="00C26F11"/>
    <w:rsid w:val="00C31D0F"/>
    <w:rsid w:val="00C34F26"/>
    <w:rsid w:val="00C357A6"/>
    <w:rsid w:val="00C413CD"/>
    <w:rsid w:val="00C41AE2"/>
    <w:rsid w:val="00C4206D"/>
    <w:rsid w:val="00C429D4"/>
    <w:rsid w:val="00C44E1E"/>
    <w:rsid w:val="00C46EDF"/>
    <w:rsid w:val="00C472CD"/>
    <w:rsid w:val="00C50B60"/>
    <w:rsid w:val="00C53B15"/>
    <w:rsid w:val="00C53C8B"/>
    <w:rsid w:val="00C558A9"/>
    <w:rsid w:val="00C558E8"/>
    <w:rsid w:val="00C6127E"/>
    <w:rsid w:val="00C61921"/>
    <w:rsid w:val="00C62530"/>
    <w:rsid w:val="00C647D2"/>
    <w:rsid w:val="00C64FA9"/>
    <w:rsid w:val="00C67941"/>
    <w:rsid w:val="00C67AD9"/>
    <w:rsid w:val="00C70E51"/>
    <w:rsid w:val="00C73E4F"/>
    <w:rsid w:val="00C75124"/>
    <w:rsid w:val="00C75C07"/>
    <w:rsid w:val="00C77B1F"/>
    <w:rsid w:val="00C8073A"/>
    <w:rsid w:val="00C81584"/>
    <w:rsid w:val="00C82595"/>
    <w:rsid w:val="00C82A93"/>
    <w:rsid w:val="00C84B9C"/>
    <w:rsid w:val="00C86A8C"/>
    <w:rsid w:val="00C86C33"/>
    <w:rsid w:val="00C86FCD"/>
    <w:rsid w:val="00C878F4"/>
    <w:rsid w:val="00C8794E"/>
    <w:rsid w:val="00C87F87"/>
    <w:rsid w:val="00C91A7B"/>
    <w:rsid w:val="00C9285C"/>
    <w:rsid w:val="00C93189"/>
    <w:rsid w:val="00C94355"/>
    <w:rsid w:val="00C95E85"/>
    <w:rsid w:val="00CA035D"/>
    <w:rsid w:val="00CA07F0"/>
    <w:rsid w:val="00CA11CD"/>
    <w:rsid w:val="00CA1AA5"/>
    <w:rsid w:val="00CA2447"/>
    <w:rsid w:val="00CA28F5"/>
    <w:rsid w:val="00CA44AE"/>
    <w:rsid w:val="00CA5AE7"/>
    <w:rsid w:val="00CB06DA"/>
    <w:rsid w:val="00CB0894"/>
    <w:rsid w:val="00CB1DC8"/>
    <w:rsid w:val="00CB26CE"/>
    <w:rsid w:val="00CB328A"/>
    <w:rsid w:val="00CB3800"/>
    <w:rsid w:val="00CB3E1F"/>
    <w:rsid w:val="00CB634E"/>
    <w:rsid w:val="00CB7CD6"/>
    <w:rsid w:val="00CC0701"/>
    <w:rsid w:val="00CC0D64"/>
    <w:rsid w:val="00CC1056"/>
    <w:rsid w:val="00CC242E"/>
    <w:rsid w:val="00CC2703"/>
    <w:rsid w:val="00CC3C3D"/>
    <w:rsid w:val="00CC41ED"/>
    <w:rsid w:val="00CD235C"/>
    <w:rsid w:val="00CD280B"/>
    <w:rsid w:val="00CD32FD"/>
    <w:rsid w:val="00CD7294"/>
    <w:rsid w:val="00CE08A2"/>
    <w:rsid w:val="00CE16F4"/>
    <w:rsid w:val="00CE2DCC"/>
    <w:rsid w:val="00CF0381"/>
    <w:rsid w:val="00CF0BE2"/>
    <w:rsid w:val="00CF2DA6"/>
    <w:rsid w:val="00CF7F13"/>
    <w:rsid w:val="00CF7F7B"/>
    <w:rsid w:val="00D00190"/>
    <w:rsid w:val="00D01C5C"/>
    <w:rsid w:val="00D01D46"/>
    <w:rsid w:val="00D03E4C"/>
    <w:rsid w:val="00D04125"/>
    <w:rsid w:val="00D06898"/>
    <w:rsid w:val="00D07193"/>
    <w:rsid w:val="00D113FD"/>
    <w:rsid w:val="00D13DDE"/>
    <w:rsid w:val="00D15992"/>
    <w:rsid w:val="00D17F6C"/>
    <w:rsid w:val="00D23F6A"/>
    <w:rsid w:val="00D256BC"/>
    <w:rsid w:val="00D26B6E"/>
    <w:rsid w:val="00D3452D"/>
    <w:rsid w:val="00D35F88"/>
    <w:rsid w:val="00D402AE"/>
    <w:rsid w:val="00D420A3"/>
    <w:rsid w:val="00D422F5"/>
    <w:rsid w:val="00D443B1"/>
    <w:rsid w:val="00D44688"/>
    <w:rsid w:val="00D4541B"/>
    <w:rsid w:val="00D54818"/>
    <w:rsid w:val="00D57185"/>
    <w:rsid w:val="00D57911"/>
    <w:rsid w:val="00D579D5"/>
    <w:rsid w:val="00D614F0"/>
    <w:rsid w:val="00D6456B"/>
    <w:rsid w:val="00D64F72"/>
    <w:rsid w:val="00D748DA"/>
    <w:rsid w:val="00D760FB"/>
    <w:rsid w:val="00D7662D"/>
    <w:rsid w:val="00D81E85"/>
    <w:rsid w:val="00D83428"/>
    <w:rsid w:val="00D8528B"/>
    <w:rsid w:val="00D8589D"/>
    <w:rsid w:val="00D91225"/>
    <w:rsid w:val="00D9145E"/>
    <w:rsid w:val="00D916A3"/>
    <w:rsid w:val="00D93526"/>
    <w:rsid w:val="00D93BD3"/>
    <w:rsid w:val="00D93E0C"/>
    <w:rsid w:val="00D93EC6"/>
    <w:rsid w:val="00D964D7"/>
    <w:rsid w:val="00D968DB"/>
    <w:rsid w:val="00DA1CE4"/>
    <w:rsid w:val="00DA2051"/>
    <w:rsid w:val="00DA3EFD"/>
    <w:rsid w:val="00DA4316"/>
    <w:rsid w:val="00DA4BE7"/>
    <w:rsid w:val="00DA6822"/>
    <w:rsid w:val="00DA7377"/>
    <w:rsid w:val="00DA73C0"/>
    <w:rsid w:val="00DA747D"/>
    <w:rsid w:val="00DB4BB4"/>
    <w:rsid w:val="00DB4E64"/>
    <w:rsid w:val="00DB6C88"/>
    <w:rsid w:val="00DB7DA4"/>
    <w:rsid w:val="00DC02FF"/>
    <w:rsid w:val="00DC212F"/>
    <w:rsid w:val="00DC361B"/>
    <w:rsid w:val="00DC67F4"/>
    <w:rsid w:val="00DD3534"/>
    <w:rsid w:val="00DD44B0"/>
    <w:rsid w:val="00DD52C9"/>
    <w:rsid w:val="00DE0CB9"/>
    <w:rsid w:val="00DE2169"/>
    <w:rsid w:val="00DE3622"/>
    <w:rsid w:val="00DE54F2"/>
    <w:rsid w:val="00DE6419"/>
    <w:rsid w:val="00DE6BDF"/>
    <w:rsid w:val="00DF158C"/>
    <w:rsid w:val="00DF2494"/>
    <w:rsid w:val="00DF2EDB"/>
    <w:rsid w:val="00DF382F"/>
    <w:rsid w:val="00E02462"/>
    <w:rsid w:val="00E034D5"/>
    <w:rsid w:val="00E035BB"/>
    <w:rsid w:val="00E03FF6"/>
    <w:rsid w:val="00E06A1E"/>
    <w:rsid w:val="00E10235"/>
    <w:rsid w:val="00E10236"/>
    <w:rsid w:val="00E11FE5"/>
    <w:rsid w:val="00E12119"/>
    <w:rsid w:val="00E14862"/>
    <w:rsid w:val="00E15043"/>
    <w:rsid w:val="00E171D3"/>
    <w:rsid w:val="00E2043A"/>
    <w:rsid w:val="00E2177A"/>
    <w:rsid w:val="00E22668"/>
    <w:rsid w:val="00E23565"/>
    <w:rsid w:val="00E2685F"/>
    <w:rsid w:val="00E268C3"/>
    <w:rsid w:val="00E32195"/>
    <w:rsid w:val="00E333DC"/>
    <w:rsid w:val="00E3366A"/>
    <w:rsid w:val="00E36C4F"/>
    <w:rsid w:val="00E36F0A"/>
    <w:rsid w:val="00E37CB4"/>
    <w:rsid w:val="00E40F43"/>
    <w:rsid w:val="00E41246"/>
    <w:rsid w:val="00E4174A"/>
    <w:rsid w:val="00E45C6F"/>
    <w:rsid w:val="00E504AA"/>
    <w:rsid w:val="00E504EA"/>
    <w:rsid w:val="00E50638"/>
    <w:rsid w:val="00E5514E"/>
    <w:rsid w:val="00E56C13"/>
    <w:rsid w:val="00E57472"/>
    <w:rsid w:val="00E6012C"/>
    <w:rsid w:val="00E619BF"/>
    <w:rsid w:val="00E622B7"/>
    <w:rsid w:val="00E62C0D"/>
    <w:rsid w:val="00E63D0C"/>
    <w:rsid w:val="00E64FFD"/>
    <w:rsid w:val="00E676D1"/>
    <w:rsid w:val="00E67B94"/>
    <w:rsid w:val="00E70347"/>
    <w:rsid w:val="00E72163"/>
    <w:rsid w:val="00E7413C"/>
    <w:rsid w:val="00E7473A"/>
    <w:rsid w:val="00E80ACD"/>
    <w:rsid w:val="00E82152"/>
    <w:rsid w:val="00E829FF"/>
    <w:rsid w:val="00E83BEA"/>
    <w:rsid w:val="00E84F01"/>
    <w:rsid w:val="00E859F0"/>
    <w:rsid w:val="00E85D4F"/>
    <w:rsid w:val="00E87303"/>
    <w:rsid w:val="00E876F6"/>
    <w:rsid w:val="00E87756"/>
    <w:rsid w:val="00E90267"/>
    <w:rsid w:val="00E95F3E"/>
    <w:rsid w:val="00EA4590"/>
    <w:rsid w:val="00EA5601"/>
    <w:rsid w:val="00EA6AF2"/>
    <w:rsid w:val="00EB56BA"/>
    <w:rsid w:val="00EB5DB5"/>
    <w:rsid w:val="00EC1680"/>
    <w:rsid w:val="00EC16A2"/>
    <w:rsid w:val="00EC3966"/>
    <w:rsid w:val="00EC6460"/>
    <w:rsid w:val="00EC71F7"/>
    <w:rsid w:val="00ED0DDE"/>
    <w:rsid w:val="00ED0DFC"/>
    <w:rsid w:val="00ED14CA"/>
    <w:rsid w:val="00ED2210"/>
    <w:rsid w:val="00ED22A4"/>
    <w:rsid w:val="00ED292F"/>
    <w:rsid w:val="00ED2981"/>
    <w:rsid w:val="00ED4568"/>
    <w:rsid w:val="00ED6640"/>
    <w:rsid w:val="00EE1B11"/>
    <w:rsid w:val="00EE3B1E"/>
    <w:rsid w:val="00EE5D87"/>
    <w:rsid w:val="00EF0C48"/>
    <w:rsid w:val="00EF11D5"/>
    <w:rsid w:val="00EF228F"/>
    <w:rsid w:val="00EF4385"/>
    <w:rsid w:val="00EF76BD"/>
    <w:rsid w:val="00F01A96"/>
    <w:rsid w:val="00F020ED"/>
    <w:rsid w:val="00F02B90"/>
    <w:rsid w:val="00F0580C"/>
    <w:rsid w:val="00F0688C"/>
    <w:rsid w:val="00F070FA"/>
    <w:rsid w:val="00F07407"/>
    <w:rsid w:val="00F1358A"/>
    <w:rsid w:val="00F147C0"/>
    <w:rsid w:val="00F16FD4"/>
    <w:rsid w:val="00F21E80"/>
    <w:rsid w:val="00F2725D"/>
    <w:rsid w:val="00F30A3A"/>
    <w:rsid w:val="00F312A7"/>
    <w:rsid w:val="00F31A64"/>
    <w:rsid w:val="00F33731"/>
    <w:rsid w:val="00F33AB5"/>
    <w:rsid w:val="00F34403"/>
    <w:rsid w:val="00F35B16"/>
    <w:rsid w:val="00F40186"/>
    <w:rsid w:val="00F401D6"/>
    <w:rsid w:val="00F413B4"/>
    <w:rsid w:val="00F432F3"/>
    <w:rsid w:val="00F46639"/>
    <w:rsid w:val="00F46846"/>
    <w:rsid w:val="00F46EB5"/>
    <w:rsid w:val="00F50EB6"/>
    <w:rsid w:val="00F51052"/>
    <w:rsid w:val="00F5292F"/>
    <w:rsid w:val="00F53090"/>
    <w:rsid w:val="00F539AF"/>
    <w:rsid w:val="00F54B27"/>
    <w:rsid w:val="00F57459"/>
    <w:rsid w:val="00F574B5"/>
    <w:rsid w:val="00F6019E"/>
    <w:rsid w:val="00F633EF"/>
    <w:rsid w:val="00F63C74"/>
    <w:rsid w:val="00F6409D"/>
    <w:rsid w:val="00F65BC4"/>
    <w:rsid w:val="00F668A8"/>
    <w:rsid w:val="00F70DF8"/>
    <w:rsid w:val="00F71AF5"/>
    <w:rsid w:val="00F73184"/>
    <w:rsid w:val="00F75173"/>
    <w:rsid w:val="00F76F3D"/>
    <w:rsid w:val="00F7705D"/>
    <w:rsid w:val="00F84119"/>
    <w:rsid w:val="00F85EE0"/>
    <w:rsid w:val="00F9014A"/>
    <w:rsid w:val="00F914F2"/>
    <w:rsid w:val="00F91BE4"/>
    <w:rsid w:val="00F94323"/>
    <w:rsid w:val="00F9499A"/>
    <w:rsid w:val="00F96ED2"/>
    <w:rsid w:val="00F97A22"/>
    <w:rsid w:val="00F97E4F"/>
    <w:rsid w:val="00FA3617"/>
    <w:rsid w:val="00FA3659"/>
    <w:rsid w:val="00FA5235"/>
    <w:rsid w:val="00FA5DAD"/>
    <w:rsid w:val="00FA646E"/>
    <w:rsid w:val="00FA7166"/>
    <w:rsid w:val="00FA7E5C"/>
    <w:rsid w:val="00FB17EF"/>
    <w:rsid w:val="00FB23C5"/>
    <w:rsid w:val="00FB2A38"/>
    <w:rsid w:val="00FB2CBE"/>
    <w:rsid w:val="00FB5168"/>
    <w:rsid w:val="00FC185D"/>
    <w:rsid w:val="00FC2CF6"/>
    <w:rsid w:val="00FC3D1B"/>
    <w:rsid w:val="00FD1A6C"/>
    <w:rsid w:val="00FD200A"/>
    <w:rsid w:val="00FD2040"/>
    <w:rsid w:val="00FD4284"/>
    <w:rsid w:val="00FD5EC5"/>
    <w:rsid w:val="00FD7F86"/>
    <w:rsid w:val="00FE2AEF"/>
    <w:rsid w:val="00FE609A"/>
    <w:rsid w:val="00FE6FBC"/>
    <w:rsid w:val="00FE74C5"/>
    <w:rsid w:val="00FF071D"/>
    <w:rsid w:val="00FF0B9E"/>
    <w:rsid w:val="00FF3077"/>
    <w:rsid w:val="00FF4236"/>
    <w:rsid w:val="00FF45A0"/>
    <w:rsid w:val="00FF5F18"/>
    <w:rsid w:val="00FF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2A81"/>
  <w15:docId w15:val="{1CCE6FB7-29FE-4E7B-87DE-3AA009D8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F9D"/>
    <w:pPr>
      <w:spacing w:after="0" w:line="240" w:lineRule="auto"/>
    </w:pPr>
    <w:rPr>
      <w:rFonts w:ascii="Times New Roman" w:eastAsia="SimSun" w:hAnsi="Times New Roman"/>
      <w:sz w:val="24"/>
      <w:szCs w:val="24"/>
      <w:lang w:eastAsia="zh-CN" w:bidi="he-IL"/>
    </w:rPr>
  </w:style>
  <w:style w:type="paragraph" w:styleId="Heading1">
    <w:name w:val="heading 1"/>
    <w:basedOn w:val="Normal"/>
    <w:next w:val="Normal"/>
    <w:link w:val="Heading1Char"/>
    <w:qFormat/>
    <w:rsid w:val="00A97F9D"/>
    <w:pPr>
      <w:keepNext/>
      <w:spacing w:before="240" w:after="60"/>
      <w:outlineLvl w:val="0"/>
    </w:pPr>
    <w:rPr>
      <w:rFonts w:ascii="Arial" w:eastAsia="Times New Roman" w:hAnsi="Arial" w:cs="Times New Roman"/>
      <w:b/>
      <w:bCs/>
      <w:kern w:val="32"/>
      <w:sz w:val="32"/>
      <w:szCs w:val="32"/>
      <w:lang w:eastAsia="it-IT" w:bidi="ar-SA"/>
    </w:rPr>
  </w:style>
  <w:style w:type="paragraph" w:styleId="Heading2">
    <w:name w:val="heading 2"/>
    <w:basedOn w:val="Normal"/>
    <w:next w:val="Normal"/>
    <w:link w:val="Heading2Char"/>
    <w:uiPriority w:val="9"/>
    <w:unhideWhenUsed/>
    <w:qFormat/>
    <w:rsid w:val="00A97F9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D6F8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D6F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F9D"/>
    <w:rPr>
      <w:rFonts w:ascii="Arial" w:eastAsia="Times New Roman" w:hAnsi="Arial" w:cs="Times New Roman"/>
      <w:b/>
      <w:bCs/>
      <w:kern w:val="32"/>
      <w:sz w:val="32"/>
      <w:szCs w:val="32"/>
      <w:lang w:eastAsia="it-IT"/>
    </w:rPr>
  </w:style>
  <w:style w:type="character" w:customStyle="1" w:styleId="Heading2Char">
    <w:name w:val="Heading 2 Char"/>
    <w:basedOn w:val="DefaultParagraphFont"/>
    <w:link w:val="Heading2"/>
    <w:uiPriority w:val="9"/>
    <w:rsid w:val="00A97F9D"/>
    <w:rPr>
      <w:rFonts w:asciiTheme="majorHAnsi" w:eastAsiaTheme="majorEastAsia" w:hAnsiTheme="majorHAnsi" w:cstheme="majorBidi"/>
      <w:b/>
      <w:bCs/>
      <w:color w:val="5B9BD5" w:themeColor="accent1"/>
      <w:sz w:val="26"/>
      <w:szCs w:val="26"/>
      <w:lang w:eastAsia="zh-CN" w:bidi="he-IL"/>
    </w:rPr>
  </w:style>
  <w:style w:type="character" w:styleId="FootnoteReference">
    <w:name w:val="footnote reference"/>
    <w:basedOn w:val="DefaultParagraphFont"/>
    <w:uiPriority w:val="99"/>
    <w:rsid w:val="00A97F9D"/>
    <w:rPr>
      <w:vertAlign w:val="superscript"/>
    </w:rPr>
  </w:style>
  <w:style w:type="paragraph" w:styleId="FootnoteText">
    <w:name w:val="footnote text"/>
    <w:basedOn w:val="Normal"/>
    <w:link w:val="FootnoteTextChar"/>
    <w:uiPriority w:val="99"/>
    <w:rsid w:val="00A97F9D"/>
    <w:rPr>
      <w:rFonts w:cs="Times New Roman"/>
      <w:sz w:val="20"/>
      <w:szCs w:val="20"/>
    </w:rPr>
  </w:style>
  <w:style w:type="character" w:customStyle="1" w:styleId="FootnoteTextChar">
    <w:name w:val="Footnote Text Char"/>
    <w:basedOn w:val="DefaultParagraphFont"/>
    <w:link w:val="FootnoteText"/>
    <w:uiPriority w:val="99"/>
    <w:rsid w:val="00A97F9D"/>
    <w:rPr>
      <w:rFonts w:ascii="Times New Roman" w:eastAsia="SimSun" w:hAnsi="Times New Roman" w:cs="Times New Roman"/>
      <w:sz w:val="20"/>
      <w:szCs w:val="20"/>
      <w:lang w:eastAsia="zh-CN" w:bidi="he-IL"/>
    </w:rPr>
  </w:style>
  <w:style w:type="paragraph" w:styleId="ListParagraph">
    <w:name w:val="List Paragraph"/>
    <w:basedOn w:val="Normal"/>
    <w:uiPriority w:val="34"/>
    <w:qFormat/>
    <w:rsid w:val="00A97F9D"/>
    <w:pPr>
      <w:ind w:left="720"/>
      <w:contextualSpacing/>
    </w:pPr>
    <w:rPr>
      <w:rFonts w:cs="Times New Roman"/>
    </w:rPr>
  </w:style>
  <w:style w:type="paragraph" w:customStyle="1" w:styleId="HIFEndnoteText">
    <w:name w:val="HIF Endnote Text"/>
    <w:basedOn w:val="Normal"/>
    <w:link w:val="HIFEndnoteTextChar"/>
    <w:qFormat/>
    <w:rsid w:val="00A97F9D"/>
    <w:pPr>
      <w:overflowPunct w:val="0"/>
      <w:autoSpaceDE w:val="0"/>
      <w:autoSpaceDN w:val="0"/>
      <w:adjustRightInd w:val="0"/>
      <w:spacing w:line="480" w:lineRule="auto"/>
      <w:textAlignment w:val="baseline"/>
    </w:pPr>
    <w:rPr>
      <w:rFonts w:ascii="Perpetua" w:eastAsia="Times New Roman" w:hAnsi="Perpetua" w:cs="Times New Roman"/>
      <w:lang w:val="en-US" w:bidi="ar-SA"/>
    </w:rPr>
  </w:style>
  <w:style w:type="character" w:customStyle="1" w:styleId="HIFEndnoteTextChar">
    <w:name w:val="HIF Endnote Text Char"/>
    <w:basedOn w:val="DefaultParagraphFont"/>
    <w:link w:val="HIFEndnoteText"/>
    <w:rsid w:val="00A97F9D"/>
    <w:rPr>
      <w:rFonts w:ascii="Perpetua" w:eastAsia="Times New Roman" w:hAnsi="Perpetua" w:cs="Times New Roman"/>
      <w:sz w:val="24"/>
      <w:szCs w:val="24"/>
      <w:lang w:val="en-US" w:eastAsia="zh-CN"/>
    </w:rPr>
  </w:style>
  <w:style w:type="character" w:styleId="Emphasis">
    <w:name w:val="Emphasis"/>
    <w:basedOn w:val="DefaultParagraphFont"/>
    <w:uiPriority w:val="20"/>
    <w:qFormat/>
    <w:rsid w:val="00A97F9D"/>
    <w:rPr>
      <w:b/>
      <w:bCs/>
      <w:i w:val="0"/>
      <w:iCs w:val="0"/>
    </w:rPr>
  </w:style>
  <w:style w:type="paragraph" w:styleId="Header">
    <w:name w:val="header"/>
    <w:basedOn w:val="Normal"/>
    <w:link w:val="HeaderChar"/>
    <w:uiPriority w:val="99"/>
    <w:unhideWhenUsed/>
    <w:rsid w:val="00A97F9D"/>
    <w:pPr>
      <w:tabs>
        <w:tab w:val="center" w:pos="4513"/>
        <w:tab w:val="right" w:pos="9026"/>
      </w:tabs>
    </w:pPr>
  </w:style>
  <w:style w:type="character" w:customStyle="1" w:styleId="HeaderChar">
    <w:name w:val="Header Char"/>
    <w:basedOn w:val="DefaultParagraphFont"/>
    <w:link w:val="Header"/>
    <w:uiPriority w:val="99"/>
    <w:rsid w:val="00A97F9D"/>
    <w:rPr>
      <w:rFonts w:ascii="Times New Roman" w:eastAsia="SimSun" w:hAnsi="Times New Roman"/>
      <w:sz w:val="24"/>
      <w:szCs w:val="24"/>
      <w:lang w:eastAsia="zh-CN" w:bidi="he-IL"/>
    </w:rPr>
  </w:style>
  <w:style w:type="paragraph" w:styleId="Footer">
    <w:name w:val="footer"/>
    <w:basedOn w:val="Normal"/>
    <w:link w:val="FooterChar"/>
    <w:uiPriority w:val="99"/>
    <w:unhideWhenUsed/>
    <w:rsid w:val="00A97F9D"/>
    <w:pPr>
      <w:tabs>
        <w:tab w:val="center" w:pos="4513"/>
        <w:tab w:val="right" w:pos="9026"/>
      </w:tabs>
    </w:pPr>
  </w:style>
  <w:style w:type="character" w:customStyle="1" w:styleId="FooterChar">
    <w:name w:val="Footer Char"/>
    <w:basedOn w:val="DefaultParagraphFont"/>
    <w:link w:val="Footer"/>
    <w:uiPriority w:val="99"/>
    <w:rsid w:val="00A97F9D"/>
    <w:rPr>
      <w:rFonts w:ascii="Times New Roman" w:eastAsia="SimSun" w:hAnsi="Times New Roman"/>
      <w:sz w:val="24"/>
      <w:szCs w:val="24"/>
      <w:lang w:eastAsia="zh-CN" w:bidi="he-IL"/>
    </w:rPr>
  </w:style>
  <w:style w:type="paragraph" w:styleId="BalloonText">
    <w:name w:val="Balloon Text"/>
    <w:basedOn w:val="Normal"/>
    <w:link w:val="BalloonTextChar"/>
    <w:uiPriority w:val="99"/>
    <w:semiHidden/>
    <w:unhideWhenUsed/>
    <w:rsid w:val="00A97F9D"/>
    <w:rPr>
      <w:rFonts w:ascii="Tahoma" w:hAnsi="Tahoma" w:cs="Tahoma"/>
      <w:sz w:val="16"/>
      <w:szCs w:val="16"/>
    </w:rPr>
  </w:style>
  <w:style w:type="character" w:customStyle="1" w:styleId="BalloonTextChar">
    <w:name w:val="Balloon Text Char"/>
    <w:basedOn w:val="DefaultParagraphFont"/>
    <w:link w:val="BalloonText"/>
    <w:uiPriority w:val="99"/>
    <w:semiHidden/>
    <w:rsid w:val="00A97F9D"/>
    <w:rPr>
      <w:rFonts w:ascii="Tahoma" w:eastAsia="SimSun" w:hAnsi="Tahoma" w:cs="Tahoma"/>
      <w:sz w:val="16"/>
      <w:szCs w:val="16"/>
      <w:lang w:eastAsia="zh-CN" w:bidi="he-IL"/>
    </w:rPr>
  </w:style>
  <w:style w:type="paragraph" w:customStyle="1" w:styleId="BISReference">
    <w:name w:val="BIS_Reference"/>
    <w:basedOn w:val="Normal"/>
    <w:uiPriority w:val="99"/>
    <w:rsid w:val="00A97F9D"/>
    <w:pPr>
      <w:suppressAutoHyphens/>
      <w:ind w:left="432" w:hanging="432"/>
      <w:jc w:val="both"/>
    </w:pPr>
    <w:rPr>
      <w:rFonts w:ascii="Palatino Linotype" w:eastAsia="Times New Roman" w:hAnsi="Palatino Linotype" w:cs="Times New Roman"/>
      <w:sz w:val="20"/>
      <w:szCs w:val="20"/>
      <w:lang w:eastAsia="ar-SA" w:bidi="ar-SA"/>
    </w:rPr>
  </w:style>
  <w:style w:type="character" w:styleId="Hyperlink">
    <w:name w:val="Hyperlink"/>
    <w:basedOn w:val="DefaultParagraphFont"/>
    <w:rsid w:val="00A97F9D"/>
    <w:rPr>
      <w:color w:val="0000FF"/>
      <w:u w:val="single"/>
    </w:rPr>
  </w:style>
  <w:style w:type="character" w:customStyle="1" w:styleId="FootnoteReference1">
    <w:name w:val="Footnote Reference1"/>
    <w:rsid w:val="00A97F9D"/>
    <w:rPr>
      <w:vertAlign w:val="superscript"/>
    </w:rPr>
  </w:style>
  <w:style w:type="character" w:customStyle="1" w:styleId="FootnoteCharacters">
    <w:name w:val="Footnote Characters"/>
    <w:rsid w:val="00A97F9D"/>
  </w:style>
  <w:style w:type="character" w:customStyle="1" w:styleId="citationarticleauthors">
    <w:name w:val="citationarticleauthors"/>
    <w:basedOn w:val="DefaultParagraphFont"/>
    <w:rsid w:val="00A97F9D"/>
  </w:style>
  <w:style w:type="character" w:customStyle="1" w:styleId="citationarticleyear">
    <w:name w:val="citationarticleyear"/>
    <w:basedOn w:val="DefaultParagraphFont"/>
    <w:rsid w:val="00A97F9D"/>
  </w:style>
  <w:style w:type="character" w:customStyle="1" w:styleId="citationarticletitle">
    <w:name w:val="citationarticletitle"/>
    <w:basedOn w:val="DefaultParagraphFont"/>
    <w:rsid w:val="00A97F9D"/>
  </w:style>
  <w:style w:type="character" w:customStyle="1" w:styleId="citationjournaltitle">
    <w:name w:val="citationjournaltitle"/>
    <w:basedOn w:val="DefaultParagraphFont"/>
    <w:rsid w:val="00A97F9D"/>
  </w:style>
  <w:style w:type="character" w:customStyle="1" w:styleId="citationjournalvolumeandpart">
    <w:name w:val="citationjournalvolumeandpart"/>
    <w:basedOn w:val="DefaultParagraphFont"/>
    <w:rsid w:val="00A97F9D"/>
  </w:style>
  <w:style w:type="character" w:customStyle="1" w:styleId="citationjournalpages">
    <w:name w:val="citationjournalpages"/>
    <w:basedOn w:val="DefaultParagraphFont"/>
    <w:rsid w:val="00A97F9D"/>
  </w:style>
  <w:style w:type="character" w:customStyle="1" w:styleId="slug-metadata-note3">
    <w:name w:val="slug-metadata-note3"/>
    <w:basedOn w:val="DefaultParagraphFont"/>
    <w:rsid w:val="00A97F9D"/>
  </w:style>
  <w:style w:type="character" w:customStyle="1" w:styleId="slug-ahead-of-print-date">
    <w:name w:val="slug-ahead-of-print-date"/>
    <w:basedOn w:val="DefaultParagraphFont"/>
    <w:rsid w:val="00A97F9D"/>
  </w:style>
  <w:style w:type="character" w:customStyle="1" w:styleId="slug-doi">
    <w:name w:val="slug-doi"/>
    <w:basedOn w:val="DefaultParagraphFont"/>
    <w:rsid w:val="00A97F9D"/>
  </w:style>
  <w:style w:type="paragraph" w:customStyle="1" w:styleId="Default">
    <w:name w:val="Default"/>
    <w:rsid w:val="00A97F9D"/>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rsid w:val="00A97F9D"/>
  </w:style>
  <w:style w:type="character" w:customStyle="1" w:styleId="container2">
    <w:name w:val="container2"/>
    <w:basedOn w:val="DefaultParagraphFont"/>
    <w:rsid w:val="00A97F9D"/>
  </w:style>
  <w:style w:type="character" w:customStyle="1" w:styleId="year">
    <w:name w:val="year"/>
    <w:basedOn w:val="DefaultParagraphFont"/>
    <w:rsid w:val="00A97F9D"/>
  </w:style>
  <w:style w:type="character" w:customStyle="1" w:styleId="info3">
    <w:name w:val="info3"/>
    <w:basedOn w:val="DefaultParagraphFont"/>
    <w:rsid w:val="00A97F9D"/>
  </w:style>
  <w:style w:type="character" w:customStyle="1" w:styleId="volume">
    <w:name w:val="volume"/>
    <w:basedOn w:val="DefaultParagraphFont"/>
    <w:rsid w:val="00A97F9D"/>
  </w:style>
  <w:style w:type="character" w:customStyle="1" w:styleId="issue">
    <w:name w:val="issue"/>
    <w:basedOn w:val="DefaultParagraphFont"/>
    <w:rsid w:val="00A97F9D"/>
  </w:style>
  <w:style w:type="character" w:customStyle="1" w:styleId="pages">
    <w:name w:val="pages"/>
    <w:basedOn w:val="DefaultParagraphFont"/>
    <w:rsid w:val="00A97F9D"/>
  </w:style>
  <w:style w:type="character" w:customStyle="1" w:styleId="apple-converted-space">
    <w:name w:val="apple-converted-space"/>
    <w:rsid w:val="00A97F9D"/>
  </w:style>
  <w:style w:type="character" w:customStyle="1" w:styleId="st">
    <w:name w:val="st"/>
    <w:basedOn w:val="DefaultParagraphFont"/>
    <w:rsid w:val="00A97F9D"/>
  </w:style>
  <w:style w:type="character" w:customStyle="1" w:styleId="journal7">
    <w:name w:val="journal7"/>
    <w:basedOn w:val="DefaultParagraphFont"/>
    <w:rsid w:val="00A97F9D"/>
    <w:rPr>
      <w:i/>
      <w:iCs/>
    </w:rPr>
  </w:style>
  <w:style w:type="character" w:customStyle="1" w:styleId="mb">
    <w:name w:val="mb"/>
    <w:basedOn w:val="DefaultParagraphFont"/>
    <w:rsid w:val="00A97F9D"/>
    <w:rPr>
      <w:rFonts w:ascii="Arial Unicode MS" w:eastAsia="Arial Unicode MS" w:hAnsi="Arial Unicode MS" w:cs="Arial Unicode MS" w:hint="eastAsia"/>
      <w:vanish w:val="0"/>
      <w:webHidden w:val="0"/>
      <w:shd w:val="clear" w:color="auto" w:fill="auto"/>
      <w:specVanish w:val="0"/>
    </w:rPr>
  </w:style>
  <w:style w:type="paragraph" w:customStyle="1" w:styleId="norm3">
    <w:name w:val="norm3"/>
    <w:basedOn w:val="Normal"/>
    <w:rsid w:val="00A97F9D"/>
    <w:pPr>
      <w:spacing w:before="240" w:after="240"/>
    </w:pPr>
    <w:rPr>
      <w:rFonts w:eastAsia="Times New Roman" w:cs="Times New Roman"/>
      <w:sz w:val="22"/>
      <w:szCs w:val="22"/>
      <w:lang w:eastAsia="en-GB" w:bidi="ar-SA"/>
    </w:rPr>
  </w:style>
  <w:style w:type="character" w:customStyle="1" w:styleId="A11">
    <w:name w:val="A11"/>
    <w:uiPriority w:val="99"/>
    <w:rsid w:val="00A97F9D"/>
    <w:rPr>
      <w:rFonts w:ascii="EC Square Sans Pro" w:hAnsi="EC Square Sans Pro" w:cs="EC Square Sans Pro"/>
      <w:color w:val="000000"/>
      <w:sz w:val="11"/>
      <w:szCs w:val="11"/>
    </w:rPr>
  </w:style>
  <w:style w:type="character" w:styleId="Strong">
    <w:name w:val="Strong"/>
    <w:basedOn w:val="DefaultParagraphFont"/>
    <w:uiPriority w:val="22"/>
    <w:qFormat/>
    <w:rsid w:val="0015648D"/>
    <w:rPr>
      <w:b/>
      <w:bCs/>
    </w:rPr>
  </w:style>
  <w:style w:type="character" w:customStyle="1" w:styleId="displaydatestatus">
    <w:name w:val="displaydatestatus"/>
    <w:basedOn w:val="DefaultParagraphFont"/>
    <w:rsid w:val="001B28D7"/>
  </w:style>
  <w:style w:type="character" w:customStyle="1" w:styleId="italic1">
    <w:name w:val="italic1"/>
    <w:basedOn w:val="DefaultParagraphFont"/>
    <w:rsid w:val="001B28D7"/>
    <w:rPr>
      <w:i/>
      <w:iCs/>
    </w:rPr>
  </w:style>
  <w:style w:type="paragraph" w:styleId="EndnoteText">
    <w:name w:val="endnote text"/>
    <w:basedOn w:val="Normal"/>
    <w:link w:val="EndnoteTextChar"/>
    <w:uiPriority w:val="99"/>
    <w:semiHidden/>
    <w:unhideWhenUsed/>
    <w:rsid w:val="00B87760"/>
    <w:rPr>
      <w:sz w:val="20"/>
      <w:szCs w:val="20"/>
    </w:rPr>
  </w:style>
  <w:style w:type="character" w:customStyle="1" w:styleId="EndnoteTextChar">
    <w:name w:val="Endnote Text Char"/>
    <w:basedOn w:val="DefaultParagraphFont"/>
    <w:link w:val="EndnoteText"/>
    <w:uiPriority w:val="99"/>
    <w:semiHidden/>
    <w:rsid w:val="00B87760"/>
    <w:rPr>
      <w:rFonts w:ascii="Times New Roman" w:eastAsia="SimSun" w:hAnsi="Times New Roman"/>
      <w:sz w:val="20"/>
      <w:szCs w:val="20"/>
      <w:lang w:eastAsia="zh-CN" w:bidi="he-IL"/>
    </w:rPr>
  </w:style>
  <w:style w:type="character" w:styleId="EndnoteReference">
    <w:name w:val="endnote reference"/>
    <w:basedOn w:val="DefaultParagraphFont"/>
    <w:uiPriority w:val="99"/>
    <w:semiHidden/>
    <w:unhideWhenUsed/>
    <w:rsid w:val="00B87760"/>
    <w:rPr>
      <w:vertAlign w:val="superscript"/>
    </w:rPr>
  </w:style>
  <w:style w:type="character" w:customStyle="1" w:styleId="al-author-name-more">
    <w:name w:val="al-author-name-more"/>
    <w:basedOn w:val="DefaultParagraphFont"/>
    <w:rsid w:val="00AA7F7D"/>
  </w:style>
  <w:style w:type="character" w:customStyle="1" w:styleId="Date1">
    <w:name w:val="Date1"/>
    <w:basedOn w:val="DefaultParagraphFont"/>
    <w:rsid w:val="007B4905"/>
  </w:style>
  <w:style w:type="paragraph" w:customStyle="1" w:styleId="type">
    <w:name w:val="type"/>
    <w:basedOn w:val="Normal"/>
    <w:rsid w:val="007B4905"/>
    <w:pPr>
      <w:spacing w:before="100" w:beforeAutospacing="1" w:after="100" w:afterAutospacing="1"/>
    </w:pPr>
    <w:rPr>
      <w:rFonts w:eastAsia="Times New Roman" w:cs="Times New Roman"/>
      <w:lang w:eastAsia="en-GB" w:bidi="ar-SA"/>
    </w:rPr>
  </w:style>
  <w:style w:type="character" w:customStyle="1" w:styleId="a-size-extra-large">
    <w:name w:val="a-size-extra-large"/>
    <w:basedOn w:val="DefaultParagraphFont"/>
    <w:rsid w:val="00C70E51"/>
  </w:style>
  <w:style w:type="character" w:customStyle="1" w:styleId="entry-date">
    <w:name w:val="entry-date"/>
    <w:basedOn w:val="DefaultParagraphFont"/>
    <w:rsid w:val="00042BEA"/>
  </w:style>
  <w:style w:type="paragraph" w:styleId="NormalWeb">
    <w:name w:val="Normal (Web)"/>
    <w:basedOn w:val="Normal"/>
    <w:uiPriority w:val="99"/>
    <w:semiHidden/>
    <w:unhideWhenUsed/>
    <w:rsid w:val="00042BEA"/>
    <w:pPr>
      <w:spacing w:before="100" w:beforeAutospacing="1" w:after="100" w:afterAutospacing="1"/>
    </w:pPr>
    <w:rPr>
      <w:rFonts w:eastAsia="Times New Roman" w:cs="Times New Roman"/>
      <w:lang w:eastAsia="en-GB" w:bidi="ar-SA"/>
    </w:rPr>
  </w:style>
  <w:style w:type="character" w:styleId="HTMLCite">
    <w:name w:val="HTML Cite"/>
    <w:basedOn w:val="DefaultParagraphFont"/>
    <w:uiPriority w:val="99"/>
    <w:semiHidden/>
    <w:unhideWhenUsed/>
    <w:rsid w:val="00AC7351"/>
    <w:rPr>
      <w:i/>
      <w:iCs/>
    </w:rPr>
  </w:style>
  <w:style w:type="character" w:customStyle="1" w:styleId="fn">
    <w:name w:val="fn"/>
    <w:basedOn w:val="DefaultParagraphFont"/>
    <w:rsid w:val="004D6F84"/>
  </w:style>
  <w:style w:type="character" w:customStyle="1" w:styleId="Subtitle1">
    <w:name w:val="Subtitle1"/>
    <w:basedOn w:val="DefaultParagraphFont"/>
    <w:rsid w:val="004D6F84"/>
  </w:style>
  <w:style w:type="character" w:customStyle="1" w:styleId="Heading3Char">
    <w:name w:val="Heading 3 Char"/>
    <w:basedOn w:val="DefaultParagraphFont"/>
    <w:link w:val="Heading3"/>
    <w:uiPriority w:val="9"/>
    <w:semiHidden/>
    <w:rsid w:val="004D6F84"/>
    <w:rPr>
      <w:rFonts w:asciiTheme="majorHAnsi" w:eastAsiaTheme="majorEastAsia" w:hAnsiTheme="majorHAnsi" w:cstheme="majorBidi"/>
      <w:color w:val="1F4D78" w:themeColor="accent1" w:themeShade="7F"/>
      <w:sz w:val="24"/>
      <w:szCs w:val="24"/>
      <w:lang w:eastAsia="zh-CN" w:bidi="he-IL"/>
    </w:rPr>
  </w:style>
  <w:style w:type="character" w:customStyle="1" w:styleId="Heading4Char">
    <w:name w:val="Heading 4 Char"/>
    <w:basedOn w:val="DefaultParagraphFont"/>
    <w:link w:val="Heading4"/>
    <w:uiPriority w:val="9"/>
    <w:semiHidden/>
    <w:rsid w:val="004D6F84"/>
    <w:rPr>
      <w:rFonts w:asciiTheme="majorHAnsi" w:eastAsiaTheme="majorEastAsia" w:hAnsiTheme="majorHAnsi" w:cstheme="majorBidi"/>
      <w:i/>
      <w:iCs/>
      <w:color w:val="2E74B5" w:themeColor="accent1" w:themeShade="BF"/>
      <w:sz w:val="24"/>
      <w:szCs w:val="24"/>
      <w:lang w:eastAsia="zh-CN" w:bidi="he-IL"/>
    </w:rPr>
  </w:style>
  <w:style w:type="character" w:customStyle="1" w:styleId="articlesectionstamp">
    <w:name w:val="article__sectionstamp"/>
    <w:basedOn w:val="DefaultParagraphFont"/>
    <w:rsid w:val="004D6F84"/>
  </w:style>
  <w:style w:type="character" w:customStyle="1" w:styleId="articletimestamp">
    <w:name w:val="article__timestamp"/>
    <w:basedOn w:val="DefaultParagraphFont"/>
    <w:rsid w:val="004D6F84"/>
  </w:style>
  <w:style w:type="character" w:customStyle="1" w:styleId="save-article-explainer">
    <w:name w:val="save-article-explainer"/>
    <w:basedOn w:val="DefaultParagraphFont"/>
    <w:rsid w:val="004D6F84"/>
  </w:style>
  <w:style w:type="character" w:customStyle="1" w:styleId="comment-count">
    <w:name w:val="comment-count"/>
    <w:basedOn w:val="DefaultParagraphFont"/>
    <w:rsid w:val="00FA646E"/>
  </w:style>
  <w:style w:type="paragraph" w:customStyle="1" w:styleId="p">
    <w:name w:val="p"/>
    <w:basedOn w:val="Normal"/>
    <w:rsid w:val="00496655"/>
    <w:pPr>
      <w:spacing w:before="100" w:beforeAutospacing="1" w:after="100" w:afterAutospacing="1"/>
    </w:pPr>
    <w:rPr>
      <w:rFonts w:eastAsia="Times New Roman" w:cs="Times New Roman"/>
      <w:lang w:eastAsia="en-GB" w:bidi="ar-SA"/>
    </w:rPr>
  </w:style>
  <w:style w:type="character" w:customStyle="1" w:styleId="name">
    <w:name w:val="name"/>
    <w:basedOn w:val="DefaultParagraphFont"/>
    <w:rsid w:val="00B359B4"/>
  </w:style>
  <w:style w:type="character" w:customStyle="1" w:styleId="surname">
    <w:name w:val="surname"/>
    <w:basedOn w:val="DefaultParagraphFont"/>
    <w:rsid w:val="00B359B4"/>
  </w:style>
  <w:style w:type="character" w:customStyle="1" w:styleId="given-names">
    <w:name w:val="given-names"/>
    <w:basedOn w:val="DefaultParagraphFont"/>
    <w:rsid w:val="00B359B4"/>
  </w:style>
  <w:style w:type="character" w:customStyle="1" w:styleId="source">
    <w:name w:val="source"/>
    <w:basedOn w:val="DefaultParagraphFont"/>
    <w:rsid w:val="00B359B4"/>
  </w:style>
  <w:style w:type="character" w:customStyle="1" w:styleId="publisher-loc">
    <w:name w:val="publisher-loc"/>
    <w:basedOn w:val="DefaultParagraphFont"/>
    <w:rsid w:val="00B359B4"/>
  </w:style>
  <w:style w:type="character" w:customStyle="1" w:styleId="publisher-name">
    <w:name w:val="publisher-name"/>
    <w:basedOn w:val="DefaultParagraphFont"/>
    <w:rsid w:val="00B359B4"/>
  </w:style>
  <w:style w:type="character" w:customStyle="1" w:styleId="article-title">
    <w:name w:val="article-title"/>
    <w:basedOn w:val="DefaultParagraphFont"/>
    <w:rsid w:val="00F7705D"/>
  </w:style>
  <w:style w:type="character" w:styleId="FollowedHyperlink">
    <w:name w:val="FollowedHyperlink"/>
    <w:basedOn w:val="DefaultParagraphFont"/>
    <w:uiPriority w:val="99"/>
    <w:semiHidden/>
    <w:unhideWhenUsed/>
    <w:rsid w:val="002B0E8D"/>
    <w:rPr>
      <w:color w:val="954F72" w:themeColor="followedHyperlink"/>
      <w:u w:val="single"/>
    </w:rPr>
  </w:style>
  <w:style w:type="character" w:customStyle="1" w:styleId="highwire-cite-metadata-date">
    <w:name w:val="highwire-cite-metadata-date"/>
    <w:basedOn w:val="DefaultParagraphFont"/>
    <w:rsid w:val="0065215D"/>
  </w:style>
  <w:style w:type="character" w:customStyle="1" w:styleId="highwire-cite-metadata-volume">
    <w:name w:val="highwire-cite-metadata-volume"/>
    <w:basedOn w:val="DefaultParagraphFont"/>
    <w:rsid w:val="0065215D"/>
  </w:style>
  <w:style w:type="character" w:customStyle="1" w:styleId="highwire-cite-metadata-issue">
    <w:name w:val="highwire-cite-metadata-issue"/>
    <w:basedOn w:val="DefaultParagraphFont"/>
    <w:rsid w:val="0065215D"/>
  </w:style>
  <w:style w:type="character" w:customStyle="1" w:styleId="highwire-cite-metadata-pages">
    <w:name w:val="highwire-cite-metadata-pages"/>
    <w:basedOn w:val="DefaultParagraphFont"/>
    <w:rsid w:val="00652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630">
      <w:bodyDiv w:val="1"/>
      <w:marLeft w:val="0"/>
      <w:marRight w:val="0"/>
      <w:marTop w:val="0"/>
      <w:marBottom w:val="0"/>
      <w:divBdr>
        <w:top w:val="none" w:sz="0" w:space="0" w:color="auto"/>
        <w:left w:val="none" w:sz="0" w:space="0" w:color="auto"/>
        <w:bottom w:val="none" w:sz="0" w:space="0" w:color="auto"/>
        <w:right w:val="none" w:sz="0" w:space="0" w:color="auto"/>
      </w:divBdr>
    </w:div>
    <w:div w:id="55705936">
      <w:bodyDiv w:val="1"/>
      <w:marLeft w:val="0"/>
      <w:marRight w:val="0"/>
      <w:marTop w:val="0"/>
      <w:marBottom w:val="0"/>
      <w:divBdr>
        <w:top w:val="none" w:sz="0" w:space="0" w:color="auto"/>
        <w:left w:val="none" w:sz="0" w:space="0" w:color="auto"/>
        <w:bottom w:val="none" w:sz="0" w:space="0" w:color="auto"/>
        <w:right w:val="none" w:sz="0" w:space="0" w:color="auto"/>
      </w:divBdr>
    </w:div>
    <w:div w:id="59060025">
      <w:bodyDiv w:val="1"/>
      <w:marLeft w:val="0"/>
      <w:marRight w:val="0"/>
      <w:marTop w:val="0"/>
      <w:marBottom w:val="0"/>
      <w:divBdr>
        <w:top w:val="none" w:sz="0" w:space="0" w:color="auto"/>
        <w:left w:val="none" w:sz="0" w:space="0" w:color="auto"/>
        <w:bottom w:val="none" w:sz="0" w:space="0" w:color="auto"/>
        <w:right w:val="none" w:sz="0" w:space="0" w:color="auto"/>
      </w:divBdr>
    </w:div>
    <w:div w:id="186070548">
      <w:bodyDiv w:val="1"/>
      <w:marLeft w:val="0"/>
      <w:marRight w:val="0"/>
      <w:marTop w:val="0"/>
      <w:marBottom w:val="0"/>
      <w:divBdr>
        <w:top w:val="none" w:sz="0" w:space="0" w:color="auto"/>
        <w:left w:val="none" w:sz="0" w:space="0" w:color="auto"/>
        <w:bottom w:val="none" w:sz="0" w:space="0" w:color="auto"/>
        <w:right w:val="none" w:sz="0" w:space="0" w:color="auto"/>
      </w:divBdr>
    </w:div>
    <w:div w:id="282082695">
      <w:bodyDiv w:val="1"/>
      <w:marLeft w:val="0"/>
      <w:marRight w:val="0"/>
      <w:marTop w:val="0"/>
      <w:marBottom w:val="0"/>
      <w:divBdr>
        <w:top w:val="none" w:sz="0" w:space="0" w:color="auto"/>
        <w:left w:val="none" w:sz="0" w:space="0" w:color="auto"/>
        <w:bottom w:val="none" w:sz="0" w:space="0" w:color="auto"/>
        <w:right w:val="none" w:sz="0" w:space="0" w:color="auto"/>
      </w:divBdr>
    </w:div>
    <w:div w:id="282201762">
      <w:bodyDiv w:val="1"/>
      <w:marLeft w:val="0"/>
      <w:marRight w:val="0"/>
      <w:marTop w:val="0"/>
      <w:marBottom w:val="0"/>
      <w:divBdr>
        <w:top w:val="none" w:sz="0" w:space="0" w:color="auto"/>
        <w:left w:val="none" w:sz="0" w:space="0" w:color="auto"/>
        <w:bottom w:val="none" w:sz="0" w:space="0" w:color="auto"/>
        <w:right w:val="none" w:sz="0" w:space="0" w:color="auto"/>
      </w:divBdr>
      <w:divsChild>
        <w:div w:id="1732998088">
          <w:marLeft w:val="0"/>
          <w:marRight w:val="0"/>
          <w:marTop w:val="0"/>
          <w:marBottom w:val="75"/>
          <w:divBdr>
            <w:top w:val="none" w:sz="0" w:space="0" w:color="auto"/>
            <w:left w:val="none" w:sz="0" w:space="0" w:color="auto"/>
            <w:bottom w:val="none" w:sz="0" w:space="0" w:color="auto"/>
            <w:right w:val="none" w:sz="0" w:space="0" w:color="auto"/>
          </w:divBdr>
          <w:divsChild>
            <w:div w:id="17493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7605">
      <w:bodyDiv w:val="1"/>
      <w:marLeft w:val="0"/>
      <w:marRight w:val="0"/>
      <w:marTop w:val="0"/>
      <w:marBottom w:val="0"/>
      <w:divBdr>
        <w:top w:val="none" w:sz="0" w:space="0" w:color="auto"/>
        <w:left w:val="none" w:sz="0" w:space="0" w:color="auto"/>
        <w:bottom w:val="none" w:sz="0" w:space="0" w:color="auto"/>
        <w:right w:val="none" w:sz="0" w:space="0" w:color="auto"/>
      </w:divBdr>
      <w:divsChild>
        <w:div w:id="2098549040">
          <w:marLeft w:val="0"/>
          <w:marRight w:val="180"/>
          <w:marTop w:val="0"/>
          <w:marBottom w:val="0"/>
          <w:divBdr>
            <w:top w:val="none" w:sz="0" w:space="0" w:color="auto"/>
            <w:left w:val="none" w:sz="0" w:space="0" w:color="auto"/>
            <w:bottom w:val="none" w:sz="0" w:space="0" w:color="auto"/>
            <w:right w:val="none" w:sz="0" w:space="0" w:color="auto"/>
          </w:divBdr>
        </w:div>
        <w:div w:id="1562402056">
          <w:marLeft w:val="0"/>
          <w:marRight w:val="0"/>
          <w:marTop w:val="0"/>
          <w:marBottom w:val="30"/>
          <w:divBdr>
            <w:top w:val="none" w:sz="0" w:space="0" w:color="auto"/>
            <w:left w:val="none" w:sz="0" w:space="0" w:color="auto"/>
            <w:bottom w:val="none" w:sz="0" w:space="0" w:color="auto"/>
            <w:right w:val="none" w:sz="0" w:space="0" w:color="auto"/>
          </w:divBdr>
          <w:divsChild>
            <w:div w:id="1232815481">
              <w:marLeft w:val="0"/>
              <w:marRight w:val="0"/>
              <w:marTop w:val="48"/>
              <w:marBottom w:val="48"/>
              <w:divBdr>
                <w:top w:val="none" w:sz="0" w:space="0" w:color="auto"/>
                <w:left w:val="none" w:sz="0" w:space="0" w:color="auto"/>
                <w:bottom w:val="none" w:sz="0" w:space="0" w:color="auto"/>
                <w:right w:val="none" w:sz="0" w:space="0" w:color="auto"/>
              </w:divBdr>
            </w:div>
            <w:div w:id="109976125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380401448">
      <w:bodyDiv w:val="1"/>
      <w:marLeft w:val="0"/>
      <w:marRight w:val="0"/>
      <w:marTop w:val="0"/>
      <w:marBottom w:val="0"/>
      <w:divBdr>
        <w:top w:val="none" w:sz="0" w:space="0" w:color="auto"/>
        <w:left w:val="none" w:sz="0" w:space="0" w:color="auto"/>
        <w:bottom w:val="none" w:sz="0" w:space="0" w:color="auto"/>
        <w:right w:val="none" w:sz="0" w:space="0" w:color="auto"/>
      </w:divBdr>
    </w:div>
    <w:div w:id="505632841">
      <w:bodyDiv w:val="1"/>
      <w:marLeft w:val="0"/>
      <w:marRight w:val="0"/>
      <w:marTop w:val="0"/>
      <w:marBottom w:val="0"/>
      <w:divBdr>
        <w:top w:val="none" w:sz="0" w:space="0" w:color="auto"/>
        <w:left w:val="none" w:sz="0" w:space="0" w:color="auto"/>
        <w:bottom w:val="none" w:sz="0" w:space="0" w:color="auto"/>
        <w:right w:val="none" w:sz="0" w:space="0" w:color="auto"/>
      </w:divBdr>
    </w:div>
    <w:div w:id="510532791">
      <w:bodyDiv w:val="1"/>
      <w:marLeft w:val="0"/>
      <w:marRight w:val="0"/>
      <w:marTop w:val="0"/>
      <w:marBottom w:val="0"/>
      <w:divBdr>
        <w:top w:val="none" w:sz="0" w:space="0" w:color="auto"/>
        <w:left w:val="none" w:sz="0" w:space="0" w:color="auto"/>
        <w:bottom w:val="none" w:sz="0" w:space="0" w:color="auto"/>
        <w:right w:val="none" w:sz="0" w:space="0" w:color="auto"/>
      </w:divBdr>
      <w:divsChild>
        <w:div w:id="705716432">
          <w:marLeft w:val="0"/>
          <w:marRight w:val="0"/>
          <w:marTop w:val="0"/>
          <w:marBottom w:val="0"/>
          <w:divBdr>
            <w:top w:val="none" w:sz="0" w:space="0" w:color="auto"/>
            <w:left w:val="none" w:sz="0" w:space="0" w:color="auto"/>
            <w:bottom w:val="none" w:sz="0" w:space="0" w:color="auto"/>
            <w:right w:val="none" w:sz="0" w:space="0" w:color="auto"/>
          </w:divBdr>
          <w:divsChild>
            <w:div w:id="319429388">
              <w:marLeft w:val="0"/>
              <w:marRight w:val="0"/>
              <w:marTop w:val="0"/>
              <w:marBottom w:val="360"/>
              <w:divBdr>
                <w:top w:val="none" w:sz="0" w:space="0" w:color="auto"/>
                <w:left w:val="none" w:sz="0" w:space="0" w:color="auto"/>
                <w:bottom w:val="none" w:sz="0" w:space="0" w:color="auto"/>
                <w:right w:val="none" w:sz="0" w:space="0" w:color="auto"/>
              </w:divBdr>
              <w:divsChild>
                <w:div w:id="1246451307">
                  <w:marLeft w:val="0"/>
                  <w:marRight w:val="0"/>
                  <w:marTop w:val="0"/>
                  <w:marBottom w:val="0"/>
                  <w:divBdr>
                    <w:top w:val="none" w:sz="0" w:space="0" w:color="auto"/>
                    <w:left w:val="none" w:sz="0" w:space="0" w:color="auto"/>
                    <w:bottom w:val="none" w:sz="0" w:space="0" w:color="auto"/>
                    <w:right w:val="none" w:sz="0" w:space="0" w:color="auto"/>
                  </w:divBdr>
                </w:div>
                <w:div w:id="492256457">
                  <w:marLeft w:val="0"/>
                  <w:marRight w:val="0"/>
                  <w:marTop w:val="0"/>
                  <w:marBottom w:val="0"/>
                  <w:divBdr>
                    <w:top w:val="single" w:sz="6" w:space="0" w:color="E9E9E9"/>
                    <w:left w:val="none" w:sz="0" w:space="0" w:color="auto"/>
                    <w:bottom w:val="single" w:sz="6" w:space="0" w:color="E9E9E9"/>
                    <w:right w:val="none" w:sz="0" w:space="0" w:color="auto"/>
                  </w:divBdr>
                  <w:divsChild>
                    <w:div w:id="1499423815">
                      <w:marLeft w:val="0"/>
                      <w:marRight w:val="0"/>
                      <w:marTop w:val="0"/>
                      <w:marBottom w:val="0"/>
                      <w:divBdr>
                        <w:top w:val="none" w:sz="0" w:space="0" w:color="auto"/>
                        <w:left w:val="none" w:sz="0" w:space="0" w:color="auto"/>
                        <w:bottom w:val="none" w:sz="0" w:space="0" w:color="auto"/>
                        <w:right w:val="none" w:sz="0" w:space="0" w:color="auto"/>
                      </w:divBdr>
                      <w:divsChild>
                        <w:div w:id="20509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483">
                  <w:marLeft w:val="0"/>
                  <w:marRight w:val="0"/>
                  <w:marTop w:val="240"/>
                  <w:marBottom w:val="0"/>
                  <w:divBdr>
                    <w:top w:val="none" w:sz="0" w:space="0" w:color="auto"/>
                    <w:left w:val="none" w:sz="0" w:space="0" w:color="auto"/>
                    <w:bottom w:val="none" w:sz="0" w:space="0" w:color="auto"/>
                    <w:right w:val="none" w:sz="0" w:space="0" w:color="auto"/>
                  </w:divBdr>
                </w:div>
                <w:div w:id="6167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2571">
          <w:marLeft w:val="0"/>
          <w:marRight w:val="0"/>
          <w:marTop w:val="0"/>
          <w:marBottom w:val="0"/>
          <w:divBdr>
            <w:top w:val="none" w:sz="0" w:space="0" w:color="auto"/>
            <w:left w:val="none" w:sz="0" w:space="0" w:color="auto"/>
            <w:bottom w:val="none" w:sz="0" w:space="0" w:color="auto"/>
            <w:right w:val="none" w:sz="0" w:space="0" w:color="auto"/>
          </w:divBdr>
          <w:divsChild>
            <w:div w:id="8161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7464">
      <w:bodyDiv w:val="1"/>
      <w:marLeft w:val="0"/>
      <w:marRight w:val="0"/>
      <w:marTop w:val="0"/>
      <w:marBottom w:val="0"/>
      <w:divBdr>
        <w:top w:val="none" w:sz="0" w:space="0" w:color="auto"/>
        <w:left w:val="none" w:sz="0" w:space="0" w:color="auto"/>
        <w:bottom w:val="none" w:sz="0" w:space="0" w:color="auto"/>
        <w:right w:val="none" w:sz="0" w:space="0" w:color="auto"/>
      </w:divBdr>
    </w:div>
    <w:div w:id="640306992">
      <w:bodyDiv w:val="1"/>
      <w:marLeft w:val="0"/>
      <w:marRight w:val="0"/>
      <w:marTop w:val="0"/>
      <w:marBottom w:val="0"/>
      <w:divBdr>
        <w:top w:val="none" w:sz="0" w:space="0" w:color="auto"/>
        <w:left w:val="none" w:sz="0" w:space="0" w:color="auto"/>
        <w:bottom w:val="none" w:sz="0" w:space="0" w:color="auto"/>
        <w:right w:val="none" w:sz="0" w:space="0" w:color="auto"/>
      </w:divBdr>
    </w:div>
    <w:div w:id="857619204">
      <w:bodyDiv w:val="1"/>
      <w:marLeft w:val="0"/>
      <w:marRight w:val="0"/>
      <w:marTop w:val="0"/>
      <w:marBottom w:val="0"/>
      <w:divBdr>
        <w:top w:val="none" w:sz="0" w:space="0" w:color="auto"/>
        <w:left w:val="none" w:sz="0" w:space="0" w:color="auto"/>
        <w:bottom w:val="none" w:sz="0" w:space="0" w:color="auto"/>
        <w:right w:val="none" w:sz="0" w:space="0" w:color="auto"/>
      </w:divBdr>
      <w:divsChild>
        <w:div w:id="1928801282">
          <w:marLeft w:val="0"/>
          <w:marRight w:val="0"/>
          <w:marTop w:val="0"/>
          <w:marBottom w:val="0"/>
          <w:divBdr>
            <w:top w:val="none" w:sz="0" w:space="0" w:color="auto"/>
            <w:left w:val="none" w:sz="0" w:space="0" w:color="auto"/>
            <w:bottom w:val="none" w:sz="0" w:space="0" w:color="auto"/>
            <w:right w:val="none" w:sz="0" w:space="0" w:color="auto"/>
          </w:divBdr>
          <w:divsChild>
            <w:div w:id="375202655">
              <w:marLeft w:val="0"/>
              <w:marRight w:val="0"/>
              <w:marTop w:val="0"/>
              <w:marBottom w:val="165"/>
              <w:divBdr>
                <w:top w:val="none" w:sz="0" w:space="0" w:color="auto"/>
                <w:left w:val="none" w:sz="0" w:space="0" w:color="auto"/>
                <w:bottom w:val="none" w:sz="0" w:space="0" w:color="auto"/>
                <w:right w:val="none" w:sz="0" w:space="0" w:color="auto"/>
              </w:divBdr>
            </w:div>
          </w:divsChild>
        </w:div>
        <w:div w:id="1560509827">
          <w:marLeft w:val="0"/>
          <w:marRight w:val="0"/>
          <w:marTop w:val="165"/>
          <w:marBottom w:val="165"/>
          <w:divBdr>
            <w:top w:val="none" w:sz="0" w:space="0" w:color="auto"/>
            <w:left w:val="none" w:sz="0" w:space="0" w:color="auto"/>
            <w:bottom w:val="none" w:sz="0" w:space="0" w:color="auto"/>
            <w:right w:val="none" w:sz="0" w:space="0" w:color="auto"/>
          </w:divBdr>
          <w:divsChild>
            <w:div w:id="1531068413">
              <w:marLeft w:val="0"/>
              <w:marRight w:val="0"/>
              <w:marTop w:val="0"/>
              <w:marBottom w:val="0"/>
              <w:divBdr>
                <w:top w:val="none" w:sz="0" w:space="0" w:color="auto"/>
                <w:left w:val="none" w:sz="0" w:space="0" w:color="auto"/>
                <w:bottom w:val="none" w:sz="0" w:space="0" w:color="auto"/>
                <w:right w:val="none" w:sz="0" w:space="0" w:color="auto"/>
              </w:divBdr>
              <w:divsChild>
                <w:div w:id="139076165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62211474">
      <w:bodyDiv w:val="1"/>
      <w:marLeft w:val="0"/>
      <w:marRight w:val="0"/>
      <w:marTop w:val="0"/>
      <w:marBottom w:val="0"/>
      <w:divBdr>
        <w:top w:val="none" w:sz="0" w:space="0" w:color="auto"/>
        <w:left w:val="none" w:sz="0" w:space="0" w:color="auto"/>
        <w:bottom w:val="none" w:sz="0" w:space="0" w:color="auto"/>
        <w:right w:val="none" w:sz="0" w:space="0" w:color="auto"/>
      </w:divBdr>
    </w:div>
    <w:div w:id="1115516210">
      <w:bodyDiv w:val="1"/>
      <w:marLeft w:val="0"/>
      <w:marRight w:val="0"/>
      <w:marTop w:val="0"/>
      <w:marBottom w:val="0"/>
      <w:divBdr>
        <w:top w:val="none" w:sz="0" w:space="0" w:color="auto"/>
        <w:left w:val="none" w:sz="0" w:space="0" w:color="auto"/>
        <w:bottom w:val="none" w:sz="0" w:space="0" w:color="auto"/>
        <w:right w:val="none" w:sz="0" w:space="0" w:color="auto"/>
      </w:divBdr>
      <w:divsChild>
        <w:div w:id="567964185">
          <w:marLeft w:val="0"/>
          <w:marRight w:val="0"/>
          <w:marTop w:val="0"/>
          <w:marBottom w:val="0"/>
          <w:divBdr>
            <w:top w:val="none" w:sz="0" w:space="0" w:color="auto"/>
            <w:left w:val="none" w:sz="0" w:space="0" w:color="auto"/>
            <w:bottom w:val="none" w:sz="0" w:space="0" w:color="auto"/>
            <w:right w:val="none" w:sz="0" w:space="0" w:color="auto"/>
          </w:divBdr>
        </w:div>
        <w:div w:id="234753040">
          <w:marLeft w:val="0"/>
          <w:marRight w:val="0"/>
          <w:marTop w:val="0"/>
          <w:marBottom w:val="0"/>
          <w:divBdr>
            <w:top w:val="none" w:sz="0" w:space="0" w:color="auto"/>
            <w:left w:val="none" w:sz="0" w:space="0" w:color="auto"/>
            <w:bottom w:val="none" w:sz="0" w:space="0" w:color="auto"/>
            <w:right w:val="none" w:sz="0" w:space="0" w:color="auto"/>
          </w:divBdr>
          <w:divsChild>
            <w:div w:id="12136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00049">
      <w:bodyDiv w:val="1"/>
      <w:marLeft w:val="0"/>
      <w:marRight w:val="0"/>
      <w:marTop w:val="0"/>
      <w:marBottom w:val="0"/>
      <w:divBdr>
        <w:top w:val="none" w:sz="0" w:space="0" w:color="auto"/>
        <w:left w:val="none" w:sz="0" w:space="0" w:color="auto"/>
        <w:bottom w:val="none" w:sz="0" w:space="0" w:color="auto"/>
        <w:right w:val="none" w:sz="0" w:space="0" w:color="auto"/>
      </w:divBdr>
    </w:div>
    <w:div w:id="1241016434">
      <w:bodyDiv w:val="1"/>
      <w:marLeft w:val="0"/>
      <w:marRight w:val="0"/>
      <w:marTop w:val="0"/>
      <w:marBottom w:val="0"/>
      <w:divBdr>
        <w:top w:val="none" w:sz="0" w:space="0" w:color="auto"/>
        <w:left w:val="none" w:sz="0" w:space="0" w:color="auto"/>
        <w:bottom w:val="none" w:sz="0" w:space="0" w:color="auto"/>
        <w:right w:val="none" w:sz="0" w:space="0" w:color="auto"/>
      </w:divBdr>
      <w:divsChild>
        <w:div w:id="422117895">
          <w:marLeft w:val="0"/>
          <w:marRight w:val="0"/>
          <w:marTop w:val="0"/>
          <w:marBottom w:val="75"/>
          <w:divBdr>
            <w:top w:val="none" w:sz="0" w:space="0" w:color="auto"/>
            <w:left w:val="none" w:sz="0" w:space="0" w:color="auto"/>
            <w:bottom w:val="none" w:sz="0" w:space="0" w:color="auto"/>
            <w:right w:val="none" w:sz="0" w:space="0" w:color="auto"/>
          </w:divBdr>
          <w:divsChild>
            <w:div w:id="1005211724">
              <w:marLeft w:val="0"/>
              <w:marRight w:val="0"/>
              <w:marTop w:val="0"/>
              <w:marBottom w:val="0"/>
              <w:divBdr>
                <w:top w:val="none" w:sz="0" w:space="0" w:color="auto"/>
                <w:left w:val="none" w:sz="0" w:space="0" w:color="auto"/>
                <w:bottom w:val="none" w:sz="0" w:space="0" w:color="auto"/>
                <w:right w:val="none" w:sz="0" w:space="0" w:color="auto"/>
              </w:divBdr>
            </w:div>
          </w:divsChild>
        </w:div>
        <w:div w:id="1731886090">
          <w:marLeft w:val="0"/>
          <w:marRight w:val="0"/>
          <w:marTop w:val="0"/>
          <w:marBottom w:val="75"/>
          <w:divBdr>
            <w:top w:val="none" w:sz="0" w:space="0" w:color="auto"/>
            <w:left w:val="none" w:sz="0" w:space="0" w:color="auto"/>
            <w:bottom w:val="none" w:sz="0" w:space="0" w:color="auto"/>
            <w:right w:val="none" w:sz="0" w:space="0" w:color="auto"/>
          </w:divBdr>
          <w:divsChild>
            <w:div w:id="13062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2578">
      <w:bodyDiv w:val="1"/>
      <w:marLeft w:val="0"/>
      <w:marRight w:val="0"/>
      <w:marTop w:val="0"/>
      <w:marBottom w:val="0"/>
      <w:divBdr>
        <w:top w:val="none" w:sz="0" w:space="0" w:color="auto"/>
        <w:left w:val="none" w:sz="0" w:space="0" w:color="auto"/>
        <w:bottom w:val="none" w:sz="0" w:space="0" w:color="auto"/>
        <w:right w:val="none" w:sz="0" w:space="0" w:color="auto"/>
      </w:divBdr>
    </w:div>
    <w:div w:id="1416979659">
      <w:bodyDiv w:val="1"/>
      <w:marLeft w:val="0"/>
      <w:marRight w:val="0"/>
      <w:marTop w:val="0"/>
      <w:marBottom w:val="0"/>
      <w:divBdr>
        <w:top w:val="none" w:sz="0" w:space="0" w:color="auto"/>
        <w:left w:val="none" w:sz="0" w:space="0" w:color="auto"/>
        <w:bottom w:val="none" w:sz="0" w:space="0" w:color="auto"/>
        <w:right w:val="none" w:sz="0" w:space="0" w:color="auto"/>
      </w:divBdr>
      <w:divsChild>
        <w:div w:id="901989092">
          <w:marLeft w:val="0"/>
          <w:marRight w:val="0"/>
          <w:marTop w:val="0"/>
          <w:marBottom w:val="0"/>
          <w:divBdr>
            <w:top w:val="none" w:sz="0" w:space="0" w:color="auto"/>
            <w:left w:val="none" w:sz="0" w:space="0" w:color="auto"/>
            <w:bottom w:val="none" w:sz="0" w:space="0" w:color="auto"/>
            <w:right w:val="none" w:sz="0" w:space="0" w:color="auto"/>
          </w:divBdr>
          <w:divsChild>
            <w:div w:id="2140873508">
              <w:marLeft w:val="0"/>
              <w:marRight w:val="0"/>
              <w:marTop w:val="0"/>
              <w:marBottom w:val="0"/>
              <w:divBdr>
                <w:top w:val="none" w:sz="0" w:space="0" w:color="auto"/>
                <w:left w:val="none" w:sz="0" w:space="0" w:color="auto"/>
                <w:bottom w:val="none" w:sz="0" w:space="0" w:color="auto"/>
                <w:right w:val="none" w:sz="0" w:space="0" w:color="auto"/>
              </w:divBdr>
              <w:divsChild>
                <w:div w:id="18348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0566">
          <w:marLeft w:val="0"/>
          <w:marRight w:val="0"/>
          <w:marTop w:val="0"/>
          <w:marBottom w:val="0"/>
          <w:divBdr>
            <w:top w:val="none" w:sz="0" w:space="0" w:color="auto"/>
            <w:left w:val="none" w:sz="0" w:space="0" w:color="auto"/>
            <w:bottom w:val="none" w:sz="0" w:space="0" w:color="auto"/>
            <w:right w:val="none" w:sz="0" w:space="0" w:color="auto"/>
          </w:divBdr>
          <w:divsChild>
            <w:div w:id="1687175644">
              <w:marLeft w:val="0"/>
              <w:marRight w:val="0"/>
              <w:marTop w:val="0"/>
              <w:marBottom w:val="0"/>
              <w:divBdr>
                <w:top w:val="single" w:sz="2" w:space="0" w:color="EEEEEE"/>
                <w:left w:val="single" w:sz="2" w:space="0" w:color="EEEEEE"/>
                <w:bottom w:val="single" w:sz="2" w:space="0" w:color="EEEEEE"/>
                <w:right w:val="single" w:sz="6" w:space="8" w:color="EEEEEE"/>
              </w:divBdr>
              <w:divsChild>
                <w:div w:id="1162817468">
                  <w:marLeft w:val="0"/>
                  <w:marRight w:val="0"/>
                  <w:marTop w:val="0"/>
                  <w:marBottom w:val="0"/>
                  <w:divBdr>
                    <w:top w:val="none" w:sz="0" w:space="0" w:color="auto"/>
                    <w:left w:val="none" w:sz="0" w:space="0" w:color="auto"/>
                    <w:bottom w:val="none" w:sz="0" w:space="0" w:color="auto"/>
                    <w:right w:val="none" w:sz="0" w:space="0" w:color="auto"/>
                  </w:divBdr>
                </w:div>
                <w:div w:id="745416853">
                  <w:marLeft w:val="0"/>
                  <w:marRight w:val="0"/>
                  <w:marTop w:val="0"/>
                  <w:marBottom w:val="0"/>
                  <w:divBdr>
                    <w:top w:val="none" w:sz="0" w:space="0" w:color="auto"/>
                    <w:left w:val="none" w:sz="0" w:space="0" w:color="auto"/>
                    <w:bottom w:val="none" w:sz="0" w:space="0" w:color="auto"/>
                    <w:right w:val="none" w:sz="0" w:space="0" w:color="auto"/>
                  </w:divBdr>
                  <w:divsChild>
                    <w:div w:id="1212114212">
                      <w:marLeft w:val="0"/>
                      <w:marRight w:val="0"/>
                      <w:marTop w:val="0"/>
                      <w:marBottom w:val="0"/>
                      <w:divBdr>
                        <w:top w:val="none" w:sz="0" w:space="0" w:color="auto"/>
                        <w:left w:val="none" w:sz="0" w:space="0" w:color="auto"/>
                        <w:bottom w:val="none" w:sz="0" w:space="0" w:color="auto"/>
                        <w:right w:val="none" w:sz="0" w:space="0" w:color="auto"/>
                      </w:divBdr>
                      <w:divsChild>
                        <w:div w:id="13262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365480">
      <w:bodyDiv w:val="1"/>
      <w:marLeft w:val="0"/>
      <w:marRight w:val="0"/>
      <w:marTop w:val="0"/>
      <w:marBottom w:val="0"/>
      <w:divBdr>
        <w:top w:val="none" w:sz="0" w:space="0" w:color="auto"/>
        <w:left w:val="none" w:sz="0" w:space="0" w:color="auto"/>
        <w:bottom w:val="none" w:sz="0" w:space="0" w:color="auto"/>
        <w:right w:val="none" w:sz="0" w:space="0" w:color="auto"/>
      </w:divBdr>
    </w:div>
    <w:div w:id="1515074648">
      <w:bodyDiv w:val="1"/>
      <w:marLeft w:val="0"/>
      <w:marRight w:val="0"/>
      <w:marTop w:val="0"/>
      <w:marBottom w:val="0"/>
      <w:divBdr>
        <w:top w:val="none" w:sz="0" w:space="0" w:color="auto"/>
        <w:left w:val="none" w:sz="0" w:space="0" w:color="auto"/>
        <w:bottom w:val="none" w:sz="0" w:space="0" w:color="auto"/>
        <w:right w:val="none" w:sz="0" w:space="0" w:color="auto"/>
      </w:divBdr>
    </w:div>
    <w:div w:id="1568417888">
      <w:bodyDiv w:val="1"/>
      <w:marLeft w:val="0"/>
      <w:marRight w:val="0"/>
      <w:marTop w:val="0"/>
      <w:marBottom w:val="0"/>
      <w:divBdr>
        <w:top w:val="none" w:sz="0" w:space="0" w:color="auto"/>
        <w:left w:val="none" w:sz="0" w:space="0" w:color="auto"/>
        <w:bottom w:val="none" w:sz="0" w:space="0" w:color="auto"/>
        <w:right w:val="none" w:sz="0" w:space="0" w:color="auto"/>
      </w:divBdr>
    </w:div>
    <w:div w:id="1913539130">
      <w:bodyDiv w:val="1"/>
      <w:marLeft w:val="0"/>
      <w:marRight w:val="0"/>
      <w:marTop w:val="0"/>
      <w:marBottom w:val="0"/>
      <w:divBdr>
        <w:top w:val="none" w:sz="0" w:space="0" w:color="auto"/>
        <w:left w:val="none" w:sz="0" w:space="0" w:color="auto"/>
        <w:bottom w:val="none" w:sz="0" w:space="0" w:color="auto"/>
        <w:right w:val="none" w:sz="0" w:space="0" w:color="auto"/>
      </w:divBdr>
      <w:divsChild>
        <w:div w:id="1284078524">
          <w:marLeft w:val="0"/>
          <w:marRight w:val="0"/>
          <w:marTop w:val="0"/>
          <w:marBottom w:val="75"/>
          <w:divBdr>
            <w:top w:val="none" w:sz="0" w:space="0" w:color="auto"/>
            <w:left w:val="none" w:sz="0" w:space="0" w:color="auto"/>
            <w:bottom w:val="none" w:sz="0" w:space="0" w:color="auto"/>
            <w:right w:val="none" w:sz="0" w:space="0" w:color="auto"/>
          </w:divBdr>
          <w:divsChild>
            <w:div w:id="13702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5154">
      <w:bodyDiv w:val="1"/>
      <w:marLeft w:val="0"/>
      <w:marRight w:val="0"/>
      <w:marTop w:val="0"/>
      <w:marBottom w:val="0"/>
      <w:divBdr>
        <w:top w:val="none" w:sz="0" w:space="0" w:color="auto"/>
        <w:left w:val="none" w:sz="0" w:space="0" w:color="auto"/>
        <w:bottom w:val="none" w:sz="0" w:space="0" w:color="auto"/>
        <w:right w:val="none" w:sz="0" w:space="0" w:color="auto"/>
      </w:divBdr>
    </w:div>
    <w:div w:id="2062433851">
      <w:bodyDiv w:val="1"/>
      <w:marLeft w:val="0"/>
      <w:marRight w:val="0"/>
      <w:marTop w:val="0"/>
      <w:marBottom w:val="0"/>
      <w:divBdr>
        <w:top w:val="none" w:sz="0" w:space="0" w:color="auto"/>
        <w:left w:val="none" w:sz="0" w:space="0" w:color="auto"/>
        <w:bottom w:val="none" w:sz="0" w:space="0" w:color="auto"/>
        <w:right w:val="none" w:sz="0" w:space="0" w:color="auto"/>
      </w:divBdr>
      <w:divsChild>
        <w:div w:id="1489008894">
          <w:marLeft w:val="0"/>
          <w:marRight w:val="0"/>
          <w:marTop w:val="0"/>
          <w:marBottom w:val="0"/>
          <w:divBdr>
            <w:top w:val="none" w:sz="0" w:space="0" w:color="auto"/>
            <w:left w:val="none" w:sz="0" w:space="0" w:color="auto"/>
            <w:bottom w:val="none" w:sz="0" w:space="0" w:color="auto"/>
            <w:right w:val="none" w:sz="0" w:space="0" w:color="auto"/>
          </w:divBdr>
        </w:div>
        <w:div w:id="1536387537">
          <w:marLeft w:val="0"/>
          <w:marRight w:val="0"/>
          <w:marTop w:val="0"/>
          <w:marBottom w:val="0"/>
          <w:divBdr>
            <w:top w:val="none" w:sz="0" w:space="0" w:color="auto"/>
            <w:left w:val="none" w:sz="0" w:space="0" w:color="auto"/>
            <w:bottom w:val="none" w:sz="0" w:space="0" w:color="auto"/>
            <w:right w:val="none" w:sz="0" w:space="0" w:color="auto"/>
          </w:divBdr>
        </w:div>
        <w:div w:id="364910376">
          <w:marLeft w:val="0"/>
          <w:marRight w:val="0"/>
          <w:marTop w:val="0"/>
          <w:marBottom w:val="0"/>
          <w:divBdr>
            <w:top w:val="none" w:sz="0" w:space="0" w:color="auto"/>
            <w:left w:val="none" w:sz="0" w:space="0" w:color="auto"/>
            <w:bottom w:val="none" w:sz="0" w:space="0" w:color="auto"/>
            <w:right w:val="none" w:sz="0" w:space="0" w:color="auto"/>
          </w:divBdr>
        </w:div>
        <w:div w:id="1612004907">
          <w:marLeft w:val="0"/>
          <w:marRight w:val="0"/>
          <w:marTop w:val="0"/>
          <w:marBottom w:val="0"/>
          <w:divBdr>
            <w:top w:val="none" w:sz="0" w:space="0" w:color="auto"/>
            <w:left w:val="none" w:sz="0" w:space="0" w:color="auto"/>
            <w:bottom w:val="none" w:sz="0" w:space="0" w:color="auto"/>
            <w:right w:val="none" w:sz="0" w:space="0" w:color="auto"/>
          </w:divBdr>
        </w:div>
        <w:div w:id="432018123">
          <w:marLeft w:val="0"/>
          <w:marRight w:val="0"/>
          <w:marTop w:val="0"/>
          <w:marBottom w:val="0"/>
          <w:divBdr>
            <w:top w:val="none" w:sz="0" w:space="0" w:color="auto"/>
            <w:left w:val="none" w:sz="0" w:space="0" w:color="auto"/>
            <w:bottom w:val="none" w:sz="0" w:space="0" w:color="auto"/>
            <w:right w:val="none" w:sz="0" w:space="0" w:color="auto"/>
          </w:divBdr>
        </w:div>
      </w:divsChild>
    </w:div>
    <w:div w:id="2094278590">
      <w:bodyDiv w:val="1"/>
      <w:marLeft w:val="0"/>
      <w:marRight w:val="0"/>
      <w:marTop w:val="0"/>
      <w:marBottom w:val="0"/>
      <w:divBdr>
        <w:top w:val="none" w:sz="0" w:space="0" w:color="auto"/>
        <w:left w:val="none" w:sz="0" w:space="0" w:color="auto"/>
        <w:bottom w:val="none" w:sz="0" w:space="0" w:color="auto"/>
        <w:right w:val="none" w:sz="0" w:space="0" w:color="auto"/>
      </w:divBdr>
      <w:divsChild>
        <w:div w:id="1643971119">
          <w:marLeft w:val="0"/>
          <w:marRight w:val="0"/>
          <w:marTop w:val="0"/>
          <w:marBottom w:val="0"/>
          <w:divBdr>
            <w:top w:val="none" w:sz="0" w:space="0" w:color="auto"/>
            <w:left w:val="none" w:sz="0" w:space="0" w:color="auto"/>
            <w:bottom w:val="none" w:sz="0" w:space="0" w:color="auto"/>
            <w:right w:val="none" w:sz="0" w:space="0" w:color="auto"/>
          </w:divBdr>
        </w:div>
        <w:div w:id="1572421398">
          <w:marLeft w:val="0"/>
          <w:marRight w:val="0"/>
          <w:marTop w:val="0"/>
          <w:marBottom w:val="0"/>
          <w:divBdr>
            <w:top w:val="none" w:sz="0" w:space="0" w:color="auto"/>
            <w:left w:val="none" w:sz="0" w:space="0" w:color="auto"/>
            <w:bottom w:val="none" w:sz="0" w:space="0" w:color="auto"/>
            <w:right w:val="none" w:sz="0" w:space="0" w:color="auto"/>
          </w:divBdr>
        </w:div>
        <w:div w:id="1533759915">
          <w:marLeft w:val="0"/>
          <w:marRight w:val="0"/>
          <w:marTop w:val="0"/>
          <w:marBottom w:val="0"/>
          <w:divBdr>
            <w:top w:val="none" w:sz="0" w:space="0" w:color="auto"/>
            <w:left w:val="none" w:sz="0" w:space="0" w:color="auto"/>
            <w:bottom w:val="none" w:sz="0" w:space="0" w:color="auto"/>
            <w:right w:val="none" w:sz="0" w:space="0" w:color="auto"/>
          </w:divBdr>
        </w:div>
        <w:div w:id="836382657">
          <w:marLeft w:val="0"/>
          <w:marRight w:val="0"/>
          <w:marTop w:val="0"/>
          <w:marBottom w:val="0"/>
          <w:divBdr>
            <w:top w:val="none" w:sz="0" w:space="0" w:color="auto"/>
            <w:left w:val="none" w:sz="0" w:space="0" w:color="auto"/>
            <w:bottom w:val="none" w:sz="0" w:space="0" w:color="auto"/>
            <w:right w:val="none" w:sz="0" w:space="0" w:color="auto"/>
          </w:divBdr>
        </w:div>
        <w:div w:id="64095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or.co.uk/news/politics/breaking-new-coronavirus-sick-pay-21629942" TargetMode="External"/><Relationship Id="rId18" Type="http://schemas.openxmlformats.org/officeDocument/2006/relationships/hyperlink" Target="http://www.ingentaconnect.com/content/tpp/pap/2011/00000039/00000001/art00005" TargetMode="External"/><Relationship Id="rId26" Type="http://schemas.openxmlformats.org/officeDocument/2006/relationships/image" Target="media/image7.png"/><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hyperlink" Target="https://www.bbc.co.uk/news/business-51935467" TargetMode="External"/><Relationship Id="rId17" Type="http://schemas.openxmlformats.org/officeDocument/2006/relationships/hyperlink" Target="https://medium.com/rsa-journal/basic-income-should-be-seen-as-a-democratic-right-b249ab6078b0"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ure.york.ac.uk/portal/en/journals/royal-society-of-arts-journal(511540b0-904d-4aef-aee9-fcf90a46dd5b)/publications.html" TargetMode="Externa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ilosophyfaculty.ucsd.edu/faculty/rarneson/my%20papers/Senrev.pdf"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oxrep/4.3.21"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10" Type="http://schemas.openxmlformats.org/officeDocument/2006/relationships/hyperlink" Target="http://philosophyfaculty.ucsd.edu/faculty/rarneson/my%20papers/Senrev.pdf" TargetMode="External"/><Relationship Id="rId19" Type="http://schemas.openxmlformats.org/officeDocument/2006/relationships/hyperlink" Target="https://www.altinget.dk/artikel/tredje-aar-i-traek-flere-unge-soeger-en-erhvervsuddannelse" TargetMode="Externa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s://www.cambridge.org/core/journals/social-policy-and-society/article/developmental-social-contract-and-basic-income-in-denmark/8AE00CBFBCAB854DEB7084C91FAA8592/core-reader" TargetMode="External"/><Relationship Id="rId14" Type="http://schemas.openxmlformats.org/officeDocument/2006/relationships/hyperlink" Target="https://www.dr.dk/nyheder/penge/ledige-fredes-i-coronakrise-skal-ikke-i-aktivering-faa-understoettelse"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8" Type="http://schemas.openxmlformats.org/officeDocument/2006/relationships/hyperlink" Target="https://www.cambridge.org/core/journals/social-policy-and-society/article/developmental-social-contract-and-basic-income-in-denmark/8AE00CBFBCAB854DEB7084C91FAA8592/core-reade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stmichaelsteiner.hounslow.sch.uk/information/finance.html" TargetMode="External"/><Relationship Id="rId1" Type="http://schemas.openxmlformats.org/officeDocument/2006/relationships/hyperlink" Target="http://www.steinerskolen-aarhus.dk/information/skolep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FB85-A1EF-BE43-9E5A-E87D5494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14538</Words>
  <Characters>82868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97212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Haagh</dc:creator>
  <cp:lastModifiedBy>Louise Haagh</cp:lastModifiedBy>
  <cp:revision>2</cp:revision>
  <cp:lastPrinted>2020-03-19T11:16:00Z</cp:lastPrinted>
  <dcterms:created xsi:type="dcterms:W3CDTF">2020-07-28T12:33:00Z</dcterms:created>
  <dcterms:modified xsi:type="dcterms:W3CDTF">2020-07-28T12:33:00Z</dcterms:modified>
</cp:coreProperties>
</file>