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DD" w:rsidRDefault="004A4BDD" w:rsidP="009011E7">
      <w:pPr>
        <w:spacing w:after="240" w:line="480" w:lineRule="auto"/>
        <w:rPr>
          <w:rStyle w:val="fontstyle01"/>
          <w:rFonts w:ascii="Times New Roman" w:hAnsi="Times New Roman" w:cs="Times New Roman"/>
          <w:color w:val="auto"/>
          <w:sz w:val="24"/>
          <w:szCs w:val="24"/>
        </w:rPr>
      </w:pPr>
      <w:r w:rsidRPr="001B7283">
        <w:rPr>
          <w:rStyle w:val="fontstyle01"/>
          <w:rFonts w:ascii="Times New Roman" w:hAnsi="Times New Roman" w:cs="Times New Roman"/>
          <w:color w:val="auto"/>
          <w:sz w:val="24"/>
          <w:szCs w:val="24"/>
        </w:rPr>
        <w:t>Compliance of oral snuff (Naswar) packaging and sales practices</w:t>
      </w:r>
      <w:r>
        <w:rPr>
          <w:rStyle w:val="fontstyle01"/>
          <w:rFonts w:ascii="Times New Roman" w:hAnsi="Times New Roman" w:cs="Times New Roman"/>
          <w:color w:val="auto"/>
          <w:sz w:val="24"/>
          <w:szCs w:val="24"/>
        </w:rPr>
        <w:t xml:space="preserve"> with </w:t>
      </w:r>
      <w:r w:rsidRPr="00091A36">
        <w:rPr>
          <w:rStyle w:val="fontstyle01"/>
          <w:rFonts w:ascii="Times New Roman" w:hAnsi="Times New Roman" w:cs="Times New Roman"/>
          <w:color w:val="auto"/>
          <w:sz w:val="24"/>
          <w:szCs w:val="24"/>
        </w:rPr>
        <w:t xml:space="preserve">national tobacco control laws and </w:t>
      </w:r>
      <w:r w:rsidR="00EA7331" w:rsidRPr="00091A36">
        <w:rPr>
          <w:rStyle w:val="fontstyle01"/>
          <w:rFonts w:ascii="Times New Roman" w:hAnsi="Times New Roman" w:cs="Times New Roman"/>
          <w:color w:val="auto"/>
          <w:sz w:val="24"/>
          <w:szCs w:val="24"/>
        </w:rPr>
        <w:t xml:space="preserve">the relevant articles of </w:t>
      </w:r>
      <w:r w:rsidRPr="00091A36">
        <w:rPr>
          <w:rStyle w:val="fontstyle01"/>
          <w:rFonts w:ascii="Times New Roman" w:hAnsi="Times New Roman" w:cs="Times New Roman"/>
          <w:color w:val="auto"/>
          <w:sz w:val="24"/>
          <w:szCs w:val="24"/>
        </w:rPr>
        <w:t>Framework Convention on Tobacco Control in</w:t>
      </w:r>
      <w:r w:rsidRPr="001B7283">
        <w:rPr>
          <w:rStyle w:val="fontstyle01"/>
          <w:rFonts w:ascii="Times New Roman" w:hAnsi="Times New Roman" w:cs="Times New Roman"/>
          <w:color w:val="auto"/>
          <w:sz w:val="24"/>
          <w:szCs w:val="24"/>
        </w:rPr>
        <w:t xml:space="preserve"> Khyber Pakhtunkhwa P</w:t>
      </w:r>
      <w:r>
        <w:rPr>
          <w:rStyle w:val="fontstyle01"/>
          <w:rFonts w:ascii="Times New Roman" w:hAnsi="Times New Roman" w:cs="Times New Roman"/>
          <w:color w:val="auto"/>
          <w:sz w:val="24"/>
          <w:szCs w:val="24"/>
        </w:rPr>
        <w:t>akistan</w:t>
      </w:r>
      <w:r w:rsidRPr="001B7283">
        <w:rPr>
          <w:rStyle w:val="fontstyle01"/>
          <w:rFonts w:ascii="Times New Roman" w:hAnsi="Times New Roman" w:cs="Times New Roman"/>
          <w:color w:val="auto"/>
          <w:sz w:val="24"/>
          <w:szCs w:val="24"/>
        </w:rPr>
        <w:t xml:space="preserve"> </w:t>
      </w: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Dr. Fayaz Ahmad</w:t>
      </w:r>
      <w:r>
        <w:rPr>
          <w:rFonts w:ascii="Times New Roman" w:hAnsi="Times New Roman" w:cs="Times New Roman"/>
          <w:sz w:val="24"/>
          <w:szCs w:val="24"/>
        </w:rPr>
        <w:t xml:space="preserve"> (Corresponding author)</w:t>
      </w:r>
    </w:p>
    <w:p w:rsidR="004A4BDD" w:rsidRPr="00235728" w:rsidRDefault="004A4BDD" w:rsidP="00D62547">
      <w:pPr>
        <w:pStyle w:val="ListParagraph"/>
        <w:spacing w:after="0" w:line="240" w:lineRule="auto"/>
        <w:rPr>
          <w:rFonts w:ascii="Times New Roman" w:eastAsia="Times New Roman" w:hAnsi="Times New Roman" w:cs="Times New Roman"/>
          <w:sz w:val="24"/>
          <w:szCs w:val="24"/>
        </w:rPr>
      </w:pPr>
      <w:r w:rsidRPr="00235728">
        <w:rPr>
          <w:rFonts w:ascii="Times New Roman" w:eastAsia="Times New Roman" w:hAnsi="Times New Roman" w:cs="Times New Roman"/>
          <w:sz w:val="24"/>
          <w:szCs w:val="24"/>
        </w:rPr>
        <w:t>PhD Scholar (public health) Senior Lecturer, Institute of Public Health &amp; Social Sciences</w:t>
      </w:r>
    </w:p>
    <w:p w:rsidR="004A4BDD" w:rsidRDefault="004A4BDD" w:rsidP="00D62547">
      <w:pPr>
        <w:pStyle w:val="ListParagraph"/>
        <w:spacing w:after="0" w:line="240" w:lineRule="auto"/>
        <w:rPr>
          <w:rFonts w:ascii="Times New Roman" w:eastAsia="Times New Roman" w:hAnsi="Times New Roman" w:cs="Times New Roman"/>
          <w:sz w:val="24"/>
          <w:szCs w:val="24"/>
        </w:rPr>
      </w:pPr>
      <w:r w:rsidRPr="00235728">
        <w:rPr>
          <w:rFonts w:ascii="Times New Roman" w:eastAsia="Times New Roman" w:hAnsi="Times New Roman" w:cs="Times New Roman"/>
          <w:sz w:val="24"/>
          <w:szCs w:val="24"/>
        </w:rPr>
        <w:t>Khyber Medical University, Peshawar, Pakistan</w:t>
      </w:r>
    </w:p>
    <w:p w:rsidR="004A4BDD" w:rsidRPr="00235728" w:rsidRDefault="005819B9" w:rsidP="00D62547">
      <w:pPr>
        <w:pStyle w:val="ListParagraph"/>
        <w:spacing w:after="0" w:line="240" w:lineRule="auto"/>
        <w:rPr>
          <w:rFonts w:ascii="Times New Roman" w:eastAsia="Times New Roman" w:hAnsi="Times New Roman" w:cs="Times New Roman"/>
          <w:sz w:val="24"/>
          <w:szCs w:val="24"/>
        </w:rPr>
      </w:pPr>
      <w:hyperlink r:id="rId7" w:history="1">
        <w:r w:rsidR="004A4BDD" w:rsidRPr="00801AE3">
          <w:rPr>
            <w:rStyle w:val="Hyperlink"/>
            <w:rFonts w:ascii="Times New Roman" w:eastAsia="Times New Roman" w:hAnsi="Times New Roman" w:cs="Times New Roman"/>
            <w:sz w:val="24"/>
            <w:szCs w:val="24"/>
          </w:rPr>
          <w:t>Drfayaz1980@gmail.com</w:t>
        </w:r>
      </w:hyperlink>
      <w:r w:rsidR="004A4BDD">
        <w:rPr>
          <w:rFonts w:ascii="Times New Roman" w:eastAsia="Times New Roman" w:hAnsi="Times New Roman" w:cs="Times New Roman"/>
          <w:sz w:val="24"/>
          <w:szCs w:val="24"/>
        </w:rPr>
        <w:t xml:space="preserve"> </w:t>
      </w:r>
    </w:p>
    <w:p w:rsidR="004A4BDD" w:rsidRPr="000F2F10" w:rsidRDefault="004A4BDD" w:rsidP="000F2F10">
      <w:pPr>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 xml:space="preserve">Dr. </w:t>
      </w:r>
      <w:proofErr w:type="spellStart"/>
      <w:r w:rsidRPr="00235728">
        <w:rPr>
          <w:rFonts w:ascii="Times New Roman" w:hAnsi="Times New Roman" w:cs="Times New Roman"/>
          <w:sz w:val="24"/>
          <w:szCs w:val="24"/>
        </w:rPr>
        <w:t>Zohaib</w:t>
      </w:r>
      <w:proofErr w:type="spellEnd"/>
      <w:r w:rsidRPr="00235728">
        <w:rPr>
          <w:rFonts w:ascii="Times New Roman" w:hAnsi="Times New Roman" w:cs="Times New Roman"/>
          <w:sz w:val="24"/>
          <w:szCs w:val="24"/>
        </w:rPr>
        <w:t xml:space="preserve"> Khan</w:t>
      </w:r>
    </w:p>
    <w:p w:rsidR="004A4BDD" w:rsidRPr="00235728"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Director, office of research innovation and commercialization (ORIC)</w:t>
      </w:r>
    </w:p>
    <w:p w:rsidR="004A4BDD" w:rsidRDefault="004A4BDD" w:rsidP="00D62547">
      <w:pPr>
        <w:pStyle w:val="ListParagraph"/>
        <w:spacing w:after="0" w:line="240" w:lineRule="auto"/>
        <w:rPr>
          <w:rFonts w:ascii="Times New Roman" w:eastAsia="Times New Roman" w:hAnsi="Times New Roman" w:cs="Times New Roman"/>
          <w:sz w:val="24"/>
          <w:szCs w:val="24"/>
        </w:rPr>
      </w:pPr>
      <w:r w:rsidRPr="00235728">
        <w:rPr>
          <w:rFonts w:ascii="Times New Roman" w:eastAsia="Times New Roman" w:hAnsi="Times New Roman" w:cs="Times New Roman"/>
          <w:sz w:val="24"/>
          <w:szCs w:val="24"/>
        </w:rPr>
        <w:t>Khyber Medical University, Peshawar, Pakistan</w:t>
      </w:r>
    </w:p>
    <w:p w:rsidR="004A4BDD" w:rsidRPr="00235728" w:rsidRDefault="005819B9" w:rsidP="00D62547">
      <w:pPr>
        <w:pStyle w:val="ListParagraph"/>
        <w:spacing w:after="0" w:line="240" w:lineRule="auto"/>
        <w:rPr>
          <w:rFonts w:ascii="Times New Roman" w:eastAsia="Times New Roman" w:hAnsi="Times New Roman" w:cs="Times New Roman"/>
          <w:sz w:val="24"/>
          <w:szCs w:val="24"/>
        </w:rPr>
      </w:pPr>
      <w:hyperlink r:id="rId8" w:history="1">
        <w:r w:rsidR="004A4BDD" w:rsidRPr="00801AE3">
          <w:rPr>
            <w:rStyle w:val="Hyperlink"/>
            <w:rFonts w:ascii="Times New Roman" w:eastAsia="Times New Roman" w:hAnsi="Times New Roman" w:cs="Times New Roman"/>
            <w:sz w:val="24"/>
            <w:szCs w:val="24"/>
          </w:rPr>
          <w:t>dr.zohaibkhan@kmu.edu.pk</w:t>
        </w:r>
      </w:hyperlink>
      <w:r w:rsidR="004A4BDD">
        <w:rPr>
          <w:rFonts w:ascii="Times New Roman" w:eastAsia="Times New Roman" w:hAnsi="Times New Roman" w:cs="Times New Roman"/>
          <w:sz w:val="24"/>
          <w:szCs w:val="24"/>
        </w:rPr>
        <w:t xml:space="preserve"> </w:t>
      </w:r>
    </w:p>
    <w:p w:rsidR="004A4BDD" w:rsidRPr="00CA6F2B" w:rsidRDefault="004A4BDD" w:rsidP="00D62547">
      <w:pPr>
        <w:rPr>
          <w:rFonts w:ascii="Times New Roman" w:hAnsi="Times New Roman" w:cs="Times New Roman"/>
          <w:sz w:val="24"/>
          <w:szCs w:val="24"/>
        </w:rPr>
      </w:pPr>
    </w:p>
    <w:p w:rsidR="004A4BDD" w:rsidRDefault="004A4BDD" w:rsidP="00D625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 Kamran Siddiqi</w:t>
      </w:r>
    </w:p>
    <w:p w:rsidR="004A4BDD" w:rsidRDefault="004A4BDD" w:rsidP="00D62547">
      <w:pPr>
        <w:pStyle w:val="ListParagraph"/>
        <w:rPr>
          <w:rFonts w:ascii="Times New Roman" w:hAnsi="Times New Roman" w:cs="Times New Roman"/>
          <w:sz w:val="24"/>
          <w:szCs w:val="24"/>
        </w:rPr>
      </w:pPr>
      <w:r w:rsidRPr="00CA6F2B">
        <w:rPr>
          <w:rFonts w:ascii="Times New Roman" w:hAnsi="Times New Roman" w:cs="Times New Roman"/>
          <w:sz w:val="24"/>
          <w:szCs w:val="24"/>
        </w:rPr>
        <w:t>Pro</w:t>
      </w:r>
      <w:r>
        <w:rPr>
          <w:rFonts w:ascii="Times New Roman" w:hAnsi="Times New Roman" w:cs="Times New Roman"/>
          <w:sz w:val="24"/>
          <w:szCs w:val="24"/>
        </w:rPr>
        <w:t>fessor in Global Public Health, Department of Health Sciences</w:t>
      </w:r>
    </w:p>
    <w:p w:rsidR="004A4BDD" w:rsidRDefault="004A4BDD" w:rsidP="00D62547">
      <w:pPr>
        <w:pStyle w:val="ListParagraph"/>
        <w:rPr>
          <w:rFonts w:ascii="Times New Roman" w:hAnsi="Times New Roman" w:cs="Times New Roman"/>
          <w:sz w:val="24"/>
          <w:szCs w:val="24"/>
        </w:rPr>
      </w:pPr>
      <w:r>
        <w:rPr>
          <w:rFonts w:ascii="Times New Roman" w:hAnsi="Times New Roman" w:cs="Times New Roman"/>
          <w:sz w:val="24"/>
          <w:szCs w:val="24"/>
        </w:rPr>
        <w:t>Hull York Medical School,</w:t>
      </w:r>
      <w:r w:rsidRPr="00CA6F2B">
        <w:rPr>
          <w:rFonts w:ascii="Times New Roman" w:hAnsi="Times New Roman" w:cs="Times New Roman"/>
          <w:sz w:val="24"/>
          <w:szCs w:val="24"/>
        </w:rPr>
        <w:t xml:space="preserve"> University of York</w:t>
      </w:r>
    </w:p>
    <w:p w:rsidR="004A4BDD" w:rsidRDefault="005819B9" w:rsidP="00D62547">
      <w:pPr>
        <w:pStyle w:val="ListParagraph"/>
        <w:rPr>
          <w:rFonts w:ascii="Times New Roman" w:hAnsi="Times New Roman" w:cs="Times New Roman"/>
          <w:sz w:val="24"/>
          <w:szCs w:val="24"/>
        </w:rPr>
      </w:pPr>
      <w:hyperlink r:id="rId9" w:history="1">
        <w:r w:rsidR="004A4BDD" w:rsidRPr="00801AE3">
          <w:rPr>
            <w:rStyle w:val="Hyperlink"/>
            <w:rFonts w:ascii="Times New Roman" w:hAnsi="Times New Roman" w:cs="Times New Roman"/>
            <w:sz w:val="24"/>
            <w:szCs w:val="24"/>
          </w:rPr>
          <w:t>kamran.siddiqi@york.ac.uk</w:t>
        </w:r>
      </w:hyperlink>
      <w:r w:rsidR="004A4BDD">
        <w:rPr>
          <w:rFonts w:ascii="Times New Roman" w:hAnsi="Times New Roman" w:cs="Times New Roman"/>
          <w:sz w:val="24"/>
          <w:szCs w:val="24"/>
        </w:rPr>
        <w:t xml:space="preserve"> </w:t>
      </w:r>
    </w:p>
    <w:p w:rsidR="004A4BDD" w:rsidRDefault="004A4BDD" w:rsidP="00D62547">
      <w:pPr>
        <w:pStyle w:val="ListParagraph"/>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Dr. Muhammad Naseem Khan</w:t>
      </w:r>
    </w:p>
    <w:p w:rsidR="004A4BDD" w:rsidRPr="00235728"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Associate Professor, Director Institute of Public Health &amp; Social Sciences</w:t>
      </w:r>
    </w:p>
    <w:p w:rsidR="004A4BDD" w:rsidRPr="00235728"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Khyber Medical University, Peshawar, KP</w:t>
      </w:r>
    </w:p>
    <w:p w:rsidR="004A4BDD"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Honorary Fellow, Department of Psychological Medicine, University of Liverpool, United Kingdom</w:t>
      </w:r>
    </w:p>
    <w:p w:rsidR="004A4BDD" w:rsidRPr="00235728" w:rsidRDefault="005819B9" w:rsidP="00D62547">
      <w:pPr>
        <w:pStyle w:val="ListParagraph"/>
        <w:rPr>
          <w:rFonts w:ascii="Times New Roman" w:hAnsi="Times New Roman" w:cs="Times New Roman"/>
          <w:sz w:val="24"/>
          <w:szCs w:val="24"/>
        </w:rPr>
      </w:pPr>
      <w:hyperlink r:id="rId10" w:history="1">
        <w:r w:rsidR="004A4BDD" w:rsidRPr="00801AE3">
          <w:rPr>
            <w:rStyle w:val="Hyperlink"/>
            <w:rFonts w:ascii="Times New Roman" w:hAnsi="Times New Roman" w:cs="Times New Roman"/>
            <w:sz w:val="24"/>
            <w:szCs w:val="24"/>
          </w:rPr>
          <w:t>drnasim@msn.com</w:t>
        </w:r>
      </w:hyperlink>
      <w:r w:rsidR="004A4BDD">
        <w:rPr>
          <w:rFonts w:ascii="Times New Roman" w:hAnsi="Times New Roman" w:cs="Times New Roman"/>
          <w:sz w:val="24"/>
          <w:szCs w:val="24"/>
        </w:rPr>
        <w:t xml:space="preserve"> </w:t>
      </w:r>
    </w:p>
    <w:p w:rsidR="004A4BDD" w:rsidRDefault="004A4BDD" w:rsidP="00D62547">
      <w:pPr>
        <w:pStyle w:val="ListParagraph"/>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 xml:space="preserve">Dr. Melanie </w:t>
      </w:r>
      <w:proofErr w:type="spellStart"/>
      <w:r w:rsidRPr="00235728">
        <w:rPr>
          <w:rFonts w:ascii="Times New Roman" w:hAnsi="Times New Roman" w:cs="Times New Roman"/>
          <w:sz w:val="24"/>
          <w:szCs w:val="24"/>
        </w:rPr>
        <w:t>Boeckman</w:t>
      </w:r>
      <w:proofErr w:type="spellEnd"/>
    </w:p>
    <w:p w:rsidR="004A4BDD"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Assistant professor, Global Sustainable Environmental Health Sciences, University of Bielefeld-Germany</w:t>
      </w:r>
    </w:p>
    <w:p w:rsidR="004A4BDD" w:rsidRDefault="005819B9" w:rsidP="00D62547">
      <w:pPr>
        <w:pStyle w:val="ListParagraph"/>
        <w:rPr>
          <w:rFonts w:ascii="Times New Roman" w:hAnsi="Times New Roman" w:cs="Times New Roman"/>
          <w:sz w:val="24"/>
          <w:szCs w:val="24"/>
        </w:rPr>
      </w:pPr>
      <w:hyperlink r:id="rId11" w:history="1">
        <w:r w:rsidR="004A4BDD" w:rsidRPr="00801AE3">
          <w:rPr>
            <w:rStyle w:val="Hyperlink"/>
            <w:rFonts w:ascii="Times New Roman" w:hAnsi="Times New Roman" w:cs="Times New Roman"/>
            <w:sz w:val="24"/>
            <w:szCs w:val="24"/>
          </w:rPr>
          <w:t>melanie.boeckmann@uni-bielefeld.de</w:t>
        </w:r>
      </w:hyperlink>
      <w:r w:rsidR="004A4BDD">
        <w:rPr>
          <w:rFonts w:ascii="Times New Roman" w:hAnsi="Times New Roman" w:cs="Times New Roman"/>
          <w:sz w:val="24"/>
          <w:szCs w:val="24"/>
        </w:rPr>
        <w:t xml:space="preserve"> </w:t>
      </w:r>
    </w:p>
    <w:p w:rsidR="004A4BDD" w:rsidRPr="000A1CC1" w:rsidRDefault="004A4BDD" w:rsidP="00D62547">
      <w:pPr>
        <w:pStyle w:val="ListParagraph"/>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 xml:space="preserve">Steffen </w:t>
      </w:r>
      <w:proofErr w:type="spellStart"/>
      <w:r w:rsidRPr="00235728">
        <w:rPr>
          <w:rFonts w:ascii="Times New Roman" w:hAnsi="Times New Roman" w:cs="Times New Roman"/>
          <w:sz w:val="24"/>
          <w:szCs w:val="24"/>
        </w:rPr>
        <w:t>Dregger</w:t>
      </w:r>
      <w:proofErr w:type="spellEnd"/>
    </w:p>
    <w:p w:rsidR="004A4BDD"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Leibniz-Institute for Prevention Research and Epidemiology - BIPS, Bremen, Germany</w:t>
      </w:r>
    </w:p>
    <w:p w:rsidR="004A4BDD" w:rsidRPr="00235728" w:rsidRDefault="005819B9" w:rsidP="00D62547">
      <w:pPr>
        <w:pStyle w:val="ListParagraph"/>
        <w:rPr>
          <w:rFonts w:ascii="Times New Roman" w:hAnsi="Times New Roman" w:cs="Times New Roman"/>
          <w:sz w:val="24"/>
          <w:szCs w:val="24"/>
        </w:rPr>
      </w:pPr>
      <w:hyperlink r:id="rId12" w:history="1">
        <w:r w:rsidR="004A4BDD" w:rsidRPr="00801AE3">
          <w:rPr>
            <w:rStyle w:val="Hyperlink"/>
            <w:rFonts w:ascii="Times New Roman" w:hAnsi="Times New Roman" w:cs="Times New Roman"/>
            <w:sz w:val="24"/>
            <w:szCs w:val="24"/>
          </w:rPr>
          <w:t>dreger@leibniz-bips.de</w:t>
        </w:r>
      </w:hyperlink>
      <w:r w:rsidR="004A4BDD">
        <w:rPr>
          <w:rFonts w:ascii="Times New Roman" w:hAnsi="Times New Roman" w:cs="Times New Roman"/>
          <w:sz w:val="24"/>
          <w:szCs w:val="24"/>
        </w:rPr>
        <w:t xml:space="preserve"> </w:t>
      </w:r>
    </w:p>
    <w:p w:rsidR="004A4BDD" w:rsidRDefault="004A4BDD" w:rsidP="00D62547">
      <w:pPr>
        <w:pStyle w:val="ListParagraph"/>
        <w:rPr>
          <w:rFonts w:ascii="Times New Roman" w:hAnsi="Times New Roman" w:cs="Times New Roman"/>
          <w:sz w:val="24"/>
          <w:szCs w:val="24"/>
        </w:rPr>
      </w:pPr>
    </w:p>
    <w:p w:rsidR="004A4BDD" w:rsidRPr="00CA6F2B" w:rsidRDefault="004A4BDD" w:rsidP="00D625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Bauld</w:t>
      </w:r>
      <w:proofErr w:type="spellEnd"/>
      <w:r>
        <w:rPr>
          <w:rFonts w:ascii="Times New Roman" w:hAnsi="Times New Roman" w:cs="Times New Roman"/>
          <w:sz w:val="24"/>
          <w:szCs w:val="24"/>
        </w:rPr>
        <w:t xml:space="preserve"> </w:t>
      </w:r>
    </w:p>
    <w:p w:rsidR="004A4BDD" w:rsidRPr="00CA6F2B" w:rsidRDefault="004A4BDD" w:rsidP="00D62547">
      <w:pPr>
        <w:pStyle w:val="ListParagraph"/>
        <w:rPr>
          <w:rFonts w:ascii="Times New Roman" w:hAnsi="Times New Roman" w:cs="Times New Roman"/>
          <w:sz w:val="24"/>
          <w:szCs w:val="24"/>
        </w:rPr>
      </w:pPr>
      <w:r w:rsidRPr="00CA6F2B">
        <w:rPr>
          <w:rFonts w:ascii="Times New Roman" w:hAnsi="Times New Roman" w:cs="Times New Roman"/>
          <w:sz w:val="24"/>
          <w:szCs w:val="24"/>
        </w:rPr>
        <w:t>Bruce and John Usher Chair in Public Health</w:t>
      </w:r>
    </w:p>
    <w:p w:rsidR="004A4BDD" w:rsidRPr="00CA6F2B" w:rsidRDefault="004A4BDD" w:rsidP="00D62547">
      <w:pPr>
        <w:pStyle w:val="ListParagraph"/>
        <w:rPr>
          <w:rFonts w:ascii="Times New Roman" w:hAnsi="Times New Roman" w:cs="Times New Roman"/>
          <w:sz w:val="24"/>
          <w:szCs w:val="24"/>
        </w:rPr>
      </w:pPr>
      <w:r w:rsidRPr="00CA6F2B">
        <w:rPr>
          <w:rFonts w:ascii="Times New Roman" w:hAnsi="Times New Roman" w:cs="Times New Roman"/>
          <w:sz w:val="24"/>
          <w:szCs w:val="24"/>
        </w:rPr>
        <w:t>Usher Institute, University of Edinburgh</w:t>
      </w:r>
    </w:p>
    <w:p w:rsidR="004A4BDD" w:rsidRPr="00CA6F2B" w:rsidRDefault="004A4BDD" w:rsidP="00D62547">
      <w:pPr>
        <w:pStyle w:val="ListParagraph"/>
        <w:rPr>
          <w:rFonts w:ascii="Times New Roman" w:hAnsi="Times New Roman" w:cs="Times New Roman"/>
          <w:sz w:val="24"/>
          <w:szCs w:val="24"/>
        </w:rPr>
      </w:pPr>
      <w:r>
        <w:rPr>
          <w:rFonts w:ascii="Times New Roman" w:hAnsi="Times New Roman" w:cs="Times New Roman"/>
          <w:sz w:val="24"/>
          <w:szCs w:val="24"/>
        </w:rPr>
        <w:t>CRUK/BUPA Chair in Behavio</w:t>
      </w:r>
      <w:r w:rsidRPr="00CA6F2B">
        <w:rPr>
          <w:rFonts w:ascii="Times New Roman" w:hAnsi="Times New Roman" w:cs="Times New Roman"/>
          <w:sz w:val="24"/>
          <w:szCs w:val="24"/>
        </w:rPr>
        <w:t>ral Research for Cancer Prevention, Cancer Research UK</w:t>
      </w:r>
    </w:p>
    <w:p w:rsidR="004A4BDD" w:rsidRDefault="004A4BDD" w:rsidP="00D62547">
      <w:pPr>
        <w:pStyle w:val="ListParagraph"/>
        <w:rPr>
          <w:rFonts w:ascii="Times New Roman" w:hAnsi="Times New Roman" w:cs="Times New Roman"/>
          <w:sz w:val="24"/>
          <w:szCs w:val="24"/>
        </w:rPr>
      </w:pPr>
      <w:r w:rsidRPr="000A1CC1">
        <w:rPr>
          <w:rFonts w:ascii="Times New Roman" w:hAnsi="Times New Roman" w:cs="Times New Roman"/>
          <w:sz w:val="24"/>
          <w:szCs w:val="24"/>
        </w:rPr>
        <w:t>Deputy Director, UK Centre for Tobacco and Alcohol Studies</w:t>
      </w:r>
    </w:p>
    <w:p w:rsidR="004A4BDD" w:rsidRPr="000A1CC1" w:rsidRDefault="005819B9" w:rsidP="00D62547">
      <w:pPr>
        <w:pStyle w:val="ListParagraph"/>
        <w:rPr>
          <w:rFonts w:ascii="Times New Roman" w:hAnsi="Times New Roman" w:cs="Times New Roman"/>
          <w:sz w:val="24"/>
          <w:szCs w:val="24"/>
        </w:rPr>
      </w:pPr>
      <w:hyperlink r:id="rId13" w:history="1">
        <w:r w:rsidR="004A4BDD" w:rsidRPr="00801AE3">
          <w:rPr>
            <w:rStyle w:val="Hyperlink"/>
            <w:rFonts w:ascii="Times New Roman" w:hAnsi="Times New Roman" w:cs="Times New Roman"/>
            <w:sz w:val="24"/>
            <w:szCs w:val="24"/>
          </w:rPr>
          <w:t>Linda.Bauld@ed.ac.uk</w:t>
        </w:r>
      </w:hyperlink>
      <w:r w:rsidR="004A4BDD">
        <w:rPr>
          <w:rFonts w:ascii="Times New Roman" w:hAnsi="Times New Roman" w:cs="Times New Roman"/>
          <w:sz w:val="24"/>
          <w:szCs w:val="24"/>
        </w:rPr>
        <w:t xml:space="preserve"> </w:t>
      </w:r>
    </w:p>
    <w:p w:rsidR="004A4BDD" w:rsidRPr="000A1CC1" w:rsidRDefault="004A4BDD" w:rsidP="00D62547">
      <w:pPr>
        <w:pStyle w:val="ListParagraph"/>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 xml:space="preserve">Dr. </w:t>
      </w:r>
      <w:proofErr w:type="spellStart"/>
      <w:r w:rsidRPr="00235728">
        <w:rPr>
          <w:rFonts w:ascii="Times New Roman" w:hAnsi="Times New Roman" w:cs="Times New Roman"/>
          <w:sz w:val="24"/>
          <w:szCs w:val="24"/>
        </w:rPr>
        <w:t>Hajo</w:t>
      </w:r>
      <w:proofErr w:type="spellEnd"/>
      <w:r w:rsidRPr="00235728">
        <w:rPr>
          <w:rFonts w:ascii="Times New Roman" w:hAnsi="Times New Roman" w:cs="Times New Roman"/>
          <w:sz w:val="24"/>
          <w:szCs w:val="24"/>
        </w:rPr>
        <w:t xml:space="preserve"> </w:t>
      </w:r>
      <w:proofErr w:type="spellStart"/>
      <w:r w:rsidRPr="00235728">
        <w:rPr>
          <w:rFonts w:ascii="Times New Roman" w:hAnsi="Times New Roman" w:cs="Times New Roman"/>
          <w:sz w:val="24"/>
          <w:szCs w:val="24"/>
        </w:rPr>
        <w:t>Zeeb</w:t>
      </w:r>
      <w:proofErr w:type="spellEnd"/>
    </w:p>
    <w:p w:rsidR="004A4BDD" w:rsidRPr="00235728"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Professor, Leibniz-Institute for Prevention Research and Epidemiology - BIPS, Bremen, Germany</w:t>
      </w:r>
    </w:p>
    <w:p w:rsidR="004A4BDD" w:rsidRDefault="004A4BDD" w:rsidP="00D62547">
      <w:pPr>
        <w:pStyle w:val="ListParagraph"/>
        <w:rPr>
          <w:rFonts w:ascii="Times New Roman" w:eastAsia="Times New Roman" w:hAnsi="Times New Roman" w:cs="Times New Roman"/>
          <w:sz w:val="24"/>
          <w:szCs w:val="24"/>
        </w:rPr>
      </w:pPr>
      <w:r w:rsidRPr="006C0FF5">
        <w:rPr>
          <w:rFonts w:ascii="Times New Roman" w:eastAsia="Times New Roman" w:hAnsi="Times New Roman" w:cs="Times New Roman"/>
          <w:sz w:val="24"/>
          <w:szCs w:val="24"/>
        </w:rPr>
        <w:t xml:space="preserve">Health Sciences Bremen, </w:t>
      </w:r>
      <w:r w:rsidRPr="00235728">
        <w:rPr>
          <w:rFonts w:ascii="Times New Roman" w:eastAsia="Times New Roman" w:hAnsi="Times New Roman" w:cs="Times New Roman"/>
          <w:sz w:val="24"/>
          <w:szCs w:val="24"/>
        </w:rPr>
        <w:t>University</w:t>
      </w:r>
      <w:r w:rsidRPr="006C0FF5">
        <w:rPr>
          <w:rFonts w:ascii="Times New Roman" w:eastAsia="Times New Roman" w:hAnsi="Times New Roman" w:cs="Times New Roman"/>
          <w:sz w:val="24"/>
          <w:szCs w:val="24"/>
        </w:rPr>
        <w:t xml:space="preserve"> of Bremen, Germany</w:t>
      </w:r>
    </w:p>
    <w:p w:rsidR="004A4BDD" w:rsidRDefault="005819B9" w:rsidP="00D62547">
      <w:pPr>
        <w:pStyle w:val="ListParagraph"/>
        <w:rPr>
          <w:rFonts w:ascii="Times New Roman" w:eastAsia="Times New Roman" w:hAnsi="Times New Roman" w:cs="Times New Roman"/>
          <w:sz w:val="24"/>
          <w:szCs w:val="24"/>
        </w:rPr>
      </w:pPr>
      <w:hyperlink r:id="rId14" w:history="1">
        <w:r w:rsidR="004A4BDD" w:rsidRPr="00801AE3">
          <w:rPr>
            <w:rStyle w:val="Hyperlink"/>
            <w:rFonts w:ascii="Times New Roman" w:eastAsia="Times New Roman" w:hAnsi="Times New Roman" w:cs="Times New Roman"/>
            <w:sz w:val="24"/>
            <w:szCs w:val="24"/>
          </w:rPr>
          <w:t>zeeb@leibniz-bips.de</w:t>
        </w:r>
      </w:hyperlink>
      <w:r w:rsidR="004A4BDD">
        <w:rPr>
          <w:rFonts w:ascii="Times New Roman" w:eastAsia="Times New Roman" w:hAnsi="Times New Roman" w:cs="Times New Roman"/>
          <w:sz w:val="24"/>
          <w:szCs w:val="24"/>
        </w:rPr>
        <w:t xml:space="preserve"> </w:t>
      </w:r>
    </w:p>
    <w:p w:rsidR="004A4BDD" w:rsidRPr="000A1CC1" w:rsidRDefault="004A4BDD" w:rsidP="00D62547">
      <w:pPr>
        <w:pStyle w:val="ListParagraph"/>
        <w:rPr>
          <w:rFonts w:ascii="Times New Roman" w:hAnsi="Times New Roman" w:cs="Times New Roman"/>
          <w:sz w:val="24"/>
          <w:szCs w:val="24"/>
        </w:rPr>
      </w:pPr>
    </w:p>
    <w:p w:rsidR="004A4BDD" w:rsidRPr="00235728" w:rsidRDefault="004A4BDD" w:rsidP="00D62547">
      <w:pPr>
        <w:pStyle w:val="ListParagraph"/>
        <w:numPr>
          <w:ilvl w:val="0"/>
          <w:numId w:val="1"/>
        </w:numPr>
        <w:rPr>
          <w:rFonts w:ascii="Times New Roman" w:hAnsi="Times New Roman" w:cs="Times New Roman"/>
          <w:sz w:val="24"/>
          <w:szCs w:val="24"/>
        </w:rPr>
      </w:pPr>
      <w:r w:rsidRPr="00235728">
        <w:rPr>
          <w:rFonts w:ascii="Times New Roman" w:hAnsi="Times New Roman" w:cs="Times New Roman"/>
          <w:sz w:val="24"/>
          <w:szCs w:val="24"/>
        </w:rPr>
        <w:t xml:space="preserve">Dr. Sarah </w:t>
      </w:r>
      <w:proofErr w:type="spellStart"/>
      <w:r w:rsidRPr="00235728">
        <w:rPr>
          <w:rFonts w:ascii="Times New Roman" w:hAnsi="Times New Roman" w:cs="Times New Roman"/>
          <w:sz w:val="24"/>
          <w:szCs w:val="24"/>
        </w:rPr>
        <w:t>Forberger</w:t>
      </w:r>
      <w:proofErr w:type="spellEnd"/>
      <w:r w:rsidRPr="00235728">
        <w:rPr>
          <w:rFonts w:ascii="Times New Roman" w:hAnsi="Times New Roman" w:cs="Times New Roman"/>
          <w:sz w:val="24"/>
          <w:szCs w:val="24"/>
        </w:rPr>
        <w:t xml:space="preserve"> </w:t>
      </w:r>
    </w:p>
    <w:p w:rsidR="004A4BDD" w:rsidRDefault="004A4BDD" w:rsidP="00D62547">
      <w:pPr>
        <w:pStyle w:val="ListParagraph"/>
        <w:rPr>
          <w:rFonts w:ascii="Times New Roman" w:hAnsi="Times New Roman" w:cs="Times New Roman"/>
          <w:sz w:val="24"/>
          <w:szCs w:val="24"/>
        </w:rPr>
      </w:pPr>
      <w:r w:rsidRPr="00235728">
        <w:rPr>
          <w:rFonts w:ascii="Times New Roman" w:hAnsi="Times New Roman" w:cs="Times New Roman"/>
          <w:sz w:val="24"/>
          <w:szCs w:val="24"/>
        </w:rPr>
        <w:t>Leibniz-Institute for Prevention Research and Epidemiology - BIPS, Bremen, Germany</w:t>
      </w:r>
    </w:p>
    <w:p w:rsidR="004A4BDD" w:rsidRPr="000A1CC1" w:rsidRDefault="005819B9" w:rsidP="00D62547">
      <w:pPr>
        <w:pStyle w:val="ListParagraph"/>
        <w:rPr>
          <w:rFonts w:ascii="Times New Roman" w:hAnsi="Times New Roman" w:cs="Times New Roman"/>
          <w:sz w:val="24"/>
          <w:szCs w:val="24"/>
        </w:rPr>
      </w:pPr>
      <w:hyperlink r:id="rId15" w:history="1">
        <w:r w:rsidR="004A4BDD" w:rsidRPr="00801AE3">
          <w:rPr>
            <w:rStyle w:val="Hyperlink"/>
            <w:rFonts w:ascii="Times New Roman" w:hAnsi="Times New Roman" w:cs="Times New Roman"/>
            <w:sz w:val="24"/>
            <w:szCs w:val="24"/>
          </w:rPr>
          <w:t>Sarah.Forberger@leibniz-bips.de</w:t>
        </w:r>
      </w:hyperlink>
      <w:r w:rsidR="004A4BDD">
        <w:rPr>
          <w:rFonts w:ascii="Times New Roman" w:hAnsi="Times New Roman" w:cs="Times New Roman"/>
          <w:sz w:val="24"/>
          <w:szCs w:val="24"/>
        </w:rPr>
        <w:t xml:space="preserve"> </w:t>
      </w: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Default="004A4BDD" w:rsidP="009011E7">
      <w:pPr>
        <w:spacing w:after="240" w:line="480" w:lineRule="auto"/>
        <w:rPr>
          <w:rFonts w:ascii="Times New Roman" w:hAnsi="Times New Roman" w:cs="Times New Roman"/>
          <w:b/>
          <w:bCs/>
          <w:sz w:val="24"/>
          <w:szCs w:val="24"/>
        </w:rPr>
      </w:pPr>
    </w:p>
    <w:p w:rsidR="004A4BDD" w:rsidRPr="009011E7" w:rsidRDefault="004A4BDD" w:rsidP="009011E7">
      <w:pPr>
        <w:spacing w:after="240" w:line="480" w:lineRule="auto"/>
        <w:rPr>
          <w:rFonts w:ascii="Times New Roman" w:hAnsi="Times New Roman" w:cs="Times New Roman"/>
          <w:b/>
          <w:bCs/>
          <w:sz w:val="24"/>
          <w:szCs w:val="24"/>
        </w:rPr>
      </w:pPr>
    </w:p>
    <w:p w:rsidR="004A4BDD" w:rsidRPr="001B7283" w:rsidRDefault="004A4BDD" w:rsidP="002416CF">
      <w:pPr>
        <w:spacing w:line="480" w:lineRule="auto"/>
        <w:rPr>
          <w:rFonts w:ascii="Times New Roman" w:hAnsi="Times New Roman" w:cs="Times New Roman"/>
          <w:b/>
          <w:sz w:val="24"/>
          <w:szCs w:val="24"/>
        </w:rPr>
      </w:pPr>
      <w:r w:rsidRPr="001B7283">
        <w:rPr>
          <w:rFonts w:ascii="Times New Roman" w:hAnsi="Times New Roman" w:cs="Times New Roman"/>
          <w:b/>
          <w:sz w:val="24"/>
          <w:szCs w:val="24"/>
        </w:rPr>
        <w:t>Abstract (246 words)</w:t>
      </w:r>
    </w:p>
    <w:p w:rsidR="004A4BDD" w:rsidRPr="001B7283" w:rsidRDefault="004A4BDD" w:rsidP="002416CF">
      <w:pPr>
        <w:spacing w:after="0" w:line="480" w:lineRule="auto"/>
        <w:jc w:val="both"/>
        <w:rPr>
          <w:rFonts w:ascii="Times New Roman" w:hAnsi="Times New Roman" w:cs="Times New Roman"/>
          <w:color w:val="242021"/>
          <w:sz w:val="24"/>
          <w:szCs w:val="24"/>
        </w:rPr>
      </w:pPr>
      <w:r w:rsidRPr="001B7283">
        <w:rPr>
          <w:rFonts w:ascii="Times New Roman" w:hAnsi="Times New Roman" w:cs="Times New Roman"/>
          <w:b/>
          <w:sz w:val="24"/>
          <w:szCs w:val="24"/>
        </w:rPr>
        <w:t xml:space="preserve">Introduction: </w:t>
      </w:r>
      <w:r w:rsidRPr="001B7283">
        <w:rPr>
          <w:rFonts w:ascii="Times New Roman" w:hAnsi="Times New Roman" w:cs="Times New Roman"/>
          <w:bCs/>
          <w:sz w:val="24"/>
          <w:szCs w:val="24"/>
        </w:rPr>
        <w:t>Smokeless tobacco (SLT) is a significant contributor to tobacco related harm in Pakistan but its control has lags behind that of combustible tobacco.</w:t>
      </w:r>
      <w:r w:rsidRPr="001B7283">
        <w:rPr>
          <w:rFonts w:ascii="Times New Roman" w:hAnsi="Times New Roman" w:cs="Times New Roman"/>
          <w:color w:val="242021"/>
          <w:sz w:val="24"/>
          <w:szCs w:val="24"/>
        </w:rPr>
        <w:t xml:space="preserve"> We assessed the compliance of Naswar’s (a widely used SLT product in the Southeast Asia) packaging and sales practices with the national legislations and relevant articles of the WHO framework convention on tobacco control (FCTC). </w:t>
      </w:r>
    </w:p>
    <w:p w:rsidR="004A4BDD" w:rsidRPr="001B7283" w:rsidRDefault="004A4BDD" w:rsidP="002416CF">
      <w:pPr>
        <w:spacing w:after="0" w:line="480" w:lineRule="auto"/>
        <w:jc w:val="both"/>
        <w:rPr>
          <w:rFonts w:ascii="Times New Roman" w:hAnsi="Times New Roman" w:cs="Times New Roman"/>
          <w:color w:val="242021"/>
          <w:sz w:val="24"/>
          <w:szCs w:val="24"/>
        </w:rPr>
      </w:pPr>
      <w:r w:rsidRPr="001B7283">
        <w:rPr>
          <w:rFonts w:ascii="Times New Roman" w:hAnsi="Times New Roman" w:cs="Times New Roman"/>
          <w:b/>
          <w:color w:val="242021"/>
          <w:sz w:val="24"/>
          <w:szCs w:val="24"/>
        </w:rPr>
        <w:t xml:space="preserve">Methods: </w:t>
      </w:r>
      <w:r w:rsidRPr="001B7283">
        <w:rPr>
          <w:rStyle w:val="fontstyle21"/>
          <w:rFonts w:ascii="Times New Roman" w:hAnsi="Times New Roman" w:cs="Times New Roman"/>
          <w:sz w:val="24"/>
          <w:szCs w:val="24"/>
        </w:rPr>
        <w:t xml:space="preserve">A cross-sectional observational audit was conducted in three districts of Pakistan. We recruited 286 general point of sale (GPOS) and exclusive Naswar sellers (ENS) through a multistage cluster sampling strategy. Data were gathered on </w:t>
      </w:r>
      <w:r w:rsidRPr="001B7283">
        <w:rPr>
          <w:rFonts w:ascii="Times New Roman" w:hAnsi="Times New Roman" w:cs="Times New Roman"/>
          <w:color w:val="242021"/>
          <w:sz w:val="24"/>
          <w:szCs w:val="24"/>
        </w:rPr>
        <w:t xml:space="preserve">packaging and labeling practices of Naswar and advertisement and promotion practices inside and outside the shops. Statistical tests for association between the dependent variable- advertisement practices, and independent variables- area and vendor types were conducted.  </w:t>
      </w:r>
      <w:r w:rsidRPr="001B7283">
        <w:rPr>
          <w:rStyle w:val="fontstyle21"/>
          <w:rFonts w:ascii="Times New Roman" w:hAnsi="Times New Roman" w:cs="Times New Roman"/>
          <w:sz w:val="24"/>
          <w:szCs w:val="24"/>
        </w:rPr>
        <w:t xml:space="preserve"> </w:t>
      </w:r>
    </w:p>
    <w:p w:rsidR="004A4BDD" w:rsidRPr="001B7283" w:rsidRDefault="004A4BDD" w:rsidP="002416CF">
      <w:pPr>
        <w:spacing w:after="0" w:line="480" w:lineRule="auto"/>
        <w:jc w:val="both"/>
        <w:rPr>
          <w:rFonts w:ascii="Times New Roman" w:hAnsi="Times New Roman" w:cs="Times New Roman"/>
          <w:color w:val="242021"/>
          <w:sz w:val="24"/>
          <w:szCs w:val="24"/>
        </w:rPr>
      </w:pPr>
      <w:r w:rsidRPr="001B7283">
        <w:rPr>
          <w:rFonts w:ascii="Times New Roman" w:hAnsi="Times New Roman" w:cs="Times New Roman"/>
          <w:b/>
          <w:color w:val="242021"/>
          <w:sz w:val="24"/>
          <w:szCs w:val="24"/>
        </w:rPr>
        <w:t>Results:</w:t>
      </w:r>
      <w:r w:rsidRPr="001B7283">
        <w:rPr>
          <w:rFonts w:ascii="Times New Roman" w:hAnsi="Times New Roman" w:cs="Times New Roman"/>
          <w:color w:val="242021"/>
          <w:sz w:val="24"/>
          <w:szCs w:val="24"/>
        </w:rPr>
        <w:t xml:space="preserve"> We analyzed </w:t>
      </w:r>
      <w:r w:rsidRPr="001B7283">
        <w:rPr>
          <w:rFonts w:ascii="Times New Roman" w:hAnsi="Times New Roman" w:cs="Times New Roman"/>
          <w:bCs/>
          <w:sz w:val="24"/>
          <w:szCs w:val="24"/>
        </w:rPr>
        <w:t>133 and 49 unique Naswar products sold in 229 GPOS and by 57 ENS respectively. None of the local products had any written or pictorial health warning.</w:t>
      </w:r>
      <w:r w:rsidRPr="001B7283">
        <w:rPr>
          <w:rFonts w:ascii="Times New Roman" w:hAnsi="Times New Roman" w:cs="Times New Roman"/>
          <w:sz w:val="24"/>
        </w:rPr>
        <w:t xml:space="preserve"> More than half of retailers used one or two methods of advertising Naswar inside the shops while only 9% advertised outside the shops. ENS were more likely to be non-compliant with tobacco advertisement and promotion compared to GPOS.</w:t>
      </w:r>
    </w:p>
    <w:p w:rsidR="004A4BDD" w:rsidRPr="009011E7" w:rsidRDefault="004A4BDD" w:rsidP="002416CF">
      <w:pPr>
        <w:spacing w:after="0" w:line="480" w:lineRule="auto"/>
        <w:jc w:val="both"/>
        <w:rPr>
          <w:rFonts w:ascii="Times New Roman" w:hAnsi="Times New Roman" w:cs="Times New Roman"/>
          <w:sz w:val="24"/>
        </w:rPr>
      </w:pPr>
      <w:r w:rsidRPr="001B7283">
        <w:rPr>
          <w:rFonts w:ascii="Times New Roman" w:hAnsi="Times New Roman" w:cs="Times New Roman"/>
          <w:b/>
          <w:color w:val="242021"/>
          <w:sz w:val="24"/>
          <w:szCs w:val="24"/>
        </w:rPr>
        <w:t>Conclusions:</w:t>
      </w:r>
      <w:r w:rsidRPr="001B7283">
        <w:rPr>
          <w:rFonts w:ascii="Times New Roman" w:hAnsi="Times New Roman" w:cs="Times New Roman"/>
          <w:color w:val="242021"/>
          <w:sz w:val="24"/>
          <w:szCs w:val="24"/>
        </w:rPr>
        <w:t xml:space="preserve"> </w:t>
      </w:r>
      <w:r w:rsidRPr="001B7283">
        <w:rPr>
          <w:rFonts w:ascii="Times New Roman" w:hAnsi="Times New Roman" w:cs="Times New Roman"/>
          <w:sz w:val="24"/>
        </w:rPr>
        <w:t>The study presents first insights on the compliance of Naswar packaging and sale practices with local regulations and WHO FCTC provisions in Pakistan. Almost all products were on display in the shops and none of the local products had any health warning or contents disclosure on the packages.</w:t>
      </w:r>
    </w:p>
    <w:p w:rsidR="004A4BDD" w:rsidRDefault="004A4BDD" w:rsidP="002416CF">
      <w:pPr>
        <w:spacing w:after="0" w:line="480" w:lineRule="auto"/>
        <w:jc w:val="both"/>
        <w:rPr>
          <w:rFonts w:ascii="Times New Roman" w:hAnsi="Times New Roman" w:cs="Times New Roman"/>
          <w:b/>
          <w:color w:val="242021"/>
          <w:sz w:val="24"/>
          <w:szCs w:val="24"/>
        </w:rPr>
      </w:pPr>
    </w:p>
    <w:p w:rsidR="004A4BDD" w:rsidRDefault="004A4BDD" w:rsidP="002416CF">
      <w:pPr>
        <w:spacing w:after="0" w:line="480" w:lineRule="auto"/>
        <w:jc w:val="both"/>
        <w:rPr>
          <w:rFonts w:ascii="Times New Roman" w:hAnsi="Times New Roman" w:cs="Times New Roman"/>
          <w:b/>
          <w:color w:val="242021"/>
          <w:sz w:val="24"/>
          <w:szCs w:val="24"/>
        </w:rPr>
      </w:pPr>
    </w:p>
    <w:p w:rsidR="004A4BDD" w:rsidRPr="001B7283" w:rsidRDefault="004A4BDD" w:rsidP="002416CF">
      <w:pPr>
        <w:spacing w:after="0" w:line="480" w:lineRule="auto"/>
        <w:jc w:val="both"/>
        <w:rPr>
          <w:rFonts w:ascii="Times New Roman" w:hAnsi="Times New Roman" w:cs="Times New Roman"/>
          <w:color w:val="242021"/>
          <w:sz w:val="24"/>
          <w:szCs w:val="24"/>
        </w:rPr>
      </w:pPr>
      <w:r w:rsidRPr="001B7283">
        <w:rPr>
          <w:rFonts w:ascii="Times New Roman" w:hAnsi="Times New Roman" w:cs="Times New Roman"/>
          <w:b/>
          <w:color w:val="242021"/>
          <w:sz w:val="24"/>
          <w:szCs w:val="24"/>
        </w:rPr>
        <w:t>Implications</w:t>
      </w:r>
    </w:p>
    <w:p w:rsidR="004A4BDD" w:rsidRPr="002416CF" w:rsidRDefault="004A4BDD" w:rsidP="002416CF">
      <w:pPr>
        <w:spacing w:after="0" w:line="480" w:lineRule="auto"/>
        <w:jc w:val="both"/>
        <w:rPr>
          <w:rStyle w:val="fontstyle01"/>
          <w:rFonts w:ascii="Times New Roman" w:hAnsi="Times New Roman" w:cs="Times New Roman"/>
          <w:b w:val="0"/>
          <w:bCs w:val="0"/>
          <w:color w:val="auto"/>
          <w:sz w:val="24"/>
          <w:szCs w:val="24"/>
        </w:rPr>
      </w:pPr>
      <w:r w:rsidRPr="001B7283">
        <w:rPr>
          <w:rFonts w:ascii="Times New Roman" w:hAnsi="Times New Roman" w:cs="Times New Roman"/>
          <w:sz w:val="24"/>
          <w:szCs w:val="24"/>
        </w:rPr>
        <w:t>Naswar is a form of SLT used extensively in Pakistan, Central Asia and Pashtun populations across the globe. This study provides an important insight into the Naswar retail environment in a geographical setting where the use of Naswar is endemic. The study brings to fore previously un-reported issues like an urban-rural disparity, and differences between exclusive and non-exclusive Naswar sellers, with regards to Naswar advertisement and promotion. These findings have potential implication on the implementation of tobacco control retail policies. Lack of health warnings and free display of Naswar brands call for alignment of tobacco control efforts with the FCTC.</w:t>
      </w:r>
    </w:p>
    <w:p w:rsidR="004A4BDD" w:rsidRPr="001B7283" w:rsidRDefault="004A4BDD" w:rsidP="002416CF">
      <w:pPr>
        <w:spacing w:after="240" w:line="480" w:lineRule="auto"/>
        <w:rPr>
          <w:rStyle w:val="fontstyle01"/>
          <w:rFonts w:ascii="Times New Roman" w:hAnsi="Times New Roman" w:cs="Times New Roman"/>
          <w:color w:val="auto"/>
          <w:sz w:val="24"/>
          <w:szCs w:val="24"/>
        </w:rPr>
      </w:pPr>
      <w:r w:rsidRPr="001B7283">
        <w:rPr>
          <w:rStyle w:val="fontstyle01"/>
          <w:rFonts w:ascii="Times New Roman" w:hAnsi="Times New Roman" w:cs="Times New Roman"/>
          <w:color w:val="auto"/>
          <w:sz w:val="24"/>
          <w:szCs w:val="24"/>
        </w:rPr>
        <w:t>Introduction</w:t>
      </w:r>
    </w:p>
    <w:p w:rsidR="004A4BDD" w:rsidRPr="001B7283" w:rsidRDefault="004A4BDD" w:rsidP="002416CF">
      <w:pPr>
        <w:spacing w:line="480" w:lineRule="auto"/>
        <w:jc w:val="both"/>
        <w:rPr>
          <w:rFonts w:ascii="Times New Roman" w:eastAsia="Times New Roman" w:hAnsi="Times New Roman" w:cs="Times New Roman"/>
          <w:sz w:val="24"/>
          <w:szCs w:val="24"/>
        </w:rPr>
      </w:pPr>
      <w:r w:rsidRPr="001B7283">
        <w:rPr>
          <w:rFonts w:ascii="Times New Roman" w:hAnsi="Times New Roman" w:cs="Times New Roman"/>
          <w:sz w:val="24"/>
          <w:szCs w:val="24"/>
        </w:rPr>
        <w:t>Smokeless tobacco (SLT) refers to tobacco products that are used without burning the product</w:t>
      </w:r>
      <w:r w:rsidRPr="001B7283">
        <w:rPr>
          <w:rFonts w:ascii="Times New Roman" w:hAnsi="Times New Roman" w:cs="Times New Roman"/>
          <w:sz w:val="24"/>
          <w:szCs w:val="24"/>
        </w:rPr>
        <w:fldChar w:fldCharType="begin"/>
      </w:r>
      <w:r w:rsidRPr="001B7283">
        <w:rPr>
          <w:rFonts w:ascii="Times New Roman" w:hAnsi="Times New Roman" w:cs="Times New Roman"/>
          <w:sz w:val="24"/>
          <w:szCs w:val="24"/>
        </w:rPr>
        <w:instrText xml:space="preserve"> ADDIN EN.CITE &lt;EndNote&gt;&lt;Cite&gt;&lt;Author&gt;Group&lt;/Author&gt;&lt;Year&gt;2007&lt;/Year&gt;&lt;RecNum&gt;95&lt;/RecNum&gt;&lt;DisplayText&gt;&lt;style face="superscript"&gt;1&lt;/style&gt;&lt;/DisplayText&gt;&lt;record&gt;&lt;rec-number&gt;95&lt;/rec-number&gt;&lt;foreign-keys&gt;&lt;key app="EN" db-id="0r20erz9ns99dsevse6xrtvdxe2s9529vaa5" timestamp="1583086911"&gt;95&lt;/key&gt;&lt;/foreign-keys&gt;&lt;ref-type name="Book"&gt;6&lt;/ref-type&gt;&lt;contributors&gt;&lt;authors&gt;&lt;author&gt;IARC Working Group &lt;/author&gt;&lt;author&gt;World Health Organization&lt;/author&gt;&lt;/authors&gt;&lt;/contributors&gt;&lt;titles&gt;&lt;title&gt;Smokeless tobacco and some tobacco-specific N-nitrosamines.&lt;/title&gt;&lt;/titles&gt;&lt;volume&gt;89&lt;/volume&gt;&lt;dates&gt;&lt;year&gt;2007&lt;/year&gt;&lt;/dates&gt;&lt;publisher&gt;World Health Organization&lt;/publisher&gt;&lt;isbn&gt;9283212894&lt;/isbn&gt;&lt;urls&gt;&lt;/urls&gt;&lt;/record&gt;&lt;/Cite&gt;&lt;/EndNote&gt;</w:instrText>
      </w:r>
      <w:r w:rsidRPr="001B7283">
        <w:rPr>
          <w:rFonts w:ascii="Times New Roman" w:hAnsi="Times New Roman" w:cs="Times New Roman"/>
          <w:sz w:val="24"/>
          <w:szCs w:val="24"/>
        </w:rPr>
        <w:fldChar w:fldCharType="separate"/>
      </w:r>
      <w:r w:rsidRPr="001B7283">
        <w:rPr>
          <w:rFonts w:ascii="Times New Roman" w:hAnsi="Times New Roman" w:cs="Times New Roman"/>
          <w:noProof/>
          <w:sz w:val="24"/>
          <w:szCs w:val="24"/>
          <w:vertAlign w:val="superscript"/>
        </w:rPr>
        <w:t>1</w:t>
      </w:r>
      <w:r w:rsidRPr="001B7283">
        <w:rPr>
          <w:rFonts w:ascii="Times New Roman" w:hAnsi="Times New Roman" w:cs="Times New Roman"/>
          <w:sz w:val="24"/>
          <w:szCs w:val="24"/>
        </w:rPr>
        <w:fldChar w:fldCharType="end"/>
      </w:r>
      <w:r w:rsidRPr="001B7283">
        <w:rPr>
          <w:rFonts w:ascii="Times New Roman" w:hAnsi="Times New Roman" w:cs="Times New Roman"/>
          <w:sz w:val="24"/>
          <w:szCs w:val="24"/>
        </w:rPr>
        <w:t xml:space="preserve"> and are consumed orally or via the nose</w:t>
      </w:r>
      <w:r w:rsidRPr="001B7283">
        <w:rPr>
          <w:rFonts w:ascii="Times New Roman" w:hAnsi="Times New Roman" w:cs="Times New Roman"/>
          <w:noProof/>
          <w:sz w:val="24"/>
          <w:szCs w:val="24"/>
          <w:vertAlign w:val="superscript"/>
        </w:rPr>
        <w:t>2</w:t>
      </w:r>
      <w:r w:rsidRPr="001B7283">
        <w:rPr>
          <w:rFonts w:ascii="Times New Roman" w:hAnsi="Times New Roman" w:cs="Times New Roman"/>
          <w:sz w:val="24"/>
          <w:szCs w:val="24"/>
        </w:rPr>
        <w:t>. More than 40 SLT products have been identified across the globe</w:t>
      </w:r>
      <w:r w:rsidRPr="001B7283">
        <w:rPr>
          <w:rFonts w:ascii="Times New Roman" w:hAnsi="Times New Roman" w:cs="Times New Roman"/>
          <w:noProof/>
          <w:sz w:val="24"/>
          <w:szCs w:val="24"/>
          <w:vertAlign w:val="superscript"/>
        </w:rPr>
        <w:t>2</w:t>
      </w:r>
      <w:r w:rsidRPr="001B7283">
        <w:rPr>
          <w:rFonts w:ascii="Times New Roman" w:hAnsi="Times New Roman" w:cs="Times New Roman"/>
          <w:sz w:val="24"/>
          <w:szCs w:val="24"/>
        </w:rPr>
        <w:t xml:space="preserve"> and most are considered carcinogenic by the International Agency for Research on Cancer. More than 90% of the estimated 350 million people using SLT worldwide live in South Asian countries including Pakistan</w:t>
      </w:r>
      <w:r w:rsidRPr="001B7283">
        <w:rPr>
          <w:rFonts w:ascii="Times New Roman" w:hAnsi="Times New Roman" w:cs="Times New Roman"/>
          <w:noProof/>
          <w:sz w:val="24"/>
          <w:szCs w:val="24"/>
          <w:vertAlign w:val="superscript"/>
        </w:rPr>
        <w:t>3</w:t>
      </w:r>
      <w:r w:rsidRPr="001B7283">
        <w:rPr>
          <w:rFonts w:ascii="Times New Roman" w:hAnsi="Times New Roman" w:cs="Times New Roman"/>
          <w:sz w:val="24"/>
          <w:szCs w:val="24"/>
          <w:vertAlign w:val="superscript"/>
        </w:rPr>
        <w:t xml:space="preserve"> </w:t>
      </w:r>
      <w:r w:rsidRPr="001B7283">
        <w:rPr>
          <w:rFonts w:ascii="Times New Roman" w:hAnsi="Times New Roman" w:cs="Times New Roman"/>
          <w:noProof/>
          <w:sz w:val="24"/>
          <w:szCs w:val="24"/>
          <w:vertAlign w:val="superscript"/>
        </w:rPr>
        <w:t>4</w:t>
      </w:r>
      <w:r w:rsidRPr="001B7283">
        <w:rPr>
          <w:rFonts w:ascii="Times New Roman" w:hAnsi="Times New Roman" w:cs="Times New Roman"/>
          <w:sz w:val="24"/>
          <w:szCs w:val="24"/>
        </w:rPr>
        <w:t>. The global adult tobacco survey (GATS) of 2014 estimates that approximately 17 million adults in</w:t>
      </w:r>
      <w:r w:rsidRPr="001B7283">
        <w:rPr>
          <w:rStyle w:val="CommentReference"/>
          <w:rFonts w:ascii="Times New Roman" w:hAnsi="Times New Roman" w:cs="Times New Roman"/>
        </w:rPr>
        <w:t xml:space="preserve"> </w:t>
      </w:r>
      <w:r w:rsidRPr="001B7283">
        <w:rPr>
          <w:rFonts w:ascii="Times New Roman" w:hAnsi="Times New Roman" w:cs="Times New Roman"/>
          <w:sz w:val="24"/>
          <w:szCs w:val="24"/>
        </w:rPr>
        <w:t>Pakistan use smokeless tobacco</w:t>
      </w:r>
      <w:r w:rsidRPr="001B7283">
        <w:rPr>
          <w:rFonts w:ascii="Times New Roman" w:hAnsi="Times New Roman" w:cs="Times New Roman"/>
          <w:noProof/>
          <w:sz w:val="24"/>
          <w:szCs w:val="24"/>
          <w:vertAlign w:val="superscript"/>
        </w:rPr>
        <w:t>5</w:t>
      </w:r>
      <w:r w:rsidRPr="001B7283">
        <w:rPr>
          <w:rFonts w:ascii="Times New Roman" w:hAnsi="Times New Roman" w:cs="Times New Roman"/>
          <w:sz w:val="24"/>
          <w:szCs w:val="24"/>
        </w:rPr>
        <w:t>. Paan (Betel quid with tobacco), Gutkha and Naswar are the most common SLT products used in Pakistan</w:t>
      </w:r>
      <w:r w:rsidRPr="001B7283">
        <w:rPr>
          <w:rFonts w:ascii="Times New Roman" w:hAnsi="Times New Roman" w:cs="Times New Roman"/>
          <w:noProof/>
          <w:sz w:val="24"/>
          <w:szCs w:val="24"/>
          <w:vertAlign w:val="superscript"/>
        </w:rPr>
        <w:t>6</w:t>
      </w:r>
      <w:r w:rsidRPr="001B7283">
        <w:rPr>
          <w:rFonts w:ascii="Times New Roman" w:hAnsi="Times New Roman" w:cs="Times New Roman"/>
          <w:sz w:val="24"/>
          <w:szCs w:val="24"/>
        </w:rPr>
        <w:t xml:space="preserve"> </w:t>
      </w:r>
      <w:r w:rsidRPr="001B7283">
        <w:rPr>
          <w:rFonts w:ascii="Times New Roman" w:hAnsi="Times New Roman" w:cs="Times New Roman"/>
          <w:noProof/>
          <w:sz w:val="24"/>
          <w:szCs w:val="24"/>
          <w:vertAlign w:val="superscript"/>
        </w:rPr>
        <w:t>7</w:t>
      </w:r>
      <w:r w:rsidRPr="001B7283">
        <w:rPr>
          <w:rFonts w:ascii="Times New Roman" w:hAnsi="Times New Roman" w:cs="Times New Roman"/>
          <w:sz w:val="24"/>
          <w:szCs w:val="24"/>
        </w:rPr>
        <w:t xml:space="preserve">. Naswar is primarily a combination of dried and powdered tobacco, ash, water and lime with supplementary addition of other ingredients such as </w:t>
      </w:r>
      <w:r w:rsidRPr="001B7283">
        <w:rPr>
          <w:rFonts w:ascii="Times New Roman" w:hAnsi="Times New Roman" w:cs="Times New Roman"/>
          <w:color w:val="000000"/>
          <w:sz w:val="24"/>
          <w:szCs w:val="24"/>
        </w:rPr>
        <w:t>cardamom and menthol as flavoring agents and indigo as a coloring agent</w:t>
      </w:r>
      <w:r w:rsidRPr="001B7283">
        <w:rPr>
          <w:rFonts w:ascii="Times New Roman" w:hAnsi="Times New Roman" w:cs="Times New Roman"/>
          <w:noProof/>
          <w:color w:val="000000"/>
          <w:sz w:val="24"/>
          <w:szCs w:val="24"/>
          <w:vertAlign w:val="superscript"/>
        </w:rPr>
        <w:t>8</w:t>
      </w:r>
      <w:r w:rsidRPr="001B7283">
        <w:rPr>
          <w:rFonts w:ascii="Times New Roman" w:hAnsi="Times New Roman" w:cs="Times New Roman"/>
          <w:color w:val="000000"/>
          <w:sz w:val="24"/>
          <w:szCs w:val="24"/>
        </w:rPr>
        <w:t xml:space="preserve">. Historically, </w:t>
      </w:r>
      <w:r w:rsidRPr="001B7283">
        <w:rPr>
          <w:rFonts w:ascii="Times New Roman" w:hAnsi="Times New Roman" w:cs="Times New Roman"/>
          <w:sz w:val="24"/>
          <w:szCs w:val="24"/>
        </w:rPr>
        <w:t xml:space="preserve">Naswar has mostly consumed by the tribes of South and Central Asia, but it is now also available in other parts of the world </w:t>
      </w:r>
      <w:r w:rsidRPr="00D62547">
        <w:rPr>
          <w:rFonts w:ascii="Times New Roman" w:hAnsi="Times New Roman" w:cs="Times New Roman"/>
          <w:noProof/>
          <w:sz w:val="24"/>
          <w:szCs w:val="24"/>
          <w:vertAlign w:val="superscript"/>
        </w:rPr>
        <w:t>7,8</w:t>
      </w:r>
      <w:r w:rsidRPr="001B7283">
        <w:rPr>
          <w:rFonts w:ascii="Times New Roman" w:hAnsi="Times New Roman" w:cs="Times New Roman"/>
          <w:sz w:val="24"/>
          <w:szCs w:val="24"/>
        </w:rPr>
        <w:t xml:space="preserve">. Naswar is commonly used by the Pashtun ethnic population of Pakistan, living mostly in the Khyber Pakhtunkhwa, Baluchistan, and Sindh </w:t>
      </w:r>
      <w:r w:rsidRPr="001B7283">
        <w:rPr>
          <w:rFonts w:ascii="Times New Roman" w:hAnsi="Times New Roman" w:cs="Times New Roman"/>
          <w:sz w:val="24"/>
          <w:szCs w:val="24"/>
        </w:rPr>
        <w:lastRenderedPageBreak/>
        <w:t>provinces</w:t>
      </w:r>
      <w:r w:rsidRPr="001B7283">
        <w:rPr>
          <w:rFonts w:ascii="Times New Roman" w:hAnsi="Times New Roman" w:cs="Times New Roman"/>
          <w:noProof/>
          <w:sz w:val="24"/>
          <w:szCs w:val="24"/>
          <w:vertAlign w:val="superscript"/>
        </w:rPr>
        <w:t>9</w:t>
      </w:r>
      <w:r w:rsidRPr="001B7283">
        <w:rPr>
          <w:rFonts w:ascii="Times New Roman" w:hAnsi="Times New Roman" w:cs="Times New Roman"/>
          <w:sz w:val="24"/>
          <w:szCs w:val="24"/>
        </w:rPr>
        <w:t>. An estimated 60% of tobacco consumed in the capital city of Khyber Pakhtunkhwa, Peshawar, is in the form of Naswar</w:t>
      </w:r>
      <w:r w:rsidRPr="001B7283">
        <w:rPr>
          <w:rFonts w:ascii="Times New Roman" w:hAnsi="Times New Roman" w:cs="Times New Roman"/>
          <w:noProof/>
          <w:sz w:val="24"/>
          <w:szCs w:val="24"/>
          <w:vertAlign w:val="superscript"/>
        </w:rPr>
        <w:t>10</w:t>
      </w:r>
      <w:r w:rsidRPr="001B7283">
        <w:rPr>
          <w:rFonts w:ascii="Times New Roman" w:hAnsi="Times New Roman" w:cs="Times New Roman"/>
          <w:sz w:val="24"/>
          <w:szCs w:val="24"/>
        </w:rPr>
        <w:t>.</w:t>
      </w:r>
      <w:r w:rsidRPr="001B7283">
        <w:rPr>
          <w:rFonts w:ascii="Times New Roman" w:hAnsi="Times New Roman" w:cs="Times New Roman"/>
          <w:color w:val="000000"/>
          <w:sz w:val="24"/>
          <w:szCs w:val="24"/>
        </w:rPr>
        <w:t xml:space="preserve"> </w:t>
      </w:r>
      <w:r w:rsidRPr="001B7283">
        <w:rPr>
          <w:rFonts w:ascii="Times New Roman" w:hAnsi="Times New Roman" w:cs="Times New Roman"/>
          <w:sz w:val="24"/>
          <w:szCs w:val="24"/>
        </w:rPr>
        <w:t>There, it is available as a moulded solid product, packed in small transparent poly-ethylene bags. Naswar, produced mostly by informal manufacturers, holds a nicotine level of 7-26mg/g</w:t>
      </w:r>
      <w:r w:rsidRPr="001F3140">
        <w:rPr>
          <w:rFonts w:ascii="Times New Roman" w:hAnsi="Times New Roman" w:cs="Times New Roman"/>
          <w:noProof/>
          <w:sz w:val="24"/>
          <w:szCs w:val="24"/>
          <w:vertAlign w:val="superscript"/>
        </w:rPr>
        <w:t>8</w:t>
      </w:r>
      <w:r w:rsidRPr="001B7283">
        <w:rPr>
          <w:rFonts w:ascii="Times New Roman" w:hAnsi="Times New Roman" w:cs="Times New Roman"/>
          <w:sz w:val="24"/>
          <w:szCs w:val="24"/>
        </w:rPr>
        <w:t xml:space="preserve"> and TSNAs (tobacco specific nitrosamines) level of </w:t>
      </w:r>
      <w:r w:rsidRPr="001B7283">
        <w:rPr>
          <w:rFonts w:ascii="Times New Roman" w:eastAsia="Times New Roman" w:hAnsi="Times New Roman" w:cs="Times New Roman"/>
          <w:color w:val="000000"/>
          <w:sz w:val="24"/>
          <w:szCs w:val="24"/>
        </w:rPr>
        <w:t>478–1380</w:t>
      </w:r>
      <w:r w:rsidRPr="001B7283">
        <w:rPr>
          <w:rFonts w:ascii="Times New Roman" w:eastAsia="Times New Roman" w:hAnsi="Times New Roman" w:cs="Times New Roman"/>
          <w:sz w:val="24"/>
          <w:szCs w:val="24"/>
        </w:rPr>
        <w:t xml:space="preserve"> ng/g wet weight</w:t>
      </w:r>
      <w:r w:rsidRPr="001B7283">
        <w:rPr>
          <w:rFonts w:ascii="Times New Roman" w:eastAsia="Times New Roman" w:hAnsi="Times New Roman" w:cs="Times New Roman"/>
          <w:noProof/>
          <w:sz w:val="24"/>
          <w:szCs w:val="24"/>
          <w:vertAlign w:val="superscript"/>
        </w:rPr>
        <w:t>6</w:t>
      </w:r>
      <w:r w:rsidRPr="001B7283">
        <w:rPr>
          <w:rFonts w:ascii="Times New Roman" w:hAnsi="Times New Roman" w:cs="Times New Roman"/>
          <w:sz w:val="24"/>
          <w:szCs w:val="24"/>
        </w:rPr>
        <w:t>. It is highly addictive, far cheaper than cigarettes and culturally acceptable</w:t>
      </w:r>
      <w:r w:rsidRPr="001F3140">
        <w:rPr>
          <w:rFonts w:ascii="Times New Roman" w:hAnsi="Times New Roman" w:cs="Times New Roman"/>
          <w:noProof/>
          <w:sz w:val="24"/>
          <w:szCs w:val="24"/>
          <w:vertAlign w:val="superscript"/>
        </w:rPr>
        <w:t>11</w:t>
      </w:r>
      <w:r w:rsidRPr="001B7283">
        <w:rPr>
          <w:rFonts w:ascii="Times New Roman" w:hAnsi="Times New Roman" w:cs="Times New Roman"/>
          <w:sz w:val="24"/>
          <w:szCs w:val="24"/>
        </w:rPr>
        <w:t xml:space="preserve">.  </w:t>
      </w:r>
    </w:p>
    <w:p w:rsidR="004A4BDD" w:rsidRPr="001B7283" w:rsidRDefault="004A4BDD" w:rsidP="002416CF">
      <w:pPr>
        <w:spacing w:after="240" w:line="480" w:lineRule="auto"/>
        <w:jc w:val="both"/>
        <w:rPr>
          <w:rFonts w:ascii="Times New Roman" w:hAnsi="Times New Roman" w:cs="Times New Roman"/>
          <w:color w:val="242021"/>
          <w:sz w:val="24"/>
          <w:szCs w:val="24"/>
        </w:rPr>
      </w:pPr>
      <w:r w:rsidRPr="001B7283">
        <w:rPr>
          <w:rFonts w:ascii="Times New Roman" w:hAnsi="Times New Roman" w:cs="Times New Roman"/>
          <w:sz w:val="24"/>
          <w:szCs w:val="24"/>
        </w:rPr>
        <w:t>In 2005, Pakistan ratified the WHO “Framework Convention on Tobacco Control (FCTC)”</w:t>
      </w:r>
      <w:r w:rsidRPr="001F3140">
        <w:rPr>
          <w:rFonts w:ascii="Times New Roman" w:hAnsi="Times New Roman" w:cs="Times New Roman"/>
          <w:noProof/>
          <w:sz w:val="24"/>
          <w:szCs w:val="24"/>
          <w:vertAlign w:val="superscript"/>
        </w:rPr>
        <w:t>12</w:t>
      </w:r>
      <w:r w:rsidRPr="001B7283">
        <w:rPr>
          <w:rFonts w:ascii="Times New Roman" w:hAnsi="Times New Roman" w:cs="Times New Roman"/>
          <w:sz w:val="24"/>
          <w:szCs w:val="24"/>
        </w:rPr>
        <w:t xml:space="preserve">, which provides guidance to governments on the regulation and control of tobacco including SLT. Among the five key demand reduction articles of the FCTC, two articles focus on the </w:t>
      </w:r>
      <w:r w:rsidRPr="001B7283">
        <w:rPr>
          <w:rFonts w:ascii="Times New Roman" w:hAnsi="Times New Roman" w:cs="Times New Roman"/>
          <w:color w:val="242021"/>
          <w:sz w:val="24"/>
          <w:szCs w:val="24"/>
        </w:rPr>
        <w:t>packaging and labeling of tobacco products (Article 11) and tobacco advertisement, promotion and sponsorship (Article 13)</w:t>
      </w:r>
      <w:r w:rsidRPr="001F3140">
        <w:rPr>
          <w:rFonts w:ascii="Times New Roman" w:hAnsi="Times New Roman" w:cs="Times New Roman"/>
          <w:noProof/>
          <w:color w:val="242021"/>
          <w:sz w:val="24"/>
          <w:szCs w:val="24"/>
          <w:vertAlign w:val="superscript"/>
        </w:rPr>
        <w:t>13</w:t>
      </w:r>
      <w:r w:rsidRPr="001B7283">
        <w:rPr>
          <w:rFonts w:ascii="Times New Roman" w:hAnsi="Times New Roman" w:cs="Times New Roman"/>
          <w:color w:val="242021"/>
          <w:sz w:val="24"/>
          <w:szCs w:val="24"/>
        </w:rPr>
        <w:t>.  Product visibility as means of tobacco marketing has become an important tool for tobacco vendors. Tobacco products are made more noticeable through striking pack designs, shapes, and by deliberately placing the products on display within the customer’s view</w:t>
      </w:r>
      <w:r w:rsidRPr="001F3140">
        <w:rPr>
          <w:rFonts w:ascii="Times New Roman" w:hAnsi="Times New Roman" w:cs="Times New Roman"/>
          <w:noProof/>
          <w:color w:val="242021"/>
          <w:sz w:val="24"/>
          <w:szCs w:val="24"/>
          <w:vertAlign w:val="superscript"/>
        </w:rPr>
        <w:t>14</w:t>
      </w:r>
      <w:r w:rsidRPr="001B7283">
        <w:rPr>
          <w:rFonts w:ascii="Times New Roman" w:hAnsi="Times New Roman" w:cs="Times New Roman"/>
          <w:color w:val="242021"/>
          <w:sz w:val="24"/>
          <w:szCs w:val="24"/>
        </w:rPr>
        <w:t>.</w:t>
      </w:r>
      <w:r w:rsidRPr="001B7283">
        <w:rPr>
          <w:rFonts w:ascii="Times New Roman" w:hAnsi="Times New Roman" w:cs="Times New Roman"/>
          <w:sz w:val="24"/>
        </w:rPr>
        <w:t xml:space="preserve"> Evidence shows that</w:t>
      </w:r>
      <w:r w:rsidRPr="001B7283">
        <w:rPr>
          <w:rFonts w:ascii="Times New Roman" w:hAnsi="Times New Roman" w:cs="Times New Roman"/>
          <w:color w:val="242021"/>
          <w:sz w:val="24"/>
          <w:szCs w:val="24"/>
        </w:rPr>
        <w:t xml:space="preserve"> brand advertisements at the point of sale (POS), are a key predictor of tobacco uptake, especially in young people</w:t>
      </w:r>
      <w:r w:rsidRPr="001F3140">
        <w:rPr>
          <w:rFonts w:ascii="Times New Roman" w:hAnsi="Times New Roman" w:cs="Times New Roman"/>
          <w:noProof/>
          <w:color w:val="242021"/>
          <w:sz w:val="24"/>
          <w:szCs w:val="24"/>
          <w:vertAlign w:val="superscript"/>
        </w:rPr>
        <w:t>15,16</w:t>
      </w:r>
      <w:r w:rsidRPr="001B7283">
        <w:rPr>
          <w:rFonts w:ascii="Times New Roman" w:hAnsi="Times New Roman" w:cs="Times New Roman"/>
          <w:sz w:val="24"/>
        </w:rPr>
        <w:t xml:space="preserve">and bans on tobacco advertisement and promotion at the </w:t>
      </w:r>
      <w:r w:rsidRPr="001B7283">
        <w:rPr>
          <w:rFonts w:ascii="Times New Roman" w:hAnsi="Times New Roman" w:cs="Times New Roman"/>
          <w:sz w:val="24"/>
          <w:szCs w:val="24"/>
        </w:rPr>
        <w:t xml:space="preserve">POS </w:t>
      </w:r>
      <w:r w:rsidRPr="001B7283">
        <w:rPr>
          <w:rFonts w:ascii="Times New Roman" w:hAnsi="Times New Roman" w:cs="Times New Roman"/>
          <w:sz w:val="24"/>
        </w:rPr>
        <w:t>have been shown to a decrease in susceptibility to tobacco use among youth and adults</w:t>
      </w:r>
      <w:r w:rsidRPr="001F3140">
        <w:rPr>
          <w:rFonts w:ascii="Times New Roman" w:hAnsi="Times New Roman" w:cs="Times New Roman"/>
          <w:noProof/>
          <w:sz w:val="24"/>
          <w:vertAlign w:val="superscript"/>
        </w:rPr>
        <w:t>17-20</w:t>
      </w:r>
      <w:r w:rsidRPr="001B7283">
        <w:rPr>
          <w:rFonts w:ascii="Times New Roman" w:hAnsi="Times New Roman" w:cs="Times New Roman"/>
          <w:color w:val="242021"/>
          <w:sz w:val="24"/>
          <w:szCs w:val="24"/>
        </w:rPr>
        <w:t>. Written and graphic health warnings on product packaging are also an effective tool in curbing tobacco use</w:t>
      </w:r>
      <w:r w:rsidRPr="001F3140">
        <w:rPr>
          <w:rFonts w:ascii="Times New Roman" w:hAnsi="Times New Roman" w:cs="Times New Roman"/>
          <w:noProof/>
          <w:color w:val="242021"/>
          <w:sz w:val="24"/>
          <w:szCs w:val="24"/>
          <w:vertAlign w:val="superscript"/>
        </w:rPr>
        <w:t>21</w:t>
      </w:r>
      <w:r w:rsidRPr="001B7283">
        <w:rPr>
          <w:rFonts w:ascii="Times New Roman" w:hAnsi="Times New Roman" w:cs="Times New Roman"/>
          <w:color w:val="242021"/>
          <w:sz w:val="24"/>
          <w:szCs w:val="24"/>
        </w:rPr>
        <w:t>, the latter being particularly effective in communicating the information of health risks to tobacco users, reinforcing their intention to quit, and motivating them to decrease their daily consumption</w:t>
      </w:r>
      <w:r w:rsidRPr="001F3140">
        <w:rPr>
          <w:rFonts w:ascii="Times New Roman" w:hAnsi="Times New Roman" w:cs="Times New Roman"/>
          <w:noProof/>
          <w:color w:val="242021"/>
          <w:sz w:val="24"/>
          <w:szCs w:val="24"/>
          <w:vertAlign w:val="superscript"/>
        </w:rPr>
        <w:t>22-24</w:t>
      </w:r>
      <w:r w:rsidRPr="001B7283">
        <w:rPr>
          <w:rFonts w:ascii="Times New Roman" w:hAnsi="Times New Roman" w:cs="Times New Roman"/>
          <w:color w:val="242021"/>
          <w:sz w:val="24"/>
          <w:szCs w:val="24"/>
        </w:rPr>
        <w:t xml:space="preserve">. </w:t>
      </w:r>
    </w:p>
    <w:p w:rsidR="004A4BDD" w:rsidRPr="001B7283" w:rsidRDefault="004A4BDD" w:rsidP="002416CF">
      <w:pPr>
        <w:spacing w:after="240" w:line="480" w:lineRule="auto"/>
        <w:jc w:val="both"/>
        <w:rPr>
          <w:rFonts w:ascii="Times New Roman" w:hAnsi="Times New Roman" w:cs="Times New Roman"/>
          <w:sz w:val="24"/>
          <w:szCs w:val="24"/>
        </w:rPr>
      </w:pPr>
      <w:r w:rsidRPr="001B7283">
        <w:rPr>
          <w:rFonts w:ascii="Times New Roman" w:hAnsi="Times New Roman" w:cs="Times New Roman"/>
          <w:sz w:val="24"/>
          <w:szCs w:val="24"/>
        </w:rPr>
        <w:t>Although Pakistan has made substantial progress in the policies to control smoking</w:t>
      </w:r>
      <w:r w:rsidRPr="001F3140">
        <w:rPr>
          <w:rFonts w:ascii="Times New Roman" w:hAnsi="Times New Roman" w:cs="Times New Roman"/>
          <w:noProof/>
          <w:sz w:val="24"/>
          <w:szCs w:val="24"/>
          <w:vertAlign w:val="superscript"/>
        </w:rPr>
        <w:t>25</w:t>
      </w:r>
      <w:r w:rsidRPr="001B7283">
        <w:rPr>
          <w:rFonts w:ascii="Times New Roman" w:hAnsi="Times New Roman" w:cs="Times New Roman"/>
          <w:sz w:val="24"/>
          <w:szCs w:val="24"/>
        </w:rPr>
        <w:t>, the progress on SLT control has been lagging</w:t>
      </w:r>
      <w:r w:rsidRPr="001F3140">
        <w:rPr>
          <w:rFonts w:ascii="Times New Roman" w:hAnsi="Times New Roman" w:cs="Times New Roman"/>
          <w:noProof/>
          <w:sz w:val="24"/>
          <w:szCs w:val="24"/>
          <w:vertAlign w:val="superscript"/>
        </w:rPr>
        <w:t>12</w:t>
      </w:r>
      <w:r w:rsidRPr="001B7283">
        <w:rPr>
          <w:rFonts w:ascii="Times New Roman" w:hAnsi="Times New Roman" w:cs="Times New Roman"/>
          <w:sz w:val="24"/>
          <w:szCs w:val="24"/>
        </w:rPr>
        <w:t xml:space="preserve">. Pakistan introduced its first tobacco control principal ordinance, the Cigarettes (Printing of Warning) Ordinance, in 1979. The ordinance and its subsequent amendments necessitate a combined written and graphic health warning covering 50% </w:t>
      </w:r>
      <w:r w:rsidRPr="001B7283">
        <w:rPr>
          <w:rFonts w:ascii="Times New Roman" w:hAnsi="Times New Roman" w:cs="Times New Roman"/>
          <w:sz w:val="24"/>
          <w:szCs w:val="24"/>
        </w:rPr>
        <w:lastRenderedPageBreak/>
        <w:t>or more of the</w:t>
      </w:r>
      <w:r w:rsidRPr="001B7283">
        <w:rPr>
          <w:rStyle w:val="CommentReference"/>
          <w:rFonts w:ascii="Times New Roman" w:hAnsi="Times New Roman" w:cs="Times New Roman"/>
        </w:rPr>
        <w:t xml:space="preserve"> </w:t>
      </w:r>
      <w:r w:rsidRPr="001B7283">
        <w:rPr>
          <w:rFonts w:ascii="Times New Roman" w:hAnsi="Times New Roman" w:cs="Times New Roman"/>
          <w:sz w:val="24"/>
          <w:szCs w:val="24"/>
        </w:rPr>
        <w:t>cigarette pack, but do not cover other forms of tobac</w:t>
      </w:r>
      <w:r w:rsidR="003E1520">
        <w:rPr>
          <w:rFonts w:ascii="Times New Roman" w:hAnsi="Times New Roman" w:cs="Times New Roman"/>
          <w:sz w:val="24"/>
          <w:szCs w:val="24"/>
        </w:rPr>
        <w:t>co, despite the FCTC Article 11</w:t>
      </w:r>
      <w:r w:rsidRPr="001B7283">
        <w:rPr>
          <w:rFonts w:ascii="Times New Roman" w:hAnsi="Times New Roman" w:cs="Times New Roman"/>
          <w:sz w:val="24"/>
          <w:szCs w:val="24"/>
        </w:rPr>
        <w:t xml:space="preserve"> requiring these on all the tobacco products, not just cigarettes</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Similarly, tobacco control laws in Pakistan prohibit many forms of tobacco advertisement and promotion such as in print and electronic media, outdoor advertising and free distribution of products</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At the tobacco POS there are restrictions on advertising through posters, banners, billboards, or fascia affixed outside a shop. In February 2020 a new statutory notification from the Pakistan Government has come into force, prohibiting display of tobacco products and advertising tobacco products inside the POS</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xml:space="preserve">. </w:t>
      </w:r>
    </w:p>
    <w:p w:rsidR="004A4BDD" w:rsidRPr="001B7283" w:rsidRDefault="004A4BDD" w:rsidP="002416CF">
      <w:pPr>
        <w:spacing w:after="240" w:line="480" w:lineRule="auto"/>
        <w:jc w:val="both"/>
        <w:rPr>
          <w:rFonts w:ascii="Times New Roman" w:hAnsi="Times New Roman" w:cs="Times New Roman"/>
          <w:b/>
          <w:color w:val="242021"/>
          <w:sz w:val="24"/>
          <w:szCs w:val="24"/>
        </w:rPr>
      </w:pPr>
      <w:r w:rsidRPr="001B7283">
        <w:rPr>
          <w:rFonts w:ascii="Times New Roman" w:hAnsi="Times New Roman" w:cs="Times New Roman"/>
          <w:sz w:val="24"/>
          <w:szCs w:val="24"/>
        </w:rPr>
        <w:t>As a signatory of the internationally binding FCTC,</w:t>
      </w:r>
      <w:r w:rsidRPr="001B7283">
        <w:rPr>
          <w:rFonts w:ascii="Times New Roman" w:hAnsi="Times New Roman" w:cs="Times New Roman"/>
        </w:rPr>
        <w:t xml:space="preserve"> </w:t>
      </w:r>
      <w:r w:rsidRPr="001B7283">
        <w:rPr>
          <w:rFonts w:ascii="Times New Roman" w:hAnsi="Times New Roman" w:cs="Times New Roman"/>
          <w:color w:val="242021"/>
          <w:sz w:val="24"/>
          <w:szCs w:val="24"/>
        </w:rPr>
        <w:t xml:space="preserve">Pakistan requires transformation of national tobacco control laws and subsequently the implementation of these laws in light of the guidance provided by FCTC. The national laws are reasonably elaborate for smoking but less clear on regulating smokeless tobacco products. This ambiguity can lead to poor </w:t>
      </w:r>
      <w:r>
        <w:rPr>
          <w:rFonts w:ascii="Times New Roman" w:hAnsi="Times New Roman" w:cs="Times New Roman"/>
          <w:color w:val="242021"/>
          <w:sz w:val="24"/>
          <w:szCs w:val="24"/>
        </w:rPr>
        <w:t xml:space="preserve">implementation and </w:t>
      </w:r>
      <w:r w:rsidRPr="001B7283">
        <w:rPr>
          <w:rFonts w:ascii="Times New Roman" w:hAnsi="Times New Roman" w:cs="Times New Roman"/>
          <w:color w:val="242021"/>
          <w:sz w:val="24"/>
          <w:szCs w:val="24"/>
        </w:rPr>
        <w:t xml:space="preserve">compliance. </w:t>
      </w:r>
      <w:r w:rsidRPr="00A33AC2">
        <w:rPr>
          <w:rFonts w:ascii="Times New Roman" w:hAnsi="Times New Roman" w:cs="Times New Roman"/>
          <w:color w:val="242021"/>
          <w:sz w:val="24"/>
          <w:szCs w:val="24"/>
        </w:rPr>
        <w:t xml:space="preserve">This study reports the compliance of Naswar with </w:t>
      </w:r>
      <w:r w:rsidR="003E1520" w:rsidRPr="00A33AC2">
        <w:rPr>
          <w:rFonts w:ascii="Times New Roman" w:hAnsi="Times New Roman" w:cs="Times New Roman"/>
          <w:color w:val="242021"/>
          <w:sz w:val="24"/>
          <w:szCs w:val="24"/>
        </w:rPr>
        <w:t xml:space="preserve">applicable </w:t>
      </w:r>
      <w:r w:rsidRPr="00A33AC2">
        <w:rPr>
          <w:rFonts w:ascii="Times New Roman" w:hAnsi="Times New Roman" w:cs="Times New Roman"/>
          <w:color w:val="242021"/>
          <w:sz w:val="24"/>
          <w:szCs w:val="24"/>
        </w:rPr>
        <w:t xml:space="preserve">national laws on packaging and sale practices in the Khyber Pakhtunkhwa province of Pakistan. </w:t>
      </w:r>
      <w:r w:rsidR="003E1520" w:rsidRPr="00A33AC2">
        <w:rPr>
          <w:rFonts w:ascii="Times New Roman" w:hAnsi="Times New Roman" w:cs="Times New Roman"/>
          <w:color w:val="242021"/>
          <w:sz w:val="24"/>
          <w:szCs w:val="24"/>
        </w:rPr>
        <w:t xml:space="preserve">Additionally, using these local products </w:t>
      </w:r>
      <w:r w:rsidRPr="00A33AC2">
        <w:rPr>
          <w:rFonts w:ascii="Times New Roman" w:hAnsi="Times New Roman" w:cs="Times New Roman"/>
          <w:color w:val="242021"/>
          <w:sz w:val="24"/>
          <w:szCs w:val="24"/>
        </w:rPr>
        <w:t xml:space="preserve">we assess the </w:t>
      </w:r>
      <w:r w:rsidRPr="00A33AC2">
        <w:rPr>
          <w:rFonts w:ascii="Times New Roman" w:hAnsi="Times New Roman" w:cs="Times New Roman"/>
          <w:sz w:val="24"/>
        </w:rPr>
        <w:t xml:space="preserve">implementation status of </w:t>
      </w:r>
      <w:r w:rsidR="003E1520" w:rsidRPr="00A33AC2">
        <w:rPr>
          <w:rFonts w:ascii="Times New Roman" w:hAnsi="Times New Roman" w:cs="Times New Roman"/>
          <w:sz w:val="24"/>
        </w:rPr>
        <w:t xml:space="preserve">tobacco </w:t>
      </w:r>
      <w:r w:rsidRPr="00A33AC2">
        <w:rPr>
          <w:rFonts w:ascii="Times New Roman" w:hAnsi="Times New Roman" w:cs="Times New Roman"/>
          <w:sz w:val="24"/>
        </w:rPr>
        <w:t xml:space="preserve">packaging and sales laws </w:t>
      </w:r>
      <w:r w:rsidR="003E1520" w:rsidRPr="00A33AC2">
        <w:rPr>
          <w:rFonts w:ascii="Times New Roman" w:hAnsi="Times New Roman" w:cs="Times New Roman"/>
          <w:sz w:val="24"/>
        </w:rPr>
        <w:t xml:space="preserve">as prescribed by </w:t>
      </w:r>
      <w:r w:rsidRPr="00A33AC2">
        <w:rPr>
          <w:rFonts w:ascii="Times New Roman" w:hAnsi="Times New Roman" w:cs="Times New Roman"/>
          <w:sz w:val="24"/>
        </w:rPr>
        <w:t xml:space="preserve">the FCTC guidelines </w:t>
      </w:r>
      <w:r w:rsidRPr="00A33AC2">
        <w:rPr>
          <w:rFonts w:ascii="Times New Roman" w:hAnsi="Times New Roman" w:cs="Times New Roman"/>
          <w:color w:val="242021"/>
          <w:sz w:val="24"/>
          <w:szCs w:val="24"/>
        </w:rPr>
        <w:t>(Articles 11 and 13)</w:t>
      </w:r>
      <w:r w:rsidRPr="00A33AC2">
        <w:rPr>
          <w:rFonts w:ascii="Times New Roman" w:hAnsi="Times New Roman" w:cs="Times New Roman"/>
          <w:sz w:val="24"/>
        </w:rPr>
        <w:t>.</w:t>
      </w:r>
      <w:r w:rsidRPr="001B7283">
        <w:rPr>
          <w:rFonts w:ascii="Times New Roman" w:hAnsi="Times New Roman" w:cs="Times New Roman"/>
          <w:color w:val="242021"/>
          <w:sz w:val="24"/>
          <w:szCs w:val="24"/>
        </w:rPr>
        <w:t xml:space="preserve"> Moreover, evidence points towards urban-rural disparities in both tobacco use, and the implementation of tobacco control policies</w:t>
      </w:r>
      <w:r w:rsidRPr="001F3140">
        <w:rPr>
          <w:rFonts w:ascii="Times New Roman" w:hAnsi="Times New Roman" w:cs="Times New Roman"/>
          <w:noProof/>
          <w:color w:val="242021"/>
          <w:sz w:val="24"/>
          <w:szCs w:val="24"/>
          <w:vertAlign w:val="superscript"/>
        </w:rPr>
        <w:t>27,28</w:t>
      </w:r>
      <w:r w:rsidRPr="001B7283">
        <w:rPr>
          <w:rFonts w:ascii="Times New Roman" w:hAnsi="Times New Roman" w:cs="Times New Roman"/>
          <w:color w:val="242021"/>
          <w:sz w:val="24"/>
          <w:szCs w:val="24"/>
        </w:rPr>
        <w:t xml:space="preserve">, therefore we explored the association between Naswar promotion and advertisement practices and rural or urban location of retailers. Additionally, we assessed the association between the sales practices and the shop types, general POS (GPOS) and exclusive Naswar sellers (ENS).  </w:t>
      </w:r>
    </w:p>
    <w:p w:rsidR="004A4BDD" w:rsidRPr="001B7283" w:rsidRDefault="004A4BDD" w:rsidP="002416CF">
      <w:pPr>
        <w:spacing w:after="240" w:line="480" w:lineRule="auto"/>
        <w:rPr>
          <w:rStyle w:val="fontstyle01"/>
          <w:rFonts w:ascii="Times New Roman" w:hAnsi="Times New Roman" w:cs="Times New Roman"/>
          <w:color w:val="auto"/>
          <w:sz w:val="24"/>
          <w:szCs w:val="24"/>
        </w:rPr>
      </w:pPr>
      <w:r w:rsidRPr="001B7283">
        <w:rPr>
          <w:rStyle w:val="fontstyle01"/>
          <w:rFonts w:ascii="Times New Roman" w:hAnsi="Times New Roman" w:cs="Times New Roman"/>
          <w:color w:val="auto"/>
          <w:sz w:val="24"/>
          <w:szCs w:val="24"/>
        </w:rPr>
        <w:t>Methods</w:t>
      </w:r>
    </w:p>
    <w:p w:rsidR="004A4BDD" w:rsidRPr="001B7283" w:rsidRDefault="004A4BDD" w:rsidP="002416CF">
      <w:pPr>
        <w:spacing w:after="240" w:line="480" w:lineRule="auto"/>
        <w:rPr>
          <w:rStyle w:val="fontstyle21"/>
          <w:rFonts w:ascii="Times New Roman" w:hAnsi="Times New Roman" w:cs="Times New Roman"/>
          <w:b/>
          <w:bCs/>
          <w:color w:val="auto"/>
          <w:sz w:val="24"/>
          <w:szCs w:val="24"/>
        </w:rPr>
      </w:pPr>
      <w:r w:rsidRPr="001B7283">
        <w:rPr>
          <w:rStyle w:val="fontstyle01"/>
          <w:rFonts w:ascii="Times New Roman" w:hAnsi="Times New Roman" w:cs="Times New Roman"/>
          <w:color w:val="auto"/>
          <w:sz w:val="24"/>
          <w:szCs w:val="24"/>
        </w:rPr>
        <w:t>Study setting</w:t>
      </w:r>
    </w:p>
    <w:p w:rsidR="004A4BDD" w:rsidRPr="001B7283" w:rsidRDefault="004A4BDD" w:rsidP="002416CF">
      <w:pPr>
        <w:spacing w:line="480" w:lineRule="auto"/>
        <w:jc w:val="both"/>
        <w:rPr>
          <w:rStyle w:val="fontstyle21"/>
          <w:rFonts w:ascii="Times New Roman" w:hAnsi="Times New Roman" w:cs="Times New Roman"/>
          <w:sz w:val="24"/>
          <w:szCs w:val="24"/>
        </w:rPr>
      </w:pPr>
      <w:r w:rsidRPr="001B7283">
        <w:rPr>
          <w:rStyle w:val="fontstyle21"/>
          <w:rFonts w:ascii="Times New Roman" w:hAnsi="Times New Roman" w:cs="Times New Roman"/>
          <w:sz w:val="24"/>
          <w:szCs w:val="24"/>
        </w:rPr>
        <w:lastRenderedPageBreak/>
        <w:t>Using a cross-sectional design, we conducted an observational audit study of GPOS and ENS shops in three districts of the Khyber Pakhtunkhwa province in Pakistan (Peshawar, Mardan and Bannu). These districts were purposively selected based on the scale of consumption, production and business of Naswar</w:t>
      </w:r>
      <w:r w:rsidRPr="001F3140">
        <w:rPr>
          <w:rStyle w:val="fontstyle21"/>
          <w:rFonts w:ascii="Times New Roman" w:hAnsi="Times New Roman" w:cs="Times New Roman"/>
          <w:noProof/>
          <w:sz w:val="24"/>
          <w:szCs w:val="24"/>
          <w:vertAlign w:val="superscript"/>
        </w:rPr>
        <w:t>29</w:t>
      </w:r>
      <w:r w:rsidRPr="001B7283">
        <w:rPr>
          <w:rStyle w:val="fontstyle21"/>
          <w:rFonts w:ascii="Times New Roman" w:hAnsi="Times New Roman" w:cs="Times New Roman"/>
          <w:sz w:val="24"/>
          <w:szCs w:val="24"/>
        </w:rPr>
        <w:t xml:space="preserve"> </w:t>
      </w:r>
      <w:r w:rsidRPr="001F3140">
        <w:rPr>
          <w:rStyle w:val="fontstyle21"/>
          <w:rFonts w:ascii="Times New Roman" w:hAnsi="Times New Roman" w:cs="Times New Roman"/>
          <w:noProof/>
          <w:sz w:val="24"/>
          <w:szCs w:val="24"/>
          <w:vertAlign w:val="superscript"/>
        </w:rPr>
        <w:t>30</w:t>
      </w:r>
      <w:r w:rsidRPr="001B7283">
        <w:rPr>
          <w:rStyle w:val="fontstyle21"/>
          <w:rFonts w:ascii="Times New Roman" w:hAnsi="Times New Roman" w:cs="Times New Roman"/>
          <w:sz w:val="24"/>
          <w:szCs w:val="24"/>
        </w:rPr>
        <w:t>. Collectively these districts have a population of 8.3 million</w:t>
      </w:r>
      <w:r w:rsidRPr="001F3140">
        <w:rPr>
          <w:rStyle w:val="fontstyle21"/>
          <w:rFonts w:ascii="Times New Roman" w:hAnsi="Times New Roman" w:cs="Times New Roman"/>
          <w:noProof/>
          <w:sz w:val="24"/>
          <w:szCs w:val="24"/>
          <w:vertAlign w:val="superscript"/>
        </w:rPr>
        <w:t>31</w:t>
      </w:r>
      <w:r w:rsidRPr="001B7283">
        <w:rPr>
          <w:rStyle w:val="fontstyle21"/>
          <w:rFonts w:ascii="Times New Roman" w:hAnsi="Times New Roman" w:cs="Times New Roman"/>
          <w:sz w:val="24"/>
          <w:szCs w:val="24"/>
        </w:rPr>
        <w:t xml:space="preserve">. Each district has an administrative division of rural and urban predominance called sub-districts or tehsil councils. Within the Tehsil Council, a “union council” is the lowest administrative unit which is called a “village council (VC)” in the rural areas and a “neighborhood council (NC)” in urban settings. </w:t>
      </w:r>
    </w:p>
    <w:p w:rsidR="004A4BDD" w:rsidRPr="001B7283" w:rsidRDefault="004A4BDD" w:rsidP="002416CF">
      <w:pPr>
        <w:spacing w:line="480" w:lineRule="auto"/>
        <w:jc w:val="both"/>
        <w:rPr>
          <w:rStyle w:val="fontstyle21"/>
          <w:rFonts w:ascii="Times New Roman" w:hAnsi="Times New Roman" w:cs="Times New Roman"/>
          <w:b/>
          <w:sz w:val="24"/>
          <w:szCs w:val="24"/>
        </w:rPr>
      </w:pPr>
      <w:r w:rsidRPr="001B7283">
        <w:rPr>
          <w:rStyle w:val="fontstyle21"/>
          <w:rFonts w:ascii="Times New Roman" w:hAnsi="Times New Roman" w:cs="Times New Roman"/>
          <w:b/>
          <w:sz w:val="24"/>
          <w:szCs w:val="24"/>
        </w:rPr>
        <w:t>Study sample</w:t>
      </w:r>
    </w:p>
    <w:p w:rsidR="004A4BDD" w:rsidRPr="002416CF" w:rsidRDefault="004A4BDD" w:rsidP="002416CF">
      <w:pPr>
        <w:spacing w:line="480" w:lineRule="auto"/>
        <w:jc w:val="both"/>
        <w:rPr>
          <w:rFonts w:ascii="Times New Roman" w:hAnsi="Times New Roman" w:cs="Times New Roman"/>
          <w:b/>
          <w:bCs/>
          <w:sz w:val="24"/>
          <w:szCs w:val="24"/>
        </w:rPr>
      </w:pPr>
      <w:r w:rsidRPr="001B7283">
        <w:rPr>
          <w:rFonts w:ascii="Times New Roman" w:hAnsi="Times New Roman" w:cs="Times New Roman"/>
          <w:color w:val="242021"/>
          <w:sz w:val="24"/>
          <w:szCs w:val="24"/>
        </w:rPr>
        <w:t xml:space="preserve">We recruited two types of shops for observations: GPOS vendors (grocery stores, selling mainly edibles and convenience stores, selling edibles and other daily use commodities) and ENS vendors (whole-sale dealers and manufacturers of Naswar who use their manufacturing unit as a sales point as well). </w:t>
      </w:r>
      <w:r w:rsidRPr="001B7283">
        <w:rPr>
          <w:rFonts w:ascii="Times New Roman" w:hAnsi="Times New Roman" w:cs="Times New Roman"/>
          <w:sz w:val="24"/>
          <w:szCs w:val="24"/>
        </w:rPr>
        <w:t xml:space="preserve">The main eligibility criterion for shops was sale of at least one brand of Naswar. For products, </w:t>
      </w:r>
      <w:r w:rsidRPr="001B7283">
        <w:rPr>
          <w:rFonts w:ascii="Times New Roman" w:hAnsi="Times New Roman" w:cs="Times New Roman"/>
          <w:color w:val="242021"/>
          <w:sz w:val="24"/>
          <w:szCs w:val="24"/>
        </w:rPr>
        <w:t xml:space="preserve">we sampled the five most popular unique Naswar </w:t>
      </w:r>
      <w:r w:rsidRPr="00A33AC2">
        <w:rPr>
          <w:rFonts w:ascii="Times New Roman" w:hAnsi="Times New Roman" w:cs="Times New Roman"/>
          <w:color w:val="242021"/>
          <w:sz w:val="24"/>
          <w:szCs w:val="24"/>
        </w:rPr>
        <w:t>brands (same brand name product sold in multiple shops, was not considered)</w:t>
      </w:r>
      <w:r w:rsidRPr="001B7283">
        <w:rPr>
          <w:rFonts w:ascii="Times New Roman" w:hAnsi="Times New Roman" w:cs="Times New Roman"/>
          <w:color w:val="242021"/>
          <w:sz w:val="24"/>
          <w:szCs w:val="24"/>
        </w:rPr>
        <w:t xml:space="preserve"> in each selected shop. Foreign Naswar substitutes available in the form of </w:t>
      </w:r>
      <w:r w:rsidRPr="001B7283">
        <w:rPr>
          <w:rStyle w:val="fontstyle21"/>
          <w:rFonts w:ascii="Times New Roman" w:hAnsi="Times New Roman" w:cs="Times New Roman"/>
          <w:sz w:val="24"/>
          <w:szCs w:val="24"/>
        </w:rPr>
        <w:t xml:space="preserve">powdered tobacco, prepackaged in ready to use filter pouches with country of manufacture mentioned on the packet, were also included in the sample of products. </w:t>
      </w:r>
    </w:p>
    <w:p w:rsidR="004A4BDD" w:rsidRPr="001B7283" w:rsidRDefault="004A4BDD" w:rsidP="002416CF">
      <w:pPr>
        <w:spacing w:line="480" w:lineRule="auto"/>
        <w:jc w:val="both"/>
        <w:rPr>
          <w:rFonts w:ascii="Times New Roman" w:hAnsi="Times New Roman" w:cs="Times New Roman"/>
          <w:color w:val="242021"/>
          <w:sz w:val="24"/>
          <w:szCs w:val="24"/>
        </w:rPr>
      </w:pPr>
      <w:r w:rsidRPr="001B7283">
        <w:rPr>
          <w:rFonts w:ascii="Times New Roman" w:hAnsi="Times New Roman" w:cs="Times New Roman"/>
          <w:b/>
          <w:bCs/>
          <w:color w:val="242021"/>
          <w:sz w:val="24"/>
          <w:szCs w:val="24"/>
        </w:rPr>
        <w:t xml:space="preserve">Sampling strategy </w:t>
      </w:r>
    </w:p>
    <w:p w:rsidR="004A4BDD" w:rsidRPr="001B7283" w:rsidRDefault="004A4BDD" w:rsidP="002416CF">
      <w:pPr>
        <w:spacing w:line="480" w:lineRule="auto"/>
        <w:jc w:val="both"/>
        <w:rPr>
          <w:rFonts w:ascii="Times New Roman" w:hAnsi="Times New Roman" w:cs="Times New Roman"/>
          <w:sz w:val="24"/>
          <w:szCs w:val="24"/>
        </w:rPr>
      </w:pPr>
      <w:r w:rsidRPr="001B7283">
        <w:rPr>
          <w:rFonts w:ascii="Times New Roman" w:hAnsi="Times New Roman" w:cs="Times New Roman"/>
          <w:color w:val="242021"/>
          <w:sz w:val="24"/>
          <w:szCs w:val="24"/>
        </w:rPr>
        <w:t xml:space="preserve">We recruited our shop sample based on a multi-stage cluster sampling. </w:t>
      </w:r>
      <w:r w:rsidRPr="001B7283">
        <w:rPr>
          <w:rFonts w:ascii="Times New Roman" w:hAnsi="Times New Roman" w:cs="Times New Roman"/>
          <w:color w:val="242021"/>
          <w:sz w:val="24"/>
          <w:szCs w:val="24"/>
          <w:lang w:val="en-GB"/>
        </w:rPr>
        <w:t xml:space="preserve">We first randomly selected one predominantly urban and one predominantly rural sub-district/Tehsil council in each selected district, the primary sampling units (PSU). Next, </w:t>
      </w:r>
      <w:r w:rsidRPr="001B7283">
        <w:rPr>
          <w:rFonts w:ascii="Times New Roman" w:hAnsi="Times New Roman" w:cs="Times New Roman"/>
          <w:noProof/>
          <w:sz w:val="24"/>
          <w:szCs w:val="24"/>
        </w:rPr>
        <w:t>we</w:t>
      </w:r>
      <w:r w:rsidRPr="001B7283">
        <w:rPr>
          <w:rFonts w:ascii="Times New Roman" w:hAnsi="Times New Roman" w:cs="Times New Roman"/>
          <w:sz w:val="24"/>
          <w:szCs w:val="24"/>
        </w:rPr>
        <w:t xml:space="preserve"> randomly selected NCs and VCs, the secondary sampling units (SSU), from the respective urban and rural settings in each district. To </w:t>
      </w:r>
      <w:r w:rsidRPr="001B7283">
        <w:rPr>
          <w:rFonts w:ascii="Times New Roman" w:hAnsi="Times New Roman" w:cs="Times New Roman"/>
          <w:sz w:val="24"/>
          <w:szCs w:val="24"/>
        </w:rPr>
        <w:lastRenderedPageBreak/>
        <w:t xml:space="preserve">recruit the required numbers based on proportionate sampling, we selected 11 NCs and five VCs in Peshawar, six NCs and four VCs in Mardan, and three NCs and two VCs in Bannu. For selection of GPOS shops, in each selected NC and VC, we employed systematic sampling and selected every third eligible shop. For ENS shops, we included all shops in the respective areas as these shops were fewer and distantly located in every council. </w:t>
      </w:r>
    </w:p>
    <w:p w:rsidR="004A4BDD" w:rsidRPr="001B7283" w:rsidRDefault="004A4BDD" w:rsidP="002416CF">
      <w:pPr>
        <w:spacing w:line="480" w:lineRule="auto"/>
        <w:rPr>
          <w:rFonts w:ascii="Times New Roman" w:hAnsi="Times New Roman" w:cs="Times New Roman"/>
          <w:b/>
          <w:color w:val="242021"/>
          <w:sz w:val="24"/>
          <w:szCs w:val="24"/>
        </w:rPr>
      </w:pPr>
      <w:r w:rsidRPr="001B7283">
        <w:rPr>
          <w:rFonts w:ascii="Times New Roman" w:hAnsi="Times New Roman" w:cs="Times New Roman"/>
          <w:b/>
          <w:color w:val="242021"/>
          <w:sz w:val="24"/>
          <w:szCs w:val="24"/>
        </w:rPr>
        <w:t>Sample size</w:t>
      </w:r>
    </w:p>
    <w:p w:rsidR="004A4BDD" w:rsidRPr="001B7283" w:rsidRDefault="004A4BDD" w:rsidP="002416CF">
      <w:pPr>
        <w:spacing w:before="240" w:line="480" w:lineRule="auto"/>
        <w:jc w:val="both"/>
        <w:rPr>
          <w:rFonts w:ascii="Times New Roman" w:hAnsi="Times New Roman" w:cs="Times New Roman"/>
          <w:color w:val="242021"/>
          <w:sz w:val="24"/>
          <w:szCs w:val="24"/>
        </w:rPr>
      </w:pPr>
      <w:r w:rsidRPr="001B7283">
        <w:rPr>
          <w:rFonts w:ascii="Times New Roman" w:hAnsi="Times New Roman" w:cs="Times New Roman"/>
          <w:color w:val="242021"/>
          <w:sz w:val="24"/>
          <w:szCs w:val="24"/>
        </w:rPr>
        <w:t>This study was conducted as part of a larger project involving interviews with tobacco POS vendors and shop observations in Pakistan. In the absence of relevant literature on violation of laws for SLT products, we calculated the sample based on an observed 10% violation of a nationally implemented tobacco control law-sale of cigarettes to minors</w:t>
      </w:r>
      <w:r w:rsidRPr="001F3140">
        <w:rPr>
          <w:rFonts w:ascii="Times New Roman" w:hAnsi="Times New Roman" w:cs="Times New Roman"/>
          <w:noProof/>
          <w:color w:val="242021"/>
          <w:sz w:val="24"/>
          <w:szCs w:val="24"/>
          <w:vertAlign w:val="superscript"/>
        </w:rPr>
        <w:t>32</w:t>
      </w:r>
      <w:r w:rsidRPr="001B7283">
        <w:rPr>
          <w:rFonts w:ascii="Times New Roman" w:hAnsi="Times New Roman" w:cs="Times New Roman"/>
          <w:color w:val="242021"/>
          <w:sz w:val="24"/>
          <w:szCs w:val="24"/>
        </w:rPr>
        <w:t>. We used a 5% margin of error and a design effect of 2.0 (based on cluster size of 10 shops and intra-cluster correlation coefficient of 0.1). We calculated a sample size of 273 through OpenEpi software (version 3.01)</w:t>
      </w:r>
      <w:r w:rsidRPr="001F3140">
        <w:rPr>
          <w:rFonts w:ascii="Times New Roman" w:hAnsi="Times New Roman" w:cs="Times New Roman"/>
          <w:noProof/>
          <w:color w:val="242021"/>
          <w:sz w:val="24"/>
          <w:szCs w:val="24"/>
          <w:vertAlign w:val="superscript"/>
        </w:rPr>
        <w:t>33</w:t>
      </w:r>
      <w:r w:rsidRPr="001B7283">
        <w:rPr>
          <w:rFonts w:ascii="Times New Roman" w:hAnsi="Times New Roman" w:cs="Times New Roman"/>
          <w:color w:val="242021"/>
          <w:sz w:val="24"/>
          <w:szCs w:val="24"/>
        </w:rPr>
        <w:t xml:space="preserve">. Utilizing the findings from a mapping study of SLT POS going on in Peshawar, the estimated total number of shops was 10,300 in the three districts, </w:t>
      </w:r>
      <w:r w:rsidRPr="001B7283">
        <w:rPr>
          <w:rFonts w:ascii="Times New Roman" w:hAnsi="Times New Roman" w:cs="Times New Roman"/>
          <w:bCs/>
          <w:color w:val="242021"/>
          <w:sz w:val="24"/>
          <w:szCs w:val="24"/>
        </w:rPr>
        <w:t>1750</w:t>
      </w:r>
      <w:r w:rsidRPr="001B7283">
        <w:rPr>
          <w:rFonts w:ascii="Times New Roman" w:hAnsi="Times New Roman" w:cs="Times New Roman"/>
          <w:b/>
          <w:bCs/>
          <w:color w:val="242021"/>
          <w:sz w:val="24"/>
          <w:szCs w:val="24"/>
        </w:rPr>
        <w:t xml:space="preserve"> </w:t>
      </w:r>
      <w:r w:rsidRPr="001B7283">
        <w:rPr>
          <w:rFonts w:ascii="Times New Roman" w:hAnsi="Times New Roman" w:cs="Times New Roman"/>
          <w:color w:val="242021"/>
          <w:sz w:val="24"/>
          <w:szCs w:val="24"/>
        </w:rPr>
        <w:t xml:space="preserve">(17%) in Bannu, 3090 (30%) in Mardan and 5460 (53%) in Peshawar. Based on these estimations, a proportionate sampling scheme was used. We planned to recruit 50 shops in Bannu, 90 in Mardan and 160 shops in Peshawar. The same study also revealed that the number of shops in a VC was approximately half to that in an NC, hence we recruited proportionately, i.e. two shops in a NC for each shop in a VC.    </w:t>
      </w:r>
    </w:p>
    <w:p w:rsidR="004A4BDD" w:rsidRPr="001B7283" w:rsidRDefault="004A4BDD" w:rsidP="002416CF">
      <w:pPr>
        <w:spacing w:line="480" w:lineRule="auto"/>
        <w:jc w:val="both"/>
        <w:rPr>
          <w:rFonts w:ascii="Times New Roman" w:hAnsi="Times New Roman" w:cs="Times New Roman"/>
          <w:b/>
          <w:color w:val="242021"/>
          <w:sz w:val="24"/>
          <w:szCs w:val="24"/>
        </w:rPr>
      </w:pPr>
      <w:r w:rsidRPr="001B7283">
        <w:rPr>
          <w:rFonts w:ascii="Times New Roman" w:hAnsi="Times New Roman" w:cs="Times New Roman"/>
          <w:b/>
          <w:color w:val="242021"/>
          <w:sz w:val="24"/>
          <w:szCs w:val="24"/>
        </w:rPr>
        <w:t xml:space="preserve">Data collection    </w:t>
      </w:r>
    </w:p>
    <w:p w:rsidR="004A4BDD" w:rsidRPr="002416CF" w:rsidRDefault="004A4BDD" w:rsidP="002416CF">
      <w:pPr>
        <w:spacing w:line="480" w:lineRule="auto"/>
        <w:jc w:val="both"/>
        <w:rPr>
          <w:rFonts w:ascii="Times New Roman" w:hAnsi="Times New Roman" w:cs="Times New Roman"/>
          <w:color w:val="242021"/>
          <w:sz w:val="24"/>
          <w:szCs w:val="24"/>
        </w:rPr>
      </w:pPr>
      <w:r w:rsidRPr="001B7283">
        <w:rPr>
          <w:rFonts w:ascii="Times New Roman" w:hAnsi="Times New Roman" w:cs="Times New Roman"/>
          <w:color w:val="242021"/>
          <w:sz w:val="24"/>
          <w:szCs w:val="24"/>
        </w:rPr>
        <w:t>We used an audit tool adapted from a pilot study conducted in three countries of South Asia</w:t>
      </w:r>
      <w:r w:rsidRPr="001F3140">
        <w:rPr>
          <w:rFonts w:ascii="Times New Roman" w:hAnsi="Times New Roman" w:cs="Times New Roman"/>
          <w:noProof/>
          <w:color w:val="242021"/>
          <w:sz w:val="24"/>
          <w:szCs w:val="24"/>
          <w:vertAlign w:val="superscript"/>
        </w:rPr>
        <w:t>34</w:t>
      </w:r>
      <w:r w:rsidRPr="001B7283">
        <w:rPr>
          <w:rFonts w:ascii="Times New Roman" w:hAnsi="Times New Roman" w:cs="Times New Roman"/>
          <w:color w:val="242021"/>
          <w:sz w:val="24"/>
          <w:szCs w:val="24"/>
        </w:rPr>
        <w:t xml:space="preserve">. Following the adaptation of the tool to the local settings and study objectives, it was pilot tested on a sample of 10 GPOS and three ENS shops. The tool (supplementary file 1) is based on the </w:t>
      </w:r>
      <w:r w:rsidRPr="001B7283">
        <w:rPr>
          <w:rFonts w:ascii="Times New Roman" w:hAnsi="Times New Roman" w:cs="Times New Roman"/>
          <w:color w:val="242021"/>
          <w:sz w:val="24"/>
          <w:szCs w:val="24"/>
        </w:rPr>
        <w:lastRenderedPageBreak/>
        <w:t xml:space="preserve">relevant FCTC articles. The first section of the tool addressed the packaging and labeling practices of Naswar. The second section recorded information on advertisement and promotion practices inside and outside the shops. Data on any available foreign Naswar substitutes in the local market were also collected. Naswar packs were not purchased but observed on the spot and all packaging related features were recorded using a checklist. The data were collected during one visit by a trained team of two research team members at each study site. The data collectors initially built rapport with the shop owners/managers, then explained the purpose of study and addressed shop staff’s queries and concerns before obtaining informed written consent. In cases where the shop owners/managers were reluctant to give a written consent, verbal consent was obtained instead.   </w:t>
      </w:r>
    </w:p>
    <w:p w:rsidR="004A4BDD" w:rsidRPr="001B7283" w:rsidRDefault="004A4BDD" w:rsidP="002416CF">
      <w:pPr>
        <w:spacing w:line="480" w:lineRule="auto"/>
        <w:jc w:val="both"/>
        <w:rPr>
          <w:rFonts w:ascii="Times New Roman" w:hAnsi="Times New Roman" w:cs="Times New Roman"/>
          <w:b/>
          <w:bCs/>
          <w:color w:val="242021"/>
          <w:sz w:val="24"/>
          <w:szCs w:val="24"/>
        </w:rPr>
      </w:pPr>
      <w:r w:rsidRPr="001B7283">
        <w:rPr>
          <w:rFonts w:ascii="Times New Roman" w:hAnsi="Times New Roman" w:cs="Times New Roman"/>
          <w:b/>
          <w:bCs/>
          <w:color w:val="242021"/>
          <w:sz w:val="24"/>
          <w:szCs w:val="24"/>
        </w:rPr>
        <w:t>Ethics approval</w:t>
      </w:r>
    </w:p>
    <w:p w:rsidR="004A4BDD" w:rsidRPr="001B7283" w:rsidRDefault="004A4BDD" w:rsidP="002416CF">
      <w:pPr>
        <w:spacing w:line="480" w:lineRule="auto"/>
        <w:jc w:val="both"/>
        <w:rPr>
          <w:rFonts w:ascii="Times New Roman" w:hAnsi="Times New Roman" w:cs="Times New Roman"/>
          <w:color w:val="242021"/>
          <w:sz w:val="24"/>
          <w:szCs w:val="24"/>
        </w:rPr>
      </w:pPr>
      <w:r w:rsidRPr="001B7283">
        <w:rPr>
          <w:rFonts w:ascii="Times New Roman" w:hAnsi="Times New Roman" w:cs="Times New Roman"/>
          <w:color w:val="242021"/>
          <w:sz w:val="24"/>
          <w:szCs w:val="24"/>
        </w:rPr>
        <w:t xml:space="preserve">Ethical approval for the study was obtained from the Research Ethics Committee of Khyber Medical University. </w:t>
      </w:r>
      <w:r w:rsidRPr="001B7283">
        <w:rPr>
          <w:rStyle w:val="fontstyle21"/>
          <w:rFonts w:ascii="Times New Roman" w:hAnsi="Times New Roman" w:cs="Times New Roman"/>
          <w:sz w:val="24"/>
          <w:szCs w:val="24"/>
        </w:rPr>
        <w:t>(No. DIR/KMU-EB/ST/000554)</w:t>
      </w:r>
    </w:p>
    <w:p w:rsidR="004A4BDD" w:rsidRPr="001B7283" w:rsidRDefault="004A4BDD" w:rsidP="002416CF">
      <w:pPr>
        <w:spacing w:line="480" w:lineRule="auto"/>
        <w:jc w:val="both"/>
        <w:rPr>
          <w:rFonts w:ascii="Times New Roman" w:hAnsi="Times New Roman" w:cs="Times New Roman"/>
          <w:b/>
          <w:color w:val="242021"/>
          <w:sz w:val="24"/>
          <w:szCs w:val="24"/>
        </w:rPr>
      </w:pPr>
      <w:r w:rsidRPr="001B7283">
        <w:rPr>
          <w:rFonts w:ascii="Times New Roman" w:hAnsi="Times New Roman" w:cs="Times New Roman"/>
          <w:b/>
          <w:color w:val="242021"/>
          <w:sz w:val="24"/>
          <w:szCs w:val="24"/>
        </w:rPr>
        <w:t>Data analysis</w:t>
      </w:r>
    </w:p>
    <w:p w:rsidR="004A4BDD" w:rsidRPr="001B7283" w:rsidRDefault="004A4BDD" w:rsidP="002416CF">
      <w:pPr>
        <w:spacing w:line="480" w:lineRule="auto"/>
        <w:jc w:val="both"/>
        <w:rPr>
          <w:rFonts w:ascii="Times New Roman" w:hAnsi="Times New Roman" w:cs="Times New Roman"/>
          <w:color w:val="242021"/>
          <w:sz w:val="24"/>
          <w:szCs w:val="24"/>
        </w:rPr>
      </w:pPr>
      <w:r w:rsidRPr="001B7283">
        <w:rPr>
          <w:rFonts w:ascii="Times New Roman" w:hAnsi="Times New Roman" w:cs="Times New Roman"/>
          <w:color w:val="242021"/>
          <w:sz w:val="24"/>
          <w:szCs w:val="24"/>
        </w:rPr>
        <w:t>Descriptive analyses, including response frequencies and percentages were carried out to describe types of stores, naswar packaging, labeling, and practices of advertisement and promotion at the POS. For the analyses, we used the data from unique products,</w:t>
      </w:r>
      <w:r>
        <w:rPr>
          <w:rFonts w:ascii="Times New Roman" w:hAnsi="Times New Roman" w:cs="Times New Roman"/>
          <w:color w:val="242021"/>
          <w:sz w:val="24"/>
          <w:szCs w:val="24"/>
        </w:rPr>
        <w:t xml:space="preserve"> removing duplicates</w:t>
      </w:r>
      <w:r w:rsidRPr="001B7283">
        <w:rPr>
          <w:rFonts w:ascii="Times New Roman" w:hAnsi="Times New Roman" w:cs="Times New Roman"/>
          <w:color w:val="242021"/>
          <w:sz w:val="24"/>
          <w:szCs w:val="24"/>
        </w:rPr>
        <w:t>. To check association between vendor and area type (independent variables) and the advertisement and promotion practices (dependent variables) we applied Chi-squared test. We examined the association between potential determinants (vendor type and area type) and practices of advertisement and promotion inside the shops by calculating crude and adjusted odds ratios (adjusted either for vendor type or area type) using logistic regression analysis. All analyses were conducted using STATA version-14</w:t>
      </w:r>
      <w:r w:rsidRPr="001F3140">
        <w:rPr>
          <w:rFonts w:ascii="Times New Roman" w:hAnsi="Times New Roman" w:cs="Times New Roman"/>
          <w:noProof/>
          <w:color w:val="242021"/>
          <w:sz w:val="24"/>
          <w:szCs w:val="24"/>
          <w:vertAlign w:val="superscript"/>
        </w:rPr>
        <w:t>35</w:t>
      </w:r>
      <w:r w:rsidRPr="001B7283">
        <w:rPr>
          <w:rFonts w:ascii="Times New Roman" w:hAnsi="Times New Roman" w:cs="Times New Roman"/>
          <w:color w:val="242021"/>
          <w:sz w:val="24"/>
          <w:szCs w:val="24"/>
        </w:rPr>
        <w:t>.</w:t>
      </w:r>
    </w:p>
    <w:p w:rsidR="004A4BDD" w:rsidRPr="001B7283" w:rsidRDefault="004A4BDD" w:rsidP="002416CF">
      <w:pPr>
        <w:spacing w:line="480" w:lineRule="auto"/>
        <w:jc w:val="both"/>
        <w:rPr>
          <w:rFonts w:ascii="Times New Roman" w:hAnsi="Times New Roman" w:cs="Times New Roman"/>
          <w:b/>
          <w:color w:val="242021"/>
          <w:sz w:val="24"/>
          <w:szCs w:val="24"/>
        </w:rPr>
      </w:pPr>
      <w:r w:rsidRPr="001B7283">
        <w:rPr>
          <w:rFonts w:ascii="Times New Roman" w:hAnsi="Times New Roman" w:cs="Times New Roman"/>
          <w:b/>
          <w:color w:val="242021"/>
          <w:sz w:val="24"/>
          <w:szCs w:val="24"/>
        </w:rPr>
        <w:lastRenderedPageBreak/>
        <w:t xml:space="preserve">Results    </w:t>
      </w:r>
    </w:p>
    <w:p w:rsidR="004A4BDD" w:rsidRPr="001B7283" w:rsidRDefault="004A4BDD" w:rsidP="00A53543">
      <w:pPr>
        <w:spacing w:line="480" w:lineRule="auto"/>
        <w:jc w:val="both"/>
        <w:rPr>
          <w:rFonts w:ascii="Times New Roman" w:hAnsi="Times New Roman" w:cs="Times New Roman"/>
          <w:bCs/>
          <w:sz w:val="24"/>
          <w:szCs w:val="24"/>
        </w:rPr>
      </w:pPr>
      <w:r w:rsidRPr="001B7283">
        <w:rPr>
          <w:rFonts w:ascii="Times New Roman" w:hAnsi="Times New Roman" w:cs="Times New Roman"/>
          <w:bCs/>
          <w:sz w:val="24"/>
          <w:szCs w:val="24"/>
        </w:rPr>
        <w:t xml:space="preserve">A total of 286 shops were surveyed within the selected villages and neighborhood councils </w:t>
      </w:r>
      <w:r w:rsidRPr="001B7283">
        <w:rPr>
          <w:rStyle w:val="fontstyle21"/>
          <w:rFonts w:ascii="Times New Roman" w:hAnsi="Times New Roman" w:cs="Times New Roman"/>
          <w:sz w:val="24"/>
          <w:szCs w:val="24"/>
        </w:rPr>
        <w:t>between 10</w:t>
      </w:r>
      <w:r w:rsidRPr="001B7283">
        <w:rPr>
          <w:rStyle w:val="fontstyle21"/>
          <w:rFonts w:ascii="Times New Roman" w:hAnsi="Times New Roman" w:cs="Times New Roman"/>
          <w:sz w:val="24"/>
          <w:szCs w:val="24"/>
          <w:vertAlign w:val="superscript"/>
        </w:rPr>
        <w:t>th</w:t>
      </w:r>
      <w:r w:rsidRPr="001B7283">
        <w:rPr>
          <w:rStyle w:val="fontstyle21"/>
          <w:rFonts w:ascii="Times New Roman" w:hAnsi="Times New Roman" w:cs="Times New Roman"/>
          <w:sz w:val="24"/>
          <w:szCs w:val="24"/>
        </w:rPr>
        <w:t xml:space="preserve"> November and 30</w:t>
      </w:r>
      <w:r w:rsidRPr="001B7283">
        <w:rPr>
          <w:rStyle w:val="fontstyle21"/>
          <w:rFonts w:ascii="Times New Roman" w:hAnsi="Times New Roman" w:cs="Times New Roman"/>
          <w:sz w:val="24"/>
          <w:szCs w:val="24"/>
          <w:vertAlign w:val="superscript"/>
        </w:rPr>
        <w:t>th</w:t>
      </w:r>
      <w:r w:rsidRPr="001B7283">
        <w:rPr>
          <w:rStyle w:val="fontstyle21"/>
          <w:rFonts w:ascii="Times New Roman" w:hAnsi="Times New Roman" w:cs="Times New Roman"/>
          <w:sz w:val="24"/>
          <w:szCs w:val="24"/>
        </w:rPr>
        <w:t xml:space="preserve"> December 2019</w:t>
      </w:r>
      <w:r w:rsidRPr="001B7283">
        <w:rPr>
          <w:rFonts w:ascii="Times New Roman" w:hAnsi="Times New Roman" w:cs="Times New Roman"/>
          <w:bCs/>
          <w:sz w:val="24"/>
          <w:szCs w:val="24"/>
        </w:rPr>
        <w:t xml:space="preserve">. Approximately half of the shops were grocery stores (51%), followed by convenience stores (29%) while 20% were exclusive Naswar shops (Table 1). </w:t>
      </w:r>
    </w:p>
    <w:p w:rsidR="004A4BDD" w:rsidRPr="00A53543" w:rsidRDefault="004A4BDD" w:rsidP="00A53543">
      <w:pPr>
        <w:spacing w:line="480" w:lineRule="auto"/>
        <w:jc w:val="both"/>
        <w:rPr>
          <w:rFonts w:ascii="Times New Roman" w:hAnsi="Times New Roman" w:cs="Times New Roman"/>
          <w:sz w:val="24"/>
        </w:rPr>
      </w:pPr>
      <w:r w:rsidRPr="001B7283">
        <w:rPr>
          <w:rFonts w:ascii="Times New Roman" w:hAnsi="Times New Roman" w:cs="Times New Roman"/>
          <w:bCs/>
          <w:sz w:val="24"/>
          <w:szCs w:val="24"/>
        </w:rPr>
        <w:t xml:space="preserve">We observed 557 Naswar and foreign Naswar substitutes sold at 229 GPOS shops while 76 Naswar products at 57 ENS shops. After removal of the duplicate products, we were left with 133 unique products at GPOS and 49 unique products at ENS shops. All products observed at ENS and around 95% products at GPOS were locally manufactured while only seven products were imported (six from India and one from Afghanistan). Table 2 provides information about packaging and labelling practices of Naswar brands at both types of shops. Among the observed products, a vast majority (98%) of the products did not disclose contents on the packets and were devoid of any detail about the type of ingredients. None of the locally manufactured products had any written or pictorial health warning. Similarly, statements of any health claim or harm trivialization (like xyz is better than cigarettes or it relieves toothache etc) were not present on any of products at both types of shops. The only information available on these products was that related to business identity. Among the six foreign Naswar substitute </w:t>
      </w:r>
      <w:r w:rsidRPr="00A33AC2">
        <w:rPr>
          <w:rFonts w:ascii="Times New Roman" w:hAnsi="Times New Roman" w:cs="Times New Roman"/>
          <w:bCs/>
          <w:sz w:val="24"/>
          <w:szCs w:val="24"/>
        </w:rPr>
        <w:t>products</w:t>
      </w:r>
      <w:r w:rsidR="00160033" w:rsidRPr="00A33AC2">
        <w:rPr>
          <w:rFonts w:ascii="Times New Roman" w:hAnsi="Times New Roman" w:cs="Times New Roman"/>
          <w:bCs/>
          <w:sz w:val="24"/>
          <w:szCs w:val="24"/>
        </w:rPr>
        <w:t xml:space="preserve"> reported at GPOS only</w:t>
      </w:r>
      <w:r w:rsidRPr="00A33AC2">
        <w:rPr>
          <w:rFonts w:ascii="Times New Roman" w:hAnsi="Times New Roman" w:cs="Times New Roman"/>
          <w:bCs/>
          <w:sz w:val="24"/>
          <w:szCs w:val="24"/>
        </w:rPr>
        <w:t>,</w:t>
      </w:r>
      <w:r w:rsidRPr="001B7283">
        <w:rPr>
          <w:rFonts w:ascii="Times New Roman" w:hAnsi="Times New Roman" w:cs="Times New Roman"/>
          <w:bCs/>
          <w:sz w:val="24"/>
          <w:szCs w:val="24"/>
        </w:rPr>
        <w:t xml:space="preserve"> a written health warning was present on five products. All these health warnings were legible, written in English, covered only approximately 1% of the packet, and gave the unanimous </w:t>
      </w:r>
      <w:r w:rsidRPr="001B7283">
        <w:rPr>
          <w:rFonts w:ascii="Times New Roman" w:hAnsi="Times New Roman" w:cs="Times New Roman"/>
          <w:sz w:val="24"/>
        </w:rPr>
        <w:t xml:space="preserve">warning statement of “Tobacco is injurious to health”. </w:t>
      </w:r>
    </w:p>
    <w:p w:rsidR="004A4BDD" w:rsidRPr="00A53543" w:rsidRDefault="004A4BDD" w:rsidP="00A53543">
      <w:pPr>
        <w:spacing w:after="0" w:line="480" w:lineRule="auto"/>
        <w:jc w:val="both"/>
        <w:rPr>
          <w:rFonts w:ascii="Times New Roman" w:hAnsi="Times New Roman" w:cs="Times New Roman"/>
          <w:sz w:val="24"/>
          <w:szCs w:val="24"/>
        </w:rPr>
      </w:pPr>
      <w:r w:rsidRPr="001B7283">
        <w:rPr>
          <w:rFonts w:ascii="Times New Roman" w:hAnsi="Times New Roman" w:cs="Times New Roman"/>
          <w:sz w:val="24"/>
        </w:rPr>
        <w:t xml:space="preserve">Table 3 shows advertisement and promotion practices outside and inside the shops by vendor type (GPOS and ENS shops) and area type (rural and urban). Around 90% of the GPOS and urban sellers while 100% of the ENS and rural sellers displayed their products at the counter or a location </w:t>
      </w:r>
      <w:r w:rsidRPr="001B7283">
        <w:rPr>
          <w:rFonts w:ascii="Times New Roman" w:hAnsi="Times New Roman" w:cs="Times New Roman"/>
          <w:sz w:val="24"/>
        </w:rPr>
        <w:lastRenderedPageBreak/>
        <w:t xml:space="preserve">that was freely visible to customers. Advertisement and promotional practices inside the shops other than product visibility were, 49% at GPOS, 100% at ENS, 68% at urban and 42% at rural shops. Shelf-edging was the most prominent practice of advertisement inside the shops, while display packs and bags printed with the brand logo were less common approaches. </w:t>
      </w:r>
      <w:r w:rsidRPr="00A33AC2">
        <w:rPr>
          <w:rFonts w:ascii="Times New Roman" w:hAnsi="Times New Roman" w:cs="Times New Roman"/>
          <w:sz w:val="24"/>
        </w:rPr>
        <w:t>All the three practices inside the shops were significantly different by vendor type while urban and rural vendors varied significantly only for shelf edging.</w:t>
      </w:r>
      <w:r>
        <w:rPr>
          <w:rFonts w:ascii="Times New Roman" w:hAnsi="Times New Roman" w:cs="Times New Roman"/>
          <w:sz w:val="24"/>
        </w:rPr>
        <w:t xml:space="preserve"> </w:t>
      </w:r>
      <w:r w:rsidRPr="001B7283">
        <w:rPr>
          <w:rFonts w:ascii="Times New Roman" w:hAnsi="Times New Roman" w:cs="Times New Roman"/>
          <w:sz w:val="24"/>
        </w:rPr>
        <w:t>The practices outside the shops were less frequently observed, 10% at GPOS, 7% at ENS, 14% at urban and around 3% at rural shops</w:t>
      </w:r>
      <w:r>
        <w:rPr>
          <w:rFonts w:ascii="Times New Roman" w:hAnsi="Times New Roman" w:cs="Times New Roman"/>
          <w:sz w:val="24"/>
        </w:rPr>
        <w:t xml:space="preserve"> </w:t>
      </w:r>
      <w:r w:rsidRPr="00A33AC2">
        <w:rPr>
          <w:rFonts w:ascii="Times New Roman" w:hAnsi="Times New Roman" w:cs="Times New Roman"/>
          <w:sz w:val="24"/>
        </w:rPr>
        <w:t>and we found a significant difference for one practice only, posters displayed, among urban and rural vendors.</w:t>
      </w:r>
      <w:r w:rsidRPr="001B7283">
        <w:rPr>
          <w:rFonts w:ascii="Times New Roman" w:hAnsi="Times New Roman" w:cs="Times New Roman"/>
          <w:sz w:val="24"/>
          <w:szCs w:val="24"/>
        </w:rPr>
        <w:t xml:space="preserve"> The results of the logistic regression analysis, for determinants of advertisement practices inside the shops are shown in Table 4. Visibility of products was not considered in the model as it was already practiced 100% in ENS shops and in rural shops. The odds of shelf edging, display packs and use of printed bags for advertisement inside the shops were significantly increased among ENS shops. Similarly, the odds of shelf edging as a mean of advertisement inside the shops were significantly increased among urban shops.   </w:t>
      </w:r>
      <w:r w:rsidRPr="002416CF">
        <w:rPr>
          <w:rFonts w:ascii="Times New Roman" w:hAnsi="Times New Roman" w:cs="Times New Roman"/>
          <w:i/>
          <w:sz w:val="20"/>
          <w:szCs w:val="24"/>
        </w:rPr>
        <w:t xml:space="preserve"> </w:t>
      </w:r>
    </w:p>
    <w:p w:rsidR="004A4BDD" w:rsidRPr="001B7283" w:rsidRDefault="004A4BDD" w:rsidP="002416CF">
      <w:pPr>
        <w:spacing w:line="240" w:lineRule="auto"/>
        <w:jc w:val="both"/>
        <w:rPr>
          <w:rFonts w:ascii="Times New Roman" w:hAnsi="Times New Roman" w:cs="Times New Roman"/>
          <w:b/>
          <w:sz w:val="24"/>
          <w:szCs w:val="24"/>
        </w:rPr>
      </w:pPr>
      <w:r w:rsidRPr="001B7283">
        <w:rPr>
          <w:rFonts w:ascii="Times New Roman" w:hAnsi="Times New Roman" w:cs="Times New Roman"/>
          <w:b/>
          <w:sz w:val="24"/>
          <w:szCs w:val="24"/>
        </w:rPr>
        <w:t>Discussion</w:t>
      </w:r>
    </w:p>
    <w:p w:rsidR="004A4BDD" w:rsidRPr="001B7283" w:rsidRDefault="004A4BDD" w:rsidP="002416CF">
      <w:pPr>
        <w:spacing w:line="480" w:lineRule="auto"/>
        <w:jc w:val="both"/>
        <w:rPr>
          <w:rFonts w:ascii="Times New Roman" w:hAnsi="Times New Roman" w:cs="Times New Roman"/>
          <w:sz w:val="24"/>
        </w:rPr>
      </w:pPr>
      <w:r w:rsidRPr="001B7283">
        <w:rPr>
          <w:rFonts w:ascii="Times New Roman" w:hAnsi="Times New Roman" w:cs="Times New Roman"/>
          <w:sz w:val="24"/>
        </w:rPr>
        <w:t xml:space="preserve">All observed packets of Naswar were not in accordance with FCTC Article 11, meaning all were devoid of any written or pictorial health warning. Although written health warnings were present on the Indian substitutes of Naswar, these products constitute less than 5% of the total sample. The warnings on these products covered only a very small surface area. Almost all the Naswar brands were non-compliant with FCTC’s provision of content disclosure with no mention of ingredients on the packages. Visibility of the products was high (around 93%) both by vendor type (GPOS and ENS shops) and area type (urban and rural). Advertising and promotions outside the shops were less prominent than inside and among the approaches of promotion inside the shops; </w:t>
      </w:r>
      <w:r w:rsidRPr="001B7283">
        <w:rPr>
          <w:rFonts w:ascii="Times New Roman" w:hAnsi="Times New Roman" w:cs="Times New Roman"/>
          <w:sz w:val="24"/>
          <w:szCs w:val="24"/>
        </w:rPr>
        <w:t xml:space="preserve">shelf </w:t>
      </w:r>
      <w:r w:rsidRPr="001B7283">
        <w:rPr>
          <w:rFonts w:ascii="Times New Roman" w:hAnsi="Times New Roman" w:cs="Times New Roman"/>
          <w:sz w:val="24"/>
          <w:szCs w:val="24"/>
        </w:rPr>
        <w:lastRenderedPageBreak/>
        <w:t xml:space="preserve">edging, display packs and use of printed bags for advertisement were significantly high among ENS while </w:t>
      </w:r>
      <w:r w:rsidRPr="001B7283">
        <w:rPr>
          <w:rFonts w:ascii="Times New Roman" w:hAnsi="Times New Roman" w:cs="Times New Roman"/>
          <w:sz w:val="24"/>
        </w:rPr>
        <w:t xml:space="preserve">shelf edging only was significantly high in urban shops. </w:t>
      </w:r>
    </w:p>
    <w:p w:rsidR="004A4BDD" w:rsidRPr="001B7283" w:rsidRDefault="004A4BDD" w:rsidP="002416CF">
      <w:pPr>
        <w:spacing w:line="480" w:lineRule="auto"/>
        <w:jc w:val="both"/>
        <w:rPr>
          <w:rFonts w:ascii="Times New Roman" w:hAnsi="Times New Roman" w:cs="Times New Roman"/>
          <w:sz w:val="24"/>
          <w:szCs w:val="24"/>
        </w:rPr>
      </w:pPr>
      <w:r w:rsidRPr="001B7283">
        <w:rPr>
          <w:rFonts w:ascii="Times New Roman" w:hAnsi="Times New Roman" w:cs="Times New Roman"/>
          <w:sz w:val="24"/>
        </w:rPr>
        <w:t>Warnings on tobacco packaging are important for the comprehensive control of tobacco use</w:t>
      </w:r>
      <w:r w:rsidRPr="001F3140">
        <w:rPr>
          <w:rFonts w:ascii="Times New Roman" w:hAnsi="Times New Roman" w:cs="Times New Roman"/>
          <w:noProof/>
          <w:sz w:val="24"/>
          <w:vertAlign w:val="superscript"/>
        </w:rPr>
        <w:t>36</w:t>
      </w:r>
      <w:r w:rsidRPr="001B7283">
        <w:rPr>
          <w:rFonts w:ascii="Times New Roman" w:hAnsi="Times New Roman" w:cs="Times New Roman"/>
          <w:sz w:val="24"/>
        </w:rPr>
        <w:t>. FCTC Article 11 recommends that packaging should contain different warnings about the health effects of tobacco use on a rotating basis and should ideally include images. The warnings should cover 50% or more of the principal display areas but shall be no less than 30% of the principal display areas</w:t>
      </w:r>
      <w:r w:rsidRPr="001F3140">
        <w:rPr>
          <w:rFonts w:ascii="Times New Roman" w:hAnsi="Times New Roman" w:cs="Times New Roman"/>
          <w:noProof/>
          <w:sz w:val="24"/>
          <w:vertAlign w:val="superscript"/>
        </w:rPr>
        <w:t>13</w:t>
      </w:r>
      <w:r w:rsidRPr="001B7283">
        <w:rPr>
          <w:rFonts w:ascii="Times New Roman" w:hAnsi="Times New Roman" w:cs="Times New Roman"/>
          <w:sz w:val="24"/>
        </w:rPr>
        <w:t xml:space="preserve">. Pakistan’s tobacco control law also requires a health warning to cover 60% of the cigarette packs and be placed on the front top of the pack in Urdu and on the back top of the pack in English. SLT products, however, are not covered by this law, as the </w:t>
      </w:r>
      <w:r w:rsidRPr="001B7283">
        <w:rPr>
          <w:rFonts w:ascii="Times New Roman" w:hAnsi="Times New Roman" w:cs="Times New Roman"/>
          <w:sz w:val="24"/>
          <w:szCs w:val="24"/>
        </w:rPr>
        <w:t>definitions of key terms in the implemented national laws are not completely aligned with the FCTC</w:t>
      </w:r>
      <w:r w:rsidRPr="001F3140">
        <w:rPr>
          <w:rFonts w:ascii="Times New Roman" w:hAnsi="Times New Roman" w:cs="Times New Roman"/>
          <w:noProof/>
          <w:sz w:val="24"/>
          <w:szCs w:val="24"/>
          <w:vertAlign w:val="superscript"/>
        </w:rPr>
        <w:t>26</w:t>
      </w:r>
      <w:r w:rsidRPr="001B7283">
        <w:rPr>
          <w:rStyle w:val="CommentReference"/>
          <w:rFonts w:ascii="Times New Roman" w:hAnsi="Times New Roman" w:cs="Times New Roman"/>
        </w:rPr>
        <w:t xml:space="preserve">. </w:t>
      </w:r>
      <w:r w:rsidRPr="001B7283">
        <w:rPr>
          <w:rFonts w:ascii="Times New Roman" w:hAnsi="Times New Roman" w:cs="Times New Roman"/>
          <w:sz w:val="24"/>
          <w:szCs w:val="24"/>
        </w:rPr>
        <w:t>Our findings revealed that none of the products carried any health warning. A pilot survey conducted in three South Asian countries found that if existent, health warnings on SLT packs were text-only, were mostly concealed, sometimes not in the native language, and not complying with the provisions of FCTC Article 11</w:t>
      </w:r>
      <w:r w:rsidRPr="001F3140">
        <w:rPr>
          <w:rFonts w:ascii="Times New Roman" w:hAnsi="Times New Roman" w:cs="Times New Roman"/>
          <w:noProof/>
          <w:sz w:val="24"/>
          <w:szCs w:val="24"/>
          <w:vertAlign w:val="superscript"/>
        </w:rPr>
        <w:t>34</w:t>
      </w:r>
      <w:r w:rsidRPr="001B7283">
        <w:rPr>
          <w:rFonts w:ascii="Times New Roman" w:hAnsi="Times New Roman" w:cs="Times New Roman"/>
          <w:sz w:val="24"/>
          <w:szCs w:val="24"/>
        </w:rPr>
        <w:t xml:space="preserve">. These findings are replicated here in our current study in which health warnings were only found on five Indian products, covering about one percent of the packet. </w:t>
      </w:r>
      <w:r w:rsidRPr="00A33AC2">
        <w:rPr>
          <w:rFonts w:ascii="Times New Roman" w:hAnsi="Times New Roman" w:cs="Times New Roman"/>
          <w:sz w:val="24"/>
          <w:szCs w:val="24"/>
        </w:rPr>
        <w:t>India is among the leading countries to implement the law of health warnings on SLT packages and all SLT warnings since 2011 were accompanied by the text “TOBACCO KILLS”; however, the size (40%), location, and rotation of warnings remained unimplemented</w:t>
      </w:r>
      <w:r w:rsidRPr="00A33AC2">
        <w:rPr>
          <w:rFonts w:ascii="Times New Roman" w:hAnsi="Times New Roman" w:cs="Times New Roman"/>
          <w:sz w:val="24"/>
          <w:szCs w:val="24"/>
          <w:vertAlign w:val="superscript"/>
        </w:rPr>
        <w:t>37</w:t>
      </w:r>
      <w:r>
        <w:rPr>
          <w:rFonts w:ascii="Arial" w:hAnsi="Arial" w:cs="Arial"/>
          <w:color w:val="222222"/>
          <w:sz w:val="20"/>
          <w:szCs w:val="20"/>
          <w:shd w:val="clear" w:color="auto" w:fill="FFFFFF"/>
        </w:rPr>
        <w:t>.</w:t>
      </w:r>
      <w:r>
        <w:rPr>
          <w:rFonts w:ascii="Times New Roman" w:hAnsi="Times New Roman" w:cs="Times New Roman"/>
          <w:sz w:val="24"/>
          <w:szCs w:val="24"/>
        </w:rPr>
        <w:t xml:space="preserve"> </w:t>
      </w:r>
      <w:r w:rsidRPr="001B7283">
        <w:rPr>
          <w:rFonts w:ascii="Times New Roman" w:hAnsi="Times New Roman" w:cs="Times New Roman"/>
          <w:sz w:val="24"/>
          <w:szCs w:val="24"/>
        </w:rPr>
        <w:t>Half of the analyzed products had a colorful sticker of business identity, and were completely discordant with the tobacco control best practice of plain packaging (removal of colors, brand imagery or logos and to print only the brand name in an assigned size in addition to required health warnings) policies advocated by the FCTC</w:t>
      </w:r>
      <w:r>
        <w:rPr>
          <w:rFonts w:ascii="Times New Roman" w:hAnsi="Times New Roman" w:cs="Times New Roman"/>
          <w:sz w:val="24"/>
          <w:szCs w:val="24"/>
          <w:vertAlign w:val="superscript"/>
        </w:rPr>
        <w:t>38-40</w:t>
      </w:r>
      <w:r w:rsidRPr="001B7283">
        <w:rPr>
          <w:rFonts w:ascii="Times New Roman" w:hAnsi="Times New Roman" w:cs="Times New Roman"/>
          <w:sz w:val="24"/>
          <w:szCs w:val="24"/>
        </w:rPr>
        <w:t xml:space="preserve">. Article 11.2 of FCTC specifies that “each unit package of tobacco products and any outside packaging and labelling of such products shall, in addition to the warnings, contain information on </w:t>
      </w:r>
      <w:r w:rsidRPr="001B7283">
        <w:rPr>
          <w:rFonts w:ascii="Times New Roman" w:hAnsi="Times New Roman" w:cs="Times New Roman"/>
          <w:sz w:val="24"/>
          <w:szCs w:val="24"/>
        </w:rPr>
        <w:lastRenderedPageBreak/>
        <w:t>relevant constituents and emissions of tobacco products”</w:t>
      </w:r>
      <w:r>
        <w:rPr>
          <w:rFonts w:ascii="Times New Roman" w:hAnsi="Times New Roman" w:cs="Times New Roman"/>
          <w:noProof/>
          <w:sz w:val="24"/>
          <w:szCs w:val="24"/>
          <w:vertAlign w:val="superscript"/>
        </w:rPr>
        <w:t>13,41</w:t>
      </w:r>
      <w:r w:rsidRPr="001B7283">
        <w:rPr>
          <w:rFonts w:ascii="Times New Roman" w:hAnsi="Times New Roman" w:cs="Times New Roman"/>
          <w:sz w:val="24"/>
          <w:szCs w:val="24"/>
        </w:rPr>
        <w:t>. Ingredients of smokeless tobacco products were mentioned on nine out of 16 observed packages in a study conducted in India</w:t>
      </w:r>
      <w:r>
        <w:rPr>
          <w:rFonts w:ascii="Times New Roman" w:hAnsi="Times New Roman" w:cs="Times New Roman"/>
          <w:noProof/>
          <w:sz w:val="24"/>
          <w:szCs w:val="24"/>
          <w:vertAlign w:val="superscript"/>
        </w:rPr>
        <w:t>42</w:t>
      </w:r>
      <w:r w:rsidRPr="001B7283">
        <w:rPr>
          <w:rFonts w:ascii="Times New Roman" w:hAnsi="Times New Roman" w:cs="Times New Roman"/>
          <w:sz w:val="24"/>
          <w:szCs w:val="24"/>
        </w:rPr>
        <w:t>. The law of Pakistan does not require to mention the contents of tobacco products on packaging</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xml:space="preserve">. Almost all the observed Naswar products and its foreign substitutes were found non-compliant with this provision of the FCTC. </w:t>
      </w:r>
      <w:r>
        <w:rPr>
          <w:rFonts w:ascii="Times New Roman" w:hAnsi="Times New Roman" w:cs="Times New Roman"/>
          <w:sz w:val="24"/>
          <w:szCs w:val="24"/>
        </w:rPr>
        <w:t xml:space="preserve"> </w:t>
      </w:r>
    </w:p>
    <w:p w:rsidR="004A4BDD" w:rsidRPr="001B7283" w:rsidRDefault="004A4BDD" w:rsidP="002416CF">
      <w:pPr>
        <w:spacing w:line="480" w:lineRule="auto"/>
        <w:jc w:val="both"/>
        <w:rPr>
          <w:rFonts w:ascii="Times New Roman" w:hAnsi="Times New Roman" w:cs="Times New Roman"/>
          <w:sz w:val="24"/>
          <w:szCs w:val="24"/>
        </w:rPr>
      </w:pPr>
      <w:r w:rsidRPr="001B7283">
        <w:rPr>
          <w:rFonts w:ascii="Times New Roman" w:hAnsi="Times New Roman" w:cs="Times New Roman"/>
          <w:sz w:val="24"/>
          <w:szCs w:val="24"/>
        </w:rPr>
        <w:t>FCTC Article 13 calls for a comprehensive ban on tobacco advertising, promotion and sponsorship (TAPS). This ban covers POS displays of tobacco products along with advertisements and promotions at the POS, among others</w:t>
      </w:r>
      <w:r w:rsidRPr="001F3140">
        <w:rPr>
          <w:rFonts w:ascii="Times New Roman" w:hAnsi="Times New Roman" w:cs="Times New Roman"/>
          <w:noProof/>
          <w:sz w:val="24"/>
          <w:szCs w:val="24"/>
          <w:vertAlign w:val="superscript"/>
        </w:rPr>
        <w:t>13</w:t>
      </w:r>
      <w:r w:rsidRPr="001B7283">
        <w:rPr>
          <w:rFonts w:ascii="Times New Roman" w:hAnsi="Times New Roman" w:cs="Times New Roman"/>
          <w:sz w:val="24"/>
          <w:szCs w:val="24"/>
        </w:rPr>
        <w:t>. According to national law, many forms of tobacco advertising and promotion are prohibited, including advertising on domestic TV, radio, certain billboards, and in print media</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Most other forms of advertising and promotion were allowed</w:t>
      </w:r>
      <w:r w:rsidRPr="001F3140">
        <w:rPr>
          <w:rFonts w:ascii="Times New Roman" w:hAnsi="Times New Roman" w:cs="Times New Roman"/>
          <w:noProof/>
          <w:sz w:val="24"/>
          <w:szCs w:val="24"/>
          <w:vertAlign w:val="superscript"/>
        </w:rPr>
        <w:t>26</w:t>
      </w:r>
      <w:r w:rsidRPr="001B7283">
        <w:rPr>
          <w:rFonts w:ascii="Times New Roman" w:hAnsi="Times New Roman" w:cs="Times New Roman"/>
          <w:sz w:val="24"/>
          <w:szCs w:val="24"/>
        </w:rPr>
        <w:t xml:space="preserve"> until a recently (Feb 2020) approved law, which prohibits the display of tobacco products and advertising both inside and outside the POS. Regardless of stringent regulations, the tobacco industry continues to invest profoundly in marketing its products, including SLT</w:t>
      </w:r>
      <w:r>
        <w:rPr>
          <w:rFonts w:ascii="Times New Roman" w:hAnsi="Times New Roman" w:cs="Times New Roman"/>
          <w:noProof/>
          <w:sz w:val="24"/>
          <w:szCs w:val="24"/>
          <w:vertAlign w:val="superscript"/>
        </w:rPr>
        <w:t>43</w:t>
      </w:r>
      <w:r w:rsidRPr="001B7283">
        <w:rPr>
          <w:rFonts w:ascii="Times New Roman" w:hAnsi="Times New Roman" w:cs="Times New Roman"/>
          <w:sz w:val="24"/>
          <w:szCs w:val="24"/>
        </w:rPr>
        <w:t>, and continues to target consumers at POS</w:t>
      </w:r>
      <w:r>
        <w:rPr>
          <w:rFonts w:ascii="Times New Roman" w:hAnsi="Times New Roman" w:cs="Times New Roman"/>
          <w:noProof/>
          <w:sz w:val="24"/>
          <w:szCs w:val="24"/>
          <w:vertAlign w:val="superscript"/>
        </w:rPr>
        <w:t>44</w:t>
      </w:r>
      <w:r w:rsidRPr="001B7283">
        <w:rPr>
          <w:rFonts w:ascii="Times New Roman" w:hAnsi="Times New Roman" w:cs="Times New Roman"/>
          <w:sz w:val="24"/>
          <w:szCs w:val="24"/>
        </w:rPr>
        <w:t>. Naswar, in this study, was found freely visible at more than 90% of GPOS and in all of ENS shops. Similar findings were reported from Amsterdam with 91.5% overall visibility of tobacco products, while tobacconists, shops selling tobacco and tobacco accessories, had 100% visibility of tobacco products</w:t>
      </w:r>
      <w:r>
        <w:rPr>
          <w:rFonts w:ascii="Times New Roman" w:hAnsi="Times New Roman" w:cs="Times New Roman"/>
          <w:noProof/>
          <w:sz w:val="24"/>
          <w:szCs w:val="24"/>
          <w:vertAlign w:val="superscript"/>
        </w:rPr>
        <w:t>45</w:t>
      </w:r>
      <w:r w:rsidRPr="001B7283">
        <w:rPr>
          <w:rFonts w:ascii="Times New Roman" w:hAnsi="Times New Roman" w:cs="Times New Roman"/>
          <w:sz w:val="24"/>
          <w:szCs w:val="24"/>
        </w:rPr>
        <w:t>. A POS display ban will be implemented in supermarkets in the Netherlands in 2020 but tobacconists will remain exempt and thus highly visible. For optimal limitation of tobacco products’ visibility and tobacco advertisements, display bans would need to be all inclusive, covering different types of retailers</w:t>
      </w:r>
      <w:r>
        <w:rPr>
          <w:rFonts w:ascii="Times New Roman" w:hAnsi="Times New Roman" w:cs="Times New Roman"/>
          <w:noProof/>
          <w:sz w:val="24"/>
          <w:szCs w:val="24"/>
          <w:vertAlign w:val="superscript"/>
        </w:rPr>
        <w:t>45</w:t>
      </w:r>
      <w:r w:rsidRPr="001B7283">
        <w:rPr>
          <w:rFonts w:ascii="Times New Roman" w:hAnsi="Times New Roman" w:cs="Times New Roman"/>
          <w:sz w:val="24"/>
          <w:szCs w:val="24"/>
        </w:rPr>
        <w:t>. Pakistan’s national laws should also cater for specific entities like exclusive Naswar sellers. A review on neighborhood differences in POS marketing reported targeting of rural and more disadvantaged areas for marketing of SLT</w:t>
      </w:r>
      <w:r w:rsidRPr="001F3140">
        <w:rPr>
          <w:rFonts w:ascii="Times New Roman" w:hAnsi="Times New Roman" w:cs="Times New Roman"/>
          <w:noProof/>
          <w:sz w:val="24"/>
          <w:szCs w:val="24"/>
          <w:vertAlign w:val="superscript"/>
        </w:rPr>
        <w:t>16</w:t>
      </w:r>
      <w:r w:rsidRPr="001B7283">
        <w:rPr>
          <w:rFonts w:ascii="Times New Roman" w:hAnsi="Times New Roman" w:cs="Times New Roman"/>
          <w:sz w:val="24"/>
          <w:szCs w:val="24"/>
        </w:rPr>
        <w:t xml:space="preserve">. Naswar in this study was also found visible in all rural shops. Naswar visibility </w:t>
      </w:r>
      <w:r w:rsidRPr="001B7283">
        <w:rPr>
          <w:rFonts w:ascii="Times New Roman" w:hAnsi="Times New Roman" w:cs="Times New Roman"/>
          <w:sz w:val="24"/>
          <w:szCs w:val="24"/>
        </w:rPr>
        <w:lastRenderedPageBreak/>
        <w:t>was 90% in urban settings either, showing its social acceptability and lack of stringent laws on tobacco products display (the national law on product display has recently enacted). We observed that the main focus of Naswar advertisement was the inside of the shops compared to the outside of the establishment, a finding similar to those from a US study in communities around college campuses in North Carolina and Virginia</w:t>
      </w:r>
      <w:r>
        <w:rPr>
          <w:rFonts w:ascii="Times New Roman" w:hAnsi="Times New Roman" w:cs="Times New Roman"/>
          <w:noProof/>
          <w:sz w:val="24"/>
          <w:szCs w:val="24"/>
          <w:vertAlign w:val="superscript"/>
        </w:rPr>
        <w:t>46</w:t>
      </w:r>
      <w:r w:rsidRPr="001B7283">
        <w:rPr>
          <w:rFonts w:ascii="Times New Roman" w:hAnsi="Times New Roman" w:cs="Times New Roman"/>
          <w:sz w:val="24"/>
          <w:szCs w:val="24"/>
        </w:rPr>
        <w:t xml:space="preserve">. </w:t>
      </w:r>
    </w:p>
    <w:p w:rsidR="004A4BDD" w:rsidRPr="001B7283" w:rsidRDefault="004A4BDD" w:rsidP="002416CF">
      <w:pPr>
        <w:spacing w:line="480" w:lineRule="auto"/>
        <w:jc w:val="both"/>
        <w:rPr>
          <w:rFonts w:ascii="Times New Roman" w:hAnsi="Times New Roman" w:cs="Times New Roman"/>
          <w:sz w:val="24"/>
        </w:rPr>
      </w:pPr>
      <w:r w:rsidRPr="001B7283">
        <w:rPr>
          <w:rFonts w:ascii="Times New Roman" w:hAnsi="Times New Roman" w:cs="Times New Roman"/>
          <w:sz w:val="24"/>
        </w:rPr>
        <w:t xml:space="preserve">There are some limitations to the study, including the fact that it was conducted in only three cities of the Khyber Pakhtunkhwa province in Pakistan. However, these cities are the major hub of the Naswar business in Pakistan and products from here are sent all across the country and even abroad. The new national law on product display was passed after the completion of survey and the results on product advertisement may be interpreted without considering this law. Nonetheless our findings can provide a base-line for future studies assessing developments in tobacco advertisement and promotion related to SLT. </w:t>
      </w:r>
      <w:r w:rsidRPr="00A33AC2">
        <w:rPr>
          <w:rFonts w:ascii="Times New Roman" w:hAnsi="Times New Roman" w:cs="Times New Roman"/>
          <w:sz w:val="24"/>
        </w:rPr>
        <w:t>Proximity of shops to educational institutes is an important policy issue, however, given our available resources, it was difficult to accurately gauge the distances and hence we did not include it in the scope of our study.</w:t>
      </w:r>
      <w:r>
        <w:rPr>
          <w:rFonts w:ascii="Times New Roman" w:hAnsi="Times New Roman" w:cs="Times New Roman"/>
          <w:sz w:val="24"/>
        </w:rPr>
        <w:t xml:space="preserve"> </w:t>
      </w:r>
      <w:r w:rsidRPr="001B7283">
        <w:rPr>
          <w:rFonts w:ascii="Times New Roman" w:hAnsi="Times New Roman" w:cs="Times New Roman"/>
          <w:sz w:val="24"/>
        </w:rPr>
        <w:t xml:space="preserve">Another limitation of the study may originate from the inherent observer bias, bias in recording objective data as a result of inadequate training in the use of measurement tool or preconceived ideas of observer about the findings. However, the pilot study in thirteen shops preceding full data collection and carried out </w:t>
      </w:r>
      <w:bookmarkStart w:id="0" w:name="_GoBack"/>
      <w:bookmarkEnd w:id="0"/>
      <w:r w:rsidRPr="001B7283">
        <w:rPr>
          <w:rFonts w:ascii="Times New Roman" w:hAnsi="Times New Roman" w:cs="Times New Roman"/>
          <w:sz w:val="24"/>
        </w:rPr>
        <w:t>by two independent observers, showed almost perfect agreement in observations. Despite these limitations, this is the first study assessing the packaging, labeling and advertisement practices of Naswar in Pakistan. It provides important insights into the various aspects of compliance of the FCTC and can serve as a baseline measure for future changes.</w:t>
      </w:r>
    </w:p>
    <w:p w:rsidR="004A4BDD" w:rsidRPr="001B7283" w:rsidRDefault="004A4BDD" w:rsidP="002416CF">
      <w:pPr>
        <w:spacing w:line="480" w:lineRule="auto"/>
        <w:jc w:val="both"/>
        <w:rPr>
          <w:rFonts w:ascii="Times New Roman" w:hAnsi="Times New Roman" w:cs="Times New Roman"/>
          <w:b/>
          <w:sz w:val="24"/>
        </w:rPr>
      </w:pPr>
      <w:r w:rsidRPr="001B7283">
        <w:rPr>
          <w:rFonts w:ascii="Times New Roman" w:hAnsi="Times New Roman" w:cs="Times New Roman"/>
          <w:b/>
          <w:sz w:val="24"/>
        </w:rPr>
        <w:t>Conclusions</w:t>
      </w:r>
    </w:p>
    <w:p w:rsidR="004A4BDD" w:rsidRPr="001B7283" w:rsidRDefault="004A4BDD" w:rsidP="002416CF">
      <w:pPr>
        <w:spacing w:line="480" w:lineRule="auto"/>
        <w:jc w:val="both"/>
        <w:rPr>
          <w:rFonts w:ascii="Times New Roman" w:hAnsi="Times New Roman" w:cs="Times New Roman"/>
          <w:sz w:val="24"/>
        </w:rPr>
      </w:pPr>
      <w:r w:rsidRPr="001B7283">
        <w:rPr>
          <w:rFonts w:ascii="Times New Roman" w:hAnsi="Times New Roman" w:cs="Times New Roman"/>
          <w:sz w:val="24"/>
        </w:rPr>
        <w:lastRenderedPageBreak/>
        <w:t xml:space="preserve">This study provides first insights into Naswar sale practices in Khyber Pakhtunkhwa in the context of the provisions of the FCTC. None of the observed local products have any health warning or contents disclosure on the packages and almost all the products were available with free visibility in the shops. Shelf edging and display packs were the two main methods of advertising products inside the shops, used by more than half of the retailers. Focusing on the Naswar supply chain may be necessary to increase adherence to FCTC provisions related to smokeless tobacco in Pakistan. </w:t>
      </w:r>
    </w:p>
    <w:p w:rsidR="004A4BDD" w:rsidRDefault="004A4BDD" w:rsidP="00A53543">
      <w:pPr>
        <w:spacing w:line="480" w:lineRule="auto"/>
        <w:jc w:val="both"/>
        <w:rPr>
          <w:rFonts w:ascii="Times New Roman" w:hAnsi="Times New Roman" w:cs="Times New Roman"/>
          <w:b/>
          <w:sz w:val="24"/>
        </w:rPr>
      </w:pPr>
      <w:r w:rsidRPr="001B7283">
        <w:rPr>
          <w:rFonts w:ascii="Times New Roman" w:hAnsi="Times New Roman" w:cs="Times New Roman"/>
          <w:b/>
          <w:sz w:val="24"/>
        </w:rPr>
        <w:t xml:space="preserve">Acknowledgment  </w:t>
      </w:r>
    </w:p>
    <w:p w:rsidR="004A4BDD" w:rsidRDefault="004A4BDD" w:rsidP="00A53543">
      <w:pPr>
        <w:spacing w:line="480" w:lineRule="auto"/>
        <w:jc w:val="both"/>
        <w:rPr>
          <w:rFonts w:ascii="Times New Roman" w:hAnsi="Times New Roman" w:cs="Times New Roman"/>
          <w:sz w:val="24"/>
          <w:lang w:val="en-GB"/>
        </w:rPr>
      </w:pPr>
      <w:r w:rsidRPr="001B7283">
        <w:rPr>
          <w:rFonts w:ascii="Times New Roman" w:hAnsi="Times New Roman" w:cs="Times New Roman"/>
          <w:sz w:val="24"/>
        </w:rPr>
        <w:t>The authors thank ASTRA (</w:t>
      </w:r>
      <w:r w:rsidRPr="001B7283">
        <w:rPr>
          <w:rFonts w:ascii="Times New Roman" w:hAnsi="Times New Roman" w:cs="Times New Roman"/>
          <w:sz w:val="24"/>
          <w:lang w:val="en-GB"/>
        </w:rPr>
        <w:t>Addressing Smokeless Tobacco use and building Research capacity in South Asia) team for utilizing their findings of smokeless tobacco POS mapping study, recently conducted in Peshawar district of Pakistan.</w:t>
      </w:r>
    </w:p>
    <w:p w:rsidR="004A4BDD" w:rsidRPr="00CD1DB9" w:rsidRDefault="004A4BDD" w:rsidP="00CD1DB9">
      <w:pPr>
        <w:spacing w:line="480" w:lineRule="auto"/>
        <w:jc w:val="both"/>
        <w:rPr>
          <w:rFonts w:ascii="Times New Roman" w:hAnsi="Times New Roman" w:cs="Times New Roman"/>
          <w:b/>
          <w:sz w:val="24"/>
          <w:lang w:val="en-GB"/>
        </w:rPr>
      </w:pPr>
      <w:r w:rsidRPr="00CD1DB9">
        <w:rPr>
          <w:rFonts w:ascii="Times New Roman" w:hAnsi="Times New Roman" w:cs="Times New Roman"/>
          <w:b/>
          <w:sz w:val="24"/>
          <w:lang w:val="en-GB"/>
        </w:rPr>
        <w:t xml:space="preserve">Competing interests </w:t>
      </w:r>
    </w:p>
    <w:p w:rsidR="004A4BDD" w:rsidRPr="00CD1DB9" w:rsidRDefault="004A4BDD" w:rsidP="00CD1DB9">
      <w:pPr>
        <w:spacing w:line="480" w:lineRule="auto"/>
        <w:jc w:val="both"/>
        <w:rPr>
          <w:rFonts w:ascii="Times New Roman" w:hAnsi="Times New Roman" w:cs="Times New Roman"/>
          <w:sz w:val="24"/>
          <w:lang w:val="en-GB"/>
        </w:rPr>
      </w:pPr>
      <w:r w:rsidRPr="00CD1DB9">
        <w:rPr>
          <w:rFonts w:ascii="Times New Roman" w:hAnsi="Times New Roman" w:cs="Times New Roman"/>
          <w:sz w:val="24"/>
          <w:lang w:val="en-GB"/>
        </w:rPr>
        <w:t>None declared.</w:t>
      </w:r>
    </w:p>
    <w:p w:rsidR="004A4BDD" w:rsidRDefault="004A4BDD" w:rsidP="00CD1DB9">
      <w:pPr>
        <w:spacing w:line="480" w:lineRule="auto"/>
        <w:jc w:val="both"/>
        <w:rPr>
          <w:rFonts w:ascii="Times New Roman" w:hAnsi="Times New Roman" w:cs="Times New Roman"/>
          <w:sz w:val="24"/>
          <w:lang w:val="en-GB"/>
        </w:rPr>
      </w:pPr>
      <w:r>
        <w:rPr>
          <w:rFonts w:ascii="Times New Roman" w:hAnsi="Times New Roman" w:cs="Times New Roman"/>
          <w:b/>
          <w:sz w:val="24"/>
          <w:lang w:val="en-GB"/>
        </w:rPr>
        <w:t>Funding Note</w:t>
      </w:r>
      <w:r w:rsidRPr="00CD1DB9">
        <w:rPr>
          <w:rFonts w:ascii="Times New Roman" w:hAnsi="Times New Roman" w:cs="Times New Roman"/>
          <w:sz w:val="24"/>
          <w:lang w:val="en-GB"/>
        </w:rPr>
        <w:t xml:space="preserve"> </w:t>
      </w:r>
    </w:p>
    <w:p w:rsidR="004A4BDD" w:rsidRPr="00A53543" w:rsidRDefault="004A4BDD" w:rsidP="00CD1DB9">
      <w:pPr>
        <w:spacing w:line="480" w:lineRule="auto"/>
        <w:jc w:val="both"/>
        <w:rPr>
          <w:rFonts w:ascii="Times New Roman" w:hAnsi="Times New Roman" w:cs="Times New Roman"/>
          <w:sz w:val="24"/>
          <w:lang w:val="en-GB"/>
        </w:rPr>
      </w:pPr>
      <w:r w:rsidRPr="00CD1DB9">
        <w:rPr>
          <w:rFonts w:ascii="Times New Roman" w:hAnsi="Times New Roman" w:cs="Times New Roman"/>
          <w:sz w:val="24"/>
          <w:lang w:val="en-GB"/>
        </w:rPr>
        <w:t>The research was funded by the German</w:t>
      </w:r>
      <w:r>
        <w:rPr>
          <w:rFonts w:ascii="Times New Roman" w:hAnsi="Times New Roman" w:cs="Times New Roman"/>
          <w:sz w:val="24"/>
          <w:lang w:val="en-GB"/>
        </w:rPr>
        <w:t xml:space="preserve"> Academic Exchange Service DAAD </w:t>
      </w:r>
      <w:r w:rsidRPr="00CD1DB9">
        <w:rPr>
          <w:rFonts w:ascii="Times New Roman" w:hAnsi="Times New Roman" w:cs="Times New Roman"/>
          <w:sz w:val="24"/>
          <w:lang w:val="en-GB"/>
        </w:rPr>
        <w:t>(project number 574 030 10). The funding agency has no role</w:t>
      </w:r>
      <w:r>
        <w:rPr>
          <w:rFonts w:ascii="Times New Roman" w:hAnsi="Times New Roman" w:cs="Times New Roman"/>
          <w:sz w:val="24"/>
          <w:lang w:val="en-GB"/>
        </w:rPr>
        <w:t xml:space="preserve"> in any stage of the study. The </w:t>
      </w:r>
      <w:r w:rsidRPr="00CD1DB9">
        <w:rPr>
          <w:rFonts w:ascii="Times New Roman" w:hAnsi="Times New Roman" w:cs="Times New Roman"/>
          <w:sz w:val="24"/>
          <w:lang w:val="en-GB"/>
        </w:rPr>
        <w:t>authors are solely responsible for the content and views in this</w:t>
      </w:r>
      <w:r>
        <w:rPr>
          <w:rFonts w:ascii="Times New Roman" w:hAnsi="Times New Roman" w:cs="Times New Roman"/>
          <w:sz w:val="24"/>
          <w:lang w:val="en-GB"/>
        </w:rPr>
        <w:t xml:space="preserve"> paper.</w:t>
      </w:r>
      <w:r w:rsidRPr="001B7283">
        <w:rPr>
          <w:rFonts w:ascii="Times New Roman" w:hAnsi="Times New Roman" w:cs="Times New Roman"/>
          <w:sz w:val="24"/>
          <w:lang w:val="en-GB"/>
        </w:rPr>
        <w:t xml:space="preserve"> </w:t>
      </w:r>
    </w:p>
    <w:p w:rsidR="004A4BDD" w:rsidRPr="001B7283" w:rsidRDefault="004A4BDD" w:rsidP="00A53543">
      <w:pPr>
        <w:spacing w:line="240" w:lineRule="auto"/>
        <w:rPr>
          <w:rFonts w:ascii="Times New Roman" w:hAnsi="Times New Roman" w:cs="Times New Roman"/>
          <w:b/>
          <w:sz w:val="24"/>
        </w:rPr>
      </w:pPr>
      <w:r w:rsidRPr="001B7283">
        <w:rPr>
          <w:rFonts w:ascii="Times New Roman" w:hAnsi="Times New Roman" w:cs="Times New Roman"/>
          <w:b/>
          <w:sz w:val="24"/>
        </w:rPr>
        <w:t>Table 1: Distribution of different types of observed shops by district (N=286)</w:t>
      </w:r>
    </w:p>
    <w:tbl>
      <w:tblPr>
        <w:tblStyle w:val="TableGrid"/>
        <w:tblW w:w="9085" w:type="dxa"/>
        <w:tblLook w:val="04A0" w:firstRow="1" w:lastRow="0" w:firstColumn="1" w:lastColumn="0" w:noHBand="0" w:noVBand="1"/>
      </w:tblPr>
      <w:tblGrid>
        <w:gridCol w:w="2605"/>
        <w:gridCol w:w="1553"/>
        <w:gridCol w:w="1710"/>
        <w:gridCol w:w="1710"/>
        <w:gridCol w:w="1507"/>
      </w:tblGrid>
      <w:tr w:rsidR="004A4BDD" w:rsidRPr="001B7283" w:rsidTr="00A53543">
        <w:tc>
          <w:tcPr>
            <w:tcW w:w="2605"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Type of shop</w:t>
            </w:r>
          </w:p>
        </w:tc>
        <w:tc>
          <w:tcPr>
            <w:tcW w:w="1553"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 xml:space="preserve">Bannu </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n (%)</w:t>
            </w:r>
          </w:p>
        </w:tc>
        <w:tc>
          <w:tcPr>
            <w:tcW w:w="1710"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 xml:space="preserve">Mardan </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n (%)</w:t>
            </w:r>
          </w:p>
        </w:tc>
        <w:tc>
          <w:tcPr>
            <w:tcW w:w="1710"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Peshawar</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n (%)</w:t>
            </w:r>
          </w:p>
        </w:tc>
        <w:tc>
          <w:tcPr>
            <w:tcW w:w="1507"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Total</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n (%)</w:t>
            </w:r>
          </w:p>
        </w:tc>
      </w:tr>
      <w:tr w:rsidR="004A4BDD" w:rsidRPr="001B7283" w:rsidTr="00A53543">
        <w:tc>
          <w:tcPr>
            <w:tcW w:w="2605"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 xml:space="preserve">Grocery store </w:t>
            </w:r>
          </w:p>
        </w:tc>
        <w:tc>
          <w:tcPr>
            <w:tcW w:w="155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32 (11.2)</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43 (15.0)</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72 (25.2)</w:t>
            </w:r>
          </w:p>
        </w:tc>
        <w:tc>
          <w:tcPr>
            <w:tcW w:w="1507"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147 (51.4)</w:t>
            </w:r>
          </w:p>
        </w:tc>
      </w:tr>
      <w:tr w:rsidR="004A4BDD" w:rsidRPr="001B7283" w:rsidTr="00A53543">
        <w:tc>
          <w:tcPr>
            <w:tcW w:w="2605"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Convenience store</w:t>
            </w:r>
          </w:p>
        </w:tc>
        <w:tc>
          <w:tcPr>
            <w:tcW w:w="155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17 (5.8)</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65 (22.8)</w:t>
            </w:r>
          </w:p>
        </w:tc>
        <w:tc>
          <w:tcPr>
            <w:tcW w:w="1507"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82 (28.6)</w:t>
            </w:r>
          </w:p>
        </w:tc>
      </w:tr>
      <w:tr w:rsidR="004A4BDD" w:rsidRPr="001B7283" w:rsidTr="00A53543">
        <w:tc>
          <w:tcPr>
            <w:tcW w:w="2605"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Exclusive Naswar shops</w:t>
            </w:r>
          </w:p>
        </w:tc>
        <w:tc>
          <w:tcPr>
            <w:tcW w:w="155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18 (6.3)</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15 (5.3)</w:t>
            </w:r>
          </w:p>
        </w:tc>
        <w:tc>
          <w:tcPr>
            <w:tcW w:w="171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24 (8.4)</w:t>
            </w:r>
          </w:p>
        </w:tc>
        <w:tc>
          <w:tcPr>
            <w:tcW w:w="1507"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57 (20.0)</w:t>
            </w:r>
          </w:p>
        </w:tc>
      </w:tr>
    </w:tbl>
    <w:p w:rsidR="004A4BDD" w:rsidRDefault="004A4BDD" w:rsidP="00A53543">
      <w:pPr>
        <w:spacing w:line="240" w:lineRule="auto"/>
        <w:rPr>
          <w:rFonts w:ascii="Times New Roman" w:hAnsi="Times New Roman" w:cs="Times New Roman"/>
          <w:b/>
          <w:sz w:val="24"/>
        </w:rPr>
      </w:pPr>
    </w:p>
    <w:p w:rsidR="004A4BDD" w:rsidRPr="001B7283" w:rsidRDefault="004A4BDD" w:rsidP="00A53543">
      <w:pPr>
        <w:spacing w:line="240" w:lineRule="auto"/>
        <w:rPr>
          <w:rFonts w:ascii="Times New Roman" w:hAnsi="Times New Roman" w:cs="Times New Roman"/>
          <w:b/>
          <w:sz w:val="24"/>
        </w:rPr>
      </w:pPr>
      <w:r w:rsidRPr="001B7283">
        <w:rPr>
          <w:rFonts w:ascii="Times New Roman" w:hAnsi="Times New Roman" w:cs="Times New Roman"/>
          <w:b/>
          <w:sz w:val="24"/>
        </w:rPr>
        <w:t xml:space="preserve">Table 2: Packaging and labeling practices of Naswar brands at GPOS and ENS shops </w:t>
      </w:r>
    </w:p>
    <w:tbl>
      <w:tblPr>
        <w:tblStyle w:val="TableGrid"/>
        <w:tblW w:w="9625" w:type="dxa"/>
        <w:tblLayout w:type="fixed"/>
        <w:tblLook w:val="04A0" w:firstRow="1" w:lastRow="0" w:firstColumn="1" w:lastColumn="0" w:noHBand="0" w:noVBand="1"/>
      </w:tblPr>
      <w:tblGrid>
        <w:gridCol w:w="1458"/>
        <w:gridCol w:w="1672"/>
        <w:gridCol w:w="1111"/>
        <w:gridCol w:w="1168"/>
        <w:gridCol w:w="1191"/>
        <w:gridCol w:w="1263"/>
        <w:gridCol w:w="1762"/>
      </w:tblGrid>
      <w:tr w:rsidR="004A4BDD" w:rsidRPr="001B7283" w:rsidTr="00A53543">
        <w:tc>
          <w:tcPr>
            <w:tcW w:w="3130" w:type="dxa"/>
            <w:gridSpan w:val="2"/>
          </w:tcPr>
          <w:p w:rsidR="004A4BDD" w:rsidRPr="001B7283" w:rsidRDefault="004A4BDD" w:rsidP="00A53543">
            <w:pPr>
              <w:rPr>
                <w:rFonts w:ascii="Times New Roman" w:hAnsi="Times New Roman" w:cs="Times New Roman"/>
                <w:b/>
                <w:sz w:val="24"/>
              </w:rPr>
            </w:pPr>
          </w:p>
        </w:tc>
        <w:tc>
          <w:tcPr>
            <w:tcW w:w="4733" w:type="dxa"/>
            <w:gridSpan w:val="4"/>
          </w:tcPr>
          <w:p w:rsidR="004A4BDD" w:rsidRPr="001B7283" w:rsidRDefault="004A4BDD" w:rsidP="00A53543">
            <w:pPr>
              <w:jc w:val="center"/>
              <w:rPr>
                <w:rFonts w:ascii="Times New Roman" w:hAnsi="Times New Roman" w:cs="Times New Roman"/>
                <w:b/>
                <w:sz w:val="24"/>
              </w:rPr>
            </w:pPr>
          </w:p>
          <w:p w:rsidR="004A4BDD" w:rsidRPr="001B7283" w:rsidRDefault="004A4BDD" w:rsidP="00A53543">
            <w:pPr>
              <w:jc w:val="center"/>
              <w:rPr>
                <w:rFonts w:ascii="Times New Roman" w:hAnsi="Times New Roman" w:cs="Times New Roman"/>
                <w:b/>
                <w:sz w:val="24"/>
              </w:rPr>
            </w:pPr>
            <w:r w:rsidRPr="001B7283">
              <w:rPr>
                <w:rFonts w:ascii="Times New Roman" w:hAnsi="Times New Roman" w:cs="Times New Roman"/>
                <w:b/>
                <w:sz w:val="24"/>
              </w:rPr>
              <w:t>Naswar brands at GPOS shops (N=133)</w:t>
            </w:r>
          </w:p>
        </w:tc>
        <w:tc>
          <w:tcPr>
            <w:tcW w:w="1762" w:type="dxa"/>
          </w:tcPr>
          <w:p w:rsidR="004A4BDD" w:rsidRPr="001B7283" w:rsidRDefault="004A4BDD" w:rsidP="00A53543">
            <w:pPr>
              <w:jc w:val="center"/>
              <w:rPr>
                <w:rFonts w:ascii="Times New Roman" w:hAnsi="Times New Roman" w:cs="Times New Roman"/>
                <w:b/>
                <w:sz w:val="24"/>
              </w:rPr>
            </w:pPr>
            <w:r w:rsidRPr="001B7283">
              <w:rPr>
                <w:rFonts w:ascii="Times New Roman" w:hAnsi="Times New Roman" w:cs="Times New Roman"/>
                <w:b/>
                <w:sz w:val="24"/>
              </w:rPr>
              <w:t>Naswar brands at ENS (N=49)</w:t>
            </w:r>
          </w:p>
        </w:tc>
      </w:tr>
      <w:tr w:rsidR="004A4BDD" w:rsidRPr="001B7283" w:rsidTr="00A53543">
        <w:tc>
          <w:tcPr>
            <w:tcW w:w="3130" w:type="dxa"/>
            <w:gridSpan w:val="2"/>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Packaging and labelling practices</w:t>
            </w:r>
          </w:p>
        </w:tc>
        <w:tc>
          <w:tcPr>
            <w:tcW w:w="1111"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Bannu</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w:t>
            </w:r>
            <w:r w:rsidRPr="001B7283">
              <w:rPr>
                <w:rFonts w:ascii="Times New Roman" w:hAnsi="Times New Roman" w:cs="Times New Roman"/>
                <w:b/>
                <w:i/>
                <w:sz w:val="24"/>
              </w:rPr>
              <w:t>n</w:t>
            </w:r>
            <w:r w:rsidRPr="001B7283">
              <w:rPr>
                <w:rFonts w:ascii="Times New Roman" w:hAnsi="Times New Roman" w:cs="Times New Roman"/>
                <w:b/>
                <w:sz w:val="24"/>
              </w:rPr>
              <w:t xml:space="preserve">=19) </w:t>
            </w:r>
          </w:p>
        </w:tc>
        <w:tc>
          <w:tcPr>
            <w:tcW w:w="1168"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Mardan</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w:t>
            </w:r>
            <w:r w:rsidRPr="001B7283">
              <w:rPr>
                <w:rFonts w:ascii="Times New Roman" w:hAnsi="Times New Roman" w:cs="Times New Roman"/>
                <w:b/>
                <w:i/>
                <w:sz w:val="24"/>
              </w:rPr>
              <w:t>n</w:t>
            </w:r>
            <w:r w:rsidRPr="001B7283">
              <w:rPr>
                <w:rFonts w:ascii="Times New Roman" w:hAnsi="Times New Roman" w:cs="Times New Roman"/>
                <w:b/>
                <w:sz w:val="24"/>
              </w:rPr>
              <w:t>=55)</w:t>
            </w:r>
          </w:p>
        </w:tc>
        <w:tc>
          <w:tcPr>
            <w:tcW w:w="1191"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Peshawar</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w:t>
            </w:r>
            <w:r w:rsidRPr="001B7283">
              <w:rPr>
                <w:rFonts w:ascii="Times New Roman" w:hAnsi="Times New Roman" w:cs="Times New Roman"/>
                <w:b/>
                <w:i/>
                <w:sz w:val="24"/>
              </w:rPr>
              <w:t>n</w:t>
            </w:r>
            <w:r w:rsidRPr="001B7283">
              <w:rPr>
                <w:rFonts w:ascii="Times New Roman" w:hAnsi="Times New Roman" w:cs="Times New Roman"/>
                <w:b/>
                <w:sz w:val="24"/>
              </w:rPr>
              <w:t xml:space="preserve">=59) </w:t>
            </w:r>
          </w:p>
        </w:tc>
        <w:tc>
          <w:tcPr>
            <w:tcW w:w="1263"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All brands at POS</w:t>
            </w:r>
          </w:p>
        </w:tc>
        <w:tc>
          <w:tcPr>
            <w:tcW w:w="1762" w:type="dxa"/>
          </w:tcPr>
          <w:p w:rsidR="004A4BDD" w:rsidRPr="001B7283" w:rsidRDefault="004A4BDD" w:rsidP="00A53543">
            <w:pPr>
              <w:rPr>
                <w:rFonts w:ascii="Times New Roman" w:hAnsi="Times New Roman" w:cs="Times New Roman"/>
                <w:b/>
                <w:sz w:val="24"/>
                <w:szCs w:val="24"/>
              </w:rPr>
            </w:pPr>
            <w:r w:rsidRPr="001B7283">
              <w:rPr>
                <w:rFonts w:ascii="Times New Roman" w:hAnsi="Times New Roman" w:cs="Times New Roman"/>
                <w:b/>
                <w:sz w:val="24"/>
                <w:szCs w:val="24"/>
              </w:rPr>
              <w:t>Combined for all three districts</w:t>
            </w:r>
          </w:p>
        </w:tc>
      </w:tr>
      <w:tr w:rsidR="004A4BDD" w:rsidRPr="001B7283" w:rsidTr="00A53543">
        <w:tc>
          <w:tcPr>
            <w:tcW w:w="3130" w:type="dxa"/>
            <w:gridSpan w:val="2"/>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Only name of the product mentioned</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02 (10.5)</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05 (09)</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04 (6.8)</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11 (8.3)</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szCs w:val="24"/>
              </w:rPr>
              <w:t>04 (8.2)</w:t>
            </w:r>
          </w:p>
        </w:tc>
      </w:tr>
      <w:tr w:rsidR="004A4BDD" w:rsidRPr="001B7283" w:rsidTr="00A53543">
        <w:tc>
          <w:tcPr>
            <w:tcW w:w="3130" w:type="dxa"/>
            <w:gridSpan w:val="2"/>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Product name with address of manufacturer</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05 (26.3)</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20 (36.4)</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26 (44)</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51 (38.3)</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szCs w:val="24"/>
              </w:rPr>
              <w:t>20 (40.8)</w:t>
            </w:r>
          </w:p>
        </w:tc>
      </w:tr>
      <w:tr w:rsidR="004A4BDD" w:rsidRPr="001B7283" w:rsidTr="00A53543">
        <w:tc>
          <w:tcPr>
            <w:tcW w:w="3130" w:type="dxa"/>
            <w:gridSpan w:val="2"/>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Neither name nor address</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12 (63.2)</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30 (54.6)</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29 (49.2)</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71 (53.4)</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szCs w:val="24"/>
              </w:rPr>
              <w:t>23 (47)</w:t>
            </w:r>
          </w:p>
        </w:tc>
      </w:tr>
      <w:tr w:rsidR="004A4BDD" w:rsidRPr="001B7283" w:rsidTr="00A53543">
        <w:trPr>
          <w:trHeight w:val="270"/>
        </w:trPr>
        <w:tc>
          <w:tcPr>
            <w:tcW w:w="1458" w:type="dxa"/>
            <w:vMerge w:val="restart"/>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Country of origin of the product</w:t>
            </w:r>
          </w:p>
        </w:tc>
        <w:tc>
          <w:tcPr>
            <w:tcW w:w="167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Pakistan</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16 (84.2)</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52 (94.5)</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58 (98.3)</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126 (94.7)</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szCs w:val="24"/>
              </w:rPr>
              <w:t>49 (100)</w:t>
            </w:r>
          </w:p>
        </w:tc>
      </w:tr>
      <w:tr w:rsidR="004A4BDD" w:rsidRPr="001B7283" w:rsidTr="00A53543">
        <w:trPr>
          <w:trHeight w:val="270"/>
        </w:trPr>
        <w:tc>
          <w:tcPr>
            <w:tcW w:w="1458" w:type="dxa"/>
            <w:vMerge/>
          </w:tcPr>
          <w:p w:rsidR="004A4BDD" w:rsidRPr="001B7283" w:rsidRDefault="004A4BDD" w:rsidP="00A53543">
            <w:pPr>
              <w:rPr>
                <w:rFonts w:ascii="Times New Roman" w:hAnsi="Times New Roman" w:cs="Times New Roman"/>
                <w:sz w:val="24"/>
              </w:rPr>
            </w:pPr>
          </w:p>
        </w:tc>
        <w:tc>
          <w:tcPr>
            <w:tcW w:w="167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India</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03 (15.8)</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03 (5.5)</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 xml:space="preserve">Nil </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06 (4.5)</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r>
      <w:tr w:rsidR="004A4BDD" w:rsidRPr="001B7283" w:rsidTr="00A53543">
        <w:trPr>
          <w:trHeight w:val="270"/>
        </w:trPr>
        <w:tc>
          <w:tcPr>
            <w:tcW w:w="1458" w:type="dxa"/>
            <w:vMerge/>
          </w:tcPr>
          <w:p w:rsidR="004A4BDD" w:rsidRPr="001B7283" w:rsidRDefault="004A4BDD" w:rsidP="00A53543">
            <w:pPr>
              <w:rPr>
                <w:rFonts w:ascii="Times New Roman" w:hAnsi="Times New Roman" w:cs="Times New Roman"/>
                <w:sz w:val="24"/>
              </w:rPr>
            </w:pPr>
          </w:p>
        </w:tc>
        <w:tc>
          <w:tcPr>
            <w:tcW w:w="167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Afghanistan</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 xml:space="preserve">Nil </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01 (1.7)</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01 (0.7)</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r>
      <w:tr w:rsidR="004A4BDD" w:rsidRPr="001B7283" w:rsidTr="00A53543">
        <w:tc>
          <w:tcPr>
            <w:tcW w:w="3130" w:type="dxa"/>
            <w:gridSpan w:val="2"/>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Contents of the product listed</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03 (5.5)</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01 (1.7)</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04 (3)</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r>
      <w:tr w:rsidR="004A4BDD" w:rsidRPr="001B7283" w:rsidTr="00A53543">
        <w:tc>
          <w:tcPr>
            <w:tcW w:w="3130" w:type="dxa"/>
            <w:gridSpan w:val="2"/>
          </w:tcPr>
          <w:p w:rsidR="004A4BDD" w:rsidRPr="001B7283" w:rsidRDefault="004A4BDD" w:rsidP="00A53543">
            <w:pPr>
              <w:rPr>
                <w:rFonts w:ascii="Times New Roman" w:hAnsi="Times New Roman" w:cs="Times New Roman"/>
                <w:sz w:val="24"/>
                <w:vertAlign w:val="superscript"/>
              </w:rPr>
            </w:pPr>
            <w:r w:rsidRPr="001B7283">
              <w:rPr>
                <w:rFonts w:ascii="Times New Roman" w:hAnsi="Times New Roman" w:cs="Times New Roman"/>
                <w:sz w:val="24"/>
              </w:rPr>
              <w:t>Any health warning mentioned on the packet*</w:t>
            </w:r>
          </w:p>
        </w:tc>
        <w:tc>
          <w:tcPr>
            <w:tcW w:w="111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03 (15.8)</w:t>
            </w:r>
          </w:p>
        </w:tc>
        <w:tc>
          <w:tcPr>
            <w:tcW w:w="1168"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02 (3.6)</w:t>
            </w:r>
          </w:p>
        </w:tc>
        <w:tc>
          <w:tcPr>
            <w:tcW w:w="11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 xml:space="preserve">Nil </w:t>
            </w:r>
          </w:p>
        </w:tc>
        <w:tc>
          <w:tcPr>
            <w:tcW w:w="126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05 (3.7)</w:t>
            </w:r>
          </w:p>
        </w:tc>
        <w:tc>
          <w:tcPr>
            <w:tcW w:w="1762"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r>
    </w:tbl>
    <w:p w:rsidR="004A4BDD" w:rsidRPr="001B7283" w:rsidRDefault="004A4BDD" w:rsidP="00A53543">
      <w:pPr>
        <w:spacing w:after="0" w:line="240" w:lineRule="auto"/>
        <w:rPr>
          <w:rFonts w:ascii="Times New Roman" w:hAnsi="Times New Roman" w:cs="Times New Roman"/>
          <w:i/>
          <w:sz w:val="20"/>
          <w:szCs w:val="18"/>
        </w:rPr>
      </w:pPr>
      <w:r w:rsidRPr="001B7283">
        <w:rPr>
          <w:rFonts w:ascii="Times New Roman" w:hAnsi="Times New Roman" w:cs="Times New Roman"/>
          <w:i/>
          <w:sz w:val="20"/>
          <w:szCs w:val="18"/>
        </w:rPr>
        <w:t xml:space="preserve">Note. All values are numbers of Naswar brands with percentages. </w:t>
      </w:r>
    </w:p>
    <w:p w:rsidR="004A4BDD" w:rsidRPr="001B7283" w:rsidRDefault="004A4BDD" w:rsidP="00A53543">
      <w:pPr>
        <w:spacing w:after="0" w:line="240" w:lineRule="auto"/>
        <w:rPr>
          <w:rFonts w:ascii="Times New Roman" w:hAnsi="Times New Roman" w:cs="Times New Roman"/>
          <w:i/>
          <w:sz w:val="20"/>
          <w:szCs w:val="18"/>
        </w:rPr>
      </w:pPr>
      <w:r w:rsidRPr="001B7283">
        <w:rPr>
          <w:rFonts w:ascii="Times New Roman" w:hAnsi="Times New Roman" w:cs="Times New Roman"/>
          <w:i/>
          <w:sz w:val="20"/>
          <w:szCs w:val="18"/>
        </w:rPr>
        <w:t>*Health warning was present only on Indian products which was written only, no pictorial health warning.</w:t>
      </w:r>
    </w:p>
    <w:p w:rsidR="004A4BDD" w:rsidRDefault="004A4BDD" w:rsidP="00A53543">
      <w:pPr>
        <w:spacing w:after="0" w:line="240" w:lineRule="auto"/>
        <w:rPr>
          <w:rFonts w:ascii="Times New Roman" w:hAnsi="Times New Roman" w:cs="Times New Roman"/>
          <w:b/>
          <w:sz w:val="24"/>
        </w:rPr>
      </w:pPr>
    </w:p>
    <w:p w:rsidR="004A4BDD" w:rsidRPr="002416CF" w:rsidRDefault="004A4BDD" w:rsidP="00A53543">
      <w:pPr>
        <w:spacing w:after="0" w:line="240" w:lineRule="auto"/>
        <w:rPr>
          <w:rFonts w:ascii="Times New Roman" w:hAnsi="Times New Roman" w:cs="Times New Roman"/>
          <w:b/>
          <w:sz w:val="24"/>
        </w:rPr>
      </w:pPr>
      <w:r w:rsidRPr="002416CF">
        <w:rPr>
          <w:rFonts w:ascii="Times New Roman" w:hAnsi="Times New Roman" w:cs="Times New Roman"/>
          <w:b/>
          <w:sz w:val="24"/>
        </w:rPr>
        <w:t>Table 3: Advertisement and Promotion practices outside and inside the shops by vendor and area type</w:t>
      </w:r>
    </w:p>
    <w:p w:rsidR="004A4BDD" w:rsidRPr="001B7283" w:rsidRDefault="004A4BDD" w:rsidP="00A53543">
      <w:pPr>
        <w:spacing w:after="0" w:line="240" w:lineRule="auto"/>
        <w:rPr>
          <w:rFonts w:ascii="Times New Roman" w:hAnsi="Times New Roman" w:cs="Times New Roman"/>
          <w:b/>
        </w:rPr>
      </w:pPr>
    </w:p>
    <w:tbl>
      <w:tblPr>
        <w:tblStyle w:val="TableGrid"/>
        <w:tblW w:w="9175" w:type="dxa"/>
        <w:tblLook w:val="04A0" w:firstRow="1" w:lastRow="0" w:firstColumn="1" w:lastColumn="0" w:noHBand="0" w:noVBand="1"/>
      </w:tblPr>
      <w:tblGrid>
        <w:gridCol w:w="1931"/>
        <w:gridCol w:w="1243"/>
        <w:gridCol w:w="1591"/>
        <w:gridCol w:w="990"/>
        <w:gridCol w:w="1260"/>
        <w:gridCol w:w="1170"/>
        <w:gridCol w:w="990"/>
      </w:tblGrid>
      <w:tr w:rsidR="004A4BDD" w:rsidRPr="001B7283" w:rsidTr="00A53543">
        <w:trPr>
          <w:trHeight w:val="350"/>
        </w:trPr>
        <w:tc>
          <w:tcPr>
            <w:tcW w:w="1931" w:type="dxa"/>
            <w:vMerge w:val="restart"/>
          </w:tcPr>
          <w:p w:rsidR="004A4BDD" w:rsidRPr="001B7283" w:rsidRDefault="004A4BDD" w:rsidP="00A53543">
            <w:pPr>
              <w:rPr>
                <w:rFonts w:ascii="Times New Roman" w:hAnsi="Times New Roman" w:cs="Times New Roman"/>
                <w:b/>
              </w:rPr>
            </w:pPr>
          </w:p>
        </w:tc>
        <w:tc>
          <w:tcPr>
            <w:tcW w:w="2834" w:type="dxa"/>
            <w:gridSpan w:val="2"/>
          </w:tcPr>
          <w:p w:rsidR="004A4BDD" w:rsidRPr="001B7283" w:rsidDel="00DC3DCB" w:rsidRDefault="004A4BDD" w:rsidP="00A53543">
            <w:pPr>
              <w:rPr>
                <w:rFonts w:ascii="Times New Roman" w:hAnsi="Times New Roman" w:cs="Times New Roman"/>
                <w:b/>
                <w:sz w:val="24"/>
              </w:rPr>
            </w:pPr>
            <w:r w:rsidRPr="001B7283">
              <w:rPr>
                <w:rFonts w:ascii="Times New Roman" w:hAnsi="Times New Roman" w:cs="Times New Roman"/>
                <w:b/>
                <w:sz w:val="24"/>
              </w:rPr>
              <w:t>Type of Vendor</w:t>
            </w:r>
          </w:p>
        </w:tc>
        <w:tc>
          <w:tcPr>
            <w:tcW w:w="990" w:type="dxa"/>
            <w:vMerge w:val="restart"/>
          </w:tcPr>
          <w:p w:rsidR="004A4BDD" w:rsidRPr="001B7283" w:rsidRDefault="004A4BDD" w:rsidP="00A53543">
            <w:pPr>
              <w:rPr>
                <w:rFonts w:ascii="Times New Roman" w:hAnsi="Times New Roman" w:cs="Times New Roman"/>
                <w:b/>
                <w:i/>
                <w:sz w:val="24"/>
              </w:rPr>
            </w:pP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i/>
                <w:sz w:val="24"/>
              </w:rPr>
              <w:t>P</w:t>
            </w:r>
            <w:r w:rsidRPr="001B7283">
              <w:rPr>
                <w:rFonts w:ascii="Times New Roman" w:hAnsi="Times New Roman" w:cs="Times New Roman"/>
                <w:b/>
                <w:sz w:val="24"/>
              </w:rPr>
              <w:t xml:space="preserve"> value</w:t>
            </w:r>
          </w:p>
        </w:tc>
        <w:tc>
          <w:tcPr>
            <w:tcW w:w="2430" w:type="dxa"/>
            <w:gridSpan w:val="2"/>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Type of Area</w:t>
            </w:r>
          </w:p>
        </w:tc>
        <w:tc>
          <w:tcPr>
            <w:tcW w:w="990" w:type="dxa"/>
            <w:vMerge w:val="restart"/>
          </w:tcPr>
          <w:p w:rsidR="004A4BDD" w:rsidRPr="001B7283" w:rsidRDefault="004A4BDD" w:rsidP="00A53543">
            <w:pPr>
              <w:rPr>
                <w:rFonts w:ascii="Times New Roman" w:hAnsi="Times New Roman" w:cs="Times New Roman"/>
                <w:b/>
                <w:i/>
                <w:sz w:val="24"/>
              </w:rPr>
            </w:pPr>
          </w:p>
          <w:p w:rsidR="004A4BDD" w:rsidRPr="001B7283" w:rsidRDefault="004A4BDD" w:rsidP="00A53543">
            <w:pPr>
              <w:rPr>
                <w:rFonts w:ascii="Times New Roman" w:hAnsi="Times New Roman" w:cs="Times New Roman"/>
                <w:b/>
                <w:i/>
                <w:sz w:val="24"/>
              </w:rPr>
            </w:pPr>
            <w:r w:rsidRPr="001B7283">
              <w:rPr>
                <w:rFonts w:ascii="Times New Roman" w:hAnsi="Times New Roman" w:cs="Times New Roman"/>
                <w:b/>
                <w:i/>
                <w:sz w:val="24"/>
              </w:rPr>
              <w:t>P</w:t>
            </w:r>
            <w:r w:rsidRPr="001B7283">
              <w:rPr>
                <w:rFonts w:ascii="Times New Roman" w:hAnsi="Times New Roman" w:cs="Times New Roman"/>
                <w:b/>
                <w:sz w:val="24"/>
              </w:rPr>
              <w:t xml:space="preserve"> value</w:t>
            </w:r>
          </w:p>
        </w:tc>
      </w:tr>
      <w:tr w:rsidR="004A4BDD" w:rsidRPr="001B7283" w:rsidTr="00A53543">
        <w:trPr>
          <w:trHeight w:val="535"/>
        </w:trPr>
        <w:tc>
          <w:tcPr>
            <w:tcW w:w="1931" w:type="dxa"/>
            <w:vMerge/>
          </w:tcPr>
          <w:p w:rsidR="004A4BDD" w:rsidRPr="001B7283" w:rsidRDefault="004A4BDD" w:rsidP="00A53543">
            <w:pPr>
              <w:rPr>
                <w:rFonts w:ascii="Times New Roman" w:hAnsi="Times New Roman" w:cs="Times New Roman"/>
                <w:b/>
              </w:rPr>
            </w:pPr>
          </w:p>
        </w:tc>
        <w:tc>
          <w:tcPr>
            <w:tcW w:w="1243"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GPOS (N=229)</w:t>
            </w:r>
          </w:p>
        </w:tc>
        <w:tc>
          <w:tcPr>
            <w:tcW w:w="1591"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 xml:space="preserve">ENS </w:t>
            </w:r>
          </w:p>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(N=57)</w:t>
            </w:r>
          </w:p>
        </w:tc>
        <w:tc>
          <w:tcPr>
            <w:tcW w:w="990" w:type="dxa"/>
            <w:vMerge/>
          </w:tcPr>
          <w:p w:rsidR="004A4BDD" w:rsidRPr="001B7283" w:rsidRDefault="004A4BDD" w:rsidP="00A53543">
            <w:pPr>
              <w:rPr>
                <w:rFonts w:ascii="Times New Roman" w:hAnsi="Times New Roman" w:cs="Times New Roman"/>
                <w:b/>
                <w:i/>
                <w:sz w:val="24"/>
              </w:rPr>
            </w:pPr>
          </w:p>
        </w:tc>
        <w:tc>
          <w:tcPr>
            <w:tcW w:w="1260"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Urban</w:t>
            </w:r>
          </w:p>
          <w:p w:rsidR="004A4BDD" w:rsidRPr="001B7283" w:rsidRDefault="004A4BDD" w:rsidP="00A53543">
            <w:pPr>
              <w:rPr>
                <w:rFonts w:ascii="Times New Roman" w:hAnsi="Times New Roman" w:cs="Times New Roman"/>
                <w:b/>
                <w:i/>
                <w:sz w:val="24"/>
              </w:rPr>
            </w:pPr>
            <w:r w:rsidRPr="001B7283">
              <w:rPr>
                <w:rFonts w:ascii="Times New Roman" w:hAnsi="Times New Roman" w:cs="Times New Roman"/>
                <w:b/>
                <w:sz w:val="24"/>
              </w:rPr>
              <w:t>(N=198)</w:t>
            </w:r>
          </w:p>
        </w:tc>
        <w:tc>
          <w:tcPr>
            <w:tcW w:w="1170" w:type="dxa"/>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 xml:space="preserve">Rural </w:t>
            </w:r>
          </w:p>
          <w:p w:rsidR="004A4BDD" w:rsidRPr="001B7283" w:rsidRDefault="004A4BDD" w:rsidP="00A53543">
            <w:pPr>
              <w:rPr>
                <w:rFonts w:ascii="Times New Roman" w:hAnsi="Times New Roman" w:cs="Times New Roman"/>
                <w:b/>
                <w:i/>
                <w:sz w:val="24"/>
              </w:rPr>
            </w:pPr>
            <w:r w:rsidRPr="001B7283">
              <w:rPr>
                <w:rFonts w:ascii="Times New Roman" w:hAnsi="Times New Roman" w:cs="Times New Roman"/>
                <w:b/>
                <w:sz w:val="24"/>
              </w:rPr>
              <w:t>(N=88)</w:t>
            </w:r>
          </w:p>
        </w:tc>
        <w:tc>
          <w:tcPr>
            <w:tcW w:w="990" w:type="dxa"/>
            <w:vMerge/>
          </w:tcPr>
          <w:p w:rsidR="004A4BDD" w:rsidRPr="001B7283" w:rsidRDefault="004A4BDD" w:rsidP="00A53543">
            <w:pPr>
              <w:rPr>
                <w:rFonts w:ascii="Times New Roman" w:hAnsi="Times New Roman" w:cs="Times New Roman"/>
                <w:b/>
                <w:i/>
                <w:sz w:val="24"/>
              </w:rPr>
            </w:pPr>
          </w:p>
        </w:tc>
      </w:tr>
      <w:tr w:rsidR="004A4BDD" w:rsidRPr="001B7283" w:rsidTr="00A53543">
        <w:tc>
          <w:tcPr>
            <w:tcW w:w="9175" w:type="dxa"/>
            <w:gridSpan w:val="7"/>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Practices outside the shop</w:t>
            </w:r>
          </w:p>
        </w:tc>
      </w:tr>
      <w:tr w:rsidR="004A4BDD" w:rsidRPr="00520913" w:rsidTr="00A53543">
        <w:tc>
          <w:tcPr>
            <w:tcW w:w="1931" w:type="dxa"/>
          </w:tcPr>
          <w:p w:rsidR="004A4BDD" w:rsidRPr="001B7283" w:rsidRDefault="004A4BDD" w:rsidP="00A53543">
            <w:pPr>
              <w:rPr>
                <w:rFonts w:ascii="Times New Roman" w:hAnsi="Times New Roman" w:cs="Times New Roman"/>
                <w:sz w:val="24"/>
                <w:szCs w:val="24"/>
              </w:rPr>
            </w:pPr>
            <w:r w:rsidRPr="001B7283">
              <w:rPr>
                <w:rFonts w:ascii="Times New Roman" w:hAnsi="Times New Roman" w:cs="Times New Roman"/>
                <w:sz w:val="24"/>
                <w:szCs w:val="24"/>
              </w:rPr>
              <w:t xml:space="preserve">Boards displayed </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08 (3.4)</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04 (7.0)</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0.23</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9 (4.6)</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3 (3.4)</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0.65</w:t>
            </w:r>
          </w:p>
        </w:tc>
      </w:tr>
      <w:tr w:rsidR="004A4BDD" w:rsidRPr="001B7283" w:rsidTr="00A53543">
        <w:tc>
          <w:tcPr>
            <w:tcW w:w="1931" w:type="dxa"/>
          </w:tcPr>
          <w:p w:rsidR="004A4BDD" w:rsidRPr="001B7283" w:rsidRDefault="004A4BDD" w:rsidP="00A53543">
            <w:pPr>
              <w:rPr>
                <w:rFonts w:ascii="Times New Roman" w:hAnsi="Times New Roman" w:cs="Times New Roman"/>
                <w:sz w:val="24"/>
                <w:szCs w:val="24"/>
              </w:rPr>
            </w:pPr>
            <w:r w:rsidRPr="001B7283">
              <w:rPr>
                <w:rFonts w:ascii="Times New Roman" w:hAnsi="Times New Roman" w:cs="Times New Roman"/>
                <w:sz w:val="24"/>
                <w:szCs w:val="24"/>
              </w:rPr>
              <w:t>Posters displayed</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11 (4.8)</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11 (6.9)</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990" w:type="dxa"/>
          </w:tcPr>
          <w:p w:rsidR="004A4BDD" w:rsidRPr="00835927" w:rsidRDefault="004A4BDD" w:rsidP="00A53543">
            <w:pPr>
              <w:rPr>
                <w:rFonts w:ascii="Times New Roman" w:hAnsi="Times New Roman" w:cs="Times New Roman"/>
                <w:sz w:val="24"/>
                <w:vertAlign w:val="superscript"/>
              </w:rPr>
            </w:pPr>
            <w:r w:rsidRPr="001B7283">
              <w:rPr>
                <w:rFonts w:ascii="Times New Roman" w:hAnsi="Times New Roman" w:cs="Times New Roman"/>
                <w:sz w:val="24"/>
              </w:rPr>
              <w:t>0.02</w:t>
            </w:r>
            <w:r>
              <w:rPr>
                <w:rFonts w:ascii="Times New Roman" w:hAnsi="Times New Roman" w:cs="Times New Roman"/>
                <w:sz w:val="24"/>
                <w:vertAlign w:val="superscript"/>
              </w:rPr>
              <w:t>*</w:t>
            </w:r>
          </w:p>
        </w:tc>
      </w:tr>
      <w:tr w:rsidR="004A4BDD" w:rsidRPr="001B7283" w:rsidTr="00A53543">
        <w:tc>
          <w:tcPr>
            <w:tcW w:w="1931" w:type="dxa"/>
          </w:tcPr>
          <w:p w:rsidR="004A4BDD" w:rsidRPr="001B7283" w:rsidRDefault="004A4BDD" w:rsidP="00A53543">
            <w:pPr>
              <w:rPr>
                <w:rFonts w:ascii="Times New Roman" w:hAnsi="Times New Roman" w:cs="Times New Roman"/>
                <w:sz w:val="24"/>
                <w:szCs w:val="24"/>
              </w:rPr>
            </w:pPr>
            <w:r w:rsidRPr="001B7283">
              <w:rPr>
                <w:rFonts w:ascii="Times New Roman" w:hAnsi="Times New Roman" w:cs="Times New Roman"/>
                <w:sz w:val="24"/>
                <w:szCs w:val="24"/>
              </w:rPr>
              <w:t>Stands displayed</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04 (1.7)</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04 (2.5)</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Nil</w:t>
            </w:r>
          </w:p>
        </w:tc>
        <w:tc>
          <w:tcPr>
            <w:tcW w:w="990" w:type="dxa"/>
          </w:tcPr>
          <w:p w:rsidR="004A4BDD" w:rsidRPr="00835927" w:rsidRDefault="004A4BDD" w:rsidP="00A53543">
            <w:pPr>
              <w:rPr>
                <w:rFonts w:ascii="Times New Roman" w:hAnsi="Times New Roman" w:cs="Times New Roman"/>
                <w:sz w:val="24"/>
                <w:vertAlign w:val="superscript"/>
              </w:rPr>
            </w:pPr>
            <w:r w:rsidRPr="001B7283">
              <w:rPr>
                <w:rFonts w:ascii="Times New Roman" w:hAnsi="Times New Roman" w:cs="Times New Roman"/>
                <w:sz w:val="24"/>
              </w:rPr>
              <w:t>0.18</w:t>
            </w:r>
            <w:r>
              <w:rPr>
                <w:rFonts w:ascii="Times New Roman" w:hAnsi="Times New Roman" w:cs="Times New Roman"/>
                <w:sz w:val="24"/>
                <w:vertAlign w:val="superscript"/>
              </w:rPr>
              <w:t>*</w:t>
            </w:r>
          </w:p>
        </w:tc>
      </w:tr>
      <w:tr w:rsidR="004A4BDD" w:rsidRPr="001B7283" w:rsidTr="00A53543">
        <w:tc>
          <w:tcPr>
            <w:tcW w:w="9175" w:type="dxa"/>
            <w:gridSpan w:val="7"/>
          </w:tcPr>
          <w:p w:rsidR="004A4BDD" w:rsidRPr="001B7283" w:rsidRDefault="004A4BDD" w:rsidP="00A53543">
            <w:pPr>
              <w:rPr>
                <w:rFonts w:ascii="Times New Roman" w:hAnsi="Times New Roman" w:cs="Times New Roman"/>
                <w:b/>
                <w:sz w:val="24"/>
              </w:rPr>
            </w:pPr>
            <w:r w:rsidRPr="001B7283">
              <w:rPr>
                <w:rFonts w:ascii="Times New Roman" w:hAnsi="Times New Roman" w:cs="Times New Roman"/>
                <w:b/>
                <w:sz w:val="24"/>
              </w:rPr>
              <w:t>Practices inside the shop</w:t>
            </w:r>
          </w:p>
        </w:tc>
      </w:tr>
      <w:tr w:rsidR="004A4BDD" w:rsidRPr="001B7283" w:rsidTr="00A53543">
        <w:tc>
          <w:tcPr>
            <w:tcW w:w="1931" w:type="dxa"/>
          </w:tcPr>
          <w:p w:rsidR="004A4BDD" w:rsidRPr="001B7283" w:rsidRDefault="004A4BDD" w:rsidP="00A53543">
            <w:pPr>
              <w:rPr>
                <w:rFonts w:ascii="Times New Roman" w:hAnsi="Times New Roman" w:cs="Times New Roman"/>
                <w:sz w:val="24"/>
                <w:szCs w:val="24"/>
                <w:vertAlign w:val="superscript"/>
              </w:rPr>
            </w:pPr>
            <w:r w:rsidRPr="001B7283">
              <w:rPr>
                <w:rFonts w:ascii="Times New Roman" w:hAnsi="Times New Roman" w:cs="Times New Roman"/>
                <w:sz w:val="24"/>
                <w:szCs w:val="24"/>
              </w:rPr>
              <w:t>Products visible to customers</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208 (90.8)</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57 (100)</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0.01</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177 (89.4)</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88 (100)</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0.002</w:t>
            </w:r>
          </w:p>
        </w:tc>
      </w:tr>
      <w:tr w:rsidR="004A4BDD" w:rsidRPr="001B7283" w:rsidTr="00A53543">
        <w:tc>
          <w:tcPr>
            <w:tcW w:w="1931" w:type="dxa"/>
          </w:tcPr>
          <w:p w:rsidR="004A4BDD" w:rsidRPr="001B7283" w:rsidRDefault="004A4BDD" w:rsidP="00A53543">
            <w:pPr>
              <w:rPr>
                <w:rFonts w:ascii="Times New Roman" w:hAnsi="Times New Roman" w:cs="Times New Roman"/>
                <w:b/>
                <w:sz w:val="24"/>
                <w:vertAlign w:val="superscript"/>
              </w:rPr>
            </w:pPr>
            <w:r w:rsidRPr="001B7283">
              <w:rPr>
                <w:rFonts w:ascii="Times New Roman" w:hAnsi="Times New Roman" w:cs="Times New Roman"/>
                <w:sz w:val="24"/>
              </w:rPr>
              <w:t>Shelf edging</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93 (40.6)</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42 (73.7)</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&lt;0.001</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108 (54.6)</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27 (30.7)</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&lt;0.001</w:t>
            </w:r>
          </w:p>
        </w:tc>
      </w:tr>
      <w:tr w:rsidR="004A4BDD" w:rsidRPr="001B7283" w:rsidTr="00A53543">
        <w:tc>
          <w:tcPr>
            <w:tcW w:w="1931" w:type="dxa"/>
          </w:tcPr>
          <w:p w:rsidR="004A4BDD" w:rsidRPr="001B7283" w:rsidRDefault="004A4BDD" w:rsidP="00A53543">
            <w:pPr>
              <w:rPr>
                <w:rFonts w:ascii="Times New Roman" w:hAnsi="Times New Roman" w:cs="Times New Roman"/>
                <w:sz w:val="24"/>
                <w:vertAlign w:val="superscript"/>
              </w:rPr>
            </w:pPr>
            <w:r w:rsidRPr="001B7283">
              <w:rPr>
                <w:rFonts w:ascii="Times New Roman" w:hAnsi="Times New Roman" w:cs="Times New Roman"/>
                <w:sz w:val="24"/>
              </w:rPr>
              <w:t>Display packs</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15 (6.5)</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09 (15.8)</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0.02</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16 (8.0)</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08 (9.0)</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0.77</w:t>
            </w:r>
          </w:p>
        </w:tc>
      </w:tr>
      <w:tr w:rsidR="004A4BDD" w:rsidRPr="001B7283" w:rsidTr="00A53543">
        <w:tc>
          <w:tcPr>
            <w:tcW w:w="1931" w:type="dxa"/>
          </w:tcPr>
          <w:p w:rsidR="004A4BDD" w:rsidRPr="001B7283" w:rsidRDefault="004A4BDD" w:rsidP="00A53543">
            <w:pPr>
              <w:rPr>
                <w:rFonts w:ascii="Times New Roman" w:hAnsi="Times New Roman" w:cs="Times New Roman"/>
                <w:sz w:val="24"/>
                <w:vertAlign w:val="superscript"/>
              </w:rPr>
            </w:pPr>
            <w:r w:rsidRPr="001B7283">
              <w:rPr>
                <w:rFonts w:ascii="Times New Roman" w:hAnsi="Times New Roman" w:cs="Times New Roman"/>
                <w:sz w:val="24"/>
              </w:rPr>
              <w:t>Printed bags with brand logo</w:t>
            </w:r>
          </w:p>
        </w:tc>
        <w:tc>
          <w:tcPr>
            <w:tcW w:w="1243"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05 (2.1)</w:t>
            </w:r>
          </w:p>
        </w:tc>
        <w:tc>
          <w:tcPr>
            <w:tcW w:w="1591"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08 (14.0)</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&lt;0.001</w:t>
            </w:r>
          </w:p>
        </w:tc>
        <w:tc>
          <w:tcPr>
            <w:tcW w:w="126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11 (5.6)</w:t>
            </w:r>
          </w:p>
        </w:tc>
        <w:tc>
          <w:tcPr>
            <w:tcW w:w="117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02 (2.2)</w:t>
            </w:r>
          </w:p>
        </w:tc>
        <w:tc>
          <w:tcPr>
            <w:tcW w:w="990" w:type="dxa"/>
          </w:tcPr>
          <w:p w:rsidR="004A4BDD" w:rsidRPr="001B7283" w:rsidRDefault="004A4BDD" w:rsidP="00A53543">
            <w:pPr>
              <w:rPr>
                <w:rFonts w:ascii="Times New Roman" w:hAnsi="Times New Roman" w:cs="Times New Roman"/>
                <w:sz w:val="24"/>
              </w:rPr>
            </w:pPr>
            <w:r w:rsidRPr="001B7283">
              <w:rPr>
                <w:rFonts w:ascii="Times New Roman" w:hAnsi="Times New Roman" w:cs="Times New Roman"/>
                <w:sz w:val="24"/>
              </w:rPr>
              <w:t>0.21</w:t>
            </w:r>
          </w:p>
        </w:tc>
      </w:tr>
    </w:tbl>
    <w:p w:rsidR="004A4BDD" w:rsidRPr="001B7283" w:rsidRDefault="004A4BDD" w:rsidP="00835927">
      <w:pPr>
        <w:spacing w:after="0" w:line="240" w:lineRule="auto"/>
        <w:rPr>
          <w:rFonts w:ascii="Times New Roman" w:hAnsi="Times New Roman" w:cs="Times New Roman"/>
          <w:i/>
          <w:sz w:val="20"/>
          <w:szCs w:val="18"/>
        </w:rPr>
      </w:pPr>
      <w:r w:rsidRPr="001B7283">
        <w:rPr>
          <w:rFonts w:ascii="Times New Roman" w:hAnsi="Times New Roman" w:cs="Times New Roman"/>
          <w:i/>
          <w:sz w:val="20"/>
          <w:szCs w:val="18"/>
        </w:rPr>
        <w:t xml:space="preserve">Note. All values are numbers of practices with percentages. </w:t>
      </w:r>
      <w:r>
        <w:rPr>
          <w:rFonts w:ascii="Times New Roman" w:hAnsi="Times New Roman" w:cs="Times New Roman"/>
          <w:i/>
          <w:sz w:val="20"/>
          <w:szCs w:val="18"/>
        </w:rPr>
        <w:t>*</w:t>
      </w:r>
      <w:r w:rsidRPr="001B7283">
        <w:rPr>
          <w:rFonts w:ascii="Times New Roman" w:hAnsi="Times New Roman" w:cs="Times New Roman"/>
          <w:i/>
          <w:sz w:val="20"/>
          <w:szCs w:val="18"/>
        </w:rPr>
        <w:t xml:space="preserve"> </w:t>
      </w:r>
      <w:r>
        <w:rPr>
          <w:rFonts w:ascii="Times New Roman" w:hAnsi="Times New Roman" w:cs="Times New Roman"/>
          <w:i/>
          <w:sz w:val="20"/>
          <w:szCs w:val="18"/>
        </w:rPr>
        <w:t>Fisher’s exact test is used.</w:t>
      </w:r>
    </w:p>
    <w:p w:rsidR="004A4BDD" w:rsidRPr="001B7283" w:rsidRDefault="004A4BDD" w:rsidP="00A53543">
      <w:pPr>
        <w:spacing w:line="240" w:lineRule="auto"/>
        <w:jc w:val="both"/>
        <w:rPr>
          <w:rFonts w:ascii="Times New Roman" w:hAnsi="Times New Roman" w:cs="Times New Roman"/>
          <w:b/>
          <w:sz w:val="24"/>
          <w:szCs w:val="24"/>
        </w:rPr>
      </w:pPr>
    </w:p>
    <w:p w:rsidR="004A4BDD" w:rsidRPr="001B7283" w:rsidRDefault="004A4BDD" w:rsidP="00A53543">
      <w:pPr>
        <w:spacing w:line="240" w:lineRule="auto"/>
        <w:jc w:val="both"/>
        <w:rPr>
          <w:rFonts w:ascii="Times New Roman" w:hAnsi="Times New Roman" w:cs="Times New Roman"/>
          <w:b/>
          <w:sz w:val="24"/>
          <w:szCs w:val="24"/>
        </w:rPr>
      </w:pPr>
      <w:r w:rsidRPr="001B7283">
        <w:rPr>
          <w:rFonts w:ascii="Times New Roman" w:hAnsi="Times New Roman" w:cs="Times New Roman"/>
          <w:b/>
          <w:sz w:val="24"/>
          <w:szCs w:val="24"/>
        </w:rPr>
        <w:t>Table 4: Differences in Naswar promotional practices between GPOS and ENS, and between urban and rural location of the Naswar sellers.</w:t>
      </w:r>
    </w:p>
    <w:tbl>
      <w:tblPr>
        <w:tblStyle w:val="TableGrid"/>
        <w:tblW w:w="9738" w:type="dxa"/>
        <w:tblLook w:val="04A0" w:firstRow="1" w:lastRow="0" w:firstColumn="1" w:lastColumn="0" w:noHBand="0" w:noVBand="1"/>
      </w:tblPr>
      <w:tblGrid>
        <w:gridCol w:w="1188"/>
        <w:gridCol w:w="1350"/>
        <w:gridCol w:w="1530"/>
        <w:gridCol w:w="1350"/>
        <w:gridCol w:w="1440"/>
        <w:gridCol w:w="1440"/>
        <w:gridCol w:w="1440"/>
      </w:tblGrid>
      <w:tr w:rsidR="004A4BDD" w:rsidRPr="001B7283" w:rsidTr="00A53543">
        <w:tc>
          <w:tcPr>
            <w:tcW w:w="1188" w:type="dxa"/>
          </w:tcPr>
          <w:p w:rsidR="004A4BDD" w:rsidRPr="001B7283" w:rsidRDefault="004A4BDD" w:rsidP="00A53543">
            <w:pPr>
              <w:jc w:val="both"/>
              <w:rPr>
                <w:rFonts w:ascii="Times New Roman" w:hAnsi="Times New Roman" w:cs="Times New Roman"/>
                <w:b/>
                <w:sz w:val="24"/>
                <w:szCs w:val="24"/>
              </w:rPr>
            </w:pPr>
          </w:p>
        </w:tc>
        <w:tc>
          <w:tcPr>
            <w:tcW w:w="2880" w:type="dxa"/>
            <w:gridSpan w:val="2"/>
          </w:tcPr>
          <w:p w:rsidR="004A4BDD" w:rsidRPr="001B7283" w:rsidRDefault="004A4BDD" w:rsidP="00A53543">
            <w:pPr>
              <w:jc w:val="center"/>
              <w:rPr>
                <w:rFonts w:ascii="Times New Roman" w:hAnsi="Times New Roman" w:cs="Times New Roman"/>
                <w:b/>
                <w:szCs w:val="24"/>
              </w:rPr>
            </w:pPr>
            <w:r w:rsidRPr="001B7283">
              <w:rPr>
                <w:rFonts w:ascii="Times New Roman" w:hAnsi="Times New Roman" w:cs="Times New Roman"/>
                <w:b/>
                <w:szCs w:val="24"/>
              </w:rPr>
              <w:t>Shelf edging</w:t>
            </w:r>
          </w:p>
        </w:tc>
        <w:tc>
          <w:tcPr>
            <w:tcW w:w="2790" w:type="dxa"/>
            <w:gridSpan w:val="2"/>
          </w:tcPr>
          <w:p w:rsidR="004A4BDD" w:rsidRPr="001B7283" w:rsidRDefault="004A4BDD" w:rsidP="00A53543">
            <w:pPr>
              <w:jc w:val="center"/>
              <w:rPr>
                <w:rFonts w:ascii="Times New Roman" w:hAnsi="Times New Roman" w:cs="Times New Roman"/>
                <w:b/>
                <w:szCs w:val="24"/>
              </w:rPr>
            </w:pPr>
            <w:r w:rsidRPr="001B7283">
              <w:rPr>
                <w:rFonts w:ascii="Times New Roman" w:hAnsi="Times New Roman" w:cs="Times New Roman"/>
                <w:b/>
                <w:szCs w:val="24"/>
              </w:rPr>
              <w:t>Display packs</w:t>
            </w:r>
          </w:p>
        </w:tc>
        <w:tc>
          <w:tcPr>
            <w:tcW w:w="2880" w:type="dxa"/>
            <w:gridSpan w:val="2"/>
          </w:tcPr>
          <w:p w:rsidR="004A4BDD" w:rsidRPr="001B7283" w:rsidRDefault="004A4BDD" w:rsidP="00A53543">
            <w:pPr>
              <w:jc w:val="center"/>
              <w:rPr>
                <w:rFonts w:ascii="Times New Roman" w:hAnsi="Times New Roman" w:cs="Times New Roman"/>
                <w:b/>
                <w:szCs w:val="24"/>
              </w:rPr>
            </w:pPr>
            <w:r w:rsidRPr="001B7283">
              <w:rPr>
                <w:rFonts w:ascii="Times New Roman" w:hAnsi="Times New Roman" w:cs="Times New Roman"/>
                <w:b/>
                <w:szCs w:val="24"/>
              </w:rPr>
              <w:t>Printed bags with brand logo</w:t>
            </w:r>
          </w:p>
        </w:tc>
      </w:tr>
      <w:tr w:rsidR="004A4BDD" w:rsidRPr="001B7283" w:rsidTr="00A53543">
        <w:tc>
          <w:tcPr>
            <w:tcW w:w="1188" w:type="dxa"/>
          </w:tcPr>
          <w:p w:rsidR="004A4BDD" w:rsidRPr="001B7283" w:rsidRDefault="004A4BDD" w:rsidP="00A53543">
            <w:pPr>
              <w:jc w:val="both"/>
              <w:rPr>
                <w:rFonts w:ascii="Times New Roman" w:hAnsi="Times New Roman" w:cs="Times New Roman"/>
                <w:b/>
                <w:sz w:val="24"/>
                <w:szCs w:val="24"/>
              </w:rPr>
            </w:pPr>
          </w:p>
        </w:tc>
        <w:tc>
          <w:tcPr>
            <w:tcW w:w="135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Crude OR</w:t>
            </w:r>
          </w:p>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(95% CI)</w:t>
            </w:r>
          </w:p>
        </w:tc>
        <w:tc>
          <w:tcPr>
            <w:tcW w:w="153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Adjusted OR</w:t>
            </w:r>
          </w:p>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 xml:space="preserve"> (95% CI)</w:t>
            </w:r>
          </w:p>
        </w:tc>
        <w:tc>
          <w:tcPr>
            <w:tcW w:w="135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Crude OR</w:t>
            </w:r>
          </w:p>
          <w:p w:rsidR="004A4BDD" w:rsidRPr="001B7283" w:rsidRDefault="004A4BDD" w:rsidP="00A53543">
            <w:pPr>
              <w:jc w:val="both"/>
              <w:rPr>
                <w:rFonts w:ascii="Times New Roman" w:hAnsi="Times New Roman" w:cs="Times New Roman"/>
                <w:b/>
                <w:szCs w:val="24"/>
              </w:rPr>
            </w:pPr>
            <w:r w:rsidRPr="001B7283">
              <w:rPr>
                <w:rFonts w:ascii="Times New Roman" w:hAnsi="Times New Roman" w:cs="Times New Roman"/>
                <w:szCs w:val="24"/>
              </w:rPr>
              <w:t>(95% CI)</w:t>
            </w:r>
          </w:p>
        </w:tc>
        <w:tc>
          <w:tcPr>
            <w:tcW w:w="144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Adjusted OR</w:t>
            </w:r>
          </w:p>
          <w:p w:rsidR="004A4BDD" w:rsidRPr="001B7283" w:rsidRDefault="004A4BDD" w:rsidP="00A53543">
            <w:pPr>
              <w:jc w:val="both"/>
              <w:rPr>
                <w:rFonts w:ascii="Times New Roman" w:hAnsi="Times New Roman" w:cs="Times New Roman"/>
                <w:b/>
                <w:szCs w:val="24"/>
              </w:rPr>
            </w:pPr>
            <w:r w:rsidRPr="001B7283">
              <w:rPr>
                <w:rFonts w:ascii="Times New Roman" w:hAnsi="Times New Roman" w:cs="Times New Roman"/>
                <w:szCs w:val="24"/>
              </w:rPr>
              <w:t xml:space="preserve"> (95% CI)</w:t>
            </w:r>
          </w:p>
        </w:tc>
        <w:tc>
          <w:tcPr>
            <w:tcW w:w="144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Crude OR</w:t>
            </w:r>
          </w:p>
          <w:p w:rsidR="004A4BDD" w:rsidRPr="001B7283" w:rsidRDefault="004A4BDD" w:rsidP="00A53543">
            <w:pPr>
              <w:jc w:val="both"/>
              <w:rPr>
                <w:rFonts w:ascii="Times New Roman" w:hAnsi="Times New Roman" w:cs="Times New Roman"/>
                <w:b/>
                <w:szCs w:val="24"/>
              </w:rPr>
            </w:pPr>
            <w:r w:rsidRPr="001B7283">
              <w:rPr>
                <w:rFonts w:ascii="Times New Roman" w:hAnsi="Times New Roman" w:cs="Times New Roman"/>
                <w:szCs w:val="24"/>
              </w:rPr>
              <w:t>(95% CI)</w:t>
            </w:r>
          </w:p>
        </w:tc>
        <w:tc>
          <w:tcPr>
            <w:tcW w:w="1440" w:type="dxa"/>
          </w:tcPr>
          <w:p w:rsidR="004A4BDD" w:rsidRPr="001B7283" w:rsidRDefault="004A4BDD" w:rsidP="00A53543">
            <w:pPr>
              <w:jc w:val="both"/>
              <w:rPr>
                <w:rFonts w:ascii="Times New Roman" w:hAnsi="Times New Roman" w:cs="Times New Roman"/>
                <w:szCs w:val="24"/>
              </w:rPr>
            </w:pPr>
            <w:r w:rsidRPr="001B7283">
              <w:rPr>
                <w:rFonts w:ascii="Times New Roman" w:hAnsi="Times New Roman" w:cs="Times New Roman"/>
                <w:szCs w:val="24"/>
              </w:rPr>
              <w:t>Adjusted OR</w:t>
            </w:r>
          </w:p>
          <w:p w:rsidR="004A4BDD" w:rsidRPr="001B7283" w:rsidRDefault="004A4BDD" w:rsidP="00A53543">
            <w:pPr>
              <w:jc w:val="both"/>
              <w:rPr>
                <w:rFonts w:ascii="Times New Roman" w:hAnsi="Times New Roman" w:cs="Times New Roman"/>
                <w:b/>
                <w:szCs w:val="24"/>
              </w:rPr>
            </w:pPr>
            <w:r w:rsidRPr="001B7283">
              <w:rPr>
                <w:rFonts w:ascii="Times New Roman" w:hAnsi="Times New Roman" w:cs="Times New Roman"/>
                <w:szCs w:val="24"/>
              </w:rPr>
              <w:t xml:space="preserve"> (95% CI)</w:t>
            </w:r>
          </w:p>
        </w:tc>
      </w:tr>
      <w:tr w:rsidR="004A4BDD" w:rsidRPr="001B7283" w:rsidTr="00A53543">
        <w:tc>
          <w:tcPr>
            <w:tcW w:w="9738" w:type="dxa"/>
            <w:gridSpan w:val="7"/>
          </w:tcPr>
          <w:p w:rsidR="004A4BDD" w:rsidRPr="001B7283" w:rsidRDefault="004A4BDD" w:rsidP="00A53543">
            <w:pPr>
              <w:jc w:val="both"/>
              <w:rPr>
                <w:rFonts w:ascii="Times New Roman" w:hAnsi="Times New Roman" w:cs="Times New Roman"/>
                <w:b/>
                <w:sz w:val="24"/>
                <w:szCs w:val="24"/>
              </w:rPr>
            </w:pPr>
            <w:r w:rsidRPr="001B7283">
              <w:rPr>
                <w:rFonts w:ascii="Times New Roman" w:eastAsia="Times New Roman" w:hAnsi="Times New Roman" w:cs="Times New Roman"/>
                <w:b/>
                <w:bCs/>
                <w:szCs w:val="20"/>
              </w:rPr>
              <w:lastRenderedPageBreak/>
              <w:t>Vendor t</w:t>
            </w:r>
            <w:r w:rsidRPr="001B7283">
              <w:rPr>
                <w:rFonts w:ascii="Times New Roman" w:eastAsia="Times New Roman" w:hAnsi="Times New Roman" w:cs="Times New Roman"/>
                <w:b/>
                <w:szCs w:val="20"/>
              </w:rPr>
              <w:t>ype</w:t>
            </w:r>
          </w:p>
        </w:tc>
      </w:tr>
      <w:tr w:rsidR="004A4BDD" w:rsidRPr="001B7283" w:rsidTr="00A53543">
        <w:tc>
          <w:tcPr>
            <w:tcW w:w="1188" w:type="dxa"/>
          </w:tcPr>
          <w:p w:rsidR="004A4BDD" w:rsidRPr="001B7283" w:rsidRDefault="004A4BDD" w:rsidP="00A53543">
            <w:pPr>
              <w:jc w:val="right"/>
              <w:rPr>
                <w:rFonts w:ascii="Times New Roman" w:hAnsi="Times New Roman" w:cs="Times New Roman"/>
                <w:szCs w:val="24"/>
              </w:rPr>
            </w:pPr>
            <w:r w:rsidRPr="001B7283">
              <w:rPr>
                <w:rFonts w:ascii="Times New Roman" w:hAnsi="Times New Roman" w:cs="Times New Roman"/>
                <w:szCs w:val="24"/>
              </w:rPr>
              <w:t>GPOS</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 1.0</w:t>
            </w:r>
          </w:p>
        </w:tc>
        <w:tc>
          <w:tcPr>
            <w:tcW w:w="153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r>
      <w:tr w:rsidR="004A4BDD" w:rsidRPr="001B7283" w:rsidTr="00A53543">
        <w:tc>
          <w:tcPr>
            <w:tcW w:w="1188" w:type="dxa"/>
          </w:tcPr>
          <w:p w:rsidR="004A4BDD" w:rsidRPr="001B7283" w:rsidRDefault="004A4BDD" w:rsidP="00A53543">
            <w:pPr>
              <w:jc w:val="right"/>
              <w:rPr>
                <w:rFonts w:ascii="Times New Roman" w:hAnsi="Times New Roman" w:cs="Times New Roman"/>
                <w:szCs w:val="24"/>
              </w:rPr>
            </w:pPr>
            <w:r w:rsidRPr="001B7283">
              <w:rPr>
                <w:rFonts w:ascii="Times New Roman" w:hAnsi="Times New Roman" w:cs="Times New Roman"/>
                <w:szCs w:val="24"/>
              </w:rPr>
              <w:t xml:space="preserve">ENS </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4.1(2.1-7.8)</w:t>
            </w:r>
          </w:p>
        </w:tc>
        <w:tc>
          <w:tcPr>
            <w:tcW w:w="1530" w:type="dxa"/>
          </w:tcPr>
          <w:p w:rsidR="004A4BDD" w:rsidRPr="001B7283" w:rsidRDefault="004A4BDD" w:rsidP="00A53543">
            <w:pPr>
              <w:jc w:val="both"/>
              <w:rPr>
                <w:rFonts w:ascii="Times New Roman" w:hAnsi="Times New Roman" w:cs="Times New Roman"/>
                <w:b/>
                <w:szCs w:val="24"/>
                <w:vertAlign w:val="superscript"/>
              </w:rPr>
            </w:pPr>
            <w:r w:rsidRPr="001B7283">
              <w:rPr>
                <w:rFonts w:ascii="Times New Roman" w:eastAsia="Times New Roman" w:hAnsi="Times New Roman" w:cs="Times New Roman"/>
                <w:color w:val="000000"/>
                <w:szCs w:val="20"/>
              </w:rPr>
              <w:t>4.5 (2.3-8.9)</w:t>
            </w:r>
            <w:r w:rsidRPr="001B7283">
              <w:rPr>
                <w:rFonts w:ascii="Times New Roman" w:eastAsia="Times New Roman" w:hAnsi="Times New Roman" w:cs="Times New Roman"/>
                <w:color w:val="000000"/>
                <w:szCs w:val="20"/>
                <w:vertAlign w:val="superscript"/>
              </w:rPr>
              <w:t>*</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2.7 (1.1-6.4)</w:t>
            </w:r>
          </w:p>
        </w:tc>
        <w:tc>
          <w:tcPr>
            <w:tcW w:w="1440" w:type="dxa"/>
          </w:tcPr>
          <w:p w:rsidR="004A4BDD" w:rsidRPr="001B7283" w:rsidRDefault="004A4BDD" w:rsidP="00A53543">
            <w:pPr>
              <w:jc w:val="both"/>
              <w:rPr>
                <w:rFonts w:ascii="Times New Roman" w:hAnsi="Times New Roman" w:cs="Times New Roman"/>
                <w:b/>
                <w:szCs w:val="24"/>
                <w:vertAlign w:val="superscript"/>
              </w:rPr>
            </w:pPr>
            <w:r w:rsidRPr="001B7283">
              <w:rPr>
                <w:rFonts w:ascii="Times New Roman" w:eastAsia="Times New Roman" w:hAnsi="Times New Roman" w:cs="Times New Roman"/>
                <w:color w:val="000000"/>
                <w:szCs w:val="20"/>
              </w:rPr>
              <w:t>2.7 (1.1-6.5)</w:t>
            </w:r>
            <w:r w:rsidRPr="001B7283">
              <w:rPr>
                <w:rFonts w:ascii="Times New Roman" w:eastAsia="Times New Roman" w:hAnsi="Times New Roman" w:cs="Times New Roman"/>
                <w:color w:val="000000"/>
                <w:szCs w:val="20"/>
                <w:vertAlign w:val="superscript"/>
              </w:rPr>
              <w:t>*</w:t>
            </w:r>
          </w:p>
        </w:tc>
        <w:tc>
          <w:tcPr>
            <w:tcW w:w="1440" w:type="dxa"/>
          </w:tcPr>
          <w:p w:rsidR="004A4BDD" w:rsidRPr="001B7283" w:rsidRDefault="004A4BDD" w:rsidP="00A53543">
            <w:pPr>
              <w:rPr>
                <w:rFonts w:ascii="Times New Roman" w:hAnsi="Times New Roman" w:cs="Times New Roman"/>
                <w:b/>
                <w:szCs w:val="24"/>
              </w:rPr>
            </w:pPr>
            <w:r w:rsidRPr="001B7283">
              <w:rPr>
                <w:rFonts w:ascii="Times New Roman" w:eastAsia="Times New Roman" w:hAnsi="Times New Roman" w:cs="Times New Roman"/>
                <w:szCs w:val="20"/>
              </w:rPr>
              <w:t>7.3 (2.3-23.4)</w:t>
            </w:r>
          </w:p>
        </w:tc>
        <w:tc>
          <w:tcPr>
            <w:tcW w:w="1440" w:type="dxa"/>
          </w:tcPr>
          <w:p w:rsidR="004A4BDD" w:rsidRPr="001B7283" w:rsidRDefault="004A4BDD" w:rsidP="00A53543">
            <w:pPr>
              <w:jc w:val="both"/>
              <w:rPr>
                <w:rFonts w:ascii="Times New Roman" w:hAnsi="Times New Roman" w:cs="Times New Roman"/>
                <w:b/>
                <w:szCs w:val="24"/>
                <w:vertAlign w:val="superscript"/>
              </w:rPr>
            </w:pPr>
            <w:r w:rsidRPr="001B7283">
              <w:rPr>
                <w:rFonts w:ascii="Times New Roman" w:eastAsia="Times New Roman" w:hAnsi="Times New Roman" w:cs="Times New Roman"/>
                <w:color w:val="000000"/>
                <w:szCs w:val="20"/>
              </w:rPr>
              <w:t>7.5 (2.3-24)</w:t>
            </w:r>
            <w:r w:rsidRPr="001B7283">
              <w:rPr>
                <w:rFonts w:ascii="Times New Roman" w:eastAsia="Times New Roman" w:hAnsi="Times New Roman" w:cs="Times New Roman"/>
                <w:color w:val="000000"/>
                <w:szCs w:val="20"/>
                <w:vertAlign w:val="superscript"/>
              </w:rPr>
              <w:t>*</w:t>
            </w:r>
          </w:p>
        </w:tc>
      </w:tr>
      <w:tr w:rsidR="004A4BDD" w:rsidRPr="001B7283" w:rsidTr="00A53543">
        <w:tc>
          <w:tcPr>
            <w:tcW w:w="9738" w:type="dxa"/>
            <w:gridSpan w:val="7"/>
          </w:tcPr>
          <w:p w:rsidR="004A4BDD" w:rsidRPr="001B7283" w:rsidRDefault="004A4BDD" w:rsidP="00A53543">
            <w:pPr>
              <w:jc w:val="both"/>
              <w:rPr>
                <w:rFonts w:ascii="Times New Roman" w:hAnsi="Times New Roman" w:cs="Times New Roman"/>
                <w:b/>
                <w:szCs w:val="24"/>
              </w:rPr>
            </w:pPr>
            <w:r w:rsidRPr="001B7283">
              <w:rPr>
                <w:rFonts w:ascii="Times New Roman" w:hAnsi="Times New Roman" w:cs="Times New Roman"/>
                <w:b/>
                <w:szCs w:val="24"/>
              </w:rPr>
              <w:t>Area type</w:t>
            </w:r>
          </w:p>
        </w:tc>
      </w:tr>
      <w:tr w:rsidR="004A4BDD" w:rsidRPr="001B7283" w:rsidTr="00A53543">
        <w:tc>
          <w:tcPr>
            <w:tcW w:w="1188" w:type="dxa"/>
          </w:tcPr>
          <w:p w:rsidR="004A4BDD" w:rsidRPr="001B7283" w:rsidRDefault="004A4BDD" w:rsidP="00A53543">
            <w:pPr>
              <w:jc w:val="right"/>
              <w:rPr>
                <w:rFonts w:ascii="Times New Roman" w:hAnsi="Times New Roman" w:cs="Times New Roman"/>
                <w:szCs w:val="24"/>
              </w:rPr>
            </w:pPr>
            <w:r w:rsidRPr="001B7283">
              <w:rPr>
                <w:rFonts w:ascii="Times New Roman" w:hAnsi="Times New Roman" w:cs="Times New Roman"/>
                <w:szCs w:val="24"/>
              </w:rPr>
              <w:t xml:space="preserve">Rural </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53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1.0</w:t>
            </w:r>
          </w:p>
        </w:tc>
      </w:tr>
      <w:tr w:rsidR="004A4BDD" w:rsidRPr="001B7283" w:rsidTr="00A53543">
        <w:tc>
          <w:tcPr>
            <w:tcW w:w="1188" w:type="dxa"/>
          </w:tcPr>
          <w:p w:rsidR="004A4BDD" w:rsidRPr="001B7283" w:rsidRDefault="004A4BDD" w:rsidP="00A53543">
            <w:pPr>
              <w:jc w:val="right"/>
              <w:rPr>
                <w:rFonts w:ascii="Times New Roman" w:hAnsi="Times New Roman" w:cs="Times New Roman"/>
                <w:szCs w:val="24"/>
              </w:rPr>
            </w:pPr>
            <w:r w:rsidRPr="001B7283">
              <w:rPr>
                <w:rFonts w:ascii="Times New Roman" w:hAnsi="Times New Roman" w:cs="Times New Roman"/>
                <w:szCs w:val="24"/>
              </w:rPr>
              <w:t>Urban</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2.7 (1.6-4.6)</w:t>
            </w:r>
          </w:p>
        </w:tc>
        <w:tc>
          <w:tcPr>
            <w:tcW w:w="1530" w:type="dxa"/>
          </w:tcPr>
          <w:p w:rsidR="004A4BDD" w:rsidRPr="001B7283" w:rsidRDefault="004A4BDD" w:rsidP="00A53543">
            <w:pPr>
              <w:jc w:val="both"/>
              <w:rPr>
                <w:rFonts w:ascii="Times New Roman" w:hAnsi="Times New Roman" w:cs="Times New Roman"/>
                <w:b/>
                <w:szCs w:val="24"/>
                <w:vertAlign w:val="superscript"/>
              </w:rPr>
            </w:pPr>
            <w:r w:rsidRPr="001B7283">
              <w:rPr>
                <w:rFonts w:ascii="Times New Roman" w:eastAsia="Times New Roman" w:hAnsi="Times New Roman" w:cs="Times New Roman"/>
                <w:color w:val="000000"/>
                <w:szCs w:val="20"/>
              </w:rPr>
              <w:t>3.0 (1.7-5.3)</w:t>
            </w:r>
            <w:r w:rsidRPr="001B7283">
              <w:rPr>
                <w:rFonts w:ascii="Times New Roman" w:eastAsia="Times New Roman" w:hAnsi="Times New Roman" w:cs="Times New Roman"/>
                <w:color w:val="000000"/>
                <w:szCs w:val="20"/>
                <w:vertAlign w:val="superscript"/>
              </w:rPr>
              <w:t>**</w:t>
            </w:r>
          </w:p>
        </w:tc>
        <w:tc>
          <w:tcPr>
            <w:tcW w:w="135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color w:val="000000"/>
                <w:szCs w:val="20"/>
              </w:rPr>
              <w:t>0.9 (0.4-2.1)</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color w:val="000000"/>
                <w:szCs w:val="20"/>
              </w:rPr>
              <w:t>0.9 (0.4-2.1)</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szCs w:val="20"/>
              </w:rPr>
              <w:t>2.5 (0.5-11.6)</w:t>
            </w:r>
          </w:p>
        </w:tc>
        <w:tc>
          <w:tcPr>
            <w:tcW w:w="1440" w:type="dxa"/>
          </w:tcPr>
          <w:p w:rsidR="004A4BDD" w:rsidRPr="001B7283" w:rsidRDefault="004A4BDD" w:rsidP="00A53543">
            <w:pPr>
              <w:jc w:val="both"/>
              <w:rPr>
                <w:rFonts w:ascii="Times New Roman" w:hAnsi="Times New Roman" w:cs="Times New Roman"/>
                <w:b/>
                <w:szCs w:val="24"/>
              </w:rPr>
            </w:pPr>
            <w:r w:rsidRPr="001B7283">
              <w:rPr>
                <w:rFonts w:ascii="Times New Roman" w:eastAsia="Times New Roman" w:hAnsi="Times New Roman" w:cs="Times New Roman"/>
                <w:color w:val="000000"/>
                <w:szCs w:val="20"/>
              </w:rPr>
              <w:t>2.7 (0.6-12.8)</w:t>
            </w:r>
          </w:p>
        </w:tc>
      </w:tr>
    </w:tbl>
    <w:p w:rsidR="004A4BDD" w:rsidRPr="001B7283" w:rsidRDefault="004A4BDD" w:rsidP="00A53543">
      <w:pPr>
        <w:jc w:val="both"/>
        <w:rPr>
          <w:rFonts w:ascii="Times New Roman" w:hAnsi="Times New Roman" w:cs="Times New Roman"/>
          <w:b/>
          <w:sz w:val="24"/>
        </w:rPr>
      </w:pPr>
      <w:r w:rsidRPr="002416CF">
        <w:rPr>
          <w:rFonts w:ascii="Times New Roman" w:hAnsi="Times New Roman" w:cs="Times New Roman"/>
          <w:i/>
          <w:sz w:val="20"/>
          <w:szCs w:val="24"/>
        </w:rPr>
        <w:t>OR=odds ratio, CI=confidence interval, * adjusted odds ratio are adjusted for area type ** adjusted odds ratio are adjusted for vendor type.</w:t>
      </w:r>
    </w:p>
    <w:p w:rsidR="004A4BDD" w:rsidRDefault="004A4BDD" w:rsidP="00325D53">
      <w:pPr>
        <w:jc w:val="both"/>
        <w:rPr>
          <w:rFonts w:ascii="Times New Roman" w:hAnsi="Times New Roman" w:cs="Times New Roman"/>
          <w:b/>
          <w:sz w:val="24"/>
        </w:rPr>
      </w:pPr>
    </w:p>
    <w:p w:rsidR="004A4BDD" w:rsidRPr="001B7283" w:rsidRDefault="004A4BDD" w:rsidP="00325D53">
      <w:pPr>
        <w:jc w:val="both"/>
        <w:rPr>
          <w:rStyle w:val="fontstyle21"/>
          <w:rFonts w:ascii="Times New Roman" w:hAnsi="Times New Roman" w:cs="Times New Roman"/>
          <w:b/>
          <w:color w:val="auto"/>
          <w:sz w:val="24"/>
          <w:szCs w:val="22"/>
        </w:rPr>
      </w:pPr>
      <w:r w:rsidRPr="001B7283">
        <w:rPr>
          <w:rFonts w:ascii="Times New Roman" w:hAnsi="Times New Roman" w:cs="Times New Roman"/>
          <w:b/>
          <w:sz w:val="24"/>
        </w:rPr>
        <w:t>References</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w:t>
      </w:r>
      <w:r w:rsidRPr="004A4BDD">
        <w:rPr>
          <w:rFonts w:ascii="Times New Roman" w:hAnsi="Times New Roman" w:cs="Times New Roman"/>
          <w:sz w:val="22"/>
        </w:rPr>
        <w:tab/>
        <w:t xml:space="preserve">IARC Working Group and World Health Organization. </w:t>
      </w:r>
      <w:r w:rsidRPr="004A4BDD">
        <w:rPr>
          <w:rFonts w:ascii="Times New Roman" w:hAnsi="Times New Roman" w:cs="Times New Roman"/>
          <w:i/>
          <w:sz w:val="22"/>
        </w:rPr>
        <w:t>Smokeless tobacco and some tobacco-specific N-nitrosamines.</w:t>
      </w:r>
      <w:r w:rsidRPr="004A4BDD">
        <w:rPr>
          <w:rFonts w:ascii="Times New Roman" w:hAnsi="Times New Roman" w:cs="Times New Roman"/>
          <w:sz w:val="22"/>
        </w:rPr>
        <w:t xml:space="preserve"> Vol 89: World Health Organization; 2007.</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w:t>
      </w:r>
      <w:r w:rsidRPr="004A4BDD">
        <w:rPr>
          <w:rFonts w:ascii="Times New Roman" w:hAnsi="Times New Roman" w:cs="Times New Roman"/>
          <w:sz w:val="22"/>
        </w:rPr>
        <w:tab/>
        <w:t>The Tobacco Atlas. American Cancer Society and Vital Strategies; 2018. https://tobaccoatlas.org/cite/. Accessed 16th March 2020.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w:t>
      </w:r>
      <w:r w:rsidRPr="004A4BDD">
        <w:rPr>
          <w:rFonts w:ascii="Times New Roman" w:hAnsi="Times New Roman" w:cs="Times New Roman"/>
          <w:sz w:val="22"/>
        </w:rPr>
        <w:tab/>
        <w:t xml:space="preserve">Sinha DN, Agarwal N, Gupta P. Prevalence of smokeless tobacco use and number of users in 121 countries. </w:t>
      </w:r>
      <w:r w:rsidRPr="004A4BDD">
        <w:rPr>
          <w:rFonts w:ascii="Times New Roman" w:hAnsi="Times New Roman" w:cs="Times New Roman"/>
          <w:i/>
          <w:sz w:val="22"/>
        </w:rPr>
        <w:t xml:space="preserve">J. Adv. Med.  </w:t>
      </w:r>
      <w:r w:rsidRPr="004A4BDD">
        <w:rPr>
          <w:rFonts w:ascii="Times New Roman" w:hAnsi="Times New Roman" w:cs="Times New Roman"/>
          <w:sz w:val="22"/>
        </w:rPr>
        <w:t>2015:1-20.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4.</w:t>
      </w:r>
      <w:r w:rsidRPr="004A4BDD">
        <w:rPr>
          <w:rFonts w:ascii="Times New Roman" w:hAnsi="Times New Roman" w:cs="Times New Roman"/>
          <w:sz w:val="22"/>
        </w:rPr>
        <w:tab/>
        <w:t>"90% of smokeless tobacco users live in South-East Asia" [press release]. 2013.</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5.</w:t>
      </w:r>
      <w:r w:rsidRPr="004A4BDD">
        <w:rPr>
          <w:rFonts w:ascii="Times New Roman" w:hAnsi="Times New Roman" w:cs="Times New Roman"/>
          <w:sz w:val="22"/>
        </w:rPr>
        <w:tab/>
        <w:t xml:space="preserve">Saqib MAN, Rafique I, Qureshi H, et al. Burden of tobacco in Pakistan: Findings from global adult tobacco survey 2014. </w:t>
      </w:r>
      <w:r w:rsidRPr="004A4BDD">
        <w:rPr>
          <w:rFonts w:ascii="Times New Roman" w:hAnsi="Times New Roman" w:cs="Times New Roman"/>
          <w:i/>
          <w:sz w:val="22"/>
        </w:rPr>
        <w:t>NICOTINE TOB RES</w:t>
      </w:r>
      <w:r w:rsidRPr="004A4BDD">
        <w:rPr>
          <w:rFonts w:ascii="Times New Roman" w:hAnsi="Times New Roman" w:cs="Times New Roman"/>
          <w:sz w:val="22"/>
        </w:rPr>
        <w:t xml:space="preserve"> 2018;20(9):1138-1143.</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6.</w:t>
      </w:r>
      <w:r w:rsidRPr="004A4BDD">
        <w:rPr>
          <w:rFonts w:ascii="Times New Roman" w:hAnsi="Times New Roman" w:cs="Times New Roman"/>
          <w:sz w:val="22"/>
        </w:rPr>
        <w:tab/>
        <w:t>Hatsukami D, Zeller M, Gupta P, Parascandola M, Asma S. Smokeless tobacco and public health: a global perspective. 2014.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7.</w:t>
      </w:r>
      <w:r w:rsidRPr="004A4BDD">
        <w:rPr>
          <w:rFonts w:ascii="Times New Roman" w:hAnsi="Times New Roman" w:cs="Times New Roman"/>
          <w:sz w:val="22"/>
        </w:rPr>
        <w:tab/>
        <w:t xml:space="preserve">Khan Z, Dreger S, Shah SMH, et al. Oral cancer via the bargain bin: The risk of oral cancer associated with a smokeless tobacco product (Naswar). </w:t>
      </w:r>
      <w:r w:rsidRPr="004A4BDD">
        <w:rPr>
          <w:rFonts w:ascii="Times New Roman" w:hAnsi="Times New Roman" w:cs="Times New Roman"/>
          <w:i/>
          <w:sz w:val="22"/>
        </w:rPr>
        <w:t xml:space="preserve">PLoS One. </w:t>
      </w:r>
      <w:r w:rsidRPr="004A4BDD">
        <w:rPr>
          <w:rFonts w:ascii="Times New Roman" w:hAnsi="Times New Roman" w:cs="Times New Roman"/>
          <w:sz w:val="22"/>
        </w:rPr>
        <w:t>2017;12(7):e0180445.</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8.</w:t>
      </w:r>
      <w:r w:rsidRPr="004A4BDD">
        <w:rPr>
          <w:rFonts w:ascii="Times New Roman" w:hAnsi="Times New Roman" w:cs="Times New Roman"/>
          <w:sz w:val="22"/>
        </w:rPr>
        <w:tab/>
        <w:t xml:space="preserve">Saeed M, Muhammad N, Khan SA, et al. Assessment of potential toxicity of a smokeless tobacco product (naswar) available on the Pakistani market. </w:t>
      </w:r>
      <w:r w:rsidRPr="004A4BDD">
        <w:rPr>
          <w:rFonts w:ascii="Times New Roman" w:hAnsi="Times New Roman" w:cs="Times New Roman"/>
          <w:i/>
          <w:sz w:val="22"/>
        </w:rPr>
        <w:t xml:space="preserve">Tob. Control. </w:t>
      </w:r>
      <w:r w:rsidRPr="004A4BDD">
        <w:rPr>
          <w:rFonts w:ascii="Times New Roman" w:hAnsi="Times New Roman" w:cs="Times New Roman"/>
          <w:sz w:val="22"/>
        </w:rPr>
        <w:t>2012;21(4):396-401.</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9.</w:t>
      </w:r>
      <w:r w:rsidRPr="004A4BDD">
        <w:rPr>
          <w:rFonts w:ascii="Times New Roman" w:hAnsi="Times New Roman" w:cs="Times New Roman"/>
          <w:sz w:val="22"/>
        </w:rPr>
        <w:tab/>
        <w:t xml:space="preserve">Basharat S, Kassim S, Croucher R. Availability and use of Naswar: an exploratory study. </w:t>
      </w:r>
      <w:r w:rsidRPr="004A4BDD">
        <w:rPr>
          <w:rFonts w:ascii="Times New Roman" w:hAnsi="Times New Roman" w:cs="Times New Roman"/>
          <w:i/>
          <w:sz w:val="22"/>
        </w:rPr>
        <w:t xml:space="preserve">J. Public Health (Oxf.) </w:t>
      </w:r>
      <w:r w:rsidRPr="004A4BDD">
        <w:rPr>
          <w:rFonts w:ascii="Times New Roman" w:hAnsi="Times New Roman" w:cs="Times New Roman"/>
          <w:sz w:val="22"/>
        </w:rPr>
        <w:t>2011;34(1):60-64.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10.</w:t>
      </w:r>
      <w:r w:rsidRPr="004A4BDD">
        <w:rPr>
          <w:rFonts w:ascii="Times New Roman" w:hAnsi="Times New Roman" w:cs="Times New Roman"/>
          <w:sz w:val="22"/>
        </w:rPr>
        <w:tab/>
        <w:t>Ali S, Wazir MARK, Qadir SJ. NASWAR. TPMJ 2017;24(03):386-391.</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11.</w:t>
      </w:r>
      <w:r w:rsidRPr="004A4BDD">
        <w:rPr>
          <w:rFonts w:ascii="Times New Roman" w:hAnsi="Times New Roman" w:cs="Times New Roman"/>
          <w:sz w:val="22"/>
        </w:rPr>
        <w:tab/>
        <w:t>Baig S, Lucky MH. Relationship of human papilloma virus with trismus in chewable tobacco users. PJMD 2013;2(01):3-11.</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12.</w:t>
      </w:r>
      <w:r w:rsidRPr="004A4BDD">
        <w:rPr>
          <w:rFonts w:ascii="Times New Roman" w:hAnsi="Times New Roman" w:cs="Times New Roman"/>
          <w:sz w:val="22"/>
        </w:rPr>
        <w:tab/>
        <w:t>Khan A, Huque R, Shah SK, et al. Smokeless tobacco control policies in South Asia: a gap analysis and recommendations.</w:t>
      </w:r>
      <w:r w:rsidRPr="004A4BDD">
        <w:rPr>
          <w:rFonts w:ascii="Times New Roman" w:hAnsi="Times New Roman" w:cs="Times New Roman"/>
          <w:i/>
          <w:sz w:val="22"/>
        </w:rPr>
        <w:t xml:space="preserve"> NICOTINE TOB RES. </w:t>
      </w:r>
      <w:r w:rsidRPr="004A4BDD">
        <w:rPr>
          <w:rFonts w:ascii="Times New Roman" w:hAnsi="Times New Roman" w:cs="Times New Roman"/>
          <w:sz w:val="22"/>
        </w:rPr>
        <w:t>2014;16(6):890-894.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13.</w:t>
      </w:r>
      <w:r w:rsidRPr="004A4BDD">
        <w:rPr>
          <w:rFonts w:ascii="Times New Roman" w:hAnsi="Times New Roman" w:cs="Times New Roman"/>
          <w:sz w:val="22"/>
        </w:rPr>
        <w:tab/>
        <w:t xml:space="preserve">World Health Organization. </w:t>
      </w:r>
      <w:r w:rsidRPr="004A4BDD">
        <w:rPr>
          <w:rFonts w:ascii="Times New Roman" w:hAnsi="Times New Roman" w:cs="Times New Roman"/>
          <w:i/>
          <w:sz w:val="22"/>
        </w:rPr>
        <w:t>WHO framework convention on tobacco control.</w:t>
      </w:r>
      <w:r w:rsidRPr="004A4BDD">
        <w:rPr>
          <w:rFonts w:ascii="Times New Roman" w:hAnsi="Times New Roman" w:cs="Times New Roman"/>
          <w:sz w:val="22"/>
        </w:rPr>
        <w:t xml:space="preserve"> WHO Regional Office for South-East Asia;2004.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14.</w:t>
      </w:r>
      <w:r w:rsidRPr="004A4BDD">
        <w:rPr>
          <w:rFonts w:ascii="Times New Roman" w:hAnsi="Times New Roman" w:cs="Times New Roman"/>
          <w:sz w:val="22"/>
        </w:rPr>
        <w:tab/>
        <w:t>Dewhirst T. POP goes the power wall? Taking aim at tobacco promotional strategies utilised at retail. BMJ Publishing Group Ltd; 2004.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15.</w:t>
      </w:r>
      <w:r w:rsidRPr="004A4BDD">
        <w:rPr>
          <w:rFonts w:ascii="Times New Roman" w:hAnsi="Times New Roman" w:cs="Times New Roman"/>
          <w:sz w:val="22"/>
        </w:rPr>
        <w:tab/>
        <w:t xml:space="preserve">Henriksen L, Flora JA, Feighery E, Fortmann SP. Effects on youth of exposure to retail tobacco advertising 1. </w:t>
      </w:r>
      <w:r w:rsidRPr="004A4BDD">
        <w:rPr>
          <w:rFonts w:ascii="Times New Roman" w:hAnsi="Times New Roman" w:cs="Times New Roman"/>
          <w:i/>
          <w:sz w:val="22"/>
        </w:rPr>
        <w:t>J. Appl. Soc. Psychol.</w:t>
      </w:r>
      <w:r w:rsidRPr="004A4BDD">
        <w:rPr>
          <w:rFonts w:ascii="Times New Roman" w:hAnsi="Times New Roman" w:cs="Times New Roman"/>
          <w:sz w:val="22"/>
        </w:rPr>
        <w:t xml:space="preserve"> 2002;32(9):1771-1789.</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16.</w:t>
      </w:r>
      <w:r w:rsidRPr="004A4BDD">
        <w:rPr>
          <w:rFonts w:ascii="Times New Roman" w:hAnsi="Times New Roman" w:cs="Times New Roman"/>
          <w:sz w:val="22"/>
        </w:rPr>
        <w:tab/>
        <w:t xml:space="preserve">Lee JG, Henriksen L, Rose SW, Moreland-Russell S, Ribisl KM. A systematic review of neighborhood disparities in point-of-sale tobacco marketing. </w:t>
      </w:r>
      <w:r w:rsidRPr="004A4BDD">
        <w:rPr>
          <w:rFonts w:ascii="Times New Roman" w:hAnsi="Times New Roman" w:cs="Times New Roman"/>
          <w:i/>
          <w:sz w:val="22"/>
        </w:rPr>
        <w:t>AJPH</w:t>
      </w:r>
      <w:r w:rsidRPr="004A4BDD">
        <w:rPr>
          <w:rFonts w:ascii="Times New Roman" w:hAnsi="Times New Roman" w:cs="Times New Roman"/>
          <w:sz w:val="22"/>
        </w:rPr>
        <w:t>. 2015;105(9):e8-e18.</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17.</w:t>
      </w:r>
      <w:r w:rsidRPr="004A4BDD">
        <w:rPr>
          <w:rFonts w:ascii="Times New Roman" w:hAnsi="Times New Roman" w:cs="Times New Roman"/>
          <w:sz w:val="22"/>
        </w:rPr>
        <w:tab/>
        <w:t xml:space="preserve">Kim AE, Nonnemaker JM, Loomis BR, et al. Influence of tobacco displays and ads on youth: a virtual store experiment. </w:t>
      </w:r>
      <w:r w:rsidRPr="004A4BDD">
        <w:rPr>
          <w:rFonts w:ascii="Times New Roman" w:hAnsi="Times New Roman" w:cs="Times New Roman"/>
          <w:i/>
          <w:sz w:val="22"/>
        </w:rPr>
        <w:t>Pediatrics</w:t>
      </w:r>
      <w:r w:rsidRPr="004A4BDD">
        <w:rPr>
          <w:rFonts w:ascii="Times New Roman" w:hAnsi="Times New Roman" w:cs="Times New Roman"/>
          <w:sz w:val="22"/>
        </w:rPr>
        <w:t>. 2013;131(1):e88-e95.</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18.</w:t>
      </w:r>
      <w:r w:rsidRPr="004A4BDD">
        <w:rPr>
          <w:rFonts w:ascii="Times New Roman" w:hAnsi="Times New Roman" w:cs="Times New Roman"/>
          <w:sz w:val="22"/>
        </w:rPr>
        <w:tab/>
        <w:t xml:space="preserve">McNeill A, Lewis S, Quinn C, et al. Evaluation of the removal of point-of-sale tobacco displays in Ireland.  </w:t>
      </w:r>
      <w:r w:rsidRPr="004A4BDD">
        <w:rPr>
          <w:rFonts w:ascii="Times New Roman" w:hAnsi="Times New Roman" w:cs="Times New Roman"/>
          <w:i/>
          <w:sz w:val="22"/>
        </w:rPr>
        <w:t>Tob. Control.</w:t>
      </w:r>
      <w:r w:rsidRPr="004A4BDD">
        <w:rPr>
          <w:rFonts w:ascii="Times New Roman" w:hAnsi="Times New Roman" w:cs="Times New Roman"/>
          <w:sz w:val="22"/>
        </w:rPr>
        <w:t xml:space="preserve"> 2011;20(2):137-143.</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19.</w:t>
      </w:r>
      <w:r w:rsidRPr="004A4BDD">
        <w:rPr>
          <w:rFonts w:ascii="Times New Roman" w:hAnsi="Times New Roman" w:cs="Times New Roman"/>
          <w:sz w:val="22"/>
        </w:rPr>
        <w:tab/>
        <w:t xml:space="preserve">Scheffels J, Lavik R. Out of sight, out of mind? Removal of point-of-sale tobacco displays in Norway. </w:t>
      </w:r>
      <w:r w:rsidRPr="004A4BDD">
        <w:rPr>
          <w:rFonts w:ascii="Times New Roman" w:hAnsi="Times New Roman" w:cs="Times New Roman"/>
          <w:i/>
          <w:sz w:val="22"/>
        </w:rPr>
        <w:t>Tob. Cotrol.</w:t>
      </w:r>
      <w:r w:rsidRPr="004A4BDD">
        <w:rPr>
          <w:rFonts w:ascii="Times New Roman" w:hAnsi="Times New Roman" w:cs="Times New Roman"/>
          <w:sz w:val="22"/>
        </w:rPr>
        <w:t xml:space="preserve"> 2013;22(e1):e37-e42.</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20.</w:t>
      </w:r>
      <w:r w:rsidRPr="004A4BDD">
        <w:rPr>
          <w:rFonts w:ascii="Times New Roman" w:hAnsi="Times New Roman" w:cs="Times New Roman"/>
          <w:sz w:val="22"/>
        </w:rPr>
        <w:tab/>
        <w:t xml:space="preserve">Ford A, MacKintosh AM, Moodie C, Kuipers MA, Hastings GB, Bauld L. Impact of a ban on the open display of tobacco products in retail outlets on never smoking youth in the UK: findings </w:t>
      </w:r>
      <w:r w:rsidRPr="004A4BDD">
        <w:rPr>
          <w:rFonts w:ascii="Times New Roman" w:hAnsi="Times New Roman" w:cs="Times New Roman"/>
          <w:sz w:val="22"/>
        </w:rPr>
        <w:lastRenderedPageBreak/>
        <w:t>from a repeat cross-sectional survey before, during and after implementation. 2019:tobaccocontrol-2018-054831.</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21.</w:t>
      </w:r>
      <w:r w:rsidRPr="004A4BDD">
        <w:rPr>
          <w:rFonts w:ascii="Times New Roman" w:hAnsi="Times New Roman" w:cs="Times New Roman"/>
          <w:sz w:val="22"/>
        </w:rPr>
        <w:tab/>
        <w:t xml:space="preserve">Hammond D. Health warning messages on tobacco products: a review. </w:t>
      </w:r>
      <w:r w:rsidRPr="004A4BDD">
        <w:rPr>
          <w:rFonts w:ascii="Times New Roman" w:hAnsi="Times New Roman" w:cs="Times New Roman"/>
          <w:i/>
          <w:sz w:val="22"/>
        </w:rPr>
        <w:t xml:space="preserve">Tob. Control. </w:t>
      </w:r>
      <w:r w:rsidRPr="004A4BDD">
        <w:rPr>
          <w:rFonts w:ascii="Times New Roman" w:hAnsi="Times New Roman" w:cs="Times New Roman"/>
          <w:sz w:val="22"/>
        </w:rPr>
        <w:t>2011;20(5):327-337.</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22.</w:t>
      </w:r>
      <w:r w:rsidRPr="004A4BDD">
        <w:rPr>
          <w:rFonts w:ascii="Times New Roman" w:hAnsi="Times New Roman" w:cs="Times New Roman"/>
          <w:sz w:val="22"/>
        </w:rPr>
        <w:tab/>
        <w:t xml:space="preserve">Alaouie H, Afifi RA, Haddad P, Mahfoud Z, Nakkash R. Effectiveness of pictorial health warnings on cigarette packs among Lebanese school and university students. </w:t>
      </w:r>
      <w:r w:rsidRPr="004A4BDD">
        <w:rPr>
          <w:rFonts w:ascii="Times New Roman" w:hAnsi="Times New Roman" w:cs="Times New Roman"/>
          <w:i/>
          <w:sz w:val="22"/>
        </w:rPr>
        <w:t>Tob. Control.</w:t>
      </w:r>
      <w:r w:rsidRPr="004A4BDD">
        <w:rPr>
          <w:rFonts w:ascii="Times New Roman" w:hAnsi="Times New Roman" w:cs="Times New Roman"/>
          <w:sz w:val="22"/>
        </w:rPr>
        <w:t xml:space="preserve"> 2015;24(e1):e72-e80.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23.</w:t>
      </w:r>
      <w:r w:rsidRPr="004A4BDD">
        <w:rPr>
          <w:rFonts w:ascii="Times New Roman" w:hAnsi="Times New Roman" w:cs="Times New Roman"/>
          <w:sz w:val="22"/>
        </w:rPr>
        <w:tab/>
        <w:t xml:space="preserve">Azagba S, Sharaf MF. The effect of graphic cigarette warning labels on smoking behavior: evidence from the Canadian experience. </w:t>
      </w:r>
      <w:r w:rsidRPr="004A4BDD">
        <w:rPr>
          <w:rFonts w:ascii="Times New Roman" w:hAnsi="Times New Roman" w:cs="Times New Roman"/>
          <w:i/>
          <w:sz w:val="22"/>
        </w:rPr>
        <w:t>NICOTINE TOB RES.</w:t>
      </w:r>
      <w:r w:rsidRPr="004A4BDD">
        <w:rPr>
          <w:rFonts w:ascii="Times New Roman" w:hAnsi="Times New Roman" w:cs="Times New Roman"/>
          <w:sz w:val="22"/>
        </w:rPr>
        <w:t xml:space="preserve"> 2013;15(3):708-717.</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24.</w:t>
      </w:r>
      <w:r w:rsidRPr="004A4BDD">
        <w:rPr>
          <w:rFonts w:ascii="Times New Roman" w:hAnsi="Times New Roman" w:cs="Times New Roman"/>
          <w:sz w:val="22"/>
        </w:rPr>
        <w:tab/>
        <w:t xml:space="preserve">Noar SM, Hall MG, Francis DB, Ribisl KM, Pepper JK, Brewer NT. Pictorial cigarette pack warnings: a meta-analysis of experimental studies. </w:t>
      </w:r>
      <w:r w:rsidRPr="004A4BDD">
        <w:rPr>
          <w:rFonts w:ascii="Times New Roman" w:hAnsi="Times New Roman" w:cs="Times New Roman"/>
          <w:i/>
          <w:sz w:val="22"/>
        </w:rPr>
        <w:t>Tob. Control.</w:t>
      </w:r>
      <w:r w:rsidRPr="004A4BDD">
        <w:rPr>
          <w:rFonts w:ascii="Times New Roman" w:hAnsi="Times New Roman" w:cs="Times New Roman"/>
          <w:sz w:val="22"/>
        </w:rPr>
        <w:t xml:space="preserve"> 2016;25(3):341-354.</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25.</w:t>
      </w:r>
      <w:r w:rsidRPr="004A4BDD">
        <w:rPr>
          <w:rFonts w:ascii="Times New Roman" w:hAnsi="Times New Roman" w:cs="Times New Roman"/>
          <w:sz w:val="22"/>
        </w:rPr>
        <w:tab/>
        <w:t xml:space="preserve">Khan Z. A gaping gap (smokeless tobacco control in Pakistan). </w:t>
      </w:r>
      <w:r w:rsidRPr="004A4BDD">
        <w:rPr>
          <w:rFonts w:ascii="Times New Roman" w:hAnsi="Times New Roman" w:cs="Times New Roman"/>
          <w:i/>
          <w:sz w:val="22"/>
        </w:rPr>
        <w:t xml:space="preserve">Tob. Induc. Dis. </w:t>
      </w:r>
      <w:r w:rsidRPr="004A4BDD">
        <w:rPr>
          <w:rFonts w:ascii="Times New Roman" w:hAnsi="Times New Roman" w:cs="Times New Roman"/>
          <w:sz w:val="22"/>
        </w:rPr>
        <w:t>2016;14(1):36.</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26.</w:t>
      </w:r>
      <w:r w:rsidRPr="004A4BDD">
        <w:rPr>
          <w:rFonts w:ascii="Times New Roman" w:hAnsi="Times New Roman" w:cs="Times New Roman"/>
          <w:sz w:val="22"/>
        </w:rPr>
        <w:tab/>
        <w:t>CTFK. Pakistan Details. 2020; https://www.tobaccocontrollaws.org/legislation/country/pakistan/summary. Accessed March 9th 2020.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27.</w:t>
      </w:r>
      <w:r w:rsidRPr="004A4BDD">
        <w:rPr>
          <w:rFonts w:ascii="Times New Roman" w:hAnsi="Times New Roman" w:cs="Times New Roman"/>
          <w:sz w:val="22"/>
        </w:rPr>
        <w:tab/>
        <w:t xml:space="preserve">Roberts ME, Doogan NJ, Stanton CA, et al. Rural Versus Urban Use of Traditional and Emerging Tobacco Products in the United States, 2013-2014. </w:t>
      </w:r>
      <w:r w:rsidRPr="004A4BDD">
        <w:rPr>
          <w:rFonts w:ascii="Times New Roman" w:hAnsi="Times New Roman" w:cs="Times New Roman"/>
          <w:i/>
          <w:sz w:val="22"/>
        </w:rPr>
        <w:t xml:space="preserve">Am. J. Public Health. </w:t>
      </w:r>
      <w:r w:rsidRPr="004A4BDD">
        <w:rPr>
          <w:rFonts w:ascii="Times New Roman" w:hAnsi="Times New Roman" w:cs="Times New Roman"/>
          <w:sz w:val="22"/>
        </w:rPr>
        <w:t>2017;107(10):1554-1559.</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28.</w:t>
      </w:r>
      <w:r w:rsidRPr="004A4BDD">
        <w:rPr>
          <w:rFonts w:ascii="Times New Roman" w:hAnsi="Times New Roman" w:cs="Times New Roman"/>
          <w:sz w:val="22"/>
        </w:rPr>
        <w:tab/>
        <w:t xml:space="preserve">Vander Weg MW, Cunningham CL, Howren MB, Cai XJ. Tobacco use and exposure in rural areas: Findings from the Behavioral Risk Factor Surveillance System. </w:t>
      </w:r>
      <w:r w:rsidRPr="004A4BDD">
        <w:rPr>
          <w:rFonts w:ascii="Times New Roman" w:hAnsi="Times New Roman" w:cs="Times New Roman"/>
          <w:i/>
          <w:sz w:val="22"/>
        </w:rPr>
        <w:t>Addict. behav.</w:t>
      </w:r>
      <w:r w:rsidRPr="004A4BDD">
        <w:rPr>
          <w:rFonts w:ascii="Times New Roman" w:hAnsi="Times New Roman" w:cs="Times New Roman"/>
          <w:sz w:val="22"/>
        </w:rPr>
        <w:t xml:space="preserve"> 2011;36(3):231-236.</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29.</w:t>
      </w:r>
      <w:r w:rsidRPr="004A4BDD">
        <w:rPr>
          <w:rFonts w:ascii="Times New Roman" w:hAnsi="Times New Roman" w:cs="Times New Roman"/>
          <w:sz w:val="22"/>
        </w:rPr>
        <w:tab/>
        <w:t xml:space="preserve">Nasrullah M, Chang L, Saddozai KN, Khalid AO, Bayisenge R, Hameed GJ. Cost and Net Return of Tobacco Growers-A Case Study of District Mardan (KP-Pakistan). </w:t>
      </w:r>
      <w:r w:rsidRPr="004A4BDD">
        <w:rPr>
          <w:rFonts w:ascii="Times New Roman" w:hAnsi="Times New Roman" w:cs="Times New Roman"/>
          <w:i/>
          <w:sz w:val="22"/>
        </w:rPr>
        <w:t>SJA.</w:t>
      </w:r>
      <w:r w:rsidRPr="004A4BDD">
        <w:rPr>
          <w:rFonts w:ascii="Times New Roman" w:hAnsi="Times New Roman" w:cs="Times New Roman"/>
          <w:sz w:val="22"/>
        </w:rPr>
        <w:t xml:space="preserve"> 2019;35(2).</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30.</w:t>
      </w:r>
      <w:r w:rsidRPr="004A4BDD">
        <w:rPr>
          <w:rFonts w:ascii="Times New Roman" w:hAnsi="Times New Roman" w:cs="Times New Roman"/>
          <w:sz w:val="22"/>
        </w:rPr>
        <w:tab/>
        <w:t xml:space="preserve">Bashir M. </w:t>
      </w:r>
      <w:r w:rsidRPr="004A4BDD">
        <w:rPr>
          <w:rFonts w:ascii="Times New Roman" w:hAnsi="Times New Roman" w:cs="Times New Roman"/>
          <w:i/>
          <w:sz w:val="22"/>
        </w:rPr>
        <w:t xml:space="preserve">Naswar sales soar in federal capital. </w:t>
      </w:r>
      <w:r w:rsidRPr="004A4BDD">
        <w:rPr>
          <w:rFonts w:ascii="Times New Roman" w:hAnsi="Times New Roman" w:cs="Times New Roman"/>
          <w:sz w:val="22"/>
        </w:rPr>
        <w:t>Pakistan March 18, 2012 2012.</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31.</w:t>
      </w:r>
      <w:r w:rsidRPr="004A4BDD">
        <w:rPr>
          <w:rFonts w:ascii="Times New Roman" w:hAnsi="Times New Roman" w:cs="Times New Roman"/>
          <w:sz w:val="22"/>
        </w:rPr>
        <w:tab/>
        <w:t>Pakistan Go. 2017; http://www.pbs.gov.pk/sites/default/files/PAKISTAN%20TEHSIL%20WISE%20FOR%20WEB%20CENSUS_2017.pdf. Accessed 2 March, 2020.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32.</w:t>
      </w:r>
      <w:r w:rsidRPr="004A4BDD">
        <w:rPr>
          <w:rFonts w:ascii="Times New Roman" w:hAnsi="Times New Roman" w:cs="Times New Roman"/>
          <w:sz w:val="22"/>
        </w:rPr>
        <w:tab/>
        <w:t>Stubbing it Out: Status of Enforcement of  Tobacco  Control  Laws  in  Pakistan.  . Coalition for Tobacco Control-Pakistan; 2017. http://www.ctcpak.org/archive/CTCPAK_TIA%20Report%20Stubbing%20It%20Out%20April%2017%27.pdf Accessed 03 March, 2020.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33.</w:t>
      </w:r>
      <w:r w:rsidRPr="004A4BDD">
        <w:rPr>
          <w:rFonts w:ascii="Times New Roman" w:hAnsi="Times New Roman" w:cs="Times New Roman"/>
          <w:sz w:val="22"/>
        </w:rPr>
        <w:tab/>
        <w:t>Dean A, Sullivan K, Soe MM. OpenEpi: open source epidemiologic statistics for public health. 2013. 2017.</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34.</w:t>
      </w:r>
      <w:r w:rsidRPr="004A4BDD">
        <w:rPr>
          <w:rFonts w:ascii="Times New Roman" w:hAnsi="Times New Roman" w:cs="Times New Roman"/>
          <w:sz w:val="22"/>
        </w:rPr>
        <w:tab/>
        <w:t xml:space="preserve">Siddiqi K, Scammell K, Huque R, et al. Smokeless tobacco supply chain in south asia: a comparative analysis using the WHO framework convention on tobacco control. </w:t>
      </w:r>
      <w:r w:rsidRPr="004A4BDD">
        <w:rPr>
          <w:rFonts w:ascii="Times New Roman" w:hAnsi="Times New Roman" w:cs="Times New Roman"/>
          <w:i/>
          <w:sz w:val="22"/>
        </w:rPr>
        <w:t>NICOTINE TOB RES.</w:t>
      </w:r>
      <w:r w:rsidRPr="004A4BDD">
        <w:rPr>
          <w:rFonts w:ascii="Times New Roman" w:hAnsi="Times New Roman" w:cs="Times New Roman"/>
          <w:sz w:val="22"/>
        </w:rPr>
        <w:t xml:space="preserve"> 2015;18(4):424-430.</w:t>
      </w:r>
    </w:p>
    <w:p w:rsidR="004A4BDD" w:rsidRP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35.</w:t>
      </w:r>
      <w:r w:rsidRPr="004A4BDD">
        <w:rPr>
          <w:rFonts w:ascii="Times New Roman" w:hAnsi="Times New Roman" w:cs="Times New Roman"/>
          <w:sz w:val="22"/>
        </w:rPr>
        <w:tab/>
        <w:t>StataCorp LJCS, TX: Author. Stata statistical software (version release 14). 2015.</w:t>
      </w:r>
    </w:p>
    <w:p w:rsidR="004A4BDD" w:rsidRDefault="004A4BDD" w:rsidP="000564BB">
      <w:pPr>
        <w:pStyle w:val="EndNoteBibliography"/>
        <w:spacing w:after="0"/>
        <w:ind w:left="720" w:hanging="720"/>
        <w:rPr>
          <w:rFonts w:ascii="Times New Roman" w:hAnsi="Times New Roman" w:cs="Times New Roman"/>
          <w:sz w:val="22"/>
        </w:rPr>
      </w:pPr>
      <w:r w:rsidRPr="004A4BDD">
        <w:rPr>
          <w:rFonts w:ascii="Times New Roman" w:hAnsi="Times New Roman" w:cs="Times New Roman"/>
          <w:sz w:val="22"/>
        </w:rPr>
        <w:t>36.</w:t>
      </w:r>
      <w:r w:rsidRPr="004A4BDD">
        <w:rPr>
          <w:rFonts w:ascii="Times New Roman" w:hAnsi="Times New Roman" w:cs="Times New Roman"/>
          <w:sz w:val="22"/>
        </w:rPr>
        <w:tab/>
        <w:t xml:space="preserve">World Health Organization. </w:t>
      </w:r>
      <w:r w:rsidRPr="004A4BDD">
        <w:rPr>
          <w:rFonts w:ascii="Times New Roman" w:hAnsi="Times New Roman" w:cs="Times New Roman"/>
          <w:i/>
          <w:sz w:val="22"/>
        </w:rPr>
        <w:t>WHO report on the global tobacco epidemic, 2011: warning about the dangers of tobacco.</w:t>
      </w:r>
      <w:r w:rsidRPr="004A4BDD">
        <w:rPr>
          <w:rFonts w:ascii="Times New Roman" w:hAnsi="Times New Roman" w:cs="Times New Roman"/>
          <w:sz w:val="22"/>
        </w:rPr>
        <w:t xml:space="preserve"> Geneva: World Health Organization; 2011.</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37</w:t>
      </w:r>
      <w:r w:rsidRPr="004A4BDD">
        <w:rPr>
          <w:rFonts w:ascii="Times New Roman" w:hAnsi="Times New Roman" w:cs="Times New Roman"/>
          <w:sz w:val="22"/>
        </w:rPr>
        <w:t>.</w:t>
      </w:r>
      <w:r w:rsidRPr="004A4BDD">
        <w:rPr>
          <w:rFonts w:ascii="Times New Roman" w:hAnsi="Times New Roman" w:cs="Times New Roman"/>
          <w:sz w:val="22"/>
        </w:rPr>
        <w:tab/>
        <w:t>Arora M, Yadav A. Pictorial health warnings on tobacco products in India: sociopolitical and legal developments. Natl. Med. J. India. 2010;23(6):357.</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38</w:t>
      </w:r>
      <w:r w:rsidRPr="004A4BDD">
        <w:rPr>
          <w:rFonts w:ascii="Times New Roman" w:hAnsi="Times New Roman" w:cs="Times New Roman"/>
          <w:sz w:val="22"/>
        </w:rPr>
        <w:t>.</w:t>
      </w:r>
      <w:r w:rsidRPr="004A4BDD">
        <w:rPr>
          <w:rFonts w:ascii="Times New Roman" w:hAnsi="Times New Roman" w:cs="Times New Roman"/>
          <w:sz w:val="22"/>
        </w:rPr>
        <w:tab/>
        <w:t xml:space="preserve">Germain D, Wakefield MA, Durkin SJ. Adolescents' perceptions of cigarette brand image: does plain packaging make a difference? </w:t>
      </w:r>
      <w:r w:rsidRPr="004A4BDD">
        <w:rPr>
          <w:rFonts w:ascii="Times New Roman" w:hAnsi="Times New Roman" w:cs="Times New Roman"/>
          <w:i/>
          <w:sz w:val="22"/>
        </w:rPr>
        <w:t>J ADOLESCENT HEALTH.</w:t>
      </w:r>
      <w:r w:rsidRPr="004A4BDD">
        <w:rPr>
          <w:rFonts w:ascii="Times New Roman" w:hAnsi="Times New Roman" w:cs="Times New Roman"/>
          <w:sz w:val="22"/>
        </w:rPr>
        <w:t xml:space="preserve"> 2010;46(4):385-392.</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39</w:t>
      </w:r>
      <w:r w:rsidRPr="004A4BDD">
        <w:rPr>
          <w:rFonts w:ascii="Times New Roman" w:hAnsi="Times New Roman" w:cs="Times New Roman"/>
          <w:sz w:val="22"/>
        </w:rPr>
        <w:t>.</w:t>
      </w:r>
      <w:r w:rsidRPr="004A4BDD">
        <w:rPr>
          <w:rFonts w:ascii="Times New Roman" w:hAnsi="Times New Roman" w:cs="Times New Roman"/>
          <w:sz w:val="22"/>
        </w:rPr>
        <w:tab/>
        <w:t xml:space="preserve">Freeman B, Chapman S, Rimmer M. The case for the plain packaging of tobacco products. </w:t>
      </w:r>
      <w:r w:rsidRPr="004A4BDD">
        <w:rPr>
          <w:rFonts w:ascii="Times New Roman" w:hAnsi="Times New Roman" w:cs="Times New Roman"/>
          <w:i/>
          <w:sz w:val="22"/>
        </w:rPr>
        <w:t>ADDICTION.</w:t>
      </w:r>
      <w:r w:rsidRPr="004A4BDD">
        <w:rPr>
          <w:rFonts w:ascii="Times New Roman" w:hAnsi="Times New Roman" w:cs="Times New Roman"/>
          <w:sz w:val="22"/>
        </w:rPr>
        <w:t xml:space="preserve">  2008;103(4):580-590.</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40</w:t>
      </w:r>
      <w:r w:rsidRPr="004A4BDD">
        <w:rPr>
          <w:rFonts w:ascii="Times New Roman" w:hAnsi="Times New Roman" w:cs="Times New Roman"/>
          <w:sz w:val="22"/>
        </w:rPr>
        <w:t>.</w:t>
      </w:r>
      <w:r w:rsidRPr="004A4BDD">
        <w:rPr>
          <w:rFonts w:ascii="Times New Roman" w:hAnsi="Times New Roman" w:cs="Times New Roman"/>
          <w:sz w:val="22"/>
        </w:rPr>
        <w:tab/>
        <w:t xml:space="preserve">Cunningham R, Kyle K. The case for plain packaging. </w:t>
      </w:r>
      <w:r w:rsidRPr="004A4BDD">
        <w:rPr>
          <w:rFonts w:ascii="Times New Roman" w:hAnsi="Times New Roman" w:cs="Times New Roman"/>
          <w:i/>
          <w:sz w:val="22"/>
        </w:rPr>
        <w:t>Tob. Control.</w:t>
      </w:r>
      <w:r w:rsidRPr="004A4BDD">
        <w:rPr>
          <w:rFonts w:ascii="Times New Roman" w:hAnsi="Times New Roman" w:cs="Times New Roman"/>
          <w:sz w:val="22"/>
        </w:rPr>
        <w:t xml:space="preserve"> 1995;4(1):80.</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41</w:t>
      </w:r>
      <w:r w:rsidRPr="004A4BDD">
        <w:rPr>
          <w:rFonts w:ascii="Times New Roman" w:hAnsi="Times New Roman" w:cs="Times New Roman"/>
          <w:sz w:val="22"/>
        </w:rPr>
        <w:t>.</w:t>
      </w:r>
      <w:r w:rsidRPr="004A4BDD">
        <w:rPr>
          <w:rFonts w:ascii="Times New Roman" w:hAnsi="Times New Roman" w:cs="Times New Roman"/>
          <w:sz w:val="22"/>
        </w:rPr>
        <w:tab/>
        <w:t xml:space="preserve">World Health Organization. </w:t>
      </w:r>
      <w:r w:rsidRPr="004A4BDD">
        <w:rPr>
          <w:rFonts w:ascii="Times New Roman" w:hAnsi="Times New Roman" w:cs="Times New Roman"/>
          <w:i/>
          <w:sz w:val="22"/>
        </w:rPr>
        <w:t>WHO Framework Convention on Tobacco Control: Guidelines for Implementation of Article 5. 3, Articles 8 To 14.</w:t>
      </w:r>
      <w:r w:rsidRPr="004A4BDD">
        <w:rPr>
          <w:rFonts w:ascii="Times New Roman" w:hAnsi="Times New Roman" w:cs="Times New Roman"/>
          <w:sz w:val="22"/>
        </w:rPr>
        <w:t xml:space="preserve"> World Health Organization; 2013.</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42</w:t>
      </w:r>
      <w:r w:rsidRPr="004A4BDD">
        <w:rPr>
          <w:rFonts w:ascii="Times New Roman" w:hAnsi="Times New Roman" w:cs="Times New Roman"/>
          <w:sz w:val="22"/>
        </w:rPr>
        <w:t>.</w:t>
      </w:r>
      <w:r w:rsidRPr="004A4BDD">
        <w:rPr>
          <w:rFonts w:ascii="Times New Roman" w:hAnsi="Times New Roman" w:cs="Times New Roman"/>
          <w:sz w:val="22"/>
        </w:rPr>
        <w:tab/>
        <w:t xml:space="preserve">Sharma P, Murthy P, Shivhare PJ. Nicotine quantity and packaging disclosure in smoked and smokeless tobacco products in India. </w:t>
      </w:r>
      <w:r w:rsidRPr="004A4BDD">
        <w:rPr>
          <w:rFonts w:ascii="Times New Roman" w:hAnsi="Times New Roman" w:cs="Times New Roman"/>
          <w:i/>
          <w:sz w:val="22"/>
        </w:rPr>
        <w:t>Indian J. Pharmacol.</w:t>
      </w:r>
      <w:r w:rsidRPr="004A4BDD">
        <w:rPr>
          <w:rFonts w:ascii="Times New Roman" w:hAnsi="Times New Roman" w:cs="Times New Roman"/>
          <w:sz w:val="22"/>
        </w:rPr>
        <w:t xml:space="preserve"> 2015;47(4):440.</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lastRenderedPageBreak/>
        <w:t>43</w:t>
      </w:r>
      <w:r w:rsidRPr="004A4BDD">
        <w:rPr>
          <w:rFonts w:ascii="Times New Roman" w:hAnsi="Times New Roman" w:cs="Times New Roman"/>
          <w:sz w:val="22"/>
        </w:rPr>
        <w:t>.</w:t>
      </w:r>
      <w:r w:rsidRPr="004A4BDD">
        <w:rPr>
          <w:rFonts w:ascii="Times New Roman" w:hAnsi="Times New Roman" w:cs="Times New Roman"/>
          <w:sz w:val="22"/>
        </w:rPr>
        <w:tab/>
        <w:t xml:space="preserve">Richardson A, Ganz O, Stalgaitis C, Abrams D, Vallone D. Noncombustible tobacco product advertising: how companies are selling the new face of tobacco. </w:t>
      </w:r>
      <w:r w:rsidRPr="004A4BDD">
        <w:rPr>
          <w:rFonts w:ascii="Times New Roman" w:hAnsi="Times New Roman" w:cs="Times New Roman"/>
          <w:i/>
          <w:sz w:val="22"/>
        </w:rPr>
        <w:t xml:space="preserve">NICOTINE TOB RES. </w:t>
      </w:r>
      <w:r w:rsidRPr="004A4BDD">
        <w:rPr>
          <w:rFonts w:ascii="Times New Roman" w:hAnsi="Times New Roman" w:cs="Times New Roman"/>
          <w:sz w:val="22"/>
        </w:rPr>
        <w:t>2013;16(5):606-614.</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44</w:t>
      </w:r>
      <w:r w:rsidRPr="004A4BDD">
        <w:rPr>
          <w:rFonts w:ascii="Times New Roman" w:hAnsi="Times New Roman" w:cs="Times New Roman"/>
          <w:sz w:val="22"/>
        </w:rPr>
        <w:t>.</w:t>
      </w:r>
      <w:r w:rsidRPr="004A4BDD">
        <w:rPr>
          <w:rFonts w:ascii="Times New Roman" w:hAnsi="Times New Roman" w:cs="Times New Roman"/>
          <w:sz w:val="22"/>
        </w:rPr>
        <w:tab/>
        <w:t xml:space="preserve">Goel S, Kumar R, Lal P, et al. How compliant are tobacco vendors to india’s tobacco control legislation on ban of advertisments at point of sale? a three jurisdictions review. </w:t>
      </w:r>
      <w:r w:rsidRPr="004A4BDD">
        <w:rPr>
          <w:rFonts w:ascii="Times New Roman" w:hAnsi="Times New Roman" w:cs="Times New Roman"/>
          <w:i/>
          <w:sz w:val="22"/>
        </w:rPr>
        <w:t xml:space="preserve">ASIAN PAC J CANCER P. </w:t>
      </w:r>
      <w:r w:rsidRPr="004A4BDD">
        <w:rPr>
          <w:rFonts w:ascii="Times New Roman" w:hAnsi="Times New Roman" w:cs="Times New Roman"/>
          <w:sz w:val="22"/>
        </w:rPr>
        <w:t>2014;15(24):10637-10642.</w:t>
      </w:r>
    </w:p>
    <w:p w:rsidR="004A4BDD" w:rsidRPr="004A4BDD" w:rsidRDefault="004A4BDD" w:rsidP="000564BB">
      <w:pPr>
        <w:pStyle w:val="EndNoteBibliography"/>
        <w:spacing w:after="0"/>
        <w:ind w:left="720" w:hanging="720"/>
        <w:rPr>
          <w:rFonts w:ascii="Times New Roman" w:hAnsi="Times New Roman" w:cs="Times New Roman"/>
          <w:sz w:val="22"/>
        </w:rPr>
      </w:pPr>
      <w:r>
        <w:rPr>
          <w:rFonts w:ascii="Times New Roman" w:hAnsi="Times New Roman" w:cs="Times New Roman"/>
          <w:sz w:val="22"/>
        </w:rPr>
        <w:t>45</w:t>
      </w:r>
      <w:r w:rsidRPr="004A4BDD">
        <w:rPr>
          <w:rFonts w:ascii="Times New Roman" w:hAnsi="Times New Roman" w:cs="Times New Roman"/>
          <w:sz w:val="22"/>
        </w:rPr>
        <w:t>.</w:t>
      </w:r>
      <w:r w:rsidRPr="004A4BDD">
        <w:rPr>
          <w:rFonts w:ascii="Times New Roman" w:hAnsi="Times New Roman" w:cs="Times New Roman"/>
          <w:sz w:val="22"/>
        </w:rPr>
        <w:tab/>
        <w:t xml:space="preserve">Nuyts PA, Kuipers MA, Cakir A, Willemsen MC, Veldhuizen EM, Kunst AE. Visibility of tobacco products and advertisement at the point of sale: a systematic audit of retailers in Amsterdam. </w:t>
      </w:r>
      <w:r w:rsidRPr="004A4BDD">
        <w:rPr>
          <w:rFonts w:ascii="Times New Roman" w:hAnsi="Times New Roman" w:cs="Times New Roman"/>
          <w:i/>
          <w:sz w:val="22"/>
        </w:rPr>
        <w:t>BMJ Open.</w:t>
      </w:r>
      <w:r w:rsidRPr="004A4BDD">
        <w:rPr>
          <w:rFonts w:ascii="Times New Roman" w:hAnsi="Times New Roman" w:cs="Times New Roman"/>
          <w:sz w:val="22"/>
        </w:rPr>
        <w:t xml:space="preserve">  2018;8(10).</w:t>
      </w:r>
    </w:p>
    <w:p w:rsidR="004A4BDD" w:rsidRPr="004A4BDD" w:rsidRDefault="004A4BDD" w:rsidP="000564BB">
      <w:pPr>
        <w:pStyle w:val="EndNoteBibliography"/>
        <w:ind w:left="720" w:hanging="720"/>
        <w:rPr>
          <w:rFonts w:ascii="Times New Roman" w:hAnsi="Times New Roman" w:cs="Times New Roman"/>
          <w:sz w:val="22"/>
        </w:rPr>
      </w:pPr>
      <w:r>
        <w:rPr>
          <w:rFonts w:ascii="Times New Roman" w:hAnsi="Times New Roman" w:cs="Times New Roman"/>
          <w:sz w:val="22"/>
        </w:rPr>
        <w:t>46</w:t>
      </w:r>
      <w:r w:rsidRPr="004A4BDD">
        <w:rPr>
          <w:rFonts w:ascii="Times New Roman" w:hAnsi="Times New Roman" w:cs="Times New Roman"/>
          <w:sz w:val="22"/>
        </w:rPr>
        <w:t>.</w:t>
      </w:r>
      <w:r w:rsidRPr="004A4BDD">
        <w:rPr>
          <w:rFonts w:ascii="Times New Roman" w:hAnsi="Times New Roman" w:cs="Times New Roman"/>
          <w:sz w:val="22"/>
        </w:rPr>
        <w:tab/>
        <w:t xml:space="preserve">Wagoner KG, Sutfin EL, Song EY, et al. Trends in point-of-sale tobacco marketing around college campuses: Opportunities for enhanced tobacco control efforts. </w:t>
      </w:r>
      <w:r w:rsidRPr="004A4BDD">
        <w:rPr>
          <w:rFonts w:ascii="Times New Roman" w:hAnsi="Times New Roman" w:cs="Times New Roman"/>
          <w:i/>
          <w:sz w:val="22"/>
        </w:rPr>
        <w:t>J. Am. Coll. Health.</w:t>
      </w:r>
      <w:r w:rsidRPr="004A4BDD">
        <w:rPr>
          <w:rFonts w:ascii="Times New Roman" w:hAnsi="Times New Roman" w:cs="Times New Roman"/>
          <w:sz w:val="22"/>
        </w:rPr>
        <w:t xml:space="preserve"> 2018;66(3):145-154.</w:t>
      </w:r>
    </w:p>
    <w:p w:rsidR="004A4BDD" w:rsidRPr="001B7283" w:rsidRDefault="004A4BDD" w:rsidP="00E07E6F">
      <w:pPr>
        <w:rPr>
          <w:rFonts w:ascii="Times New Roman" w:hAnsi="Times New Roman" w:cs="Times New Roman"/>
          <w:sz w:val="24"/>
          <w:szCs w:val="24"/>
        </w:rPr>
      </w:pPr>
    </w:p>
    <w:p w:rsidR="001C1C3F" w:rsidRDefault="001C1C3F"/>
    <w:sectPr w:rsidR="001C1C3F" w:rsidSect="003230FC">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B9" w:rsidRDefault="005819B9">
      <w:pPr>
        <w:spacing w:after="0" w:line="240" w:lineRule="auto"/>
      </w:pPr>
      <w:r>
        <w:separator/>
      </w:r>
    </w:p>
  </w:endnote>
  <w:endnote w:type="continuationSeparator" w:id="0">
    <w:p w:rsidR="005819B9" w:rsidRDefault="0058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Std-BdCn">
    <w:altName w:val="Times New Roman"/>
    <w:panose1 w:val="00000000000000000000"/>
    <w:charset w:val="00"/>
    <w:family w:val="roman"/>
    <w:notTrueType/>
    <w:pitch w:val="default"/>
  </w:font>
  <w:font w:name="NewBaskerville-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74" w:rsidRDefault="005819B9">
    <w:pPr>
      <w:pStyle w:val="Footer"/>
      <w:ind w:right="360"/>
      <w:pPrChange w:id="1" w:author="Steffen Dreger" w:date="2020-03-31T12:33:00Z">
        <w:pPr>
          <w:pStyle w:val="Footer"/>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74" w:rsidRDefault="004A4BDD" w:rsidP="00D02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AC2">
      <w:rPr>
        <w:rStyle w:val="PageNumber"/>
        <w:noProof/>
      </w:rPr>
      <w:t>1</w:t>
    </w:r>
    <w:r>
      <w:rPr>
        <w:rStyle w:val="PageNumber"/>
      </w:rPr>
      <w:fldChar w:fldCharType="end"/>
    </w:r>
  </w:p>
  <w:p w:rsidR="00EC6B74" w:rsidRDefault="005819B9" w:rsidP="00AA501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B9" w:rsidRDefault="005819B9">
      <w:pPr>
        <w:spacing w:after="0" w:line="240" w:lineRule="auto"/>
      </w:pPr>
      <w:r>
        <w:separator/>
      </w:r>
    </w:p>
  </w:footnote>
  <w:footnote w:type="continuationSeparator" w:id="0">
    <w:p w:rsidR="005819B9" w:rsidRDefault="0058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47A2"/>
    <w:multiLevelType w:val="hybridMultilevel"/>
    <w:tmpl w:val="EDBC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A4BDD"/>
    <w:rsid w:val="00091A36"/>
    <w:rsid w:val="00160033"/>
    <w:rsid w:val="001C1C3F"/>
    <w:rsid w:val="003C4AD5"/>
    <w:rsid w:val="003E1520"/>
    <w:rsid w:val="004A4BDD"/>
    <w:rsid w:val="005819B9"/>
    <w:rsid w:val="00702614"/>
    <w:rsid w:val="00746B26"/>
    <w:rsid w:val="00747F89"/>
    <w:rsid w:val="008703D4"/>
    <w:rsid w:val="00A33AC2"/>
    <w:rsid w:val="00BB61AC"/>
    <w:rsid w:val="00CF1CC8"/>
    <w:rsid w:val="00E210F3"/>
    <w:rsid w:val="00EA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081B4-D318-4F09-9D75-B7580815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4BDD"/>
    <w:rPr>
      <w:rFonts w:ascii="HelveticaNeueLTStd-BdCn" w:hAnsi="HelveticaNeueLTStd-BdCn" w:hint="default"/>
      <w:b/>
      <w:bCs/>
      <w:i w:val="0"/>
      <w:iCs w:val="0"/>
      <w:color w:val="414099"/>
      <w:sz w:val="20"/>
      <w:szCs w:val="20"/>
    </w:rPr>
  </w:style>
  <w:style w:type="character" w:customStyle="1" w:styleId="fontstyle21">
    <w:name w:val="fontstyle21"/>
    <w:basedOn w:val="DefaultParagraphFont"/>
    <w:rsid w:val="004A4BDD"/>
    <w:rPr>
      <w:rFonts w:ascii="NewBaskerville-Roman" w:hAnsi="NewBaskerville-Roman" w:hint="default"/>
      <w:b w:val="0"/>
      <w:bCs w:val="0"/>
      <w:i w:val="0"/>
      <w:iCs w:val="0"/>
      <w:color w:val="242021"/>
      <w:sz w:val="20"/>
      <w:szCs w:val="20"/>
    </w:rPr>
  </w:style>
  <w:style w:type="character" w:customStyle="1" w:styleId="fontstyle31">
    <w:name w:val="fontstyle31"/>
    <w:basedOn w:val="DefaultParagraphFont"/>
    <w:rsid w:val="004A4BDD"/>
    <w:rPr>
      <w:rFonts w:ascii="Symbol" w:hAnsi="Symbol" w:hint="default"/>
      <w:b w:val="0"/>
      <w:bCs w:val="0"/>
      <w:i w:val="0"/>
      <w:iCs w:val="0"/>
      <w:color w:val="242021"/>
      <w:sz w:val="20"/>
      <w:szCs w:val="20"/>
    </w:rPr>
  </w:style>
  <w:style w:type="paragraph" w:customStyle="1" w:styleId="EndNoteBibliographyTitle">
    <w:name w:val="EndNote Bibliography Title"/>
    <w:basedOn w:val="Normal"/>
    <w:link w:val="EndNoteBibliographyTitleChar"/>
    <w:rsid w:val="004A4BDD"/>
    <w:pPr>
      <w:spacing w:after="0"/>
      <w:jc w:val="center"/>
    </w:pPr>
    <w:rPr>
      <w:rFonts w:ascii="NewBaskerville-Roman" w:hAnsi="NewBaskerville-Roman"/>
      <w:noProof/>
      <w:sz w:val="20"/>
    </w:rPr>
  </w:style>
  <w:style w:type="character" w:customStyle="1" w:styleId="EndNoteBibliographyTitleChar">
    <w:name w:val="EndNote Bibliography Title Char"/>
    <w:basedOn w:val="DefaultParagraphFont"/>
    <w:link w:val="EndNoteBibliographyTitle"/>
    <w:rsid w:val="004A4BDD"/>
    <w:rPr>
      <w:rFonts w:ascii="NewBaskerville-Roman" w:hAnsi="NewBaskerville-Roman"/>
      <w:noProof/>
      <w:sz w:val="20"/>
    </w:rPr>
  </w:style>
  <w:style w:type="paragraph" w:customStyle="1" w:styleId="EndNoteBibliography">
    <w:name w:val="EndNote Bibliography"/>
    <w:basedOn w:val="Normal"/>
    <w:link w:val="EndNoteBibliographyChar"/>
    <w:rsid w:val="004A4BDD"/>
    <w:pPr>
      <w:spacing w:line="240" w:lineRule="auto"/>
    </w:pPr>
    <w:rPr>
      <w:rFonts w:ascii="NewBaskerville-Roman" w:hAnsi="NewBaskerville-Roman"/>
      <w:noProof/>
      <w:sz w:val="20"/>
    </w:rPr>
  </w:style>
  <w:style w:type="character" w:customStyle="1" w:styleId="EndNoteBibliographyChar">
    <w:name w:val="EndNote Bibliography Char"/>
    <w:basedOn w:val="DefaultParagraphFont"/>
    <w:link w:val="EndNoteBibliography"/>
    <w:rsid w:val="004A4BDD"/>
    <w:rPr>
      <w:rFonts w:ascii="NewBaskerville-Roman" w:hAnsi="NewBaskerville-Roman"/>
      <w:noProof/>
      <w:sz w:val="20"/>
    </w:rPr>
  </w:style>
  <w:style w:type="character" w:styleId="Hyperlink">
    <w:name w:val="Hyperlink"/>
    <w:basedOn w:val="DefaultParagraphFont"/>
    <w:uiPriority w:val="99"/>
    <w:unhideWhenUsed/>
    <w:rsid w:val="004A4BDD"/>
    <w:rPr>
      <w:color w:val="0563C1" w:themeColor="hyperlink"/>
      <w:u w:val="single"/>
    </w:rPr>
  </w:style>
  <w:style w:type="table" w:styleId="TableGrid">
    <w:name w:val="Table Grid"/>
    <w:basedOn w:val="TableNormal"/>
    <w:uiPriority w:val="39"/>
    <w:rsid w:val="004A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BDD"/>
    <w:rPr>
      <w:sz w:val="16"/>
      <w:szCs w:val="16"/>
    </w:rPr>
  </w:style>
  <w:style w:type="paragraph" w:styleId="CommentText">
    <w:name w:val="annotation text"/>
    <w:basedOn w:val="Normal"/>
    <w:link w:val="CommentTextChar"/>
    <w:uiPriority w:val="99"/>
    <w:unhideWhenUsed/>
    <w:rsid w:val="004A4BDD"/>
    <w:pPr>
      <w:spacing w:line="240" w:lineRule="auto"/>
    </w:pPr>
    <w:rPr>
      <w:sz w:val="20"/>
      <w:szCs w:val="20"/>
    </w:rPr>
  </w:style>
  <w:style w:type="character" w:customStyle="1" w:styleId="CommentTextChar">
    <w:name w:val="Comment Text Char"/>
    <w:basedOn w:val="DefaultParagraphFont"/>
    <w:link w:val="CommentText"/>
    <w:uiPriority w:val="99"/>
    <w:rsid w:val="004A4BDD"/>
    <w:rPr>
      <w:sz w:val="20"/>
      <w:szCs w:val="20"/>
    </w:rPr>
  </w:style>
  <w:style w:type="paragraph" w:styleId="CommentSubject">
    <w:name w:val="annotation subject"/>
    <w:basedOn w:val="CommentText"/>
    <w:next w:val="CommentText"/>
    <w:link w:val="CommentSubjectChar"/>
    <w:uiPriority w:val="99"/>
    <w:semiHidden/>
    <w:unhideWhenUsed/>
    <w:rsid w:val="004A4BDD"/>
    <w:rPr>
      <w:b/>
      <w:bCs/>
    </w:rPr>
  </w:style>
  <w:style w:type="character" w:customStyle="1" w:styleId="CommentSubjectChar">
    <w:name w:val="Comment Subject Char"/>
    <w:basedOn w:val="CommentTextChar"/>
    <w:link w:val="CommentSubject"/>
    <w:uiPriority w:val="99"/>
    <w:semiHidden/>
    <w:rsid w:val="004A4BDD"/>
    <w:rPr>
      <w:b/>
      <w:bCs/>
      <w:sz w:val="20"/>
      <w:szCs w:val="20"/>
    </w:rPr>
  </w:style>
  <w:style w:type="paragraph" w:styleId="BalloonText">
    <w:name w:val="Balloon Text"/>
    <w:basedOn w:val="Normal"/>
    <w:link w:val="BalloonTextChar"/>
    <w:uiPriority w:val="99"/>
    <w:semiHidden/>
    <w:unhideWhenUsed/>
    <w:rsid w:val="004A4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DD"/>
    <w:rPr>
      <w:rFonts w:ascii="Segoe UI" w:hAnsi="Segoe UI" w:cs="Segoe UI"/>
      <w:sz w:val="18"/>
      <w:szCs w:val="18"/>
    </w:rPr>
  </w:style>
  <w:style w:type="paragraph" w:styleId="Revision">
    <w:name w:val="Revision"/>
    <w:hidden/>
    <w:uiPriority w:val="99"/>
    <w:semiHidden/>
    <w:rsid w:val="004A4BDD"/>
    <w:pPr>
      <w:spacing w:after="0" w:line="240" w:lineRule="auto"/>
    </w:pPr>
  </w:style>
  <w:style w:type="paragraph" w:styleId="Footer">
    <w:name w:val="footer"/>
    <w:basedOn w:val="Normal"/>
    <w:link w:val="FooterChar"/>
    <w:uiPriority w:val="99"/>
    <w:unhideWhenUsed/>
    <w:rsid w:val="004A4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BDD"/>
  </w:style>
  <w:style w:type="character" w:styleId="PageNumber">
    <w:name w:val="page number"/>
    <w:basedOn w:val="DefaultParagraphFont"/>
    <w:uiPriority w:val="99"/>
    <w:semiHidden/>
    <w:unhideWhenUsed/>
    <w:rsid w:val="004A4BDD"/>
  </w:style>
  <w:style w:type="paragraph" w:styleId="Header">
    <w:name w:val="header"/>
    <w:basedOn w:val="Normal"/>
    <w:link w:val="HeaderChar"/>
    <w:uiPriority w:val="99"/>
    <w:unhideWhenUsed/>
    <w:rsid w:val="004A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BDD"/>
  </w:style>
  <w:style w:type="paragraph" w:styleId="ListParagraph">
    <w:name w:val="List Paragraph"/>
    <w:basedOn w:val="Normal"/>
    <w:uiPriority w:val="34"/>
    <w:qFormat/>
    <w:rsid w:val="004A4BDD"/>
    <w:pPr>
      <w:ind w:left="720"/>
      <w:contextualSpacing/>
    </w:pPr>
  </w:style>
  <w:style w:type="table" w:customStyle="1" w:styleId="GridTable1Light1">
    <w:name w:val="Grid Table 1 Light1"/>
    <w:basedOn w:val="TableNormal"/>
    <w:uiPriority w:val="46"/>
    <w:rsid w:val="004A4BDD"/>
    <w:pPr>
      <w:spacing w:after="0" w:line="240" w:lineRule="auto"/>
    </w:pPr>
    <w:rPr>
      <w:rFonts w:ascii="Calibri" w:hAnsi="Calibri"/>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zohaibkhan@kmu.edu.pk" TargetMode="External"/><Relationship Id="rId13" Type="http://schemas.openxmlformats.org/officeDocument/2006/relationships/hyperlink" Target="mailto:Linda.Bauld@ed.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fayaz1980@gmail.com" TargetMode="External"/><Relationship Id="rId12" Type="http://schemas.openxmlformats.org/officeDocument/2006/relationships/hyperlink" Target="mailto:dreger@leibniz-bips.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boeckmann@uni-bielefeld.de" TargetMode="External"/><Relationship Id="rId5" Type="http://schemas.openxmlformats.org/officeDocument/2006/relationships/footnotes" Target="footnotes.xml"/><Relationship Id="rId15" Type="http://schemas.openxmlformats.org/officeDocument/2006/relationships/hyperlink" Target="mailto:Sarah.Forberger@leibniz-bips.de" TargetMode="External"/><Relationship Id="rId10" Type="http://schemas.openxmlformats.org/officeDocument/2006/relationships/hyperlink" Target="mailto:drnasim@ms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mran.siddiqi@york.ac.uk" TargetMode="External"/><Relationship Id="rId14" Type="http://schemas.openxmlformats.org/officeDocument/2006/relationships/hyperlink" Target="mailto:zeeb@leibniz-bip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Fayaz Ahmad</dc:creator>
  <cp:keywords/>
  <dc:description/>
  <cp:lastModifiedBy>Dr Fayaz Ahmad</cp:lastModifiedBy>
  <cp:revision>7</cp:revision>
  <dcterms:created xsi:type="dcterms:W3CDTF">2020-07-22T08:03:00Z</dcterms:created>
  <dcterms:modified xsi:type="dcterms:W3CDTF">2020-07-27T11:11:00Z</dcterms:modified>
</cp:coreProperties>
</file>