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881AD" w14:textId="338F5CD0" w:rsidR="002F136F" w:rsidRPr="00AF5030" w:rsidRDefault="00F73202">
      <w:pPr>
        <w:rPr>
          <w:rFonts w:asciiTheme="minorHAnsi" w:hAnsiTheme="minorHAnsi" w:cs="Calibri"/>
          <w:b/>
          <w:bCs/>
          <w:color w:val="000000"/>
          <w:szCs w:val="24"/>
          <w:shd w:val="clear" w:color="auto" w:fill="FFFFFF"/>
        </w:rPr>
      </w:pPr>
      <w:r w:rsidRPr="00AF5030">
        <w:rPr>
          <w:rFonts w:asciiTheme="minorHAnsi" w:hAnsiTheme="minorHAnsi" w:cs="Calibri"/>
          <w:b/>
          <w:bCs/>
          <w:color w:val="000000"/>
          <w:szCs w:val="24"/>
          <w:shd w:val="clear" w:color="auto" w:fill="FFFFFF"/>
        </w:rPr>
        <w:t>CHILD POVERTY: EUROPE VERSUS THE U.S.</w:t>
      </w:r>
    </w:p>
    <w:p w14:paraId="1DE85980" w14:textId="75BE5758" w:rsidR="00F73202" w:rsidRPr="00AF5030" w:rsidRDefault="00F73202">
      <w:pPr>
        <w:rPr>
          <w:rFonts w:asciiTheme="minorHAnsi" w:hAnsiTheme="minorHAnsi" w:cs="Calibri"/>
          <w:b/>
          <w:bCs/>
          <w:color w:val="000000"/>
          <w:szCs w:val="24"/>
          <w:shd w:val="clear" w:color="auto" w:fill="FFFFFF"/>
        </w:rPr>
      </w:pPr>
    </w:p>
    <w:p w14:paraId="2229AEA0" w14:textId="0EF746CA" w:rsidR="00F73202" w:rsidRPr="00AF5030" w:rsidRDefault="00F73202">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Jonathan Bradshaw</w:t>
      </w:r>
      <w:r w:rsidRPr="00AF5030">
        <w:rPr>
          <w:rStyle w:val="FootnoteReference"/>
          <w:rFonts w:asciiTheme="minorHAnsi" w:hAnsiTheme="minorHAnsi" w:cs="Calibri"/>
          <w:color w:val="000000"/>
          <w:szCs w:val="24"/>
          <w:shd w:val="clear" w:color="auto" w:fill="FFFFFF"/>
        </w:rPr>
        <w:footnoteReference w:id="1"/>
      </w:r>
    </w:p>
    <w:p w14:paraId="3F636A15" w14:textId="530EC658" w:rsidR="00F73202" w:rsidRPr="00AF5030" w:rsidRDefault="00F73202">
      <w:pPr>
        <w:rPr>
          <w:rFonts w:asciiTheme="minorHAnsi" w:hAnsiTheme="minorHAnsi" w:cs="Calibri"/>
          <w:color w:val="000000"/>
          <w:szCs w:val="24"/>
          <w:shd w:val="clear" w:color="auto" w:fill="FFFFFF"/>
        </w:rPr>
      </w:pPr>
    </w:p>
    <w:p w14:paraId="78DBFCE6" w14:textId="056E5794" w:rsidR="00F73202" w:rsidRPr="00AF5030" w:rsidRDefault="00F73202">
      <w:pPr>
        <w:rPr>
          <w:rFonts w:asciiTheme="minorHAnsi" w:hAnsiTheme="minorHAnsi" w:cs="Calibri"/>
          <w:b/>
          <w:bCs/>
          <w:color w:val="000000"/>
          <w:szCs w:val="24"/>
          <w:shd w:val="clear" w:color="auto" w:fill="FFFFFF"/>
        </w:rPr>
      </w:pPr>
      <w:r w:rsidRPr="00AF5030">
        <w:rPr>
          <w:rFonts w:asciiTheme="minorHAnsi" w:hAnsiTheme="minorHAnsi" w:cs="Calibri"/>
          <w:b/>
          <w:bCs/>
          <w:color w:val="000000"/>
          <w:szCs w:val="24"/>
          <w:shd w:val="clear" w:color="auto" w:fill="FFFFFF"/>
        </w:rPr>
        <w:t>INTRODUCTION</w:t>
      </w:r>
    </w:p>
    <w:p w14:paraId="75227917" w14:textId="468C6DA0" w:rsidR="00F73202" w:rsidRPr="00AF5030" w:rsidRDefault="00F73202">
      <w:pPr>
        <w:rPr>
          <w:rFonts w:asciiTheme="minorHAnsi" w:hAnsiTheme="minorHAnsi" w:cs="Calibri"/>
          <w:color w:val="000000"/>
          <w:szCs w:val="24"/>
          <w:shd w:val="clear" w:color="auto" w:fill="FFFFFF"/>
        </w:rPr>
      </w:pPr>
    </w:p>
    <w:p w14:paraId="14568026" w14:textId="7F21A3D4" w:rsidR="00F73202" w:rsidRPr="00AF5030" w:rsidRDefault="00F73202">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 xml:space="preserve">Children who live in families in poverty have much diminished lives. They tend to suffer  </w:t>
      </w:r>
      <w:r w:rsidR="00AD6C06" w:rsidRPr="00AF5030">
        <w:rPr>
          <w:rFonts w:asciiTheme="minorHAnsi" w:hAnsiTheme="minorHAnsi" w:cs="Calibri"/>
          <w:color w:val="000000"/>
          <w:szCs w:val="24"/>
          <w:shd w:val="clear" w:color="auto" w:fill="FFFFFF"/>
        </w:rPr>
        <w:t xml:space="preserve">from </w:t>
      </w:r>
      <w:r w:rsidRPr="00AF5030">
        <w:rPr>
          <w:rFonts w:asciiTheme="minorHAnsi" w:hAnsiTheme="minorHAnsi" w:cs="Calibri"/>
          <w:color w:val="000000"/>
          <w:szCs w:val="24"/>
          <w:shd w:val="clear" w:color="auto" w:fill="FFFFFF"/>
        </w:rPr>
        <w:t xml:space="preserve">worse diets, poorer </w:t>
      </w:r>
      <w:r w:rsidR="00AD6C06" w:rsidRPr="00AF5030">
        <w:rPr>
          <w:rFonts w:asciiTheme="minorHAnsi" w:hAnsiTheme="minorHAnsi" w:cs="Calibri"/>
          <w:color w:val="000000"/>
          <w:szCs w:val="24"/>
          <w:shd w:val="clear" w:color="auto" w:fill="FFFFFF"/>
        </w:rPr>
        <w:t xml:space="preserve">physical and mental </w:t>
      </w:r>
      <w:r w:rsidRPr="00AF5030">
        <w:rPr>
          <w:rFonts w:asciiTheme="minorHAnsi" w:hAnsiTheme="minorHAnsi" w:cs="Calibri"/>
          <w:color w:val="000000"/>
          <w:szCs w:val="24"/>
          <w:shd w:val="clear" w:color="auto" w:fill="FFFFFF"/>
        </w:rPr>
        <w:t>health, worse quality housing with more overcrowding, poorer neighbourhoods with more po</w:t>
      </w:r>
      <w:r w:rsidR="00AD6C06" w:rsidRPr="00AF5030">
        <w:rPr>
          <w:rFonts w:asciiTheme="minorHAnsi" w:hAnsiTheme="minorHAnsi" w:cs="Calibri"/>
          <w:color w:val="000000"/>
          <w:szCs w:val="24"/>
          <w:shd w:val="clear" w:color="auto" w:fill="FFFFFF"/>
        </w:rPr>
        <w:t>l</w:t>
      </w:r>
      <w:r w:rsidRPr="00AF5030">
        <w:rPr>
          <w:rFonts w:asciiTheme="minorHAnsi" w:hAnsiTheme="minorHAnsi" w:cs="Calibri"/>
          <w:color w:val="000000"/>
          <w:szCs w:val="24"/>
          <w:shd w:val="clear" w:color="auto" w:fill="FFFFFF"/>
        </w:rPr>
        <w:t>lution</w:t>
      </w:r>
      <w:r w:rsidR="00AD6C06" w:rsidRPr="00AF5030">
        <w:rPr>
          <w:rFonts w:asciiTheme="minorHAnsi" w:hAnsiTheme="minorHAnsi" w:cs="Calibri"/>
          <w:color w:val="000000"/>
          <w:szCs w:val="24"/>
          <w:shd w:val="clear" w:color="auto" w:fill="FFFFFF"/>
        </w:rPr>
        <w:t xml:space="preserve">. They do less well at school and are more likely to be bullied and excluded and not surprisingly they have lowers subjective well-being (they are less happy). These experiences in childhood have knock on effects in adulthood – they are less likely to work, to get a decent job. They tend to partner earlier, have children earlier, suffer family breakdown more. They die earlier. The costs of child poverty are breath-taking </w:t>
      </w:r>
      <w:r w:rsidR="009910E5">
        <w:rPr>
          <w:rFonts w:asciiTheme="minorHAnsi" w:hAnsiTheme="minorHAnsi" w:cs="Calibri"/>
          <w:color w:val="000000"/>
          <w:szCs w:val="24"/>
          <w:shd w:val="clear" w:color="auto" w:fill="FFFFFF"/>
        </w:rPr>
        <w:t>for</w:t>
      </w:r>
      <w:r w:rsidR="00AD6C06" w:rsidRPr="00AF5030">
        <w:rPr>
          <w:rFonts w:asciiTheme="minorHAnsi" w:hAnsiTheme="minorHAnsi" w:cs="Calibri"/>
          <w:color w:val="000000"/>
          <w:szCs w:val="24"/>
          <w:shd w:val="clear" w:color="auto" w:fill="FFFFFF"/>
        </w:rPr>
        <w:t xml:space="preserve"> the individual, the state and society.</w:t>
      </w:r>
      <w:r w:rsidR="00AF5030">
        <w:rPr>
          <w:rStyle w:val="FootnoteReference"/>
          <w:rFonts w:asciiTheme="minorHAnsi" w:hAnsiTheme="minorHAnsi" w:cs="Calibri"/>
          <w:color w:val="000000"/>
          <w:szCs w:val="24"/>
          <w:shd w:val="clear" w:color="auto" w:fill="FFFFFF"/>
        </w:rPr>
        <w:footnoteReference w:id="2"/>
      </w:r>
    </w:p>
    <w:p w14:paraId="58789B26" w14:textId="25E4DDDE" w:rsidR="00AD6C06" w:rsidRPr="00AF5030" w:rsidRDefault="00AD6C06">
      <w:pPr>
        <w:rPr>
          <w:rFonts w:asciiTheme="minorHAnsi" w:hAnsiTheme="minorHAnsi" w:cs="Calibri"/>
          <w:color w:val="000000"/>
          <w:szCs w:val="24"/>
          <w:shd w:val="clear" w:color="auto" w:fill="FFFFFF"/>
        </w:rPr>
      </w:pPr>
    </w:p>
    <w:p w14:paraId="0606A8AF" w14:textId="647BF4E6" w:rsidR="003C579B" w:rsidRPr="00AF5030" w:rsidRDefault="008E7D91">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 xml:space="preserve">There is much debate about the causes of child poverty. </w:t>
      </w:r>
      <w:r w:rsidR="00101900" w:rsidRPr="00AF5030">
        <w:rPr>
          <w:rFonts w:asciiTheme="minorHAnsi" w:hAnsiTheme="minorHAnsi" w:cs="Calibri"/>
          <w:color w:val="000000"/>
          <w:szCs w:val="24"/>
          <w:shd w:val="clear" w:color="auto" w:fill="FFFFFF"/>
        </w:rPr>
        <w:t xml:space="preserve">Broadly this is a debate about </w:t>
      </w:r>
      <w:r w:rsidRPr="00AF5030">
        <w:rPr>
          <w:rFonts w:asciiTheme="minorHAnsi" w:hAnsiTheme="minorHAnsi" w:cs="Calibri"/>
          <w:color w:val="000000"/>
          <w:szCs w:val="24"/>
          <w:shd w:val="clear" w:color="auto" w:fill="FFFFFF"/>
        </w:rPr>
        <w:t>the respective contributions of</w:t>
      </w:r>
      <w:r w:rsidR="00101900" w:rsidRPr="00AF5030">
        <w:rPr>
          <w:rFonts w:asciiTheme="minorHAnsi" w:hAnsiTheme="minorHAnsi" w:cs="Calibri"/>
          <w:color w:val="000000"/>
          <w:szCs w:val="24"/>
          <w:shd w:val="clear" w:color="auto" w:fill="FFFFFF"/>
        </w:rPr>
        <w:t xml:space="preserve"> individual behaviour and social structure. </w:t>
      </w:r>
      <w:r w:rsidRPr="00AF5030">
        <w:rPr>
          <w:rFonts w:asciiTheme="minorHAnsi" w:hAnsiTheme="minorHAnsi" w:cs="Calibri"/>
          <w:color w:val="000000"/>
          <w:szCs w:val="24"/>
          <w:shd w:val="clear" w:color="auto" w:fill="FFFFFF"/>
        </w:rPr>
        <w:t xml:space="preserve"> </w:t>
      </w:r>
      <w:r w:rsidR="00101900" w:rsidRPr="00AF5030">
        <w:rPr>
          <w:rFonts w:asciiTheme="minorHAnsi" w:hAnsiTheme="minorHAnsi" w:cs="Calibri"/>
          <w:color w:val="000000"/>
          <w:szCs w:val="24"/>
          <w:shd w:val="clear" w:color="auto" w:fill="FFFFFF"/>
        </w:rPr>
        <w:t xml:space="preserve">Behaviour is of course important. Adults have children and particularly if they have more than they can afford or are or become lone parents their behaviour is likely to have generated poverty. </w:t>
      </w:r>
      <w:r w:rsidR="003C579B" w:rsidRPr="00AF5030">
        <w:rPr>
          <w:rFonts w:asciiTheme="minorHAnsi" w:hAnsiTheme="minorHAnsi" w:cs="Calibri"/>
          <w:color w:val="000000"/>
          <w:szCs w:val="24"/>
          <w:shd w:val="clear" w:color="auto" w:fill="FFFFFF"/>
        </w:rPr>
        <w:t>But this is not inevitable. As we shall see different nations vary in the proportion of their children that are poor and that variation is not completely related to their general wealth. It depends on the structure of their economy and society and particularly  the efforts the</w:t>
      </w:r>
      <w:r w:rsidR="006E2918" w:rsidRPr="00AF5030">
        <w:rPr>
          <w:rFonts w:asciiTheme="minorHAnsi" w:hAnsiTheme="minorHAnsi" w:cs="Calibri"/>
          <w:color w:val="000000"/>
          <w:szCs w:val="24"/>
          <w:shd w:val="clear" w:color="auto" w:fill="FFFFFF"/>
        </w:rPr>
        <w:t xml:space="preserve">ir governments </w:t>
      </w:r>
      <w:r w:rsidR="003C579B" w:rsidRPr="00AF5030">
        <w:rPr>
          <w:rFonts w:asciiTheme="minorHAnsi" w:hAnsiTheme="minorHAnsi" w:cs="Calibri"/>
          <w:color w:val="000000"/>
          <w:szCs w:val="24"/>
          <w:shd w:val="clear" w:color="auto" w:fill="FFFFFF"/>
        </w:rPr>
        <w:t xml:space="preserve"> make to reduce child poverty directly by policies.</w:t>
      </w:r>
      <w:r w:rsidR="006E2918" w:rsidRPr="00AF5030">
        <w:rPr>
          <w:rFonts w:asciiTheme="minorHAnsi" w:hAnsiTheme="minorHAnsi" w:cs="Calibri"/>
          <w:color w:val="000000"/>
          <w:szCs w:val="24"/>
          <w:shd w:val="clear" w:color="auto" w:fill="FFFFFF"/>
        </w:rPr>
        <w:t xml:space="preserve"> No doubt these efforts are influenced by “ideologies of welfare” that determine what balance of re</w:t>
      </w:r>
      <w:r w:rsidR="009910E5">
        <w:rPr>
          <w:rFonts w:asciiTheme="minorHAnsi" w:hAnsiTheme="minorHAnsi" w:cs="Calibri"/>
          <w:color w:val="000000"/>
          <w:szCs w:val="24"/>
          <w:shd w:val="clear" w:color="auto" w:fill="FFFFFF"/>
        </w:rPr>
        <w:t>s</w:t>
      </w:r>
      <w:r w:rsidR="006E2918" w:rsidRPr="00AF5030">
        <w:rPr>
          <w:rFonts w:asciiTheme="minorHAnsi" w:hAnsiTheme="minorHAnsi" w:cs="Calibri"/>
          <w:color w:val="000000"/>
          <w:szCs w:val="24"/>
          <w:shd w:val="clear" w:color="auto" w:fill="FFFFFF"/>
        </w:rPr>
        <w:t xml:space="preserve">ponsibility for tackling child poverty </w:t>
      </w:r>
      <w:r w:rsidR="006E2918" w:rsidRPr="00AF5030">
        <w:rPr>
          <w:rFonts w:asciiTheme="minorHAnsi" w:eastAsiaTheme="minorEastAsia" w:hAnsiTheme="minorHAnsi"/>
          <w:color w:val="000000" w:themeColor="text1"/>
          <w:kern w:val="24"/>
          <w:szCs w:val="24"/>
        </w:rPr>
        <w:t xml:space="preserve">between the family, the market and the state. </w:t>
      </w:r>
    </w:p>
    <w:p w14:paraId="39D425BA" w14:textId="77777777" w:rsidR="003C579B" w:rsidRPr="00AF5030" w:rsidRDefault="003C579B">
      <w:pPr>
        <w:rPr>
          <w:rFonts w:asciiTheme="minorHAnsi" w:hAnsiTheme="minorHAnsi" w:cs="Calibri"/>
          <w:color w:val="000000"/>
          <w:szCs w:val="24"/>
          <w:shd w:val="clear" w:color="auto" w:fill="FFFFFF"/>
        </w:rPr>
      </w:pPr>
    </w:p>
    <w:p w14:paraId="7C854EF6" w14:textId="0C8A48D1" w:rsidR="006E2918" w:rsidRPr="00AF5030" w:rsidRDefault="003C579B" w:rsidP="006E2918">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Regardless of the balance between the behavioural and structural causes of poverty</w:t>
      </w:r>
      <w:r w:rsidR="00F344CA" w:rsidRPr="00AF5030">
        <w:rPr>
          <w:rFonts w:asciiTheme="minorHAnsi" w:hAnsiTheme="minorHAnsi" w:cs="Calibri"/>
          <w:color w:val="000000"/>
          <w:szCs w:val="24"/>
          <w:shd w:val="clear" w:color="auto" w:fill="FFFFFF"/>
        </w:rPr>
        <w:t>,</w:t>
      </w:r>
      <w:r w:rsidR="00222BDA" w:rsidRPr="00AF5030">
        <w:rPr>
          <w:rFonts w:asciiTheme="minorHAnsi" w:hAnsiTheme="minorHAnsi" w:cs="Calibri"/>
          <w:color w:val="000000"/>
          <w:szCs w:val="24"/>
          <w:shd w:val="clear" w:color="auto" w:fill="FFFFFF"/>
        </w:rPr>
        <w:t xml:space="preserve"> child poverty </w:t>
      </w:r>
      <w:r w:rsidR="009C175B" w:rsidRPr="00AF5030">
        <w:rPr>
          <w:rFonts w:asciiTheme="minorHAnsi" w:hAnsiTheme="minorHAnsi" w:cs="Calibri"/>
          <w:color w:val="000000"/>
          <w:szCs w:val="24"/>
          <w:shd w:val="clear" w:color="auto" w:fill="FFFFFF"/>
        </w:rPr>
        <w:t xml:space="preserve">remains </w:t>
      </w:r>
      <w:r w:rsidR="00222BDA" w:rsidRPr="00AF5030">
        <w:rPr>
          <w:rFonts w:asciiTheme="minorHAnsi" w:hAnsiTheme="minorHAnsi" w:cs="Calibri"/>
          <w:color w:val="000000"/>
          <w:szCs w:val="24"/>
          <w:shd w:val="clear" w:color="auto" w:fill="FFFFFF"/>
        </w:rPr>
        <w:t>a particular injustice</w:t>
      </w:r>
      <w:r w:rsidR="00F344CA" w:rsidRPr="00AF5030">
        <w:rPr>
          <w:rFonts w:asciiTheme="minorHAnsi" w:hAnsiTheme="minorHAnsi" w:cs="Calibri"/>
          <w:color w:val="000000"/>
          <w:szCs w:val="24"/>
          <w:shd w:val="clear" w:color="auto" w:fill="FFFFFF"/>
        </w:rPr>
        <w:t>.</w:t>
      </w:r>
      <w:r w:rsidR="009910E5">
        <w:rPr>
          <w:rStyle w:val="FootnoteReference"/>
          <w:rFonts w:asciiTheme="minorHAnsi" w:hAnsiTheme="minorHAnsi" w:cs="Calibri"/>
          <w:color w:val="000000"/>
          <w:szCs w:val="24"/>
          <w:shd w:val="clear" w:color="auto" w:fill="FFFFFF"/>
        </w:rPr>
        <w:footnoteReference w:id="3"/>
      </w:r>
      <w:r w:rsidR="00F344CA" w:rsidRPr="00AF5030">
        <w:rPr>
          <w:rFonts w:asciiTheme="minorHAnsi" w:hAnsiTheme="minorHAnsi" w:cs="Calibri"/>
          <w:color w:val="000000"/>
          <w:szCs w:val="24"/>
          <w:shd w:val="clear" w:color="auto" w:fill="FFFFFF"/>
        </w:rPr>
        <w:t xml:space="preserve"> Children don’t have a choice about their poverty. They are blinded to their prospects</w:t>
      </w:r>
      <w:r w:rsidR="006E2918" w:rsidRPr="00AF5030">
        <w:rPr>
          <w:rFonts w:asciiTheme="minorHAnsi" w:hAnsiTheme="minorHAnsi" w:cs="Calibri"/>
          <w:color w:val="000000"/>
          <w:szCs w:val="24"/>
          <w:shd w:val="clear" w:color="auto" w:fill="FFFFFF"/>
        </w:rPr>
        <w:t xml:space="preserve">. </w:t>
      </w:r>
      <w:r w:rsidR="00222BDA" w:rsidRPr="00AF5030">
        <w:rPr>
          <w:rFonts w:asciiTheme="minorHAnsi" w:hAnsiTheme="minorHAnsi" w:cs="Calibri"/>
          <w:color w:val="000000"/>
          <w:szCs w:val="24"/>
          <w:shd w:val="clear" w:color="auto" w:fill="FFFFFF"/>
        </w:rPr>
        <w:t xml:space="preserve"> </w:t>
      </w:r>
      <w:r w:rsidR="006E2918" w:rsidRPr="00AF5030">
        <w:rPr>
          <w:rFonts w:asciiTheme="minorHAnsi" w:hAnsiTheme="minorHAnsi" w:cs="Calibri"/>
          <w:color w:val="000000"/>
          <w:szCs w:val="24"/>
          <w:shd w:val="clear" w:color="auto" w:fill="FFFFFF"/>
        </w:rPr>
        <w:t>They lack</w:t>
      </w:r>
      <w:r w:rsidR="00222BDA" w:rsidRPr="00AF5030">
        <w:rPr>
          <w:rFonts w:asciiTheme="minorHAnsi" w:hAnsiTheme="minorHAnsi" w:cs="Calibri"/>
          <w:color w:val="000000"/>
          <w:szCs w:val="24"/>
          <w:shd w:val="clear" w:color="auto" w:fill="FFFFFF"/>
        </w:rPr>
        <w:t xml:space="preserve"> the understanding to realise their circumstances, at least in early childhood, and even later they are not well placed to do anything about their injustice. They are innocent, even if they do not entirely lack agency. They cannot choose their parents, family, community or country. It might have been expected from this that they would be the particular focus of discussions of social justice</w:t>
      </w:r>
      <w:r w:rsidR="006E2918" w:rsidRPr="00AF5030">
        <w:rPr>
          <w:rFonts w:asciiTheme="minorHAnsi" w:hAnsiTheme="minorHAnsi" w:cs="Calibri"/>
          <w:color w:val="000000"/>
          <w:szCs w:val="24"/>
          <w:shd w:val="clear" w:color="auto" w:fill="FFFFFF"/>
        </w:rPr>
        <w:t xml:space="preserve"> but as Gordon</w:t>
      </w:r>
      <w:r w:rsidR="009910E5">
        <w:rPr>
          <w:rStyle w:val="FootnoteReference"/>
          <w:rFonts w:asciiTheme="minorHAnsi" w:hAnsiTheme="minorHAnsi" w:cs="Calibri"/>
          <w:color w:val="000000"/>
          <w:szCs w:val="24"/>
          <w:shd w:val="clear" w:color="auto" w:fill="FFFFFF"/>
        </w:rPr>
        <w:footnoteReference w:id="4"/>
      </w:r>
      <w:r w:rsidR="009910E5">
        <w:rPr>
          <w:rFonts w:asciiTheme="minorHAnsi" w:hAnsiTheme="minorHAnsi" w:cs="Calibri"/>
          <w:color w:val="000000"/>
          <w:szCs w:val="24"/>
          <w:shd w:val="clear" w:color="auto" w:fill="FFFFFF"/>
        </w:rPr>
        <w:t xml:space="preserve"> </w:t>
      </w:r>
      <w:r w:rsidR="006E2918" w:rsidRPr="00AF5030">
        <w:rPr>
          <w:rFonts w:asciiTheme="minorHAnsi" w:hAnsiTheme="minorHAnsi" w:cs="Calibri"/>
          <w:color w:val="000000"/>
          <w:szCs w:val="24"/>
          <w:shd w:val="clear" w:color="auto" w:fill="FFFFFF"/>
        </w:rPr>
        <w:t xml:space="preserve"> has argued</w:t>
      </w:r>
    </w:p>
    <w:p w14:paraId="5820580D" w14:textId="562870E2" w:rsidR="00AD6C06" w:rsidRPr="00AF5030" w:rsidRDefault="006E2918" w:rsidP="006E2918">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lastRenderedPageBreak/>
        <w:t>“A space alien visiting earth and reading the economic theory and political philosophy literature on distributional justice for children would be unlikely to discern that children are citizens with human rights that are independent and coequal with adults with whom they live. The space alien might also conclude that these academic authors had never seen children were unlikely to have children of their own, or at least if they did have children they were completely unconcerned with the distributional justice or the economic goods their children received”.</w:t>
      </w:r>
    </w:p>
    <w:p w14:paraId="687F8024" w14:textId="7F06E71B" w:rsidR="006E2918" w:rsidRPr="00AF5030" w:rsidRDefault="006E2918" w:rsidP="006E2918">
      <w:pPr>
        <w:rPr>
          <w:rFonts w:asciiTheme="minorHAnsi" w:hAnsiTheme="minorHAnsi" w:cs="Calibri"/>
          <w:color w:val="000000"/>
          <w:szCs w:val="24"/>
          <w:shd w:val="clear" w:color="auto" w:fill="FFFFFF"/>
        </w:rPr>
      </w:pPr>
    </w:p>
    <w:p w14:paraId="46DCE674" w14:textId="55D943D4" w:rsidR="00D335B6" w:rsidRPr="009910E5" w:rsidRDefault="00D335B6" w:rsidP="006E2918">
      <w:pPr>
        <w:rPr>
          <w:rFonts w:asciiTheme="minorHAnsi" w:hAnsiTheme="minorHAnsi" w:cs="Calibri"/>
          <w:b/>
          <w:bCs/>
          <w:color w:val="000000"/>
          <w:szCs w:val="24"/>
          <w:shd w:val="clear" w:color="auto" w:fill="FFFFFF"/>
        </w:rPr>
      </w:pPr>
      <w:r w:rsidRPr="009910E5">
        <w:rPr>
          <w:rFonts w:asciiTheme="minorHAnsi" w:hAnsiTheme="minorHAnsi" w:cs="Calibri"/>
          <w:b/>
          <w:bCs/>
          <w:color w:val="000000"/>
          <w:szCs w:val="24"/>
          <w:shd w:val="clear" w:color="auto" w:fill="FFFFFF"/>
        </w:rPr>
        <w:t>ANALYSIS</w:t>
      </w:r>
    </w:p>
    <w:p w14:paraId="7180E287" w14:textId="77777777" w:rsidR="00D335B6" w:rsidRPr="00AF5030" w:rsidRDefault="00D335B6" w:rsidP="006E2918">
      <w:pPr>
        <w:rPr>
          <w:rFonts w:asciiTheme="minorHAnsi" w:hAnsiTheme="minorHAnsi" w:cs="Calibri"/>
          <w:color w:val="000000"/>
          <w:szCs w:val="24"/>
          <w:shd w:val="clear" w:color="auto" w:fill="FFFFFF"/>
        </w:rPr>
      </w:pPr>
    </w:p>
    <w:p w14:paraId="0C61EF8C" w14:textId="61F37B31" w:rsidR="006E2918" w:rsidRPr="00AF5030" w:rsidRDefault="009C175B" w:rsidP="006E2918">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States assist families in the burdens of child rearing through interventions in the market economy to ensure adequate wages, gender equal pay and managing the economy to maximise employment. They also provide free or subsidised services  - education, care, health, housing, and sometimes commodities like water, energy or food subsidies. But by far the most important element of state intervention are transfers direct cash and tax benefits that increase the incomes of families with children or reduce their tax liabilities.</w:t>
      </w:r>
      <w:r w:rsidR="009910E5">
        <w:rPr>
          <w:rStyle w:val="FootnoteReference"/>
          <w:rFonts w:asciiTheme="minorHAnsi" w:hAnsiTheme="minorHAnsi" w:cs="Calibri"/>
          <w:color w:val="000000"/>
          <w:szCs w:val="24"/>
          <w:shd w:val="clear" w:color="auto" w:fill="FFFFFF"/>
        </w:rPr>
        <w:footnoteReference w:id="5"/>
      </w:r>
      <w:r w:rsidR="004B5A19" w:rsidRPr="00AF5030">
        <w:rPr>
          <w:rFonts w:asciiTheme="minorHAnsi" w:hAnsiTheme="minorHAnsi" w:cs="Calibri"/>
          <w:color w:val="000000"/>
          <w:szCs w:val="24"/>
          <w:shd w:val="clear" w:color="auto" w:fill="FFFFFF"/>
        </w:rPr>
        <w:t xml:space="preserve"> The Office of Economic and Development (OECD) provides analysis of the varying efforts that rich countries make.</w:t>
      </w:r>
    </w:p>
    <w:p w14:paraId="2F1CF52A" w14:textId="04F61CF6" w:rsidR="00D335B6" w:rsidRPr="00AF5030" w:rsidRDefault="00D335B6" w:rsidP="006E2918">
      <w:pPr>
        <w:rPr>
          <w:rFonts w:asciiTheme="minorHAnsi" w:hAnsiTheme="minorHAnsi" w:cs="Calibri"/>
          <w:color w:val="000000"/>
          <w:szCs w:val="24"/>
          <w:shd w:val="clear" w:color="auto" w:fill="FFFFFF"/>
        </w:rPr>
      </w:pPr>
    </w:p>
    <w:p w14:paraId="70C1AE87" w14:textId="4FA1589E" w:rsidR="00D335B6" w:rsidRPr="00AF5030" w:rsidRDefault="00D335B6" w:rsidP="006E2918">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It can be seen in Figure 1 that the highest spenders all tend to be European countries</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 xml:space="preserve"> while the United States is a comparatively low spender</w:t>
      </w:r>
      <w:r w:rsidR="0026448A">
        <w:rPr>
          <w:rFonts w:asciiTheme="minorHAnsi" w:hAnsiTheme="minorHAnsi" w:cs="Calibri"/>
          <w:color w:val="000000"/>
          <w:szCs w:val="24"/>
          <w:shd w:val="clear" w:color="auto" w:fill="FFFFFF"/>
        </w:rPr>
        <w:t xml:space="preserve"> </w:t>
      </w:r>
      <w:r w:rsidRPr="00AF5030">
        <w:rPr>
          <w:rFonts w:asciiTheme="minorHAnsi" w:hAnsiTheme="minorHAnsi" w:cs="Calibri"/>
          <w:color w:val="000000"/>
          <w:szCs w:val="24"/>
          <w:shd w:val="clear" w:color="auto" w:fill="FFFFFF"/>
        </w:rPr>
        <w:t>-  just ahead of Mexico, Greece and Turkey. The highest spender</w:t>
      </w:r>
      <w:r w:rsidR="0026448A">
        <w:rPr>
          <w:rFonts w:asciiTheme="minorHAnsi" w:hAnsiTheme="minorHAnsi" w:cs="Calibri"/>
          <w:color w:val="000000"/>
          <w:szCs w:val="24"/>
          <w:shd w:val="clear" w:color="auto" w:fill="FFFFFF"/>
        </w:rPr>
        <w:t>s</w:t>
      </w:r>
      <w:r w:rsidRPr="00AF5030">
        <w:rPr>
          <w:rFonts w:asciiTheme="minorHAnsi" w:hAnsiTheme="minorHAnsi" w:cs="Calibri"/>
          <w:color w:val="000000"/>
          <w:szCs w:val="24"/>
          <w:shd w:val="clear" w:color="auto" w:fill="FFFFFF"/>
        </w:rPr>
        <w:t xml:space="preserve"> tend to make more use of cash benefits while the US makes almost no use of cash benefits and relies on services and tax breaks. </w:t>
      </w:r>
      <w:r w:rsidR="00641C9F" w:rsidRPr="00AF5030">
        <w:rPr>
          <w:rFonts w:asciiTheme="minorHAnsi" w:hAnsiTheme="minorHAnsi" w:cs="Calibri"/>
          <w:color w:val="000000"/>
          <w:szCs w:val="24"/>
          <w:shd w:val="clear" w:color="auto" w:fill="FFFFFF"/>
        </w:rPr>
        <w:t>In the last 20 years the US has cut its spending on cash spending from 0.29% of GDP in 1995 to 0.07% in 2015. It increased its spending on services from 0.30 to 0.57% of GDP and on tax breaks from zero to 0.48% of GDP over the same period. The picture for other countries varies</w:t>
      </w:r>
      <w:r w:rsidR="0026448A">
        <w:rPr>
          <w:rFonts w:asciiTheme="minorHAnsi" w:hAnsiTheme="minorHAnsi" w:cs="Calibri"/>
          <w:color w:val="000000"/>
          <w:szCs w:val="24"/>
          <w:shd w:val="clear" w:color="auto" w:fill="FFFFFF"/>
        </w:rPr>
        <w:t>,</w:t>
      </w:r>
      <w:r w:rsidR="00641C9F" w:rsidRPr="00AF5030">
        <w:rPr>
          <w:rFonts w:asciiTheme="minorHAnsi" w:hAnsiTheme="minorHAnsi" w:cs="Calibri"/>
          <w:color w:val="000000"/>
          <w:szCs w:val="24"/>
          <w:shd w:val="clear" w:color="auto" w:fill="FFFFFF"/>
        </w:rPr>
        <w:t xml:space="preserve"> but to take the UK for </w:t>
      </w:r>
      <w:r w:rsidR="0026448A">
        <w:rPr>
          <w:rFonts w:asciiTheme="minorHAnsi" w:hAnsiTheme="minorHAnsi" w:cs="Calibri"/>
          <w:color w:val="000000"/>
          <w:szCs w:val="24"/>
          <w:shd w:val="clear" w:color="auto" w:fill="FFFFFF"/>
        </w:rPr>
        <w:t xml:space="preserve">an </w:t>
      </w:r>
      <w:r w:rsidR="00641C9F" w:rsidRPr="00AF5030">
        <w:rPr>
          <w:rFonts w:asciiTheme="minorHAnsi" w:hAnsiTheme="minorHAnsi" w:cs="Calibri"/>
          <w:color w:val="000000"/>
          <w:szCs w:val="24"/>
          <w:shd w:val="clear" w:color="auto" w:fill="FFFFFF"/>
        </w:rPr>
        <w:t>example it increased cash spending from 1.59% o</w:t>
      </w:r>
      <w:r w:rsidR="0026448A">
        <w:rPr>
          <w:rFonts w:asciiTheme="minorHAnsi" w:hAnsiTheme="minorHAnsi" w:cs="Calibri"/>
          <w:color w:val="000000"/>
          <w:szCs w:val="24"/>
          <w:shd w:val="clear" w:color="auto" w:fill="FFFFFF"/>
        </w:rPr>
        <w:t>f</w:t>
      </w:r>
      <w:r w:rsidR="00641C9F" w:rsidRPr="00AF5030">
        <w:rPr>
          <w:rFonts w:asciiTheme="minorHAnsi" w:hAnsiTheme="minorHAnsi" w:cs="Calibri"/>
          <w:color w:val="000000"/>
          <w:szCs w:val="24"/>
          <w:shd w:val="clear" w:color="auto" w:fill="FFFFFF"/>
        </w:rPr>
        <w:t xml:space="preserve"> GDP </w:t>
      </w:r>
      <w:r w:rsidR="0026448A">
        <w:rPr>
          <w:rFonts w:asciiTheme="minorHAnsi" w:hAnsiTheme="minorHAnsi" w:cs="Calibri"/>
          <w:color w:val="000000"/>
          <w:szCs w:val="24"/>
          <w:shd w:val="clear" w:color="auto" w:fill="FFFFFF"/>
        </w:rPr>
        <w:t>to</w:t>
      </w:r>
      <w:r w:rsidR="00641C9F" w:rsidRPr="00AF5030">
        <w:rPr>
          <w:rFonts w:asciiTheme="minorHAnsi" w:hAnsiTheme="minorHAnsi" w:cs="Calibri"/>
          <w:color w:val="000000"/>
          <w:szCs w:val="24"/>
          <w:shd w:val="clear" w:color="auto" w:fill="FFFFFF"/>
        </w:rPr>
        <w:t xml:space="preserve"> 2.25% o</w:t>
      </w:r>
      <w:r w:rsidR="0026448A">
        <w:rPr>
          <w:rFonts w:asciiTheme="minorHAnsi" w:hAnsiTheme="minorHAnsi" w:cs="Calibri"/>
          <w:color w:val="000000"/>
          <w:szCs w:val="24"/>
          <w:shd w:val="clear" w:color="auto" w:fill="FFFFFF"/>
        </w:rPr>
        <w:t>f</w:t>
      </w:r>
      <w:r w:rsidR="00641C9F" w:rsidRPr="00AF5030">
        <w:rPr>
          <w:rFonts w:asciiTheme="minorHAnsi" w:hAnsiTheme="minorHAnsi" w:cs="Calibri"/>
          <w:color w:val="000000"/>
          <w:szCs w:val="24"/>
          <w:shd w:val="clear" w:color="auto" w:fill="FFFFFF"/>
        </w:rPr>
        <w:t xml:space="preserve"> GDP, services spending from 0.42 to 1.32% and tax spending from zero to 0.13% over the same period.</w:t>
      </w:r>
    </w:p>
    <w:p w14:paraId="50ECBCB8" w14:textId="2510BB88" w:rsidR="004B5A19" w:rsidRPr="00AF5030" w:rsidRDefault="004B5A19" w:rsidP="006E2918">
      <w:pPr>
        <w:rPr>
          <w:rFonts w:asciiTheme="minorHAnsi" w:hAnsiTheme="minorHAnsi" w:cs="Calibri"/>
          <w:color w:val="000000"/>
          <w:szCs w:val="24"/>
          <w:shd w:val="clear" w:color="auto" w:fill="FFFFFF"/>
        </w:rPr>
      </w:pPr>
    </w:p>
    <w:p w14:paraId="0A610B83" w14:textId="77777777" w:rsidR="0026448A" w:rsidRDefault="0026448A">
      <w:pPr>
        <w:spacing w:after="160" w:line="259" w:lineRule="auto"/>
        <w:rPr>
          <w:rFonts w:asciiTheme="minorHAnsi" w:hAnsiTheme="minorHAnsi" w:cs="Calibri"/>
          <w:b/>
          <w:bCs/>
          <w:color w:val="000000"/>
          <w:szCs w:val="24"/>
          <w:shd w:val="clear" w:color="auto" w:fill="FFFFFF"/>
        </w:rPr>
      </w:pPr>
      <w:r>
        <w:rPr>
          <w:rFonts w:asciiTheme="minorHAnsi" w:hAnsiTheme="minorHAnsi" w:cs="Calibri"/>
          <w:b/>
          <w:bCs/>
          <w:color w:val="000000"/>
          <w:szCs w:val="24"/>
          <w:shd w:val="clear" w:color="auto" w:fill="FFFFFF"/>
        </w:rPr>
        <w:br w:type="page"/>
      </w:r>
    </w:p>
    <w:p w14:paraId="0DF71E56" w14:textId="1BE063CA" w:rsidR="004B5A19" w:rsidRPr="00AF5030" w:rsidRDefault="004B5A19" w:rsidP="006E2918">
      <w:pPr>
        <w:rPr>
          <w:rFonts w:asciiTheme="minorHAnsi" w:hAnsiTheme="minorHAnsi" w:cs="Calibri"/>
          <w:b/>
          <w:bCs/>
          <w:color w:val="000000"/>
          <w:szCs w:val="24"/>
          <w:shd w:val="clear" w:color="auto" w:fill="FFFFFF"/>
        </w:rPr>
      </w:pPr>
      <w:r w:rsidRPr="00AF5030">
        <w:rPr>
          <w:rFonts w:asciiTheme="minorHAnsi" w:hAnsiTheme="minorHAnsi" w:cs="Calibri"/>
          <w:b/>
          <w:bCs/>
          <w:color w:val="000000"/>
          <w:szCs w:val="24"/>
          <w:shd w:val="clear" w:color="auto" w:fill="FFFFFF"/>
        </w:rPr>
        <w:lastRenderedPageBreak/>
        <w:t>Figure 1: Public expenditure on family benefits by type of expenditure, in percent of GDP, 2015 and latest available</w:t>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r w:rsidRPr="00AF5030">
        <w:rPr>
          <w:rFonts w:asciiTheme="minorHAnsi" w:hAnsiTheme="minorHAnsi" w:cs="Calibri"/>
          <w:b/>
          <w:bCs/>
          <w:color w:val="000000"/>
          <w:szCs w:val="24"/>
          <w:shd w:val="clear" w:color="auto" w:fill="FFFFFF"/>
        </w:rPr>
        <w:tab/>
      </w:r>
    </w:p>
    <w:p w14:paraId="13BEF241" w14:textId="0F9ED9D0" w:rsidR="004B5A19" w:rsidRPr="00AF5030" w:rsidRDefault="004B5A19" w:rsidP="006E2918">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drawing>
          <wp:inline distT="0" distB="0" distL="0" distR="0" wp14:anchorId="5C16A9C6" wp14:editId="6C7BE705">
            <wp:extent cx="5553937" cy="2566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53937" cy="2566638"/>
                    </a:xfrm>
                    <a:prstGeom prst="rect">
                      <a:avLst/>
                    </a:prstGeom>
                  </pic:spPr>
                </pic:pic>
              </a:graphicData>
            </a:graphic>
          </wp:inline>
        </w:drawing>
      </w:r>
    </w:p>
    <w:p w14:paraId="06994229" w14:textId="4813525B" w:rsidR="00F73202" w:rsidRPr="00AF5030" w:rsidRDefault="004B5A19">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Source: OECD Family database Table PF1.1A</w:t>
      </w:r>
    </w:p>
    <w:p w14:paraId="284B415B" w14:textId="6A1700CB" w:rsidR="00641C9F" w:rsidRPr="00AF5030" w:rsidRDefault="00641C9F">
      <w:pPr>
        <w:rPr>
          <w:rFonts w:asciiTheme="minorHAnsi" w:hAnsiTheme="minorHAnsi" w:cs="Calibri"/>
          <w:color w:val="000000"/>
          <w:szCs w:val="24"/>
          <w:shd w:val="clear" w:color="auto" w:fill="FFFFFF"/>
        </w:rPr>
      </w:pPr>
    </w:p>
    <w:p w14:paraId="0F86698E" w14:textId="239F5B61" w:rsidR="00641C9F" w:rsidRPr="00AF5030" w:rsidRDefault="003D2B0E">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In order to understand the impact of this spending effort on child poverty</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 xml:space="preserve"> we need to relate it to child poverty rates. This is easiest for European Union countries because  Eurostat</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 xml:space="preserve"> the EU statistical service</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 xml:space="preserve"> runs a survey which produces data that enables us to compare child poverty before and after transfers. Before transfers means the level child poverty would be if families only had to rely on their net earnings from the market place. After transfers is the poverty rate that exist after the income form benefits is taken into account. Ideally it would be desirable to separate the impact of cash benefits and tax benefits</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 xml:space="preserve"> and that would be possible if we had access to the raw data</w:t>
      </w:r>
      <w:r w:rsidRPr="00AF5030">
        <w:rPr>
          <w:rStyle w:val="FootnoteReference"/>
          <w:rFonts w:asciiTheme="minorHAnsi" w:hAnsiTheme="minorHAnsi" w:cs="Calibri"/>
          <w:color w:val="000000"/>
          <w:szCs w:val="24"/>
          <w:shd w:val="clear" w:color="auto" w:fill="FFFFFF"/>
        </w:rPr>
        <w:footnoteReference w:id="6"/>
      </w:r>
      <w:r w:rsidR="0026448A">
        <w:rPr>
          <w:rFonts w:asciiTheme="minorHAnsi" w:hAnsiTheme="minorHAnsi" w:cs="Calibri"/>
          <w:color w:val="000000"/>
          <w:szCs w:val="24"/>
          <w:shd w:val="clear" w:color="auto" w:fill="FFFFFF"/>
        </w:rPr>
        <w:t xml:space="preserve">, </w:t>
      </w:r>
      <w:r w:rsidR="005C02C4" w:rsidRPr="00AF5030">
        <w:rPr>
          <w:rFonts w:asciiTheme="minorHAnsi" w:hAnsiTheme="minorHAnsi" w:cs="Calibri"/>
          <w:color w:val="000000"/>
          <w:szCs w:val="24"/>
          <w:shd w:val="clear" w:color="auto" w:fill="FFFFFF"/>
        </w:rPr>
        <w:t>but it is not possible using the published data. Figure 2 shows the child poverty rates for the latest year available before and after tr</w:t>
      </w:r>
      <w:r w:rsidR="001E0A29" w:rsidRPr="00AF5030">
        <w:rPr>
          <w:rFonts w:asciiTheme="minorHAnsi" w:hAnsiTheme="minorHAnsi" w:cs="Calibri"/>
          <w:color w:val="000000"/>
          <w:szCs w:val="24"/>
          <w:shd w:val="clear" w:color="auto" w:fill="FFFFFF"/>
        </w:rPr>
        <w:t>a</w:t>
      </w:r>
      <w:r w:rsidR="005C02C4" w:rsidRPr="00AF5030">
        <w:rPr>
          <w:rFonts w:asciiTheme="minorHAnsi" w:hAnsiTheme="minorHAnsi" w:cs="Calibri"/>
          <w:color w:val="000000"/>
          <w:szCs w:val="24"/>
          <w:shd w:val="clear" w:color="auto" w:fill="FFFFFF"/>
        </w:rPr>
        <w:t>nsfers. The countries are ranked by the % reduction in child poverty achieved by transfers</w:t>
      </w:r>
      <w:r w:rsidR="001E0A29" w:rsidRPr="00AF5030">
        <w:rPr>
          <w:rFonts w:asciiTheme="minorHAnsi" w:hAnsiTheme="minorHAnsi" w:cs="Calibri"/>
          <w:color w:val="000000"/>
          <w:szCs w:val="24"/>
          <w:shd w:val="clear" w:color="auto" w:fill="FFFFFF"/>
        </w:rPr>
        <w:t xml:space="preserve"> (highest on the right)</w:t>
      </w:r>
      <w:r w:rsidR="005C02C4" w:rsidRPr="00AF5030">
        <w:rPr>
          <w:rFonts w:asciiTheme="minorHAnsi" w:hAnsiTheme="minorHAnsi" w:cs="Calibri"/>
          <w:color w:val="000000"/>
          <w:szCs w:val="24"/>
          <w:shd w:val="clear" w:color="auto" w:fill="FFFFFF"/>
        </w:rPr>
        <w:t>.</w:t>
      </w:r>
      <w:r w:rsidR="001E0A29" w:rsidRPr="00AF5030">
        <w:rPr>
          <w:rFonts w:asciiTheme="minorHAnsi" w:hAnsiTheme="minorHAnsi" w:cs="Calibri"/>
          <w:color w:val="000000"/>
          <w:szCs w:val="24"/>
          <w:shd w:val="clear" w:color="auto" w:fill="FFFFFF"/>
        </w:rPr>
        <w:t xml:space="preserve"> The at-risk-of poverty rate is equivalent income before housing costs less than 60% of the national median.</w:t>
      </w:r>
    </w:p>
    <w:p w14:paraId="4B6EE902" w14:textId="78EDBDED" w:rsidR="001E0A29" w:rsidRPr="00AF5030" w:rsidRDefault="001E0A29">
      <w:pPr>
        <w:rPr>
          <w:rFonts w:asciiTheme="minorHAnsi" w:hAnsiTheme="minorHAnsi" w:cs="Calibri"/>
          <w:color w:val="000000"/>
          <w:szCs w:val="24"/>
          <w:shd w:val="clear" w:color="auto" w:fill="FFFFFF"/>
        </w:rPr>
      </w:pPr>
    </w:p>
    <w:p w14:paraId="539C22E2" w14:textId="1E89CD3C" w:rsidR="001E0A29" w:rsidRPr="00AF5030" w:rsidRDefault="001E0A29">
      <w:pPr>
        <w:rPr>
          <w:rFonts w:asciiTheme="minorHAnsi" w:hAnsiTheme="minorHAnsi" w:cs="Calibri"/>
          <w:color w:val="000000"/>
          <w:szCs w:val="24"/>
          <w:shd w:val="clear" w:color="auto" w:fill="FFFFFF"/>
        </w:rPr>
      </w:pPr>
      <w:r w:rsidRPr="00AF5030">
        <w:rPr>
          <w:rFonts w:asciiTheme="minorHAnsi" w:hAnsiTheme="minorHAnsi" w:cs="Calibri"/>
          <w:color w:val="000000"/>
          <w:szCs w:val="24"/>
          <w:shd w:val="clear" w:color="auto" w:fill="FFFFFF"/>
        </w:rPr>
        <w:t>The first thing to note in this Figure is how variable both the pre-transfer and post</w:t>
      </w:r>
      <w:r w:rsidR="0026448A">
        <w:rPr>
          <w:rFonts w:asciiTheme="minorHAnsi" w:hAnsiTheme="minorHAnsi" w:cs="Calibri"/>
          <w:color w:val="000000"/>
          <w:szCs w:val="24"/>
          <w:shd w:val="clear" w:color="auto" w:fill="FFFFFF"/>
        </w:rPr>
        <w:t>-</w:t>
      </w:r>
      <w:r w:rsidRPr="00AF5030">
        <w:rPr>
          <w:rFonts w:asciiTheme="minorHAnsi" w:hAnsiTheme="minorHAnsi" w:cs="Calibri"/>
          <w:color w:val="000000"/>
          <w:szCs w:val="24"/>
          <w:shd w:val="clear" w:color="auto" w:fill="FFFFFF"/>
        </w:rPr>
        <w:t>transfer poverty rates are</w:t>
      </w:r>
      <w:r w:rsidR="00F95F4E" w:rsidRPr="00AF5030">
        <w:rPr>
          <w:rFonts w:asciiTheme="minorHAnsi" w:hAnsiTheme="minorHAnsi" w:cs="Calibri"/>
          <w:color w:val="000000"/>
          <w:szCs w:val="24"/>
          <w:shd w:val="clear" w:color="auto" w:fill="FFFFFF"/>
        </w:rPr>
        <w:t>. The pre-transfer child poverty rate is over 40% in the UK and less than 20% in Czechia. The post</w:t>
      </w:r>
      <w:r w:rsidR="0026448A">
        <w:rPr>
          <w:rFonts w:asciiTheme="minorHAnsi" w:hAnsiTheme="minorHAnsi" w:cs="Calibri"/>
          <w:color w:val="000000"/>
          <w:szCs w:val="24"/>
          <w:shd w:val="clear" w:color="auto" w:fill="FFFFFF"/>
        </w:rPr>
        <w:t>-</w:t>
      </w:r>
      <w:r w:rsidR="00F95F4E" w:rsidRPr="00AF5030">
        <w:rPr>
          <w:rFonts w:asciiTheme="minorHAnsi" w:hAnsiTheme="minorHAnsi" w:cs="Calibri"/>
          <w:color w:val="000000"/>
          <w:szCs w:val="24"/>
          <w:shd w:val="clear" w:color="auto" w:fill="FFFFFF"/>
        </w:rPr>
        <w:t>transfer child poverty rate  is over 30% in Romania and less than 10% in Iceland. But the real purpose of the Figure is to demonstrate the impact of transfers. Child poverty rates fall by more than 60% in Hungary, Finland and Iceland entirely due to state effort.</w:t>
      </w:r>
      <w:r w:rsidR="00BF7B1C" w:rsidRPr="00AF5030">
        <w:rPr>
          <w:rFonts w:asciiTheme="minorHAnsi" w:hAnsiTheme="minorHAnsi" w:cs="Calibri"/>
          <w:color w:val="000000"/>
          <w:szCs w:val="24"/>
          <w:shd w:val="clear" w:color="auto" w:fill="FFFFFF"/>
        </w:rPr>
        <w:t xml:space="preserve"> But there are countries at the other end of the distribution that achieve much less reduction in their child poverty rates – Spain, Romania and Italy have reductions of less than 15%. These countries tend to be those spending least in Figure 1. </w:t>
      </w:r>
    </w:p>
    <w:p w14:paraId="2DFA9BE1" w14:textId="023AE201" w:rsidR="001E0A29" w:rsidRPr="00AF5030" w:rsidRDefault="001E0A29">
      <w:pPr>
        <w:rPr>
          <w:rFonts w:asciiTheme="minorHAnsi" w:hAnsiTheme="minorHAnsi" w:cs="Calibri"/>
          <w:color w:val="000000"/>
          <w:szCs w:val="24"/>
          <w:shd w:val="clear" w:color="auto" w:fill="FFFFFF"/>
        </w:rPr>
      </w:pPr>
    </w:p>
    <w:p w14:paraId="042E070B" w14:textId="77777777" w:rsidR="0026448A" w:rsidRDefault="0026448A" w:rsidP="001E0A29">
      <w:pPr>
        <w:rPr>
          <w:rFonts w:asciiTheme="minorHAnsi" w:hAnsiTheme="minorHAnsi"/>
          <w:b/>
          <w:szCs w:val="24"/>
        </w:rPr>
      </w:pPr>
    </w:p>
    <w:p w14:paraId="0AA940DA" w14:textId="77777777" w:rsidR="0026448A" w:rsidRDefault="0026448A" w:rsidP="001E0A29">
      <w:pPr>
        <w:rPr>
          <w:rFonts w:asciiTheme="minorHAnsi" w:hAnsiTheme="minorHAnsi"/>
          <w:b/>
          <w:szCs w:val="24"/>
        </w:rPr>
      </w:pPr>
    </w:p>
    <w:p w14:paraId="495D024B" w14:textId="77777777" w:rsidR="0026448A" w:rsidRDefault="0026448A" w:rsidP="001E0A29">
      <w:pPr>
        <w:rPr>
          <w:rFonts w:asciiTheme="minorHAnsi" w:hAnsiTheme="minorHAnsi"/>
          <w:b/>
          <w:szCs w:val="24"/>
        </w:rPr>
      </w:pPr>
    </w:p>
    <w:p w14:paraId="2633FE22" w14:textId="1A299C47" w:rsidR="001E0A29" w:rsidRPr="00AF5030" w:rsidRDefault="001E0A29" w:rsidP="001E0A29">
      <w:pPr>
        <w:rPr>
          <w:rFonts w:asciiTheme="minorHAnsi" w:hAnsiTheme="minorHAnsi"/>
          <w:b/>
          <w:szCs w:val="24"/>
        </w:rPr>
      </w:pPr>
      <w:r w:rsidRPr="00AF5030">
        <w:rPr>
          <w:rFonts w:asciiTheme="minorHAnsi" w:hAnsiTheme="minorHAnsi"/>
          <w:b/>
          <w:szCs w:val="24"/>
        </w:rPr>
        <w:lastRenderedPageBreak/>
        <w:t>Figure 2: Pre and post transfer under 18 at-risk-of-poverty rates 2018 unless stated. Countries ranked by % reduction (right axis)</w:t>
      </w:r>
    </w:p>
    <w:p w14:paraId="33A91294" w14:textId="77777777" w:rsidR="001E0A29" w:rsidRPr="00AF5030" w:rsidRDefault="001E0A29" w:rsidP="001E0A29">
      <w:pPr>
        <w:rPr>
          <w:rFonts w:asciiTheme="minorHAnsi" w:hAnsiTheme="minorHAnsi"/>
          <w:szCs w:val="24"/>
        </w:rPr>
      </w:pPr>
      <w:r w:rsidRPr="00AF5030">
        <w:rPr>
          <w:rFonts w:asciiTheme="minorHAnsi" w:hAnsiTheme="minorHAnsi"/>
          <w:noProof/>
          <w:szCs w:val="24"/>
          <w:lang w:eastAsia="en-GB"/>
        </w:rPr>
        <w:drawing>
          <wp:inline distT="0" distB="0" distL="0" distR="0" wp14:anchorId="77A9333B" wp14:editId="311F56D8">
            <wp:extent cx="5362575" cy="3186113"/>
            <wp:effectExtent l="0" t="0" r="9525" b="14605"/>
            <wp:docPr id="14" name="Chart 14">
              <a:extLst xmlns:a="http://schemas.openxmlformats.org/drawingml/2006/main">
                <a:ext uri="{FF2B5EF4-FFF2-40B4-BE49-F238E27FC236}">
                  <a16:creationId xmlns:a16="http://schemas.microsoft.com/office/drawing/2014/main" id="{BF0E01A0-A651-41F9-8472-C4ABCBF0B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F5030">
        <w:rPr>
          <w:rFonts w:asciiTheme="minorHAnsi" w:hAnsiTheme="minorHAnsi"/>
          <w:szCs w:val="24"/>
        </w:rPr>
        <w:t xml:space="preserve"> </w:t>
      </w:r>
    </w:p>
    <w:p w14:paraId="783A8264" w14:textId="71199A2B" w:rsidR="001E0A29" w:rsidRPr="00AF5030" w:rsidRDefault="00E03816" w:rsidP="001E0A29">
      <w:pPr>
        <w:rPr>
          <w:rFonts w:asciiTheme="minorHAnsi" w:hAnsiTheme="minorHAnsi"/>
          <w:szCs w:val="24"/>
        </w:rPr>
      </w:pPr>
      <w:r w:rsidRPr="00AF5030">
        <w:rPr>
          <w:rFonts w:asciiTheme="minorHAnsi" w:hAnsiTheme="minorHAnsi"/>
          <w:szCs w:val="24"/>
        </w:rPr>
        <w:t>Source: Eurostat data base extracted May 2020.</w:t>
      </w:r>
    </w:p>
    <w:p w14:paraId="7E3C67B7" w14:textId="77777777" w:rsidR="00E03816" w:rsidRPr="00AF5030" w:rsidRDefault="00E03816" w:rsidP="001E0A29">
      <w:pPr>
        <w:rPr>
          <w:rFonts w:asciiTheme="minorHAnsi" w:hAnsiTheme="minorHAnsi"/>
          <w:szCs w:val="24"/>
        </w:rPr>
      </w:pPr>
    </w:p>
    <w:p w14:paraId="27FCFCFB" w14:textId="61E80175" w:rsidR="001E0A29" w:rsidRPr="00AF5030" w:rsidRDefault="00BF7B1C">
      <w:pPr>
        <w:rPr>
          <w:rFonts w:asciiTheme="minorHAnsi" w:hAnsiTheme="minorHAnsi"/>
          <w:szCs w:val="24"/>
        </w:rPr>
      </w:pPr>
      <w:r w:rsidRPr="00AF5030">
        <w:rPr>
          <w:rFonts w:asciiTheme="minorHAnsi" w:hAnsiTheme="minorHAnsi"/>
          <w:szCs w:val="24"/>
        </w:rPr>
        <w:t>How does the US compare? Unfortunately</w:t>
      </w:r>
      <w:r w:rsidR="0026448A">
        <w:rPr>
          <w:rFonts w:asciiTheme="minorHAnsi" w:hAnsiTheme="minorHAnsi"/>
          <w:szCs w:val="24"/>
        </w:rPr>
        <w:t>,</w:t>
      </w:r>
      <w:r w:rsidRPr="00AF5030">
        <w:rPr>
          <w:rFonts w:asciiTheme="minorHAnsi" w:hAnsiTheme="minorHAnsi"/>
          <w:szCs w:val="24"/>
        </w:rPr>
        <w:t xml:space="preserve"> there is no comparative data available on pre</w:t>
      </w:r>
      <w:r w:rsidR="0026448A">
        <w:rPr>
          <w:rFonts w:asciiTheme="minorHAnsi" w:hAnsiTheme="minorHAnsi"/>
          <w:szCs w:val="24"/>
        </w:rPr>
        <w:t>-</w:t>
      </w:r>
      <w:r w:rsidRPr="00AF5030">
        <w:rPr>
          <w:rFonts w:asciiTheme="minorHAnsi" w:hAnsiTheme="minorHAnsi"/>
          <w:szCs w:val="24"/>
        </w:rPr>
        <w:t xml:space="preserve"> and post</w:t>
      </w:r>
      <w:r w:rsidR="0026448A">
        <w:rPr>
          <w:rFonts w:asciiTheme="minorHAnsi" w:hAnsiTheme="minorHAnsi"/>
          <w:szCs w:val="24"/>
        </w:rPr>
        <w:t>-</w:t>
      </w:r>
      <w:r w:rsidRPr="00AF5030">
        <w:rPr>
          <w:rFonts w:asciiTheme="minorHAnsi" w:hAnsiTheme="minorHAnsi"/>
          <w:szCs w:val="24"/>
        </w:rPr>
        <w:t xml:space="preserve">transfer child poverty rates. We can </w:t>
      </w:r>
      <w:r w:rsidR="00E03816" w:rsidRPr="00AF5030">
        <w:rPr>
          <w:rFonts w:asciiTheme="minorHAnsi" w:hAnsiTheme="minorHAnsi"/>
          <w:szCs w:val="24"/>
        </w:rPr>
        <w:t>however make some comparisons of poverty rates – from three sources: the Luxembourg Income Study (LIS</w:t>
      </w:r>
      <w:r w:rsidR="0026448A">
        <w:rPr>
          <w:rFonts w:asciiTheme="minorHAnsi" w:hAnsiTheme="minorHAnsi"/>
          <w:szCs w:val="24"/>
        </w:rPr>
        <w:t>), the U</w:t>
      </w:r>
      <w:r w:rsidR="00E03816" w:rsidRPr="00AF5030">
        <w:rPr>
          <w:rFonts w:asciiTheme="minorHAnsi" w:hAnsiTheme="minorHAnsi"/>
          <w:szCs w:val="24"/>
        </w:rPr>
        <w:t>NICEF Innocenti Rsearch centre in Florence</w:t>
      </w:r>
      <w:r w:rsidR="0026448A">
        <w:rPr>
          <w:rFonts w:asciiTheme="minorHAnsi" w:hAnsiTheme="minorHAnsi"/>
          <w:szCs w:val="24"/>
        </w:rPr>
        <w:t xml:space="preserve"> Report Card and OECD</w:t>
      </w:r>
      <w:r w:rsidR="00E03816" w:rsidRPr="00AF5030">
        <w:rPr>
          <w:rFonts w:asciiTheme="minorHAnsi" w:hAnsiTheme="minorHAnsi"/>
          <w:szCs w:val="24"/>
        </w:rPr>
        <w:t>.</w:t>
      </w:r>
    </w:p>
    <w:p w14:paraId="2531BB6F" w14:textId="7FF0508F" w:rsidR="00E03816" w:rsidRPr="00AF5030" w:rsidRDefault="00E03816">
      <w:pPr>
        <w:rPr>
          <w:rFonts w:asciiTheme="minorHAnsi" w:hAnsiTheme="minorHAnsi"/>
          <w:szCs w:val="24"/>
        </w:rPr>
      </w:pPr>
    </w:p>
    <w:p w14:paraId="414F89D7" w14:textId="71C82986" w:rsidR="00E03816" w:rsidRPr="00AF5030" w:rsidRDefault="00E03816">
      <w:pPr>
        <w:rPr>
          <w:rFonts w:asciiTheme="minorHAnsi" w:hAnsiTheme="minorHAnsi"/>
          <w:szCs w:val="24"/>
        </w:rPr>
      </w:pPr>
      <w:r w:rsidRPr="00AF5030">
        <w:rPr>
          <w:rFonts w:asciiTheme="minorHAnsi" w:hAnsiTheme="minorHAnsi"/>
          <w:szCs w:val="24"/>
        </w:rPr>
        <w:t>First LIS. They publish child poverty rates for countries</w:t>
      </w:r>
      <w:r w:rsidR="002F25BC" w:rsidRPr="00AF5030">
        <w:rPr>
          <w:rFonts w:asciiTheme="minorHAnsi" w:hAnsiTheme="minorHAnsi"/>
          <w:szCs w:val="24"/>
        </w:rPr>
        <w:t xml:space="preserve"> included in their study. </w:t>
      </w:r>
      <w:r w:rsidRPr="00AF5030">
        <w:rPr>
          <w:rFonts w:asciiTheme="minorHAnsi" w:hAnsiTheme="minorHAnsi"/>
          <w:szCs w:val="24"/>
        </w:rPr>
        <w:t xml:space="preserve">Not many have very up-to-date data but  Table </w:t>
      </w:r>
      <w:r w:rsidR="002F25BC" w:rsidRPr="00AF5030">
        <w:rPr>
          <w:rFonts w:asciiTheme="minorHAnsi" w:hAnsiTheme="minorHAnsi"/>
          <w:szCs w:val="24"/>
        </w:rPr>
        <w:t xml:space="preserve">1 extracts child poverty rates for a selection of countries which have fairly recent data </w:t>
      </w:r>
      <w:r w:rsidR="0026448A">
        <w:rPr>
          <w:rFonts w:asciiTheme="minorHAnsi" w:hAnsiTheme="minorHAnsi"/>
          <w:szCs w:val="24"/>
        </w:rPr>
        <w:t>(</w:t>
      </w:r>
      <w:r w:rsidR="002F25BC" w:rsidRPr="00AF5030">
        <w:rPr>
          <w:rFonts w:asciiTheme="minorHAnsi" w:hAnsiTheme="minorHAnsi"/>
          <w:szCs w:val="24"/>
        </w:rPr>
        <w:t>circa 2016</w:t>
      </w:r>
      <w:r w:rsidR="0026448A">
        <w:rPr>
          <w:rFonts w:asciiTheme="minorHAnsi" w:hAnsiTheme="minorHAnsi"/>
          <w:szCs w:val="24"/>
        </w:rPr>
        <w:t>)</w:t>
      </w:r>
      <w:r w:rsidR="002F25BC" w:rsidRPr="00AF5030">
        <w:rPr>
          <w:rFonts w:asciiTheme="minorHAnsi" w:hAnsiTheme="minorHAnsi"/>
          <w:szCs w:val="24"/>
        </w:rPr>
        <w:t>. It shows that the US has the highest child poverty rates on all three thresholds</w:t>
      </w:r>
      <w:r w:rsidR="0026448A">
        <w:rPr>
          <w:rFonts w:asciiTheme="minorHAnsi" w:hAnsiTheme="minorHAnsi"/>
          <w:szCs w:val="24"/>
        </w:rPr>
        <w:t xml:space="preserve">, </w:t>
      </w:r>
      <w:r w:rsidR="002F25BC" w:rsidRPr="00AF5030">
        <w:rPr>
          <w:rFonts w:asciiTheme="minorHAnsi" w:hAnsiTheme="minorHAnsi"/>
          <w:szCs w:val="24"/>
        </w:rPr>
        <w:t>except for Estonia at the less than 40% median threshold</w:t>
      </w:r>
      <w:r w:rsidR="0026448A">
        <w:rPr>
          <w:rFonts w:asciiTheme="minorHAnsi" w:hAnsiTheme="minorHAnsi"/>
          <w:szCs w:val="24"/>
        </w:rPr>
        <w:t xml:space="preserve">. The US is </w:t>
      </w:r>
      <w:r w:rsidR="002F25BC" w:rsidRPr="00AF5030">
        <w:rPr>
          <w:rFonts w:asciiTheme="minorHAnsi" w:hAnsiTheme="minorHAnsi"/>
          <w:szCs w:val="24"/>
        </w:rPr>
        <w:t xml:space="preserve">higher than Australia, Canada and all the </w:t>
      </w:r>
      <w:r w:rsidR="0026448A">
        <w:rPr>
          <w:rFonts w:asciiTheme="minorHAnsi" w:hAnsiTheme="minorHAnsi"/>
          <w:szCs w:val="24"/>
        </w:rPr>
        <w:t xml:space="preserve">other </w:t>
      </w:r>
      <w:r w:rsidR="002F25BC" w:rsidRPr="00AF5030">
        <w:rPr>
          <w:rFonts w:asciiTheme="minorHAnsi" w:hAnsiTheme="minorHAnsi"/>
          <w:szCs w:val="24"/>
        </w:rPr>
        <w:t>European countries included</w:t>
      </w:r>
      <w:r w:rsidR="0026448A">
        <w:rPr>
          <w:rFonts w:asciiTheme="minorHAnsi" w:hAnsiTheme="minorHAnsi"/>
          <w:szCs w:val="24"/>
        </w:rPr>
        <w:t xml:space="preserve"> on all other measures.</w:t>
      </w:r>
    </w:p>
    <w:p w14:paraId="73A02721" w14:textId="4DF99C1F" w:rsidR="002F25BC" w:rsidRPr="00AF5030" w:rsidRDefault="002F25BC">
      <w:pPr>
        <w:rPr>
          <w:rFonts w:asciiTheme="minorHAnsi" w:hAnsiTheme="minorHAnsi"/>
          <w:szCs w:val="24"/>
        </w:rPr>
      </w:pPr>
    </w:p>
    <w:p w14:paraId="7BE73104" w14:textId="12A208AA" w:rsidR="002F25BC" w:rsidRPr="00AF5030" w:rsidRDefault="002F25BC">
      <w:pPr>
        <w:rPr>
          <w:rFonts w:asciiTheme="minorHAnsi" w:hAnsiTheme="minorHAnsi"/>
          <w:b/>
          <w:bCs/>
          <w:szCs w:val="24"/>
        </w:rPr>
      </w:pPr>
      <w:r w:rsidRPr="00AF5030">
        <w:rPr>
          <w:rFonts w:asciiTheme="minorHAnsi" w:hAnsiTheme="minorHAnsi"/>
          <w:b/>
          <w:bCs/>
          <w:szCs w:val="24"/>
        </w:rPr>
        <w:t>Table 1: Child poverty rates for selected countries at three net equivalent income thresholds. Circa 2016</w:t>
      </w:r>
    </w:p>
    <w:tbl>
      <w:tblPr>
        <w:tblStyle w:val="TableGrid"/>
        <w:tblW w:w="4178" w:type="dxa"/>
        <w:tblLook w:val="04A0" w:firstRow="1" w:lastRow="0" w:firstColumn="1" w:lastColumn="0" w:noHBand="0" w:noVBand="1"/>
      </w:tblPr>
      <w:tblGrid>
        <w:gridCol w:w="1599"/>
        <w:gridCol w:w="960"/>
        <w:gridCol w:w="960"/>
        <w:gridCol w:w="960"/>
      </w:tblGrid>
      <w:tr w:rsidR="002F25BC" w:rsidRPr="00AF5030" w14:paraId="64058B9A" w14:textId="77777777" w:rsidTr="002F25BC">
        <w:trPr>
          <w:trHeight w:val="300"/>
        </w:trPr>
        <w:tc>
          <w:tcPr>
            <w:tcW w:w="1298" w:type="dxa"/>
            <w:noWrap/>
            <w:hideMark/>
          </w:tcPr>
          <w:p w14:paraId="567CCDC6" w14:textId="77777777" w:rsidR="002F25BC" w:rsidRPr="00AF5030" w:rsidRDefault="002F25BC" w:rsidP="002F25BC">
            <w:pPr>
              <w:rPr>
                <w:rFonts w:asciiTheme="minorHAnsi" w:eastAsia="Times New Roman" w:hAnsiTheme="minorHAnsi" w:cs="Times New Roman"/>
                <w:szCs w:val="24"/>
                <w:lang w:eastAsia="en-GB"/>
              </w:rPr>
            </w:pPr>
          </w:p>
        </w:tc>
        <w:tc>
          <w:tcPr>
            <w:tcW w:w="960" w:type="dxa"/>
            <w:noWrap/>
            <w:hideMark/>
          </w:tcPr>
          <w:p w14:paraId="0CEEF82E"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&lt;40%</w:t>
            </w:r>
          </w:p>
        </w:tc>
        <w:tc>
          <w:tcPr>
            <w:tcW w:w="960" w:type="dxa"/>
            <w:noWrap/>
            <w:hideMark/>
          </w:tcPr>
          <w:p w14:paraId="46B3A89E"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&lt;50%</w:t>
            </w:r>
          </w:p>
        </w:tc>
        <w:tc>
          <w:tcPr>
            <w:tcW w:w="960" w:type="dxa"/>
            <w:noWrap/>
            <w:hideMark/>
          </w:tcPr>
          <w:p w14:paraId="7558A02B"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&lt;60</w:t>
            </w:r>
          </w:p>
        </w:tc>
      </w:tr>
      <w:tr w:rsidR="002F25BC" w:rsidRPr="00AF5030" w14:paraId="44DD381C" w14:textId="77777777" w:rsidTr="002F25BC">
        <w:trPr>
          <w:trHeight w:val="300"/>
        </w:trPr>
        <w:tc>
          <w:tcPr>
            <w:tcW w:w="1298" w:type="dxa"/>
            <w:noWrap/>
            <w:hideMark/>
          </w:tcPr>
          <w:p w14:paraId="43C9880F"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Australia2014</w:t>
            </w:r>
          </w:p>
        </w:tc>
        <w:tc>
          <w:tcPr>
            <w:tcW w:w="960" w:type="dxa"/>
            <w:noWrap/>
            <w:hideMark/>
          </w:tcPr>
          <w:p w14:paraId="25757D9E"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5.8</w:t>
            </w:r>
          </w:p>
        </w:tc>
        <w:tc>
          <w:tcPr>
            <w:tcW w:w="960" w:type="dxa"/>
            <w:noWrap/>
            <w:hideMark/>
          </w:tcPr>
          <w:p w14:paraId="2760EBE5"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11.4</w:t>
            </w:r>
          </w:p>
        </w:tc>
        <w:tc>
          <w:tcPr>
            <w:tcW w:w="960" w:type="dxa"/>
            <w:noWrap/>
            <w:hideMark/>
          </w:tcPr>
          <w:p w14:paraId="4C466D55"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18.9</w:t>
            </w:r>
          </w:p>
        </w:tc>
      </w:tr>
      <w:tr w:rsidR="002F25BC" w:rsidRPr="00AF5030" w14:paraId="4F3FF1C3" w14:textId="77777777" w:rsidTr="002F25BC">
        <w:trPr>
          <w:trHeight w:val="300"/>
        </w:trPr>
        <w:tc>
          <w:tcPr>
            <w:tcW w:w="1298" w:type="dxa"/>
            <w:noWrap/>
            <w:hideMark/>
          </w:tcPr>
          <w:p w14:paraId="75BE6907"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Austria2016</w:t>
            </w:r>
          </w:p>
        </w:tc>
        <w:tc>
          <w:tcPr>
            <w:tcW w:w="960" w:type="dxa"/>
            <w:noWrap/>
            <w:hideMark/>
          </w:tcPr>
          <w:p w14:paraId="24D03019"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7.3</w:t>
            </w:r>
          </w:p>
        </w:tc>
        <w:tc>
          <w:tcPr>
            <w:tcW w:w="960" w:type="dxa"/>
            <w:noWrap/>
            <w:hideMark/>
          </w:tcPr>
          <w:p w14:paraId="61D200FA"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11.4</w:t>
            </w:r>
          </w:p>
        </w:tc>
        <w:tc>
          <w:tcPr>
            <w:tcW w:w="960" w:type="dxa"/>
            <w:noWrap/>
            <w:hideMark/>
          </w:tcPr>
          <w:p w14:paraId="507C651D"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17.7</w:t>
            </w:r>
          </w:p>
        </w:tc>
      </w:tr>
      <w:tr w:rsidR="002F25BC" w:rsidRPr="00AF5030" w14:paraId="5E6E22EA" w14:textId="77777777" w:rsidTr="002F25BC">
        <w:trPr>
          <w:trHeight w:val="300"/>
        </w:trPr>
        <w:tc>
          <w:tcPr>
            <w:tcW w:w="1298" w:type="dxa"/>
            <w:noWrap/>
            <w:hideMark/>
          </w:tcPr>
          <w:p w14:paraId="632A92B7"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Belgium2016</w:t>
            </w:r>
          </w:p>
        </w:tc>
        <w:tc>
          <w:tcPr>
            <w:tcW w:w="960" w:type="dxa"/>
            <w:noWrap/>
            <w:hideMark/>
          </w:tcPr>
          <w:p w14:paraId="734B5E41"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5.1</w:t>
            </w:r>
          </w:p>
        </w:tc>
        <w:tc>
          <w:tcPr>
            <w:tcW w:w="960" w:type="dxa"/>
            <w:noWrap/>
            <w:hideMark/>
          </w:tcPr>
          <w:p w14:paraId="2D6BD368"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12.2</w:t>
            </w:r>
          </w:p>
        </w:tc>
        <w:tc>
          <w:tcPr>
            <w:tcW w:w="960" w:type="dxa"/>
            <w:noWrap/>
            <w:hideMark/>
          </w:tcPr>
          <w:p w14:paraId="1C9A16EC"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18.7</w:t>
            </w:r>
          </w:p>
        </w:tc>
      </w:tr>
      <w:tr w:rsidR="002F25BC" w:rsidRPr="00AF5030" w14:paraId="0A314E44" w14:textId="77777777" w:rsidTr="002F25BC">
        <w:trPr>
          <w:trHeight w:val="300"/>
        </w:trPr>
        <w:tc>
          <w:tcPr>
            <w:tcW w:w="1298" w:type="dxa"/>
            <w:noWrap/>
            <w:hideMark/>
          </w:tcPr>
          <w:p w14:paraId="423E5A47"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Canada2017</w:t>
            </w:r>
          </w:p>
        </w:tc>
        <w:tc>
          <w:tcPr>
            <w:tcW w:w="960" w:type="dxa"/>
            <w:noWrap/>
            <w:hideMark/>
          </w:tcPr>
          <w:p w14:paraId="6D1A2584"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w:t>
            </w:r>
          </w:p>
        </w:tc>
        <w:tc>
          <w:tcPr>
            <w:tcW w:w="960" w:type="dxa"/>
            <w:noWrap/>
            <w:hideMark/>
          </w:tcPr>
          <w:p w14:paraId="1F1E1CFC"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11.9</w:t>
            </w:r>
          </w:p>
        </w:tc>
        <w:tc>
          <w:tcPr>
            <w:tcW w:w="960" w:type="dxa"/>
            <w:noWrap/>
            <w:hideMark/>
          </w:tcPr>
          <w:p w14:paraId="614AB5E7"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20.7</w:t>
            </w:r>
          </w:p>
        </w:tc>
      </w:tr>
      <w:tr w:rsidR="002F25BC" w:rsidRPr="00AF5030" w14:paraId="731FDA9F" w14:textId="77777777" w:rsidTr="002F25BC">
        <w:trPr>
          <w:trHeight w:val="300"/>
        </w:trPr>
        <w:tc>
          <w:tcPr>
            <w:tcW w:w="1298" w:type="dxa"/>
            <w:noWrap/>
            <w:hideMark/>
          </w:tcPr>
          <w:p w14:paraId="20943709"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Czechia 2016</w:t>
            </w:r>
          </w:p>
        </w:tc>
        <w:tc>
          <w:tcPr>
            <w:tcW w:w="960" w:type="dxa"/>
            <w:noWrap/>
            <w:hideMark/>
          </w:tcPr>
          <w:p w14:paraId="71100DD0"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4.9</w:t>
            </w:r>
          </w:p>
        </w:tc>
        <w:tc>
          <w:tcPr>
            <w:tcW w:w="960" w:type="dxa"/>
            <w:noWrap/>
            <w:hideMark/>
          </w:tcPr>
          <w:p w14:paraId="0FEED196"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9.3</w:t>
            </w:r>
          </w:p>
        </w:tc>
        <w:tc>
          <w:tcPr>
            <w:tcW w:w="960" w:type="dxa"/>
            <w:noWrap/>
            <w:hideMark/>
          </w:tcPr>
          <w:p w14:paraId="57EB260E"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14.2</w:t>
            </w:r>
          </w:p>
        </w:tc>
      </w:tr>
      <w:tr w:rsidR="002F25BC" w:rsidRPr="00AF5030" w14:paraId="15D5919B" w14:textId="77777777" w:rsidTr="002F25BC">
        <w:trPr>
          <w:trHeight w:val="300"/>
        </w:trPr>
        <w:tc>
          <w:tcPr>
            <w:tcW w:w="1298" w:type="dxa"/>
            <w:noWrap/>
            <w:hideMark/>
          </w:tcPr>
          <w:p w14:paraId="2813096A"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Denmark2016</w:t>
            </w:r>
          </w:p>
        </w:tc>
        <w:tc>
          <w:tcPr>
            <w:tcW w:w="960" w:type="dxa"/>
            <w:noWrap/>
            <w:hideMark/>
          </w:tcPr>
          <w:p w14:paraId="7D5CE086"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w:t>
            </w:r>
          </w:p>
        </w:tc>
        <w:tc>
          <w:tcPr>
            <w:tcW w:w="960" w:type="dxa"/>
            <w:noWrap/>
            <w:hideMark/>
          </w:tcPr>
          <w:p w14:paraId="6F1E7DA5"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4.3</w:t>
            </w:r>
          </w:p>
        </w:tc>
        <w:tc>
          <w:tcPr>
            <w:tcW w:w="960" w:type="dxa"/>
            <w:noWrap/>
            <w:hideMark/>
          </w:tcPr>
          <w:p w14:paraId="7FC724A4"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w:t>
            </w:r>
          </w:p>
        </w:tc>
      </w:tr>
      <w:tr w:rsidR="002F25BC" w:rsidRPr="00AF5030" w14:paraId="1DB2A43A" w14:textId="77777777" w:rsidTr="002F25BC">
        <w:trPr>
          <w:trHeight w:val="300"/>
        </w:trPr>
        <w:tc>
          <w:tcPr>
            <w:tcW w:w="1298" w:type="dxa"/>
            <w:noWrap/>
            <w:hideMark/>
          </w:tcPr>
          <w:p w14:paraId="3D3F9BAF"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Finland2016</w:t>
            </w:r>
          </w:p>
        </w:tc>
        <w:tc>
          <w:tcPr>
            <w:tcW w:w="960" w:type="dxa"/>
            <w:noWrap/>
            <w:hideMark/>
          </w:tcPr>
          <w:p w14:paraId="4C446124"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w:t>
            </w:r>
          </w:p>
        </w:tc>
        <w:tc>
          <w:tcPr>
            <w:tcW w:w="960" w:type="dxa"/>
            <w:noWrap/>
            <w:hideMark/>
          </w:tcPr>
          <w:p w14:paraId="764F7060"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3.4</w:t>
            </w:r>
          </w:p>
        </w:tc>
        <w:tc>
          <w:tcPr>
            <w:tcW w:w="960" w:type="dxa"/>
            <w:noWrap/>
            <w:hideMark/>
          </w:tcPr>
          <w:p w14:paraId="60970BF5"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8.9</w:t>
            </w:r>
          </w:p>
        </w:tc>
      </w:tr>
      <w:tr w:rsidR="002F25BC" w:rsidRPr="00AF5030" w14:paraId="06C4D687" w14:textId="77777777" w:rsidTr="002F25BC">
        <w:trPr>
          <w:trHeight w:val="300"/>
        </w:trPr>
        <w:tc>
          <w:tcPr>
            <w:tcW w:w="1298" w:type="dxa"/>
            <w:noWrap/>
            <w:hideMark/>
          </w:tcPr>
          <w:p w14:paraId="6952FFF6"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Germany2016</w:t>
            </w:r>
          </w:p>
        </w:tc>
        <w:tc>
          <w:tcPr>
            <w:tcW w:w="960" w:type="dxa"/>
            <w:noWrap/>
            <w:hideMark/>
          </w:tcPr>
          <w:p w14:paraId="303277BB"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5.9</w:t>
            </w:r>
          </w:p>
        </w:tc>
        <w:tc>
          <w:tcPr>
            <w:tcW w:w="960" w:type="dxa"/>
            <w:noWrap/>
            <w:hideMark/>
          </w:tcPr>
          <w:p w14:paraId="1B2801F9"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11.4</w:t>
            </w:r>
          </w:p>
        </w:tc>
        <w:tc>
          <w:tcPr>
            <w:tcW w:w="960" w:type="dxa"/>
            <w:noWrap/>
            <w:hideMark/>
          </w:tcPr>
          <w:p w14:paraId="68E07A68"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18.7</w:t>
            </w:r>
          </w:p>
        </w:tc>
      </w:tr>
      <w:tr w:rsidR="002F25BC" w:rsidRPr="00AF5030" w14:paraId="0038E41B" w14:textId="77777777" w:rsidTr="002F25BC">
        <w:trPr>
          <w:trHeight w:val="300"/>
        </w:trPr>
        <w:tc>
          <w:tcPr>
            <w:tcW w:w="1298" w:type="dxa"/>
            <w:noWrap/>
            <w:hideMark/>
          </w:tcPr>
          <w:p w14:paraId="4866BE5A"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Hungary2015</w:t>
            </w:r>
          </w:p>
        </w:tc>
        <w:tc>
          <w:tcPr>
            <w:tcW w:w="960" w:type="dxa"/>
            <w:noWrap/>
            <w:hideMark/>
          </w:tcPr>
          <w:p w14:paraId="28A15D36"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4.3</w:t>
            </w:r>
          </w:p>
        </w:tc>
        <w:tc>
          <w:tcPr>
            <w:tcW w:w="960" w:type="dxa"/>
            <w:noWrap/>
            <w:hideMark/>
          </w:tcPr>
          <w:p w14:paraId="5181A447"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9.3</w:t>
            </w:r>
          </w:p>
        </w:tc>
        <w:tc>
          <w:tcPr>
            <w:tcW w:w="960" w:type="dxa"/>
            <w:noWrap/>
            <w:hideMark/>
          </w:tcPr>
          <w:p w14:paraId="75881274"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17.6</w:t>
            </w:r>
          </w:p>
        </w:tc>
      </w:tr>
      <w:tr w:rsidR="002F25BC" w:rsidRPr="00AF5030" w14:paraId="7AEEE523" w14:textId="77777777" w:rsidTr="002F25BC">
        <w:trPr>
          <w:trHeight w:val="300"/>
        </w:trPr>
        <w:tc>
          <w:tcPr>
            <w:tcW w:w="1298" w:type="dxa"/>
            <w:noWrap/>
            <w:hideMark/>
          </w:tcPr>
          <w:p w14:paraId="21938BF2"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Italy2016</w:t>
            </w:r>
          </w:p>
        </w:tc>
        <w:tc>
          <w:tcPr>
            <w:tcW w:w="960" w:type="dxa"/>
            <w:noWrap/>
            <w:hideMark/>
          </w:tcPr>
          <w:p w14:paraId="346C75DE"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11.2</w:t>
            </w:r>
          </w:p>
        </w:tc>
        <w:tc>
          <w:tcPr>
            <w:tcW w:w="960" w:type="dxa"/>
            <w:noWrap/>
            <w:hideMark/>
          </w:tcPr>
          <w:p w14:paraId="3FF29B4B"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20.4</w:t>
            </w:r>
          </w:p>
        </w:tc>
        <w:tc>
          <w:tcPr>
            <w:tcW w:w="960" w:type="dxa"/>
            <w:noWrap/>
            <w:hideMark/>
          </w:tcPr>
          <w:p w14:paraId="593C5753"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28.9</w:t>
            </w:r>
          </w:p>
        </w:tc>
      </w:tr>
      <w:tr w:rsidR="002F25BC" w:rsidRPr="00AF5030" w14:paraId="502101F7" w14:textId="77777777" w:rsidTr="002F25BC">
        <w:trPr>
          <w:trHeight w:val="300"/>
        </w:trPr>
        <w:tc>
          <w:tcPr>
            <w:tcW w:w="1298" w:type="dxa"/>
            <w:noWrap/>
            <w:hideMark/>
          </w:tcPr>
          <w:p w14:paraId="39D975B0"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lastRenderedPageBreak/>
              <w:t>Poland2016</w:t>
            </w:r>
          </w:p>
        </w:tc>
        <w:tc>
          <w:tcPr>
            <w:tcW w:w="960" w:type="dxa"/>
            <w:noWrap/>
            <w:hideMark/>
          </w:tcPr>
          <w:p w14:paraId="6684B215"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4.6</w:t>
            </w:r>
          </w:p>
        </w:tc>
        <w:tc>
          <w:tcPr>
            <w:tcW w:w="960" w:type="dxa"/>
            <w:noWrap/>
            <w:hideMark/>
          </w:tcPr>
          <w:p w14:paraId="0BB0C4F8"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8.4</w:t>
            </w:r>
          </w:p>
        </w:tc>
        <w:tc>
          <w:tcPr>
            <w:tcW w:w="960" w:type="dxa"/>
            <w:noWrap/>
            <w:hideMark/>
          </w:tcPr>
          <w:p w14:paraId="178122CE"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14.8</w:t>
            </w:r>
          </w:p>
        </w:tc>
      </w:tr>
      <w:tr w:rsidR="002F25BC" w:rsidRPr="00AF5030" w14:paraId="6335E2E6" w14:textId="77777777" w:rsidTr="002F25BC">
        <w:trPr>
          <w:trHeight w:val="300"/>
        </w:trPr>
        <w:tc>
          <w:tcPr>
            <w:tcW w:w="1298" w:type="dxa"/>
            <w:noWrap/>
            <w:hideMark/>
          </w:tcPr>
          <w:p w14:paraId="1D55455D"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Estonia2016</w:t>
            </w:r>
          </w:p>
        </w:tc>
        <w:tc>
          <w:tcPr>
            <w:tcW w:w="960" w:type="dxa"/>
            <w:noWrap/>
            <w:hideMark/>
          </w:tcPr>
          <w:p w14:paraId="6B52B216"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w:t>
            </w:r>
          </w:p>
        </w:tc>
        <w:tc>
          <w:tcPr>
            <w:tcW w:w="960" w:type="dxa"/>
            <w:noWrap/>
            <w:hideMark/>
          </w:tcPr>
          <w:p w14:paraId="5E86E3C3"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22</w:t>
            </w:r>
          </w:p>
        </w:tc>
        <w:tc>
          <w:tcPr>
            <w:tcW w:w="960" w:type="dxa"/>
            <w:noWrap/>
            <w:hideMark/>
          </w:tcPr>
          <w:p w14:paraId="77DC8DB9"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28.3</w:t>
            </w:r>
          </w:p>
        </w:tc>
      </w:tr>
      <w:tr w:rsidR="002F25BC" w:rsidRPr="00AF5030" w14:paraId="36006294" w14:textId="77777777" w:rsidTr="002F25BC">
        <w:trPr>
          <w:trHeight w:val="300"/>
        </w:trPr>
        <w:tc>
          <w:tcPr>
            <w:tcW w:w="1298" w:type="dxa"/>
            <w:noWrap/>
            <w:hideMark/>
          </w:tcPr>
          <w:p w14:paraId="254E7297"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UK2016</w:t>
            </w:r>
          </w:p>
        </w:tc>
        <w:tc>
          <w:tcPr>
            <w:tcW w:w="960" w:type="dxa"/>
            <w:noWrap/>
            <w:hideMark/>
          </w:tcPr>
          <w:p w14:paraId="4D8EC6F3"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5.2</w:t>
            </w:r>
          </w:p>
        </w:tc>
        <w:tc>
          <w:tcPr>
            <w:tcW w:w="960" w:type="dxa"/>
            <w:noWrap/>
            <w:hideMark/>
          </w:tcPr>
          <w:p w14:paraId="797325AD"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10.9</w:t>
            </w:r>
          </w:p>
        </w:tc>
        <w:tc>
          <w:tcPr>
            <w:tcW w:w="960" w:type="dxa"/>
            <w:noWrap/>
            <w:hideMark/>
          </w:tcPr>
          <w:p w14:paraId="5179500A"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21.5</w:t>
            </w:r>
          </w:p>
        </w:tc>
      </w:tr>
      <w:tr w:rsidR="002F25BC" w:rsidRPr="00AF5030" w14:paraId="0DB06AA3" w14:textId="77777777" w:rsidTr="002F25BC">
        <w:trPr>
          <w:trHeight w:val="300"/>
        </w:trPr>
        <w:tc>
          <w:tcPr>
            <w:tcW w:w="1298" w:type="dxa"/>
            <w:noWrap/>
            <w:hideMark/>
          </w:tcPr>
          <w:p w14:paraId="47D2A487" w14:textId="77777777" w:rsidR="002F25BC" w:rsidRPr="00AF5030" w:rsidRDefault="002F25BC" w:rsidP="002F25B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US2016</w:t>
            </w:r>
          </w:p>
        </w:tc>
        <w:tc>
          <w:tcPr>
            <w:tcW w:w="960" w:type="dxa"/>
            <w:noWrap/>
            <w:hideMark/>
          </w:tcPr>
          <w:p w14:paraId="76FEA3EF"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12.8</w:t>
            </w:r>
          </w:p>
        </w:tc>
        <w:tc>
          <w:tcPr>
            <w:tcW w:w="960" w:type="dxa"/>
            <w:noWrap/>
            <w:hideMark/>
          </w:tcPr>
          <w:p w14:paraId="21E40050"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21.3</w:t>
            </w:r>
          </w:p>
        </w:tc>
        <w:tc>
          <w:tcPr>
            <w:tcW w:w="960" w:type="dxa"/>
            <w:noWrap/>
            <w:hideMark/>
          </w:tcPr>
          <w:p w14:paraId="42ECB389" w14:textId="77777777" w:rsidR="002F25BC" w:rsidRPr="00AF5030" w:rsidRDefault="002F25BC" w:rsidP="002F25BC">
            <w:pPr>
              <w:jc w:val="right"/>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30.5</w:t>
            </w:r>
          </w:p>
        </w:tc>
      </w:tr>
    </w:tbl>
    <w:p w14:paraId="5FA223DA" w14:textId="60A334F9" w:rsidR="002F25BC" w:rsidRPr="00AF5030" w:rsidRDefault="002F25BC">
      <w:pPr>
        <w:rPr>
          <w:rFonts w:asciiTheme="minorHAnsi" w:hAnsiTheme="minorHAnsi"/>
          <w:szCs w:val="24"/>
        </w:rPr>
      </w:pPr>
      <w:r w:rsidRPr="00AF5030">
        <w:rPr>
          <w:rFonts w:asciiTheme="minorHAnsi" w:hAnsiTheme="minorHAnsi"/>
          <w:szCs w:val="24"/>
        </w:rPr>
        <w:t xml:space="preserve">Source: Luxembourg Income Study Key Figures </w:t>
      </w:r>
      <w:hyperlink r:id="rId9" w:history="1">
        <w:r w:rsidRPr="00AF5030">
          <w:rPr>
            <w:rStyle w:val="Hyperlink"/>
            <w:rFonts w:asciiTheme="minorHAnsi" w:hAnsiTheme="minorHAnsi"/>
            <w:szCs w:val="24"/>
          </w:rPr>
          <w:t>https://www.lisdatacenter.org/lis-ikf-webapp/app/search-ikf-figures</w:t>
        </w:r>
      </w:hyperlink>
    </w:p>
    <w:p w14:paraId="48B8E1C8" w14:textId="6E431F79" w:rsidR="002F25BC" w:rsidRPr="00AF5030" w:rsidRDefault="002F25BC">
      <w:pPr>
        <w:rPr>
          <w:rFonts w:asciiTheme="minorHAnsi" w:hAnsiTheme="minorHAnsi"/>
          <w:szCs w:val="24"/>
        </w:rPr>
      </w:pPr>
    </w:p>
    <w:p w14:paraId="201B6250" w14:textId="2B743009" w:rsidR="00B0303B" w:rsidRPr="00AF5030" w:rsidRDefault="009651D4">
      <w:pPr>
        <w:rPr>
          <w:rFonts w:asciiTheme="minorHAnsi" w:hAnsiTheme="minorHAnsi"/>
          <w:szCs w:val="24"/>
        </w:rPr>
      </w:pPr>
      <w:r w:rsidRPr="00AF5030">
        <w:rPr>
          <w:rFonts w:asciiTheme="minorHAnsi" w:hAnsiTheme="minorHAnsi"/>
          <w:szCs w:val="24"/>
        </w:rPr>
        <w:t>Second</w:t>
      </w:r>
      <w:r w:rsidR="0026448A">
        <w:rPr>
          <w:rFonts w:asciiTheme="minorHAnsi" w:hAnsiTheme="minorHAnsi"/>
          <w:szCs w:val="24"/>
        </w:rPr>
        <w:t>,</w:t>
      </w:r>
      <w:r w:rsidRPr="00AF5030">
        <w:rPr>
          <w:rFonts w:asciiTheme="minorHAnsi" w:hAnsiTheme="minorHAnsi"/>
          <w:szCs w:val="24"/>
        </w:rPr>
        <w:t xml:space="preserve"> the UNICEF Office for Research in Florence has published a series of Innocenti Report Cards on child well-being in rich countries based on a range of indicators</w:t>
      </w:r>
      <w:r w:rsidR="0026448A">
        <w:rPr>
          <w:rFonts w:asciiTheme="minorHAnsi" w:hAnsiTheme="minorHAnsi"/>
          <w:szCs w:val="24"/>
        </w:rPr>
        <w:t>,</w:t>
      </w:r>
      <w:r w:rsidRPr="00AF5030">
        <w:rPr>
          <w:rFonts w:asciiTheme="minorHAnsi" w:hAnsiTheme="minorHAnsi"/>
          <w:szCs w:val="24"/>
        </w:rPr>
        <w:t xml:space="preserve"> including child poverty. Innocenti Report Card 16 is the latest and provides the child poverty rates based on the threshold of net income less than 60% median. The data for EU countries is derived from EU SILC but for the other countries comes from analysis of national sources on a common basis</w:t>
      </w:r>
      <w:r w:rsidR="00B0303B" w:rsidRPr="00AF5030">
        <w:rPr>
          <w:rFonts w:asciiTheme="minorHAnsi" w:hAnsiTheme="minorHAnsi"/>
          <w:szCs w:val="24"/>
        </w:rPr>
        <w:t xml:space="preserve">. Figure 3 presents the results and shows the US </w:t>
      </w:r>
      <w:r w:rsidR="00BE193B">
        <w:rPr>
          <w:rFonts w:asciiTheme="minorHAnsi" w:hAnsiTheme="minorHAnsi"/>
          <w:szCs w:val="24"/>
        </w:rPr>
        <w:t xml:space="preserve">had the </w:t>
      </w:r>
      <w:r w:rsidR="00B0303B" w:rsidRPr="00AF5030">
        <w:rPr>
          <w:rFonts w:asciiTheme="minorHAnsi" w:hAnsiTheme="minorHAnsi"/>
          <w:szCs w:val="24"/>
        </w:rPr>
        <w:t>42</w:t>
      </w:r>
      <w:r w:rsidR="00B0303B" w:rsidRPr="00AF5030">
        <w:rPr>
          <w:rFonts w:asciiTheme="minorHAnsi" w:hAnsiTheme="minorHAnsi"/>
          <w:szCs w:val="24"/>
          <w:vertAlign w:val="superscript"/>
        </w:rPr>
        <w:t>nd</w:t>
      </w:r>
      <w:r w:rsidR="00B0303B" w:rsidRPr="00AF5030">
        <w:rPr>
          <w:rFonts w:asciiTheme="minorHAnsi" w:hAnsiTheme="minorHAnsi"/>
          <w:szCs w:val="24"/>
        </w:rPr>
        <w:t xml:space="preserve"> highest child poverty rate out of 46 countries, only exceeded by Israel, Turkey, Romania and Mexico.</w:t>
      </w:r>
    </w:p>
    <w:p w14:paraId="4E973F98" w14:textId="46336944" w:rsidR="00B0303B" w:rsidRPr="00AF5030" w:rsidRDefault="00B0303B">
      <w:pPr>
        <w:spacing w:after="160" w:line="259" w:lineRule="auto"/>
        <w:rPr>
          <w:rFonts w:asciiTheme="minorHAnsi" w:hAnsiTheme="minorHAnsi"/>
          <w:szCs w:val="24"/>
        </w:rPr>
      </w:pPr>
    </w:p>
    <w:p w14:paraId="6E465E2E" w14:textId="77777777" w:rsidR="00B0303B" w:rsidRPr="00AF5030" w:rsidRDefault="00B0303B">
      <w:pPr>
        <w:spacing w:after="160" w:line="259" w:lineRule="auto"/>
        <w:rPr>
          <w:rFonts w:asciiTheme="minorHAnsi" w:hAnsiTheme="minorHAnsi"/>
          <w:b/>
          <w:bCs/>
          <w:szCs w:val="24"/>
        </w:rPr>
      </w:pPr>
      <w:r w:rsidRPr="00AF5030">
        <w:rPr>
          <w:rFonts w:asciiTheme="minorHAnsi" w:hAnsiTheme="minorHAnsi"/>
          <w:b/>
          <w:bCs/>
          <w:szCs w:val="24"/>
        </w:rPr>
        <w:t>Figure 3: Child poverty rate. Net income less than 60% median</w:t>
      </w:r>
    </w:p>
    <w:p w14:paraId="49A356FA" w14:textId="6D4BF59D" w:rsidR="009651D4" w:rsidRPr="00AF5030" w:rsidRDefault="00B0303B">
      <w:pPr>
        <w:rPr>
          <w:rFonts w:asciiTheme="minorHAnsi" w:hAnsiTheme="minorHAnsi"/>
          <w:szCs w:val="24"/>
        </w:rPr>
      </w:pPr>
      <w:r w:rsidRPr="00AF5030">
        <w:rPr>
          <w:rFonts w:asciiTheme="minorHAnsi" w:hAnsiTheme="minorHAnsi"/>
          <w:noProof/>
          <w:szCs w:val="24"/>
        </w:rPr>
        <w:drawing>
          <wp:inline distT="0" distB="0" distL="0" distR="0" wp14:anchorId="646AB4AA" wp14:editId="2135EA30">
            <wp:extent cx="5817235" cy="2596515"/>
            <wp:effectExtent l="0" t="0" r="12065" b="13335"/>
            <wp:docPr id="4" name="Chart 4">
              <a:extLst xmlns:a="http://schemas.openxmlformats.org/drawingml/2006/main">
                <a:ext uri="{FF2B5EF4-FFF2-40B4-BE49-F238E27FC236}">
                  <a16:creationId xmlns:a16="http://schemas.microsoft.com/office/drawing/2014/main" id="{8D21AE08-2468-4E8C-BFFA-4B71B18E4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1A7FEC" w14:textId="5FD5A2A3" w:rsidR="00B0303B" w:rsidRPr="00AF5030" w:rsidRDefault="00B0303B">
      <w:pPr>
        <w:rPr>
          <w:rFonts w:asciiTheme="minorHAnsi" w:hAnsiTheme="minorHAnsi"/>
          <w:szCs w:val="24"/>
        </w:rPr>
      </w:pPr>
      <w:r w:rsidRPr="00AF5030">
        <w:rPr>
          <w:rFonts w:asciiTheme="minorHAnsi" w:hAnsiTheme="minorHAnsi"/>
          <w:szCs w:val="24"/>
        </w:rPr>
        <w:t>Notes: Sources: EU-SILC, 2017, HILDA (Australia), CASEN (Chile), ENIGH, Household Economic Survey (New Zealand), CPS (USA), Canadian Income Survey, Survey of Living Conditions (Japan), Household Expenditure Survey (Israel). Data for 2017 (2016 for Australia, Chile, Iceland, Israel, Japan, Mexico, New Zealand, Norway, Korea, Switzerland and Turkey).</w:t>
      </w:r>
    </w:p>
    <w:p w14:paraId="21CD288D" w14:textId="11E7CD03" w:rsidR="00B0303B" w:rsidRPr="00AF5030" w:rsidRDefault="00B0303B">
      <w:pPr>
        <w:rPr>
          <w:rFonts w:asciiTheme="minorHAnsi" w:hAnsiTheme="minorHAnsi"/>
          <w:szCs w:val="24"/>
        </w:rPr>
      </w:pPr>
      <w:r w:rsidRPr="00AF5030">
        <w:rPr>
          <w:rFonts w:asciiTheme="minorHAnsi" w:hAnsiTheme="minorHAnsi"/>
          <w:szCs w:val="24"/>
        </w:rPr>
        <w:t>Source: UNICEF Innocenti Report Card 16.</w:t>
      </w:r>
      <w:r w:rsidR="00BE193B">
        <w:rPr>
          <w:rFonts w:asciiTheme="minorHAnsi" w:hAnsiTheme="minorHAnsi"/>
          <w:szCs w:val="24"/>
        </w:rPr>
        <w:t xml:space="preserve"> Forthcoming 2020.</w:t>
      </w:r>
    </w:p>
    <w:p w14:paraId="28D1D723" w14:textId="15372D6A" w:rsidR="001D4E5E" w:rsidRPr="00AF5030" w:rsidRDefault="001D4E5E">
      <w:pPr>
        <w:rPr>
          <w:rFonts w:asciiTheme="minorHAnsi" w:hAnsiTheme="minorHAnsi"/>
          <w:szCs w:val="24"/>
        </w:rPr>
      </w:pPr>
    </w:p>
    <w:p w14:paraId="00D5EADE" w14:textId="081421C6" w:rsidR="0017338C" w:rsidRPr="00AF5030" w:rsidRDefault="001D4E5E">
      <w:pPr>
        <w:rPr>
          <w:rFonts w:asciiTheme="minorHAnsi" w:hAnsiTheme="minorHAnsi"/>
          <w:szCs w:val="24"/>
        </w:rPr>
      </w:pPr>
      <w:r w:rsidRPr="00AF5030">
        <w:rPr>
          <w:rFonts w:asciiTheme="minorHAnsi" w:hAnsiTheme="minorHAnsi"/>
          <w:szCs w:val="24"/>
        </w:rPr>
        <w:t xml:space="preserve">The third </w:t>
      </w:r>
      <w:r w:rsidR="00BE193B">
        <w:rPr>
          <w:rFonts w:asciiTheme="minorHAnsi" w:hAnsiTheme="minorHAnsi"/>
          <w:szCs w:val="24"/>
        </w:rPr>
        <w:t xml:space="preserve">source is the </w:t>
      </w:r>
      <w:r w:rsidR="0017338C" w:rsidRPr="00AF5030">
        <w:rPr>
          <w:rFonts w:asciiTheme="minorHAnsi" w:hAnsiTheme="minorHAnsi"/>
          <w:szCs w:val="24"/>
        </w:rPr>
        <w:t xml:space="preserve">OECD </w:t>
      </w:r>
      <w:r w:rsidR="00BE193B">
        <w:rPr>
          <w:rFonts w:asciiTheme="minorHAnsi" w:hAnsiTheme="minorHAnsi"/>
          <w:szCs w:val="24"/>
        </w:rPr>
        <w:t xml:space="preserve">which </w:t>
      </w:r>
      <w:r w:rsidR="0017338C" w:rsidRPr="00AF5030">
        <w:rPr>
          <w:rFonts w:asciiTheme="minorHAnsi" w:hAnsiTheme="minorHAnsi"/>
          <w:szCs w:val="24"/>
        </w:rPr>
        <w:t xml:space="preserve">publishes child poverty rates using a threshold of 50% median. Table 3 shows that the US had a child poverty rate of 20.9%, much higher than the OECD average and higher than any EU country except Spain. </w:t>
      </w:r>
      <w:r w:rsidR="00CA02D9" w:rsidRPr="00AF5030">
        <w:rPr>
          <w:rFonts w:asciiTheme="minorHAnsi" w:hAnsiTheme="minorHAnsi"/>
          <w:szCs w:val="24"/>
        </w:rPr>
        <w:t>The OECD data also allows us to compare the  poverty rates of various types of households with children. The US has higher poverty rates of lone parent and couple households than most European countries  and higher poverty rates than most European countries for working households. Only its poverty rates for non</w:t>
      </w:r>
      <w:r w:rsidR="00BE193B">
        <w:rPr>
          <w:rFonts w:asciiTheme="minorHAnsi" w:hAnsiTheme="minorHAnsi"/>
          <w:szCs w:val="24"/>
        </w:rPr>
        <w:t>-</w:t>
      </w:r>
      <w:r w:rsidR="00CA02D9" w:rsidRPr="00AF5030">
        <w:rPr>
          <w:rFonts w:asciiTheme="minorHAnsi" w:hAnsiTheme="minorHAnsi"/>
          <w:szCs w:val="24"/>
        </w:rPr>
        <w:t>working households are not exceptional in the European context – quite similar to Sweden’s for example.</w:t>
      </w:r>
    </w:p>
    <w:p w14:paraId="5271B0AF" w14:textId="77777777" w:rsidR="0017338C" w:rsidRPr="00AF5030" w:rsidRDefault="0017338C">
      <w:pPr>
        <w:spacing w:after="160" w:line="259" w:lineRule="auto"/>
        <w:rPr>
          <w:rFonts w:asciiTheme="minorHAnsi" w:hAnsiTheme="minorHAnsi"/>
          <w:szCs w:val="24"/>
        </w:rPr>
      </w:pPr>
      <w:r w:rsidRPr="00AF5030">
        <w:rPr>
          <w:rFonts w:asciiTheme="minorHAnsi" w:hAnsiTheme="minorHAnsi"/>
          <w:szCs w:val="24"/>
        </w:rPr>
        <w:br w:type="page"/>
      </w:r>
    </w:p>
    <w:p w14:paraId="2230F14C" w14:textId="6F73E6DA" w:rsidR="001D4E5E" w:rsidRPr="00AF5030" w:rsidRDefault="0017338C">
      <w:pPr>
        <w:rPr>
          <w:rFonts w:asciiTheme="minorHAnsi" w:hAnsiTheme="minorHAnsi"/>
          <w:b/>
          <w:bCs/>
          <w:szCs w:val="24"/>
        </w:rPr>
      </w:pPr>
      <w:r w:rsidRPr="00AF5030">
        <w:rPr>
          <w:rFonts w:asciiTheme="minorHAnsi" w:hAnsiTheme="minorHAnsi"/>
          <w:b/>
          <w:bCs/>
          <w:szCs w:val="24"/>
        </w:rPr>
        <w:lastRenderedPageBreak/>
        <w:t>Table 2: Child poverty rate and poverty rates of households with children by various characteristics. Net equivalent income less than 50% median. Circa 2016</w:t>
      </w:r>
    </w:p>
    <w:tbl>
      <w:tblPr>
        <w:tblStyle w:val="TableGrid"/>
        <w:tblW w:w="7193" w:type="dxa"/>
        <w:tblLook w:val="04A0" w:firstRow="1" w:lastRow="0" w:firstColumn="1" w:lastColumn="0" w:noHBand="0" w:noVBand="1"/>
      </w:tblPr>
      <w:tblGrid>
        <w:gridCol w:w="1434"/>
        <w:gridCol w:w="1036"/>
        <w:gridCol w:w="1336"/>
        <w:gridCol w:w="1242"/>
        <w:gridCol w:w="1242"/>
        <w:gridCol w:w="1336"/>
        <w:gridCol w:w="1336"/>
      </w:tblGrid>
      <w:tr w:rsidR="0017338C" w:rsidRPr="00AF5030" w14:paraId="33F81250" w14:textId="77777777" w:rsidTr="0017338C">
        <w:trPr>
          <w:trHeight w:val="1606"/>
        </w:trPr>
        <w:tc>
          <w:tcPr>
            <w:tcW w:w="1206" w:type="dxa"/>
            <w:hideMark/>
          </w:tcPr>
          <w:p w14:paraId="77684F44"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p w14:paraId="77B5D00C" w14:textId="77777777" w:rsidR="0017338C" w:rsidRPr="00AF5030" w:rsidRDefault="0017338C" w:rsidP="0017338C">
            <w:pPr>
              <w:jc w:val="cente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p w14:paraId="30930FCD" w14:textId="14FB4F61"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color w:val="000000"/>
                <w:szCs w:val="24"/>
                <w:lang w:eastAsia="en-GB"/>
              </w:rPr>
              <w:t> </w:t>
            </w:r>
          </w:p>
        </w:tc>
        <w:tc>
          <w:tcPr>
            <w:tcW w:w="876" w:type="dxa"/>
            <w:hideMark/>
          </w:tcPr>
          <w:p w14:paraId="7F117E6C"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p w14:paraId="5D2BF669" w14:textId="77777777" w:rsidR="0017338C" w:rsidRPr="00AF5030" w:rsidRDefault="0017338C" w:rsidP="0017338C">
            <w:pPr>
              <w:jc w:val="cente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p w14:paraId="14D207DD" w14:textId="7A98F9AD" w:rsidR="0017338C" w:rsidRPr="00AF5030" w:rsidRDefault="0017338C" w:rsidP="0017338C">
            <w:pPr>
              <w:jc w:val="center"/>
              <w:rPr>
                <w:rFonts w:asciiTheme="minorHAnsi" w:eastAsia="Times New Roman" w:hAnsiTheme="minorHAnsi" w:cs="Times New Roman"/>
                <w:szCs w:val="24"/>
                <w:lang w:eastAsia="en-GB"/>
              </w:rPr>
            </w:pPr>
            <w:r w:rsidRPr="00AF5030">
              <w:rPr>
                <w:rFonts w:asciiTheme="minorHAnsi" w:eastAsia="Times New Roman" w:hAnsiTheme="minorHAnsi" w:cs="Times New Roman"/>
                <w:color w:val="000000"/>
                <w:szCs w:val="24"/>
                <w:lang w:eastAsia="en-GB"/>
              </w:rPr>
              <w:t>Children (0-17)</w:t>
            </w:r>
          </w:p>
        </w:tc>
        <w:tc>
          <w:tcPr>
            <w:tcW w:w="1055" w:type="dxa"/>
            <w:hideMark/>
          </w:tcPr>
          <w:p w14:paraId="58845B5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All working-age households with at least one child</w:t>
            </w:r>
          </w:p>
        </w:tc>
        <w:tc>
          <w:tcPr>
            <w:tcW w:w="973" w:type="dxa"/>
            <w:hideMark/>
          </w:tcPr>
          <w:p w14:paraId="68B0D8F7"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Single adult household with at least one child</w:t>
            </w:r>
          </w:p>
        </w:tc>
        <w:tc>
          <w:tcPr>
            <w:tcW w:w="973" w:type="dxa"/>
            <w:hideMark/>
          </w:tcPr>
          <w:p w14:paraId="63807D0E"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Two or more adult household with at least one child</w:t>
            </w:r>
          </w:p>
        </w:tc>
        <w:tc>
          <w:tcPr>
            <w:tcW w:w="1055" w:type="dxa"/>
            <w:hideMark/>
          </w:tcPr>
          <w:p w14:paraId="534A6F8E"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Jobless households with at least one child</w:t>
            </w:r>
          </w:p>
        </w:tc>
        <w:tc>
          <w:tcPr>
            <w:tcW w:w="1055" w:type="dxa"/>
            <w:hideMark/>
          </w:tcPr>
          <w:p w14:paraId="69A682E2"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Working households with at least one child</w:t>
            </w:r>
          </w:p>
        </w:tc>
      </w:tr>
      <w:tr w:rsidR="0017338C" w:rsidRPr="00AF5030" w14:paraId="54B79C74" w14:textId="77777777" w:rsidTr="0017338C">
        <w:trPr>
          <w:trHeight w:val="300"/>
        </w:trPr>
        <w:tc>
          <w:tcPr>
            <w:tcW w:w="1206" w:type="dxa"/>
            <w:noWrap/>
            <w:hideMark/>
          </w:tcPr>
          <w:p w14:paraId="47D7987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Australia</w:t>
            </w:r>
          </w:p>
        </w:tc>
        <w:tc>
          <w:tcPr>
            <w:tcW w:w="876" w:type="dxa"/>
            <w:noWrap/>
            <w:hideMark/>
          </w:tcPr>
          <w:p w14:paraId="3501D19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12.5</w:t>
            </w:r>
          </w:p>
        </w:tc>
        <w:tc>
          <w:tcPr>
            <w:tcW w:w="1055" w:type="dxa"/>
            <w:noWrap/>
            <w:hideMark/>
          </w:tcPr>
          <w:p w14:paraId="21D29A6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10.9</w:t>
            </w:r>
          </w:p>
        </w:tc>
        <w:tc>
          <w:tcPr>
            <w:tcW w:w="973" w:type="dxa"/>
            <w:noWrap/>
            <w:hideMark/>
          </w:tcPr>
          <w:p w14:paraId="277AF1C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36.7</w:t>
            </w:r>
          </w:p>
        </w:tc>
        <w:tc>
          <w:tcPr>
            <w:tcW w:w="973" w:type="dxa"/>
            <w:noWrap/>
            <w:hideMark/>
          </w:tcPr>
          <w:p w14:paraId="329A699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8.4</w:t>
            </w:r>
          </w:p>
        </w:tc>
        <w:tc>
          <w:tcPr>
            <w:tcW w:w="1055" w:type="dxa"/>
            <w:noWrap/>
            <w:hideMark/>
          </w:tcPr>
          <w:p w14:paraId="68D26B5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65.0</w:t>
            </w:r>
          </w:p>
        </w:tc>
        <w:tc>
          <w:tcPr>
            <w:tcW w:w="1055" w:type="dxa"/>
            <w:noWrap/>
            <w:hideMark/>
          </w:tcPr>
          <w:p w14:paraId="6B6D21D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5.3</w:t>
            </w:r>
          </w:p>
        </w:tc>
      </w:tr>
      <w:tr w:rsidR="0017338C" w:rsidRPr="00AF5030" w14:paraId="63242C33" w14:textId="77777777" w:rsidTr="0017338C">
        <w:trPr>
          <w:trHeight w:val="300"/>
        </w:trPr>
        <w:tc>
          <w:tcPr>
            <w:tcW w:w="1206" w:type="dxa"/>
            <w:noWrap/>
            <w:hideMark/>
          </w:tcPr>
          <w:p w14:paraId="22F9F14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Austria</w:t>
            </w:r>
          </w:p>
        </w:tc>
        <w:tc>
          <w:tcPr>
            <w:tcW w:w="876" w:type="dxa"/>
            <w:noWrap/>
            <w:hideMark/>
          </w:tcPr>
          <w:p w14:paraId="69A9C9D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11.5</w:t>
            </w:r>
          </w:p>
        </w:tc>
        <w:tc>
          <w:tcPr>
            <w:tcW w:w="1055" w:type="dxa"/>
            <w:noWrap/>
            <w:hideMark/>
          </w:tcPr>
          <w:p w14:paraId="31B04A6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10.9</w:t>
            </w:r>
          </w:p>
        </w:tc>
        <w:tc>
          <w:tcPr>
            <w:tcW w:w="973" w:type="dxa"/>
            <w:noWrap/>
            <w:hideMark/>
          </w:tcPr>
          <w:p w14:paraId="5322B4A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24.1</w:t>
            </w:r>
          </w:p>
        </w:tc>
        <w:tc>
          <w:tcPr>
            <w:tcW w:w="973" w:type="dxa"/>
            <w:noWrap/>
            <w:hideMark/>
          </w:tcPr>
          <w:p w14:paraId="7579015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10.0</w:t>
            </w:r>
          </w:p>
        </w:tc>
        <w:tc>
          <w:tcPr>
            <w:tcW w:w="1055" w:type="dxa"/>
            <w:noWrap/>
            <w:hideMark/>
          </w:tcPr>
          <w:p w14:paraId="3E3674C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71.7</w:t>
            </w:r>
          </w:p>
        </w:tc>
        <w:tc>
          <w:tcPr>
            <w:tcW w:w="1055" w:type="dxa"/>
            <w:noWrap/>
            <w:hideMark/>
          </w:tcPr>
          <w:p w14:paraId="4A2AB30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8.0</w:t>
            </w:r>
          </w:p>
        </w:tc>
      </w:tr>
      <w:tr w:rsidR="0017338C" w:rsidRPr="00AF5030" w14:paraId="146E3CD2" w14:textId="77777777" w:rsidTr="0017338C">
        <w:trPr>
          <w:trHeight w:val="300"/>
        </w:trPr>
        <w:tc>
          <w:tcPr>
            <w:tcW w:w="1206" w:type="dxa"/>
            <w:noWrap/>
            <w:hideMark/>
          </w:tcPr>
          <w:p w14:paraId="7DC093F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Belgium</w:t>
            </w:r>
          </w:p>
        </w:tc>
        <w:tc>
          <w:tcPr>
            <w:tcW w:w="876" w:type="dxa"/>
            <w:noWrap/>
            <w:hideMark/>
          </w:tcPr>
          <w:p w14:paraId="5FFA4D9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12.3</w:t>
            </w:r>
          </w:p>
        </w:tc>
        <w:tc>
          <w:tcPr>
            <w:tcW w:w="1055" w:type="dxa"/>
            <w:noWrap/>
            <w:hideMark/>
          </w:tcPr>
          <w:p w14:paraId="207F7D4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10.9</w:t>
            </w:r>
          </w:p>
        </w:tc>
        <w:tc>
          <w:tcPr>
            <w:tcW w:w="973" w:type="dxa"/>
            <w:noWrap/>
            <w:hideMark/>
          </w:tcPr>
          <w:p w14:paraId="55F634C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32.2</w:t>
            </w:r>
          </w:p>
        </w:tc>
        <w:tc>
          <w:tcPr>
            <w:tcW w:w="973" w:type="dxa"/>
            <w:noWrap/>
            <w:hideMark/>
          </w:tcPr>
          <w:p w14:paraId="6153BFA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w:t>
            </w:r>
          </w:p>
        </w:tc>
        <w:tc>
          <w:tcPr>
            <w:tcW w:w="1055" w:type="dxa"/>
            <w:noWrap/>
            <w:hideMark/>
          </w:tcPr>
          <w:p w14:paraId="64EBA80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71.8</w:t>
            </w:r>
          </w:p>
        </w:tc>
        <w:tc>
          <w:tcPr>
            <w:tcW w:w="1055" w:type="dxa"/>
            <w:noWrap/>
            <w:hideMark/>
          </w:tcPr>
          <w:p w14:paraId="3F9A104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5.3</w:t>
            </w:r>
          </w:p>
        </w:tc>
      </w:tr>
      <w:tr w:rsidR="0017338C" w:rsidRPr="00AF5030" w14:paraId="4B9CF17D" w14:textId="77777777" w:rsidTr="0017338C">
        <w:trPr>
          <w:trHeight w:val="300"/>
        </w:trPr>
        <w:tc>
          <w:tcPr>
            <w:tcW w:w="1206" w:type="dxa"/>
            <w:noWrap/>
            <w:hideMark/>
          </w:tcPr>
          <w:p w14:paraId="6420086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Brazil</w:t>
            </w:r>
          </w:p>
        </w:tc>
        <w:tc>
          <w:tcPr>
            <w:tcW w:w="876" w:type="dxa"/>
            <w:noWrap/>
            <w:hideMark/>
          </w:tcPr>
          <w:p w14:paraId="3BEF0F2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30.1</w:t>
            </w:r>
          </w:p>
        </w:tc>
        <w:tc>
          <w:tcPr>
            <w:tcW w:w="1055" w:type="dxa"/>
            <w:noWrap/>
            <w:hideMark/>
          </w:tcPr>
          <w:p w14:paraId="5D259D7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25.6</w:t>
            </w:r>
          </w:p>
        </w:tc>
        <w:tc>
          <w:tcPr>
            <w:tcW w:w="973" w:type="dxa"/>
            <w:noWrap/>
            <w:hideMark/>
          </w:tcPr>
          <w:p w14:paraId="0717BF7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54.8</w:t>
            </w:r>
          </w:p>
        </w:tc>
        <w:tc>
          <w:tcPr>
            <w:tcW w:w="973" w:type="dxa"/>
            <w:noWrap/>
            <w:hideMark/>
          </w:tcPr>
          <w:p w14:paraId="351835A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23.3</w:t>
            </w:r>
          </w:p>
        </w:tc>
        <w:tc>
          <w:tcPr>
            <w:tcW w:w="1055" w:type="dxa"/>
            <w:noWrap/>
            <w:hideMark/>
          </w:tcPr>
          <w:p w14:paraId="7CCE4AA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83.1</w:t>
            </w:r>
          </w:p>
        </w:tc>
        <w:tc>
          <w:tcPr>
            <w:tcW w:w="1055" w:type="dxa"/>
            <w:noWrap/>
            <w:hideMark/>
          </w:tcPr>
          <w:p w14:paraId="11141CA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20.2</w:t>
            </w:r>
          </w:p>
        </w:tc>
      </w:tr>
      <w:tr w:rsidR="0017338C" w:rsidRPr="00AF5030" w14:paraId="46B4F35B" w14:textId="77777777" w:rsidTr="0017338C">
        <w:trPr>
          <w:trHeight w:val="300"/>
        </w:trPr>
        <w:tc>
          <w:tcPr>
            <w:tcW w:w="1206" w:type="dxa"/>
            <w:noWrap/>
            <w:hideMark/>
          </w:tcPr>
          <w:p w14:paraId="5EE91DA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Canada</w:t>
            </w:r>
          </w:p>
        </w:tc>
        <w:tc>
          <w:tcPr>
            <w:tcW w:w="876" w:type="dxa"/>
            <w:noWrap/>
            <w:hideMark/>
          </w:tcPr>
          <w:p w14:paraId="30246AD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14.2</w:t>
            </w:r>
          </w:p>
        </w:tc>
        <w:tc>
          <w:tcPr>
            <w:tcW w:w="1055" w:type="dxa"/>
            <w:noWrap/>
            <w:hideMark/>
          </w:tcPr>
          <w:p w14:paraId="002275C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12.5</w:t>
            </w:r>
          </w:p>
        </w:tc>
        <w:tc>
          <w:tcPr>
            <w:tcW w:w="973" w:type="dxa"/>
            <w:noWrap/>
            <w:hideMark/>
          </w:tcPr>
          <w:p w14:paraId="450DCA7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46.9</w:t>
            </w:r>
          </w:p>
        </w:tc>
        <w:tc>
          <w:tcPr>
            <w:tcW w:w="973" w:type="dxa"/>
            <w:noWrap/>
            <w:hideMark/>
          </w:tcPr>
          <w:p w14:paraId="3D1DB37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10.3</w:t>
            </w:r>
          </w:p>
        </w:tc>
        <w:tc>
          <w:tcPr>
            <w:tcW w:w="1055" w:type="dxa"/>
            <w:noWrap/>
            <w:hideMark/>
          </w:tcPr>
          <w:p w14:paraId="3779C75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81.2</w:t>
            </w:r>
          </w:p>
        </w:tc>
        <w:tc>
          <w:tcPr>
            <w:tcW w:w="1055" w:type="dxa"/>
            <w:noWrap/>
            <w:hideMark/>
          </w:tcPr>
          <w:p w14:paraId="55E17E3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9.7</w:t>
            </w:r>
          </w:p>
        </w:tc>
      </w:tr>
      <w:tr w:rsidR="0017338C" w:rsidRPr="00AF5030" w14:paraId="10FE2C70" w14:textId="77777777" w:rsidTr="0017338C">
        <w:trPr>
          <w:trHeight w:val="300"/>
        </w:trPr>
        <w:tc>
          <w:tcPr>
            <w:tcW w:w="1206" w:type="dxa"/>
            <w:noWrap/>
            <w:hideMark/>
          </w:tcPr>
          <w:p w14:paraId="26E8B3F1"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Chile</w:t>
            </w:r>
          </w:p>
        </w:tc>
        <w:tc>
          <w:tcPr>
            <w:tcW w:w="876" w:type="dxa"/>
            <w:noWrap/>
            <w:hideMark/>
          </w:tcPr>
          <w:p w14:paraId="484BDBC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21.5</w:t>
            </w:r>
          </w:p>
        </w:tc>
        <w:tc>
          <w:tcPr>
            <w:tcW w:w="1055" w:type="dxa"/>
            <w:noWrap/>
            <w:hideMark/>
          </w:tcPr>
          <w:p w14:paraId="213B0FC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18.9</w:t>
            </w:r>
          </w:p>
        </w:tc>
        <w:tc>
          <w:tcPr>
            <w:tcW w:w="973" w:type="dxa"/>
            <w:noWrap/>
            <w:hideMark/>
          </w:tcPr>
          <w:p w14:paraId="71D803E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42.6</w:t>
            </w:r>
          </w:p>
        </w:tc>
        <w:tc>
          <w:tcPr>
            <w:tcW w:w="973" w:type="dxa"/>
            <w:noWrap/>
            <w:hideMark/>
          </w:tcPr>
          <w:p w14:paraId="071A95E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16.7</w:t>
            </w:r>
          </w:p>
        </w:tc>
        <w:tc>
          <w:tcPr>
            <w:tcW w:w="1055" w:type="dxa"/>
            <w:noWrap/>
            <w:hideMark/>
          </w:tcPr>
          <w:p w14:paraId="21F48E0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73.9</w:t>
            </w:r>
          </w:p>
        </w:tc>
        <w:tc>
          <w:tcPr>
            <w:tcW w:w="1055" w:type="dxa"/>
            <w:noWrap/>
            <w:hideMark/>
          </w:tcPr>
          <w:p w14:paraId="3DF8E88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16.3</w:t>
            </w:r>
          </w:p>
        </w:tc>
      </w:tr>
      <w:tr w:rsidR="0017338C" w:rsidRPr="00AF5030" w14:paraId="1C63A0D4" w14:textId="77777777" w:rsidTr="0017338C">
        <w:trPr>
          <w:trHeight w:val="300"/>
        </w:trPr>
        <w:tc>
          <w:tcPr>
            <w:tcW w:w="1206" w:type="dxa"/>
            <w:noWrap/>
            <w:hideMark/>
          </w:tcPr>
          <w:p w14:paraId="01FB758B"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China</w:t>
            </w:r>
          </w:p>
        </w:tc>
        <w:tc>
          <w:tcPr>
            <w:tcW w:w="876" w:type="dxa"/>
            <w:noWrap/>
            <w:hideMark/>
          </w:tcPr>
          <w:p w14:paraId="26D9197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33.1</w:t>
            </w:r>
          </w:p>
        </w:tc>
        <w:tc>
          <w:tcPr>
            <w:tcW w:w="1055" w:type="dxa"/>
            <w:noWrap/>
            <w:hideMark/>
          </w:tcPr>
          <w:p w14:paraId="71B26DA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28.5</w:t>
            </w:r>
          </w:p>
        </w:tc>
        <w:tc>
          <w:tcPr>
            <w:tcW w:w="973" w:type="dxa"/>
            <w:noWrap/>
            <w:hideMark/>
          </w:tcPr>
          <w:p w14:paraId="6526845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42.3</w:t>
            </w:r>
          </w:p>
        </w:tc>
        <w:tc>
          <w:tcPr>
            <w:tcW w:w="973" w:type="dxa"/>
            <w:noWrap/>
            <w:hideMark/>
          </w:tcPr>
          <w:p w14:paraId="11AF555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27.1</w:t>
            </w:r>
          </w:p>
        </w:tc>
        <w:tc>
          <w:tcPr>
            <w:tcW w:w="1055" w:type="dxa"/>
            <w:noWrap/>
            <w:hideMark/>
          </w:tcPr>
          <w:p w14:paraId="0E6AE29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48.1</w:t>
            </w:r>
          </w:p>
        </w:tc>
        <w:tc>
          <w:tcPr>
            <w:tcW w:w="1055" w:type="dxa"/>
            <w:noWrap/>
            <w:hideMark/>
          </w:tcPr>
          <w:p w14:paraId="3583CD3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27.4</w:t>
            </w:r>
          </w:p>
        </w:tc>
      </w:tr>
      <w:tr w:rsidR="0017338C" w:rsidRPr="00AF5030" w14:paraId="182DDE0D" w14:textId="77777777" w:rsidTr="0017338C">
        <w:trPr>
          <w:trHeight w:val="300"/>
        </w:trPr>
        <w:tc>
          <w:tcPr>
            <w:tcW w:w="1206" w:type="dxa"/>
            <w:noWrap/>
            <w:hideMark/>
          </w:tcPr>
          <w:p w14:paraId="351D9831"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Costa Rica</w:t>
            </w:r>
          </w:p>
        </w:tc>
        <w:tc>
          <w:tcPr>
            <w:tcW w:w="876" w:type="dxa"/>
            <w:noWrap/>
            <w:hideMark/>
          </w:tcPr>
          <w:p w14:paraId="4B646BF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27.5</w:t>
            </w:r>
          </w:p>
        </w:tc>
        <w:tc>
          <w:tcPr>
            <w:tcW w:w="1055" w:type="dxa"/>
            <w:noWrap/>
            <w:hideMark/>
          </w:tcPr>
          <w:p w14:paraId="668EA63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23.4</w:t>
            </w:r>
          </w:p>
        </w:tc>
        <w:tc>
          <w:tcPr>
            <w:tcW w:w="973" w:type="dxa"/>
            <w:noWrap/>
            <w:hideMark/>
          </w:tcPr>
          <w:p w14:paraId="098C654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49.7</w:t>
            </w:r>
          </w:p>
        </w:tc>
        <w:tc>
          <w:tcPr>
            <w:tcW w:w="973" w:type="dxa"/>
            <w:noWrap/>
            <w:hideMark/>
          </w:tcPr>
          <w:p w14:paraId="6A15221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20.9</w:t>
            </w:r>
          </w:p>
        </w:tc>
        <w:tc>
          <w:tcPr>
            <w:tcW w:w="1055" w:type="dxa"/>
            <w:noWrap/>
            <w:hideMark/>
          </w:tcPr>
          <w:p w14:paraId="47C99E0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76.7</w:t>
            </w:r>
          </w:p>
        </w:tc>
        <w:tc>
          <w:tcPr>
            <w:tcW w:w="1055" w:type="dxa"/>
            <w:noWrap/>
            <w:hideMark/>
          </w:tcPr>
          <w:p w14:paraId="1CC04BE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19.8</w:t>
            </w:r>
          </w:p>
        </w:tc>
      </w:tr>
      <w:tr w:rsidR="0017338C" w:rsidRPr="00AF5030" w14:paraId="71ED05AC" w14:textId="77777777" w:rsidTr="0017338C">
        <w:trPr>
          <w:trHeight w:val="300"/>
        </w:trPr>
        <w:tc>
          <w:tcPr>
            <w:tcW w:w="1206" w:type="dxa"/>
            <w:noWrap/>
            <w:hideMark/>
          </w:tcPr>
          <w:p w14:paraId="32AC647A"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Czech Republic</w:t>
            </w:r>
          </w:p>
        </w:tc>
        <w:tc>
          <w:tcPr>
            <w:tcW w:w="876" w:type="dxa"/>
            <w:noWrap/>
            <w:hideMark/>
          </w:tcPr>
          <w:p w14:paraId="1A97684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8.5</w:t>
            </w:r>
          </w:p>
        </w:tc>
        <w:tc>
          <w:tcPr>
            <w:tcW w:w="1055" w:type="dxa"/>
            <w:noWrap/>
            <w:hideMark/>
          </w:tcPr>
          <w:p w14:paraId="3D890C7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7.0</w:t>
            </w:r>
          </w:p>
        </w:tc>
        <w:tc>
          <w:tcPr>
            <w:tcW w:w="973" w:type="dxa"/>
            <w:noWrap/>
            <w:hideMark/>
          </w:tcPr>
          <w:p w14:paraId="4DB1124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32.8</w:t>
            </w:r>
          </w:p>
        </w:tc>
        <w:tc>
          <w:tcPr>
            <w:tcW w:w="973" w:type="dxa"/>
            <w:noWrap/>
            <w:hideMark/>
          </w:tcPr>
          <w:p w14:paraId="1D179CE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w:t>
            </w:r>
          </w:p>
        </w:tc>
        <w:tc>
          <w:tcPr>
            <w:tcW w:w="1055" w:type="dxa"/>
            <w:noWrap/>
            <w:hideMark/>
          </w:tcPr>
          <w:p w14:paraId="2DEAA1E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74.1</w:t>
            </w:r>
          </w:p>
        </w:tc>
        <w:tc>
          <w:tcPr>
            <w:tcW w:w="1055" w:type="dxa"/>
            <w:noWrap/>
            <w:hideMark/>
          </w:tcPr>
          <w:p w14:paraId="1D521B4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4.5</w:t>
            </w:r>
          </w:p>
        </w:tc>
      </w:tr>
      <w:tr w:rsidR="0017338C" w:rsidRPr="00AF5030" w14:paraId="2922505A" w14:textId="77777777" w:rsidTr="0017338C">
        <w:trPr>
          <w:trHeight w:val="300"/>
        </w:trPr>
        <w:tc>
          <w:tcPr>
            <w:tcW w:w="1206" w:type="dxa"/>
            <w:noWrap/>
            <w:hideMark/>
          </w:tcPr>
          <w:p w14:paraId="2CFF8EF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Denmark</w:t>
            </w:r>
          </w:p>
        </w:tc>
        <w:tc>
          <w:tcPr>
            <w:tcW w:w="876" w:type="dxa"/>
            <w:noWrap/>
            <w:hideMark/>
          </w:tcPr>
          <w:p w14:paraId="631D9BA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3.7</w:t>
            </w:r>
          </w:p>
        </w:tc>
        <w:tc>
          <w:tcPr>
            <w:tcW w:w="1055" w:type="dxa"/>
            <w:noWrap/>
            <w:hideMark/>
          </w:tcPr>
          <w:p w14:paraId="01EA7A9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3.0</w:t>
            </w:r>
          </w:p>
        </w:tc>
        <w:tc>
          <w:tcPr>
            <w:tcW w:w="973" w:type="dxa"/>
            <w:noWrap/>
            <w:hideMark/>
          </w:tcPr>
          <w:p w14:paraId="1B6EC46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8.2</w:t>
            </w:r>
          </w:p>
        </w:tc>
        <w:tc>
          <w:tcPr>
            <w:tcW w:w="973" w:type="dxa"/>
            <w:noWrap/>
            <w:hideMark/>
          </w:tcPr>
          <w:p w14:paraId="0371AEC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2.7</w:t>
            </w:r>
          </w:p>
        </w:tc>
        <w:tc>
          <w:tcPr>
            <w:tcW w:w="1055" w:type="dxa"/>
            <w:noWrap/>
            <w:hideMark/>
          </w:tcPr>
          <w:p w14:paraId="3B4B402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31.7</w:t>
            </w:r>
          </w:p>
        </w:tc>
        <w:tc>
          <w:tcPr>
            <w:tcW w:w="1055" w:type="dxa"/>
            <w:noWrap/>
            <w:hideMark/>
          </w:tcPr>
          <w:p w14:paraId="50E981B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w:t>
            </w:r>
          </w:p>
        </w:tc>
      </w:tr>
      <w:tr w:rsidR="0017338C" w:rsidRPr="00AF5030" w14:paraId="405AA3EC" w14:textId="77777777" w:rsidTr="0017338C">
        <w:trPr>
          <w:trHeight w:val="300"/>
        </w:trPr>
        <w:tc>
          <w:tcPr>
            <w:tcW w:w="1206" w:type="dxa"/>
            <w:noWrap/>
            <w:hideMark/>
          </w:tcPr>
          <w:p w14:paraId="247164B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Estonia</w:t>
            </w:r>
          </w:p>
        </w:tc>
        <w:tc>
          <w:tcPr>
            <w:tcW w:w="876" w:type="dxa"/>
            <w:noWrap/>
            <w:hideMark/>
          </w:tcPr>
          <w:p w14:paraId="2D326A8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9.6</w:t>
            </w:r>
          </w:p>
        </w:tc>
        <w:tc>
          <w:tcPr>
            <w:tcW w:w="1055" w:type="dxa"/>
            <w:noWrap/>
            <w:hideMark/>
          </w:tcPr>
          <w:p w14:paraId="022E461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8.8</w:t>
            </w:r>
          </w:p>
        </w:tc>
        <w:tc>
          <w:tcPr>
            <w:tcW w:w="973" w:type="dxa"/>
            <w:noWrap/>
            <w:hideMark/>
          </w:tcPr>
          <w:p w14:paraId="4442BF6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21.6</w:t>
            </w:r>
          </w:p>
        </w:tc>
        <w:tc>
          <w:tcPr>
            <w:tcW w:w="973" w:type="dxa"/>
            <w:noWrap/>
            <w:hideMark/>
          </w:tcPr>
          <w:p w14:paraId="4FB5F2B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7.6</w:t>
            </w:r>
          </w:p>
        </w:tc>
        <w:tc>
          <w:tcPr>
            <w:tcW w:w="1055" w:type="dxa"/>
            <w:noWrap/>
            <w:hideMark/>
          </w:tcPr>
          <w:p w14:paraId="122C4F1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67.6</w:t>
            </w:r>
          </w:p>
        </w:tc>
        <w:tc>
          <w:tcPr>
            <w:tcW w:w="1055" w:type="dxa"/>
            <w:noWrap/>
            <w:hideMark/>
          </w:tcPr>
          <w:p w14:paraId="48E2D03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7.8</w:t>
            </w:r>
          </w:p>
        </w:tc>
      </w:tr>
      <w:tr w:rsidR="0017338C" w:rsidRPr="00AF5030" w14:paraId="003114EB" w14:textId="77777777" w:rsidTr="0017338C">
        <w:trPr>
          <w:trHeight w:val="300"/>
        </w:trPr>
        <w:tc>
          <w:tcPr>
            <w:tcW w:w="1206" w:type="dxa"/>
            <w:noWrap/>
            <w:hideMark/>
          </w:tcPr>
          <w:p w14:paraId="704F7BA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Finland</w:t>
            </w:r>
          </w:p>
        </w:tc>
        <w:tc>
          <w:tcPr>
            <w:tcW w:w="876" w:type="dxa"/>
            <w:noWrap/>
            <w:hideMark/>
          </w:tcPr>
          <w:p w14:paraId="3448D87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3.3</w:t>
            </w:r>
          </w:p>
        </w:tc>
        <w:tc>
          <w:tcPr>
            <w:tcW w:w="1055" w:type="dxa"/>
            <w:noWrap/>
            <w:hideMark/>
          </w:tcPr>
          <w:p w14:paraId="69A4483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2.8</w:t>
            </w:r>
          </w:p>
        </w:tc>
        <w:tc>
          <w:tcPr>
            <w:tcW w:w="973" w:type="dxa"/>
            <w:noWrap/>
            <w:hideMark/>
          </w:tcPr>
          <w:p w14:paraId="5E73EFD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14.9</w:t>
            </w:r>
          </w:p>
        </w:tc>
        <w:tc>
          <w:tcPr>
            <w:tcW w:w="973" w:type="dxa"/>
            <w:noWrap/>
            <w:hideMark/>
          </w:tcPr>
          <w:p w14:paraId="20C45D2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w:t>
            </w:r>
          </w:p>
        </w:tc>
        <w:tc>
          <w:tcPr>
            <w:tcW w:w="1055" w:type="dxa"/>
            <w:noWrap/>
            <w:hideMark/>
          </w:tcPr>
          <w:p w14:paraId="283753E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35.5</w:t>
            </w:r>
          </w:p>
        </w:tc>
        <w:tc>
          <w:tcPr>
            <w:tcW w:w="1055" w:type="dxa"/>
            <w:noWrap/>
            <w:hideMark/>
          </w:tcPr>
          <w:p w14:paraId="6D9B76F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w:t>
            </w:r>
          </w:p>
        </w:tc>
      </w:tr>
      <w:tr w:rsidR="0017338C" w:rsidRPr="00AF5030" w14:paraId="234C5B7A" w14:textId="77777777" w:rsidTr="0017338C">
        <w:trPr>
          <w:trHeight w:val="300"/>
        </w:trPr>
        <w:tc>
          <w:tcPr>
            <w:tcW w:w="1206" w:type="dxa"/>
            <w:noWrap/>
            <w:hideMark/>
          </w:tcPr>
          <w:p w14:paraId="75FC2DA5"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France</w:t>
            </w:r>
          </w:p>
        </w:tc>
        <w:tc>
          <w:tcPr>
            <w:tcW w:w="876" w:type="dxa"/>
            <w:noWrap/>
            <w:hideMark/>
          </w:tcPr>
          <w:p w14:paraId="66700E9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11.5</w:t>
            </w:r>
          </w:p>
        </w:tc>
        <w:tc>
          <w:tcPr>
            <w:tcW w:w="1055" w:type="dxa"/>
            <w:noWrap/>
            <w:hideMark/>
          </w:tcPr>
          <w:p w14:paraId="73EBFA6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9.4</w:t>
            </w:r>
          </w:p>
        </w:tc>
        <w:tc>
          <w:tcPr>
            <w:tcW w:w="973" w:type="dxa"/>
            <w:noWrap/>
            <w:hideMark/>
          </w:tcPr>
          <w:p w14:paraId="3EF191C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25.9</w:t>
            </w:r>
          </w:p>
        </w:tc>
        <w:tc>
          <w:tcPr>
            <w:tcW w:w="973" w:type="dxa"/>
            <w:noWrap/>
            <w:hideMark/>
          </w:tcPr>
          <w:p w14:paraId="5471D1F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6.0</w:t>
            </w:r>
          </w:p>
        </w:tc>
        <w:tc>
          <w:tcPr>
            <w:tcW w:w="1055" w:type="dxa"/>
            <w:noWrap/>
            <w:hideMark/>
          </w:tcPr>
          <w:p w14:paraId="2D90A85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43.2</w:t>
            </w:r>
          </w:p>
        </w:tc>
        <w:tc>
          <w:tcPr>
            <w:tcW w:w="1055" w:type="dxa"/>
            <w:noWrap/>
            <w:hideMark/>
          </w:tcPr>
          <w:p w14:paraId="21966FD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6.9</w:t>
            </w:r>
          </w:p>
        </w:tc>
      </w:tr>
      <w:tr w:rsidR="0017338C" w:rsidRPr="00AF5030" w14:paraId="275AD2A8" w14:textId="77777777" w:rsidTr="0017338C">
        <w:trPr>
          <w:trHeight w:val="300"/>
        </w:trPr>
        <w:tc>
          <w:tcPr>
            <w:tcW w:w="1206" w:type="dxa"/>
            <w:noWrap/>
            <w:hideMark/>
          </w:tcPr>
          <w:p w14:paraId="435E13CA"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Germany</w:t>
            </w:r>
          </w:p>
        </w:tc>
        <w:tc>
          <w:tcPr>
            <w:tcW w:w="876" w:type="dxa"/>
            <w:noWrap/>
            <w:hideMark/>
          </w:tcPr>
          <w:p w14:paraId="0B29F64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12.3</w:t>
            </w:r>
          </w:p>
        </w:tc>
        <w:tc>
          <w:tcPr>
            <w:tcW w:w="1055" w:type="dxa"/>
            <w:noWrap/>
            <w:hideMark/>
          </w:tcPr>
          <w:p w14:paraId="63D945E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10.6</w:t>
            </w:r>
          </w:p>
        </w:tc>
        <w:tc>
          <w:tcPr>
            <w:tcW w:w="973" w:type="dxa"/>
            <w:noWrap/>
            <w:hideMark/>
          </w:tcPr>
          <w:p w14:paraId="215C69E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29.6</w:t>
            </w:r>
          </w:p>
        </w:tc>
        <w:tc>
          <w:tcPr>
            <w:tcW w:w="973" w:type="dxa"/>
            <w:noWrap/>
            <w:hideMark/>
          </w:tcPr>
          <w:p w14:paraId="7158278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7.7</w:t>
            </w:r>
          </w:p>
        </w:tc>
        <w:tc>
          <w:tcPr>
            <w:tcW w:w="1055" w:type="dxa"/>
            <w:noWrap/>
            <w:hideMark/>
          </w:tcPr>
          <w:p w14:paraId="5DF120A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43.3</w:t>
            </w:r>
          </w:p>
        </w:tc>
        <w:tc>
          <w:tcPr>
            <w:tcW w:w="1055" w:type="dxa"/>
            <w:noWrap/>
            <w:hideMark/>
          </w:tcPr>
          <w:p w14:paraId="067DE8D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4.0</w:t>
            </w:r>
          </w:p>
        </w:tc>
      </w:tr>
      <w:tr w:rsidR="0017338C" w:rsidRPr="00AF5030" w14:paraId="54164254" w14:textId="77777777" w:rsidTr="0017338C">
        <w:trPr>
          <w:trHeight w:val="300"/>
        </w:trPr>
        <w:tc>
          <w:tcPr>
            <w:tcW w:w="1206" w:type="dxa"/>
            <w:noWrap/>
            <w:hideMark/>
          </w:tcPr>
          <w:p w14:paraId="62503A3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Greece</w:t>
            </w:r>
          </w:p>
        </w:tc>
        <w:tc>
          <w:tcPr>
            <w:tcW w:w="876" w:type="dxa"/>
            <w:noWrap/>
            <w:hideMark/>
          </w:tcPr>
          <w:p w14:paraId="3AD733B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17.6</w:t>
            </w:r>
          </w:p>
        </w:tc>
        <w:tc>
          <w:tcPr>
            <w:tcW w:w="1055" w:type="dxa"/>
            <w:noWrap/>
            <w:hideMark/>
          </w:tcPr>
          <w:p w14:paraId="6CE8C3F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17.2</w:t>
            </w:r>
          </w:p>
        </w:tc>
        <w:tc>
          <w:tcPr>
            <w:tcW w:w="973" w:type="dxa"/>
            <w:noWrap/>
            <w:hideMark/>
          </w:tcPr>
          <w:p w14:paraId="38B36AB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27.7</w:t>
            </w:r>
          </w:p>
        </w:tc>
        <w:tc>
          <w:tcPr>
            <w:tcW w:w="973" w:type="dxa"/>
            <w:noWrap/>
            <w:hideMark/>
          </w:tcPr>
          <w:p w14:paraId="5611FC7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16.9</w:t>
            </w:r>
          </w:p>
        </w:tc>
        <w:tc>
          <w:tcPr>
            <w:tcW w:w="1055" w:type="dxa"/>
            <w:noWrap/>
            <w:hideMark/>
          </w:tcPr>
          <w:p w14:paraId="0B0F697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63.5</w:t>
            </w:r>
          </w:p>
        </w:tc>
        <w:tc>
          <w:tcPr>
            <w:tcW w:w="1055" w:type="dxa"/>
            <w:noWrap/>
            <w:hideMark/>
          </w:tcPr>
          <w:p w14:paraId="694D432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14.0</w:t>
            </w:r>
          </w:p>
        </w:tc>
      </w:tr>
      <w:tr w:rsidR="0017338C" w:rsidRPr="00AF5030" w14:paraId="259957D6" w14:textId="77777777" w:rsidTr="0017338C">
        <w:trPr>
          <w:trHeight w:val="300"/>
        </w:trPr>
        <w:tc>
          <w:tcPr>
            <w:tcW w:w="1206" w:type="dxa"/>
            <w:noWrap/>
            <w:hideMark/>
          </w:tcPr>
          <w:p w14:paraId="74FB607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Hungary</w:t>
            </w:r>
          </w:p>
        </w:tc>
        <w:tc>
          <w:tcPr>
            <w:tcW w:w="876" w:type="dxa"/>
            <w:noWrap/>
            <w:hideMark/>
          </w:tcPr>
          <w:p w14:paraId="6AB087C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7.7</w:t>
            </w:r>
          </w:p>
        </w:tc>
        <w:tc>
          <w:tcPr>
            <w:tcW w:w="1055" w:type="dxa"/>
            <w:noWrap/>
            <w:hideMark/>
          </w:tcPr>
          <w:p w14:paraId="1156A3E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6.1</w:t>
            </w:r>
          </w:p>
        </w:tc>
        <w:tc>
          <w:tcPr>
            <w:tcW w:w="973" w:type="dxa"/>
            <w:noWrap/>
            <w:hideMark/>
          </w:tcPr>
          <w:p w14:paraId="43DACC5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23.5</w:t>
            </w:r>
          </w:p>
        </w:tc>
        <w:tc>
          <w:tcPr>
            <w:tcW w:w="973" w:type="dxa"/>
            <w:noWrap/>
            <w:hideMark/>
          </w:tcPr>
          <w:p w14:paraId="3BDE871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4.8</w:t>
            </w:r>
          </w:p>
        </w:tc>
        <w:tc>
          <w:tcPr>
            <w:tcW w:w="1055" w:type="dxa"/>
            <w:noWrap/>
            <w:hideMark/>
          </w:tcPr>
          <w:p w14:paraId="62F0600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59.5</w:t>
            </w:r>
          </w:p>
        </w:tc>
        <w:tc>
          <w:tcPr>
            <w:tcW w:w="1055" w:type="dxa"/>
            <w:noWrap/>
            <w:hideMark/>
          </w:tcPr>
          <w:p w14:paraId="3A9FF57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3.7</w:t>
            </w:r>
          </w:p>
        </w:tc>
      </w:tr>
      <w:tr w:rsidR="0017338C" w:rsidRPr="00AF5030" w14:paraId="4EA6EEF9" w14:textId="77777777" w:rsidTr="0017338C">
        <w:trPr>
          <w:trHeight w:val="300"/>
        </w:trPr>
        <w:tc>
          <w:tcPr>
            <w:tcW w:w="1206" w:type="dxa"/>
            <w:noWrap/>
            <w:hideMark/>
          </w:tcPr>
          <w:p w14:paraId="06CB72A7"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Iceland</w:t>
            </w:r>
          </w:p>
        </w:tc>
        <w:tc>
          <w:tcPr>
            <w:tcW w:w="876" w:type="dxa"/>
            <w:noWrap/>
            <w:hideMark/>
          </w:tcPr>
          <w:p w14:paraId="45FA363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5.8</w:t>
            </w:r>
          </w:p>
        </w:tc>
        <w:tc>
          <w:tcPr>
            <w:tcW w:w="1055" w:type="dxa"/>
            <w:noWrap/>
            <w:hideMark/>
          </w:tcPr>
          <w:p w14:paraId="2AFE31F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w:t>
            </w:r>
          </w:p>
        </w:tc>
        <w:tc>
          <w:tcPr>
            <w:tcW w:w="973" w:type="dxa"/>
            <w:noWrap/>
            <w:hideMark/>
          </w:tcPr>
          <w:p w14:paraId="74CEEE9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23.0</w:t>
            </w:r>
          </w:p>
        </w:tc>
        <w:tc>
          <w:tcPr>
            <w:tcW w:w="973" w:type="dxa"/>
            <w:noWrap/>
            <w:hideMark/>
          </w:tcPr>
          <w:p w14:paraId="41A3593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2.8</w:t>
            </w:r>
          </w:p>
        </w:tc>
        <w:tc>
          <w:tcPr>
            <w:tcW w:w="1055" w:type="dxa"/>
            <w:noWrap/>
            <w:hideMark/>
          </w:tcPr>
          <w:p w14:paraId="32A173E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16.5</w:t>
            </w:r>
          </w:p>
        </w:tc>
        <w:tc>
          <w:tcPr>
            <w:tcW w:w="1055" w:type="dxa"/>
            <w:noWrap/>
            <w:hideMark/>
          </w:tcPr>
          <w:p w14:paraId="76E8739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4.7</w:t>
            </w:r>
          </w:p>
        </w:tc>
      </w:tr>
      <w:tr w:rsidR="0017338C" w:rsidRPr="00AF5030" w14:paraId="2D646654" w14:textId="77777777" w:rsidTr="0017338C">
        <w:trPr>
          <w:trHeight w:val="300"/>
        </w:trPr>
        <w:tc>
          <w:tcPr>
            <w:tcW w:w="1206" w:type="dxa"/>
            <w:noWrap/>
            <w:hideMark/>
          </w:tcPr>
          <w:p w14:paraId="752AAA2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Ireland</w:t>
            </w:r>
          </w:p>
        </w:tc>
        <w:tc>
          <w:tcPr>
            <w:tcW w:w="876" w:type="dxa"/>
            <w:noWrap/>
            <w:hideMark/>
          </w:tcPr>
          <w:p w14:paraId="00CFC43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10.0</w:t>
            </w:r>
          </w:p>
        </w:tc>
        <w:tc>
          <w:tcPr>
            <w:tcW w:w="1055" w:type="dxa"/>
            <w:noWrap/>
            <w:hideMark/>
          </w:tcPr>
          <w:p w14:paraId="3DA71E4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w:t>
            </w:r>
          </w:p>
        </w:tc>
        <w:tc>
          <w:tcPr>
            <w:tcW w:w="973" w:type="dxa"/>
            <w:noWrap/>
            <w:hideMark/>
          </w:tcPr>
          <w:p w14:paraId="4F40D79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34.5</w:t>
            </w:r>
          </w:p>
        </w:tc>
        <w:tc>
          <w:tcPr>
            <w:tcW w:w="973" w:type="dxa"/>
            <w:noWrap/>
            <w:hideMark/>
          </w:tcPr>
          <w:p w14:paraId="059BACB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5.4</w:t>
            </w:r>
          </w:p>
        </w:tc>
        <w:tc>
          <w:tcPr>
            <w:tcW w:w="1055" w:type="dxa"/>
            <w:noWrap/>
            <w:hideMark/>
          </w:tcPr>
          <w:p w14:paraId="403D17A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50.8</w:t>
            </w:r>
          </w:p>
        </w:tc>
        <w:tc>
          <w:tcPr>
            <w:tcW w:w="1055" w:type="dxa"/>
            <w:noWrap/>
            <w:hideMark/>
          </w:tcPr>
          <w:p w14:paraId="02C07C1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3.3</w:t>
            </w:r>
          </w:p>
        </w:tc>
      </w:tr>
      <w:tr w:rsidR="0017338C" w:rsidRPr="00AF5030" w14:paraId="095D89A9" w14:textId="77777777" w:rsidTr="0017338C">
        <w:trPr>
          <w:trHeight w:val="300"/>
        </w:trPr>
        <w:tc>
          <w:tcPr>
            <w:tcW w:w="1206" w:type="dxa"/>
            <w:noWrap/>
            <w:hideMark/>
          </w:tcPr>
          <w:p w14:paraId="7FB6694C"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Israel (a)</w:t>
            </w:r>
          </w:p>
        </w:tc>
        <w:tc>
          <w:tcPr>
            <w:tcW w:w="876" w:type="dxa"/>
            <w:noWrap/>
            <w:hideMark/>
          </w:tcPr>
          <w:p w14:paraId="13F2961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23.2</w:t>
            </w:r>
          </w:p>
        </w:tc>
        <w:tc>
          <w:tcPr>
            <w:tcW w:w="1055" w:type="dxa"/>
            <w:noWrap/>
            <w:hideMark/>
          </w:tcPr>
          <w:p w14:paraId="5C742E5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20.1</w:t>
            </w:r>
          </w:p>
        </w:tc>
        <w:tc>
          <w:tcPr>
            <w:tcW w:w="973" w:type="dxa"/>
            <w:noWrap/>
            <w:hideMark/>
          </w:tcPr>
          <w:p w14:paraId="7022BED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31.8</w:t>
            </w:r>
          </w:p>
        </w:tc>
        <w:tc>
          <w:tcPr>
            <w:tcW w:w="973" w:type="dxa"/>
            <w:noWrap/>
            <w:hideMark/>
          </w:tcPr>
          <w:p w14:paraId="7FFFDB8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19.7</w:t>
            </w:r>
          </w:p>
        </w:tc>
        <w:tc>
          <w:tcPr>
            <w:tcW w:w="1055" w:type="dxa"/>
            <w:noWrap/>
            <w:hideMark/>
          </w:tcPr>
          <w:p w14:paraId="159698E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81.6</w:t>
            </w:r>
          </w:p>
        </w:tc>
        <w:tc>
          <w:tcPr>
            <w:tcW w:w="1055" w:type="dxa"/>
            <w:noWrap/>
            <w:hideMark/>
          </w:tcPr>
          <w:p w14:paraId="4D747FF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17.1</w:t>
            </w:r>
          </w:p>
        </w:tc>
      </w:tr>
      <w:tr w:rsidR="0017338C" w:rsidRPr="00AF5030" w14:paraId="7B81BF16" w14:textId="77777777" w:rsidTr="0017338C">
        <w:trPr>
          <w:trHeight w:val="300"/>
        </w:trPr>
        <w:tc>
          <w:tcPr>
            <w:tcW w:w="1206" w:type="dxa"/>
            <w:noWrap/>
            <w:hideMark/>
          </w:tcPr>
          <w:p w14:paraId="6476DFF3"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Italy</w:t>
            </w:r>
          </w:p>
        </w:tc>
        <w:tc>
          <w:tcPr>
            <w:tcW w:w="876" w:type="dxa"/>
            <w:noWrap/>
            <w:hideMark/>
          </w:tcPr>
          <w:p w14:paraId="3F7A590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17.3</w:t>
            </w:r>
          </w:p>
        </w:tc>
        <w:tc>
          <w:tcPr>
            <w:tcW w:w="1055" w:type="dxa"/>
            <w:noWrap/>
            <w:hideMark/>
          </w:tcPr>
          <w:p w14:paraId="53B61CA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16.5</w:t>
            </w:r>
          </w:p>
        </w:tc>
        <w:tc>
          <w:tcPr>
            <w:tcW w:w="973" w:type="dxa"/>
            <w:noWrap/>
            <w:hideMark/>
          </w:tcPr>
          <w:p w14:paraId="0C76654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37.0</w:t>
            </w:r>
          </w:p>
        </w:tc>
        <w:tc>
          <w:tcPr>
            <w:tcW w:w="973" w:type="dxa"/>
            <w:noWrap/>
            <w:hideMark/>
          </w:tcPr>
          <w:p w14:paraId="3518EFA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15.0</w:t>
            </w:r>
          </w:p>
        </w:tc>
        <w:tc>
          <w:tcPr>
            <w:tcW w:w="1055" w:type="dxa"/>
            <w:noWrap/>
            <w:hideMark/>
          </w:tcPr>
          <w:p w14:paraId="18AE816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81.4</w:t>
            </w:r>
          </w:p>
        </w:tc>
        <w:tc>
          <w:tcPr>
            <w:tcW w:w="1055" w:type="dxa"/>
            <w:noWrap/>
            <w:hideMark/>
          </w:tcPr>
          <w:p w14:paraId="79A64A6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14.1</w:t>
            </w:r>
          </w:p>
        </w:tc>
      </w:tr>
      <w:tr w:rsidR="0017338C" w:rsidRPr="00AF5030" w14:paraId="5DC47833" w14:textId="77777777" w:rsidTr="0017338C">
        <w:trPr>
          <w:trHeight w:val="300"/>
        </w:trPr>
        <w:tc>
          <w:tcPr>
            <w:tcW w:w="1206" w:type="dxa"/>
            <w:noWrap/>
            <w:hideMark/>
          </w:tcPr>
          <w:p w14:paraId="3B8CB57D"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Japan</w:t>
            </w:r>
          </w:p>
        </w:tc>
        <w:tc>
          <w:tcPr>
            <w:tcW w:w="876" w:type="dxa"/>
            <w:noWrap/>
            <w:hideMark/>
          </w:tcPr>
          <w:p w14:paraId="201B580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13.9</w:t>
            </w:r>
          </w:p>
        </w:tc>
        <w:tc>
          <w:tcPr>
            <w:tcW w:w="1055" w:type="dxa"/>
            <w:noWrap/>
            <w:hideMark/>
          </w:tcPr>
          <w:p w14:paraId="540DA3D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12.8</w:t>
            </w:r>
          </w:p>
        </w:tc>
        <w:tc>
          <w:tcPr>
            <w:tcW w:w="973" w:type="dxa"/>
            <w:noWrap/>
            <w:hideMark/>
          </w:tcPr>
          <w:p w14:paraId="2A52728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50.8</w:t>
            </w:r>
          </w:p>
        </w:tc>
        <w:tc>
          <w:tcPr>
            <w:tcW w:w="973" w:type="dxa"/>
            <w:noWrap/>
            <w:hideMark/>
          </w:tcPr>
          <w:p w14:paraId="37FF6FB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10.7</w:t>
            </w:r>
          </w:p>
        </w:tc>
        <w:tc>
          <w:tcPr>
            <w:tcW w:w="1055" w:type="dxa"/>
            <w:noWrap/>
            <w:hideMark/>
          </w:tcPr>
          <w:p w14:paraId="5D6DA9C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36.3</w:t>
            </w:r>
          </w:p>
        </w:tc>
        <w:tc>
          <w:tcPr>
            <w:tcW w:w="1055" w:type="dxa"/>
            <w:noWrap/>
            <w:hideMark/>
          </w:tcPr>
          <w:p w14:paraId="5318140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12.5</w:t>
            </w:r>
          </w:p>
        </w:tc>
      </w:tr>
      <w:tr w:rsidR="0017338C" w:rsidRPr="00AF5030" w14:paraId="0DF080D3" w14:textId="77777777" w:rsidTr="0017338C">
        <w:trPr>
          <w:trHeight w:val="300"/>
        </w:trPr>
        <w:tc>
          <w:tcPr>
            <w:tcW w:w="1206" w:type="dxa"/>
            <w:noWrap/>
            <w:hideMark/>
          </w:tcPr>
          <w:p w14:paraId="554436C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Korea</w:t>
            </w:r>
          </w:p>
        </w:tc>
        <w:tc>
          <w:tcPr>
            <w:tcW w:w="876" w:type="dxa"/>
            <w:noWrap/>
            <w:hideMark/>
          </w:tcPr>
          <w:p w14:paraId="34F78DD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15.2</w:t>
            </w:r>
          </w:p>
        </w:tc>
        <w:tc>
          <w:tcPr>
            <w:tcW w:w="1055" w:type="dxa"/>
            <w:noWrap/>
            <w:hideMark/>
          </w:tcPr>
          <w:p w14:paraId="18089D5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14.0</w:t>
            </w:r>
          </w:p>
        </w:tc>
        <w:tc>
          <w:tcPr>
            <w:tcW w:w="973" w:type="dxa"/>
            <w:noWrap/>
            <w:hideMark/>
          </w:tcPr>
          <w:p w14:paraId="1D88C33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56.6</w:t>
            </w:r>
          </w:p>
        </w:tc>
        <w:tc>
          <w:tcPr>
            <w:tcW w:w="973" w:type="dxa"/>
            <w:noWrap/>
            <w:hideMark/>
          </w:tcPr>
          <w:p w14:paraId="22B6AA3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12.9</w:t>
            </w:r>
          </w:p>
        </w:tc>
        <w:tc>
          <w:tcPr>
            <w:tcW w:w="1055" w:type="dxa"/>
            <w:noWrap/>
            <w:hideMark/>
          </w:tcPr>
          <w:p w14:paraId="54ACDC8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57.8</w:t>
            </w:r>
          </w:p>
        </w:tc>
        <w:tc>
          <w:tcPr>
            <w:tcW w:w="1055" w:type="dxa"/>
            <w:noWrap/>
            <w:hideMark/>
          </w:tcPr>
          <w:p w14:paraId="06949A4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13.3</w:t>
            </w:r>
          </w:p>
        </w:tc>
      </w:tr>
      <w:tr w:rsidR="0017338C" w:rsidRPr="00AF5030" w14:paraId="20337C31" w14:textId="77777777" w:rsidTr="0017338C">
        <w:trPr>
          <w:trHeight w:val="300"/>
        </w:trPr>
        <w:tc>
          <w:tcPr>
            <w:tcW w:w="1206" w:type="dxa"/>
            <w:noWrap/>
            <w:hideMark/>
          </w:tcPr>
          <w:p w14:paraId="5E8AD400"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Latvia</w:t>
            </w:r>
          </w:p>
        </w:tc>
        <w:tc>
          <w:tcPr>
            <w:tcW w:w="876" w:type="dxa"/>
            <w:noWrap/>
            <w:hideMark/>
          </w:tcPr>
          <w:p w14:paraId="0EF3EA6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13.2</w:t>
            </w:r>
          </w:p>
        </w:tc>
        <w:tc>
          <w:tcPr>
            <w:tcW w:w="1055" w:type="dxa"/>
            <w:noWrap/>
            <w:hideMark/>
          </w:tcPr>
          <w:p w14:paraId="3E753D0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10.7</w:t>
            </w:r>
          </w:p>
        </w:tc>
        <w:tc>
          <w:tcPr>
            <w:tcW w:w="973" w:type="dxa"/>
            <w:noWrap/>
            <w:hideMark/>
          </w:tcPr>
          <w:p w14:paraId="32B3F35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34.5</w:t>
            </w:r>
          </w:p>
        </w:tc>
        <w:tc>
          <w:tcPr>
            <w:tcW w:w="973" w:type="dxa"/>
            <w:noWrap/>
            <w:hideMark/>
          </w:tcPr>
          <w:p w14:paraId="3C8A2AD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8.3</w:t>
            </w:r>
          </w:p>
        </w:tc>
        <w:tc>
          <w:tcPr>
            <w:tcW w:w="1055" w:type="dxa"/>
            <w:noWrap/>
            <w:hideMark/>
          </w:tcPr>
          <w:p w14:paraId="1B9B423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95.9</w:t>
            </w:r>
          </w:p>
        </w:tc>
        <w:tc>
          <w:tcPr>
            <w:tcW w:w="1055" w:type="dxa"/>
            <w:noWrap/>
            <w:hideMark/>
          </w:tcPr>
          <w:p w14:paraId="2E48215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8.5</w:t>
            </w:r>
          </w:p>
        </w:tc>
      </w:tr>
      <w:tr w:rsidR="0017338C" w:rsidRPr="00AF5030" w14:paraId="3C8A5188" w14:textId="77777777" w:rsidTr="0017338C">
        <w:trPr>
          <w:trHeight w:val="300"/>
        </w:trPr>
        <w:tc>
          <w:tcPr>
            <w:tcW w:w="1206" w:type="dxa"/>
            <w:noWrap/>
            <w:hideMark/>
          </w:tcPr>
          <w:p w14:paraId="7230341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Lithuania</w:t>
            </w:r>
          </w:p>
        </w:tc>
        <w:tc>
          <w:tcPr>
            <w:tcW w:w="876" w:type="dxa"/>
            <w:noWrap/>
            <w:hideMark/>
          </w:tcPr>
          <w:p w14:paraId="3E4C7EA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17.7</w:t>
            </w:r>
          </w:p>
        </w:tc>
        <w:tc>
          <w:tcPr>
            <w:tcW w:w="1055" w:type="dxa"/>
            <w:noWrap/>
            <w:hideMark/>
          </w:tcPr>
          <w:p w14:paraId="17A47E9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14.9</w:t>
            </w:r>
          </w:p>
        </w:tc>
        <w:tc>
          <w:tcPr>
            <w:tcW w:w="973" w:type="dxa"/>
            <w:noWrap/>
            <w:hideMark/>
          </w:tcPr>
          <w:p w14:paraId="1C99A5E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45.8</w:t>
            </w:r>
          </w:p>
        </w:tc>
        <w:tc>
          <w:tcPr>
            <w:tcW w:w="973" w:type="dxa"/>
            <w:noWrap/>
            <w:hideMark/>
          </w:tcPr>
          <w:p w14:paraId="4D7F2F9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10.7</w:t>
            </w:r>
          </w:p>
        </w:tc>
        <w:tc>
          <w:tcPr>
            <w:tcW w:w="1055" w:type="dxa"/>
            <w:noWrap/>
            <w:hideMark/>
          </w:tcPr>
          <w:p w14:paraId="235294E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86.6</w:t>
            </w:r>
          </w:p>
        </w:tc>
        <w:tc>
          <w:tcPr>
            <w:tcW w:w="1055" w:type="dxa"/>
            <w:noWrap/>
            <w:hideMark/>
          </w:tcPr>
          <w:p w14:paraId="3227D10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12.1</w:t>
            </w:r>
          </w:p>
        </w:tc>
      </w:tr>
      <w:tr w:rsidR="0017338C" w:rsidRPr="00AF5030" w14:paraId="1BD3ECFF" w14:textId="77777777" w:rsidTr="0017338C">
        <w:trPr>
          <w:trHeight w:val="300"/>
        </w:trPr>
        <w:tc>
          <w:tcPr>
            <w:tcW w:w="1206" w:type="dxa"/>
            <w:noWrap/>
            <w:hideMark/>
          </w:tcPr>
          <w:p w14:paraId="2166A86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Luxembourg</w:t>
            </w:r>
          </w:p>
        </w:tc>
        <w:tc>
          <w:tcPr>
            <w:tcW w:w="876" w:type="dxa"/>
            <w:noWrap/>
            <w:hideMark/>
          </w:tcPr>
          <w:p w14:paraId="7A570A4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13.0</w:t>
            </w:r>
          </w:p>
        </w:tc>
        <w:tc>
          <w:tcPr>
            <w:tcW w:w="1055" w:type="dxa"/>
            <w:noWrap/>
            <w:hideMark/>
          </w:tcPr>
          <w:p w14:paraId="7832FD1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12.2</w:t>
            </w:r>
          </w:p>
        </w:tc>
        <w:tc>
          <w:tcPr>
            <w:tcW w:w="973" w:type="dxa"/>
            <w:noWrap/>
            <w:hideMark/>
          </w:tcPr>
          <w:p w14:paraId="57255D4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41.1</w:t>
            </w:r>
          </w:p>
        </w:tc>
        <w:tc>
          <w:tcPr>
            <w:tcW w:w="973" w:type="dxa"/>
            <w:noWrap/>
            <w:hideMark/>
          </w:tcPr>
          <w:p w14:paraId="4F7991D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10.7</w:t>
            </w:r>
          </w:p>
        </w:tc>
        <w:tc>
          <w:tcPr>
            <w:tcW w:w="1055" w:type="dxa"/>
            <w:noWrap/>
            <w:hideMark/>
          </w:tcPr>
          <w:p w14:paraId="05DBCAE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67.3</w:t>
            </w:r>
          </w:p>
        </w:tc>
        <w:tc>
          <w:tcPr>
            <w:tcW w:w="1055" w:type="dxa"/>
            <w:noWrap/>
            <w:hideMark/>
          </w:tcPr>
          <w:p w14:paraId="5C03E0C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10.8</w:t>
            </w:r>
          </w:p>
        </w:tc>
      </w:tr>
      <w:tr w:rsidR="0017338C" w:rsidRPr="00AF5030" w14:paraId="7576C475" w14:textId="77777777" w:rsidTr="0017338C">
        <w:trPr>
          <w:trHeight w:val="300"/>
        </w:trPr>
        <w:tc>
          <w:tcPr>
            <w:tcW w:w="1206" w:type="dxa"/>
            <w:noWrap/>
            <w:hideMark/>
          </w:tcPr>
          <w:p w14:paraId="2C37A1EB"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Mexico</w:t>
            </w:r>
          </w:p>
        </w:tc>
        <w:tc>
          <w:tcPr>
            <w:tcW w:w="876" w:type="dxa"/>
            <w:noWrap/>
            <w:hideMark/>
          </w:tcPr>
          <w:p w14:paraId="6D4B7F7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19.8</w:t>
            </w:r>
          </w:p>
        </w:tc>
        <w:tc>
          <w:tcPr>
            <w:tcW w:w="1055" w:type="dxa"/>
            <w:noWrap/>
            <w:hideMark/>
          </w:tcPr>
          <w:p w14:paraId="046538C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17.4</w:t>
            </w:r>
          </w:p>
        </w:tc>
        <w:tc>
          <w:tcPr>
            <w:tcW w:w="973" w:type="dxa"/>
            <w:noWrap/>
            <w:hideMark/>
          </w:tcPr>
          <w:p w14:paraId="3A3F96E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34.7</w:t>
            </w:r>
          </w:p>
        </w:tc>
        <w:tc>
          <w:tcPr>
            <w:tcW w:w="973" w:type="dxa"/>
            <w:noWrap/>
            <w:hideMark/>
          </w:tcPr>
          <w:p w14:paraId="348C5A9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16.3</w:t>
            </w:r>
          </w:p>
        </w:tc>
        <w:tc>
          <w:tcPr>
            <w:tcW w:w="1055" w:type="dxa"/>
            <w:noWrap/>
            <w:hideMark/>
          </w:tcPr>
          <w:p w14:paraId="077BD0F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49.4</w:t>
            </w:r>
          </w:p>
        </w:tc>
        <w:tc>
          <w:tcPr>
            <w:tcW w:w="1055" w:type="dxa"/>
            <w:noWrap/>
            <w:hideMark/>
          </w:tcPr>
          <w:p w14:paraId="340D18A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16.8</w:t>
            </w:r>
          </w:p>
        </w:tc>
      </w:tr>
      <w:tr w:rsidR="0017338C" w:rsidRPr="00AF5030" w14:paraId="272D0654" w14:textId="77777777" w:rsidTr="0017338C">
        <w:trPr>
          <w:trHeight w:val="300"/>
        </w:trPr>
        <w:tc>
          <w:tcPr>
            <w:tcW w:w="1206" w:type="dxa"/>
            <w:noWrap/>
            <w:hideMark/>
          </w:tcPr>
          <w:p w14:paraId="685BB2E3"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Netherlands</w:t>
            </w:r>
          </w:p>
        </w:tc>
        <w:tc>
          <w:tcPr>
            <w:tcW w:w="876" w:type="dxa"/>
            <w:noWrap/>
            <w:hideMark/>
          </w:tcPr>
          <w:p w14:paraId="20EAAE5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10.9</w:t>
            </w:r>
          </w:p>
        </w:tc>
        <w:tc>
          <w:tcPr>
            <w:tcW w:w="1055" w:type="dxa"/>
            <w:noWrap/>
            <w:hideMark/>
          </w:tcPr>
          <w:p w14:paraId="6630284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8.9</w:t>
            </w:r>
          </w:p>
        </w:tc>
        <w:tc>
          <w:tcPr>
            <w:tcW w:w="973" w:type="dxa"/>
            <w:noWrap/>
            <w:hideMark/>
          </w:tcPr>
          <w:p w14:paraId="6087489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29.5</w:t>
            </w:r>
          </w:p>
        </w:tc>
        <w:tc>
          <w:tcPr>
            <w:tcW w:w="973" w:type="dxa"/>
            <w:noWrap/>
            <w:hideMark/>
          </w:tcPr>
          <w:p w14:paraId="40F7FC2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w:t>
            </w:r>
          </w:p>
        </w:tc>
        <w:tc>
          <w:tcPr>
            <w:tcW w:w="1055" w:type="dxa"/>
            <w:noWrap/>
            <w:hideMark/>
          </w:tcPr>
          <w:p w14:paraId="049057D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65.3</w:t>
            </w:r>
          </w:p>
        </w:tc>
        <w:tc>
          <w:tcPr>
            <w:tcW w:w="1055" w:type="dxa"/>
            <w:noWrap/>
            <w:hideMark/>
          </w:tcPr>
          <w:p w14:paraId="308631B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5.4</w:t>
            </w:r>
          </w:p>
        </w:tc>
      </w:tr>
      <w:tr w:rsidR="0017338C" w:rsidRPr="00AF5030" w14:paraId="71158CC9" w14:textId="77777777" w:rsidTr="0017338C">
        <w:trPr>
          <w:trHeight w:val="300"/>
        </w:trPr>
        <w:tc>
          <w:tcPr>
            <w:tcW w:w="1206" w:type="dxa"/>
            <w:noWrap/>
            <w:hideMark/>
          </w:tcPr>
          <w:p w14:paraId="055892B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New Zealand</w:t>
            </w:r>
          </w:p>
        </w:tc>
        <w:tc>
          <w:tcPr>
            <w:tcW w:w="876" w:type="dxa"/>
            <w:noWrap/>
            <w:hideMark/>
          </w:tcPr>
          <w:p w14:paraId="32024EC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14.1</w:t>
            </w:r>
          </w:p>
        </w:tc>
        <w:tc>
          <w:tcPr>
            <w:tcW w:w="1055" w:type="dxa"/>
            <w:noWrap/>
            <w:hideMark/>
          </w:tcPr>
          <w:p w14:paraId="1D94F44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11.3</w:t>
            </w:r>
          </w:p>
        </w:tc>
        <w:tc>
          <w:tcPr>
            <w:tcW w:w="973" w:type="dxa"/>
            <w:noWrap/>
            <w:hideMark/>
          </w:tcPr>
          <w:p w14:paraId="766BDBF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46.1</w:t>
            </w:r>
          </w:p>
        </w:tc>
        <w:tc>
          <w:tcPr>
            <w:tcW w:w="973" w:type="dxa"/>
            <w:noWrap/>
            <w:hideMark/>
          </w:tcPr>
          <w:p w14:paraId="22E1CDC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7.3</w:t>
            </w:r>
          </w:p>
        </w:tc>
        <w:tc>
          <w:tcPr>
            <w:tcW w:w="1055" w:type="dxa"/>
            <w:noWrap/>
            <w:hideMark/>
          </w:tcPr>
          <w:p w14:paraId="4BA0E0C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75.3</w:t>
            </w:r>
          </w:p>
        </w:tc>
        <w:tc>
          <w:tcPr>
            <w:tcW w:w="1055" w:type="dxa"/>
            <w:noWrap/>
            <w:hideMark/>
          </w:tcPr>
          <w:p w14:paraId="75DB173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7.0</w:t>
            </w:r>
          </w:p>
        </w:tc>
      </w:tr>
      <w:tr w:rsidR="0017338C" w:rsidRPr="00AF5030" w14:paraId="76712070" w14:textId="77777777" w:rsidTr="0017338C">
        <w:trPr>
          <w:trHeight w:val="300"/>
        </w:trPr>
        <w:tc>
          <w:tcPr>
            <w:tcW w:w="1206" w:type="dxa"/>
            <w:noWrap/>
            <w:hideMark/>
          </w:tcPr>
          <w:p w14:paraId="62C70110"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Norway</w:t>
            </w:r>
          </w:p>
        </w:tc>
        <w:tc>
          <w:tcPr>
            <w:tcW w:w="876" w:type="dxa"/>
            <w:noWrap/>
            <w:hideMark/>
          </w:tcPr>
          <w:p w14:paraId="0780C15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7.7</w:t>
            </w:r>
          </w:p>
        </w:tc>
        <w:tc>
          <w:tcPr>
            <w:tcW w:w="1055" w:type="dxa"/>
            <w:noWrap/>
            <w:hideMark/>
          </w:tcPr>
          <w:p w14:paraId="718704F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w:t>
            </w:r>
          </w:p>
        </w:tc>
        <w:tc>
          <w:tcPr>
            <w:tcW w:w="973" w:type="dxa"/>
            <w:noWrap/>
            <w:hideMark/>
          </w:tcPr>
          <w:p w14:paraId="63D6856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21.8</w:t>
            </w:r>
          </w:p>
        </w:tc>
        <w:tc>
          <w:tcPr>
            <w:tcW w:w="973" w:type="dxa"/>
            <w:noWrap/>
            <w:hideMark/>
          </w:tcPr>
          <w:p w14:paraId="37C9464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4.2</w:t>
            </w:r>
          </w:p>
        </w:tc>
        <w:tc>
          <w:tcPr>
            <w:tcW w:w="1055" w:type="dxa"/>
            <w:noWrap/>
            <w:hideMark/>
          </w:tcPr>
          <w:p w14:paraId="3F9A7EB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59.0</w:t>
            </w:r>
          </w:p>
        </w:tc>
        <w:tc>
          <w:tcPr>
            <w:tcW w:w="1055" w:type="dxa"/>
            <w:noWrap/>
            <w:hideMark/>
          </w:tcPr>
          <w:p w14:paraId="24FC19A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4.3</w:t>
            </w:r>
          </w:p>
        </w:tc>
      </w:tr>
      <w:tr w:rsidR="0017338C" w:rsidRPr="00AF5030" w14:paraId="0C2D8AB8" w14:textId="77777777" w:rsidTr="0017338C">
        <w:trPr>
          <w:trHeight w:val="300"/>
        </w:trPr>
        <w:tc>
          <w:tcPr>
            <w:tcW w:w="1206" w:type="dxa"/>
            <w:noWrap/>
            <w:hideMark/>
          </w:tcPr>
          <w:p w14:paraId="3E3E7EA4"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Poland</w:t>
            </w:r>
          </w:p>
        </w:tc>
        <w:tc>
          <w:tcPr>
            <w:tcW w:w="876" w:type="dxa"/>
            <w:noWrap/>
            <w:hideMark/>
          </w:tcPr>
          <w:p w14:paraId="7E8D2E6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9.3</w:t>
            </w:r>
          </w:p>
        </w:tc>
        <w:tc>
          <w:tcPr>
            <w:tcW w:w="1055" w:type="dxa"/>
            <w:noWrap/>
            <w:hideMark/>
          </w:tcPr>
          <w:p w14:paraId="0939CA3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w:t>
            </w:r>
          </w:p>
        </w:tc>
        <w:tc>
          <w:tcPr>
            <w:tcW w:w="973" w:type="dxa"/>
            <w:noWrap/>
            <w:hideMark/>
          </w:tcPr>
          <w:p w14:paraId="090F344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16.4</w:t>
            </w:r>
          </w:p>
        </w:tc>
        <w:tc>
          <w:tcPr>
            <w:tcW w:w="973" w:type="dxa"/>
            <w:noWrap/>
            <w:hideMark/>
          </w:tcPr>
          <w:p w14:paraId="2755B6F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8.4</w:t>
            </w:r>
          </w:p>
        </w:tc>
        <w:tc>
          <w:tcPr>
            <w:tcW w:w="1055" w:type="dxa"/>
            <w:noWrap/>
            <w:hideMark/>
          </w:tcPr>
          <w:p w14:paraId="1E59623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60.1</w:t>
            </w:r>
          </w:p>
        </w:tc>
        <w:tc>
          <w:tcPr>
            <w:tcW w:w="1055" w:type="dxa"/>
            <w:noWrap/>
            <w:hideMark/>
          </w:tcPr>
          <w:p w14:paraId="6619F08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7.6</w:t>
            </w:r>
          </w:p>
        </w:tc>
      </w:tr>
      <w:tr w:rsidR="0017338C" w:rsidRPr="00AF5030" w14:paraId="4B686222" w14:textId="77777777" w:rsidTr="0017338C">
        <w:trPr>
          <w:trHeight w:val="300"/>
        </w:trPr>
        <w:tc>
          <w:tcPr>
            <w:tcW w:w="1206" w:type="dxa"/>
            <w:noWrap/>
            <w:hideMark/>
          </w:tcPr>
          <w:p w14:paraId="4A2F6B3E"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Portugal</w:t>
            </w:r>
          </w:p>
        </w:tc>
        <w:tc>
          <w:tcPr>
            <w:tcW w:w="876" w:type="dxa"/>
            <w:noWrap/>
            <w:hideMark/>
          </w:tcPr>
          <w:p w14:paraId="1831FE6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15.5</w:t>
            </w:r>
          </w:p>
        </w:tc>
        <w:tc>
          <w:tcPr>
            <w:tcW w:w="1055" w:type="dxa"/>
            <w:noWrap/>
            <w:hideMark/>
          </w:tcPr>
          <w:p w14:paraId="50FA20F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13.9</w:t>
            </w:r>
          </w:p>
        </w:tc>
        <w:tc>
          <w:tcPr>
            <w:tcW w:w="973" w:type="dxa"/>
            <w:noWrap/>
            <w:hideMark/>
          </w:tcPr>
          <w:p w14:paraId="26D08D1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30.2</w:t>
            </w:r>
          </w:p>
        </w:tc>
        <w:tc>
          <w:tcPr>
            <w:tcW w:w="973" w:type="dxa"/>
            <w:noWrap/>
            <w:hideMark/>
          </w:tcPr>
          <w:p w14:paraId="29C2470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12.8</w:t>
            </w:r>
          </w:p>
        </w:tc>
        <w:tc>
          <w:tcPr>
            <w:tcW w:w="1055" w:type="dxa"/>
            <w:noWrap/>
            <w:hideMark/>
          </w:tcPr>
          <w:p w14:paraId="1D2BF24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80.5</w:t>
            </w:r>
          </w:p>
        </w:tc>
        <w:tc>
          <w:tcPr>
            <w:tcW w:w="1055" w:type="dxa"/>
            <w:noWrap/>
            <w:hideMark/>
          </w:tcPr>
          <w:p w14:paraId="39FA1E4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10.8</w:t>
            </w:r>
          </w:p>
        </w:tc>
      </w:tr>
      <w:tr w:rsidR="0017338C" w:rsidRPr="00AF5030" w14:paraId="17DC2380" w14:textId="77777777" w:rsidTr="0017338C">
        <w:trPr>
          <w:trHeight w:val="300"/>
        </w:trPr>
        <w:tc>
          <w:tcPr>
            <w:tcW w:w="1206" w:type="dxa"/>
            <w:noWrap/>
            <w:hideMark/>
          </w:tcPr>
          <w:p w14:paraId="7E89921B"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Russian Fed.</w:t>
            </w:r>
          </w:p>
        </w:tc>
        <w:tc>
          <w:tcPr>
            <w:tcW w:w="876" w:type="dxa"/>
            <w:noWrap/>
            <w:hideMark/>
          </w:tcPr>
          <w:p w14:paraId="7EB71B4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19.6</w:t>
            </w:r>
          </w:p>
        </w:tc>
        <w:tc>
          <w:tcPr>
            <w:tcW w:w="1055" w:type="dxa"/>
            <w:noWrap/>
            <w:hideMark/>
          </w:tcPr>
          <w:p w14:paraId="519D79C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16.5</w:t>
            </w:r>
          </w:p>
        </w:tc>
        <w:tc>
          <w:tcPr>
            <w:tcW w:w="973" w:type="dxa"/>
            <w:noWrap/>
            <w:hideMark/>
          </w:tcPr>
          <w:p w14:paraId="2155E08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35.0</w:t>
            </w:r>
          </w:p>
        </w:tc>
        <w:tc>
          <w:tcPr>
            <w:tcW w:w="973" w:type="dxa"/>
            <w:noWrap/>
            <w:hideMark/>
          </w:tcPr>
          <w:p w14:paraId="7693399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15.6</w:t>
            </w:r>
          </w:p>
        </w:tc>
        <w:tc>
          <w:tcPr>
            <w:tcW w:w="1055" w:type="dxa"/>
            <w:noWrap/>
            <w:hideMark/>
          </w:tcPr>
          <w:p w14:paraId="09161A1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61.2</w:t>
            </w:r>
          </w:p>
        </w:tc>
        <w:tc>
          <w:tcPr>
            <w:tcW w:w="1055" w:type="dxa"/>
            <w:noWrap/>
            <w:hideMark/>
          </w:tcPr>
          <w:p w14:paraId="2FF2FCE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15.2</w:t>
            </w:r>
          </w:p>
        </w:tc>
      </w:tr>
      <w:tr w:rsidR="0017338C" w:rsidRPr="00AF5030" w14:paraId="618D2887" w14:textId="77777777" w:rsidTr="0017338C">
        <w:trPr>
          <w:trHeight w:val="300"/>
        </w:trPr>
        <w:tc>
          <w:tcPr>
            <w:tcW w:w="1206" w:type="dxa"/>
            <w:noWrap/>
            <w:hideMark/>
          </w:tcPr>
          <w:p w14:paraId="734A9E38"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Slovak Republic</w:t>
            </w:r>
          </w:p>
        </w:tc>
        <w:tc>
          <w:tcPr>
            <w:tcW w:w="876" w:type="dxa"/>
            <w:noWrap/>
            <w:hideMark/>
          </w:tcPr>
          <w:p w14:paraId="10A4B77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14.0</w:t>
            </w:r>
          </w:p>
        </w:tc>
        <w:tc>
          <w:tcPr>
            <w:tcW w:w="1055" w:type="dxa"/>
            <w:noWrap/>
            <w:hideMark/>
          </w:tcPr>
          <w:p w14:paraId="1A1E2F8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11.0</w:t>
            </w:r>
          </w:p>
        </w:tc>
        <w:tc>
          <w:tcPr>
            <w:tcW w:w="973" w:type="dxa"/>
            <w:noWrap/>
            <w:hideMark/>
          </w:tcPr>
          <w:p w14:paraId="131176A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37.3</w:t>
            </w:r>
          </w:p>
        </w:tc>
        <w:tc>
          <w:tcPr>
            <w:tcW w:w="973" w:type="dxa"/>
            <w:noWrap/>
            <w:hideMark/>
          </w:tcPr>
          <w:p w14:paraId="2002ACA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10.2</w:t>
            </w:r>
          </w:p>
        </w:tc>
        <w:tc>
          <w:tcPr>
            <w:tcW w:w="1055" w:type="dxa"/>
            <w:noWrap/>
            <w:hideMark/>
          </w:tcPr>
          <w:p w14:paraId="21A577E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88.9</w:t>
            </w:r>
          </w:p>
        </w:tc>
        <w:tc>
          <w:tcPr>
            <w:tcW w:w="1055" w:type="dxa"/>
            <w:noWrap/>
            <w:hideMark/>
          </w:tcPr>
          <w:p w14:paraId="63F5A37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6.6</w:t>
            </w:r>
          </w:p>
        </w:tc>
      </w:tr>
      <w:tr w:rsidR="0017338C" w:rsidRPr="00AF5030" w14:paraId="3DE8DC6C" w14:textId="77777777" w:rsidTr="0017338C">
        <w:trPr>
          <w:trHeight w:val="300"/>
        </w:trPr>
        <w:tc>
          <w:tcPr>
            <w:tcW w:w="1206" w:type="dxa"/>
            <w:noWrap/>
            <w:hideMark/>
          </w:tcPr>
          <w:p w14:paraId="7F58BF7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lastRenderedPageBreak/>
              <w:t>Slovenia</w:t>
            </w:r>
          </w:p>
        </w:tc>
        <w:tc>
          <w:tcPr>
            <w:tcW w:w="876" w:type="dxa"/>
            <w:noWrap/>
            <w:hideMark/>
          </w:tcPr>
          <w:p w14:paraId="0AB7600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7.1</w:t>
            </w:r>
          </w:p>
        </w:tc>
        <w:tc>
          <w:tcPr>
            <w:tcW w:w="1055" w:type="dxa"/>
            <w:noWrap/>
            <w:hideMark/>
          </w:tcPr>
          <w:p w14:paraId="37EBADC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w:t>
            </w:r>
          </w:p>
        </w:tc>
        <w:tc>
          <w:tcPr>
            <w:tcW w:w="973" w:type="dxa"/>
            <w:noWrap/>
            <w:hideMark/>
          </w:tcPr>
          <w:p w14:paraId="677799B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31.6</w:t>
            </w:r>
          </w:p>
        </w:tc>
        <w:tc>
          <w:tcPr>
            <w:tcW w:w="973" w:type="dxa"/>
            <w:noWrap/>
            <w:hideMark/>
          </w:tcPr>
          <w:p w14:paraId="724FFDA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w:t>
            </w:r>
          </w:p>
        </w:tc>
        <w:tc>
          <w:tcPr>
            <w:tcW w:w="1055" w:type="dxa"/>
            <w:noWrap/>
            <w:hideMark/>
          </w:tcPr>
          <w:p w14:paraId="01C3E90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73.4</w:t>
            </w:r>
          </w:p>
        </w:tc>
        <w:tc>
          <w:tcPr>
            <w:tcW w:w="1055" w:type="dxa"/>
            <w:noWrap/>
            <w:hideMark/>
          </w:tcPr>
          <w:p w14:paraId="53CEC1A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5.3</w:t>
            </w:r>
          </w:p>
        </w:tc>
      </w:tr>
      <w:tr w:rsidR="0017338C" w:rsidRPr="00AF5030" w14:paraId="2BA971DB" w14:textId="77777777" w:rsidTr="0017338C">
        <w:trPr>
          <w:trHeight w:val="300"/>
        </w:trPr>
        <w:tc>
          <w:tcPr>
            <w:tcW w:w="1206" w:type="dxa"/>
            <w:noWrap/>
            <w:hideMark/>
          </w:tcPr>
          <w:p w14:paraId="295CEC29"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South Africa</w:t>
            </w:r>
          </w:p>
        </w:tc>
        <w:tc>
          <w:tcPr>
            <w:tcW w:w="876" w:type="dxa"/>
            <w:noWrap/>
            <w:hideMark/>
          </w:tcPr>
          <w:p w14:paraId="6CDC9AF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32.0</w:t>
            </w:r>
          </w:p>
        </w:tc>
        <w:tc>
          <w:tcPr>
            <w:tcW w:w="1055" w:type="dxa"/>
            <w:noWrap/>
            <w:hideMark/>
          </w:tcPr>
          <w:p w14:paraId="6631C6C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26.7</w:t>
            </w:r>
          </w:p>
        </w:tc>
        <w:tc>
          <w:tcPr>
            <w:tcW w:w="973" w:type="dxa"/>
            <w:noWrap/>
            <w:hideMark/>
          </w:tcPr>
          <w:p w14:paraId="1EA494F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49.8</w:t>
            </w:r>
          </w:p>
        </w:tc>
        <w:tc>
          <w:tcPr>
            <w:tcW w:w="973" w:type="dxa"/>
            <w:noWrap/>
            <w:hideMark/>
          </w:tcPr>
          <w:p w14:paraId="2AF4AB0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23.2</w:t>
            </w:r>
          </w:p>
        </w:tc>
        <w:tc>
          <w:tcPr>
            <w:tcW w:w="1055" w:type="dxa"/>
            <w:noWrap/>
            <w:hideMark/>
          </w:tcPr>
          <w:p w14:paraId="0752858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77.8</w:t>
            </w:r>
          </w:p>
        </w:tc>
        <w:tc>
          <w:tcPr>
            <w:tcW w:w="1055" w:type="dxa"/>
            <w:noWrap/>
            <w:hideMark/>
          </w:tcPr>
          <w:p w14:paraId="03D8B52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11.9</w:t>
            </w:r>
          </w:p>
        </w:tc>
      </w:tr>
      <w:tr w:rsidR="0017338C" w:rsidRPr="00AF5030" w14:paraId="51900E89" w14:textId="77777777" w:rsidTr="0017338C">
        <w:trPr>
          <w:trHeight w:val="300"/>
        </w:trPr>
        <w:tc>
          <w:tcPr>
            <w:tcW w:w="1206" w:type="dxa"/>
            <w:noWrap/>
            <w:hideMark/>
          </w:tcPr>
          <w:p w14:paraId="1E81A13F"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Spain</w:t>
            </w:r>
          </w:p>
        </w:tc>
        <w:tc>
          <w:tcPr>
            <w:tcW w:w="876" w:type="dxa"/>
            <w:noWrap/>
            <w:hideMark/>
          </w:tcPr>
          <w:p w14:paraId="6E13BAB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22.0</w:t>
            </w:r>
          </w:p>
        </w:tc>
        <w:tc>
          <w:tcPr>
            <w:tcW w:w="1055" w:type="dxa"/>
            <w:noWrap/>
            <w:hideMark/>
          </w:tcPr>
          <w:p w14:paraId="05EDD2C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20.1</w:t>
            </w:r>
          </w:p>
        </w:tc>
        <w:tc>
          <w:tcPr>
            <w:tcW w:w="973" w:type="dxa"/>
            <w:noWrap/>
            <w:hideMark/>
          </w:tcPr>
          <w:p w14:paraId="0FBAB6F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40.2</w:t>
            </w:r>
          </w:p>
        </w:tc>
        <w:tc>
          <w:tcPr>
            <w:tcW w:w="973" w:type="dxa"/>
            <w:noWrap/>
            <w:hideMark/>
          </w:tcPr>
          <w:p w14:paraId="0908EEF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19.0</w:t>
            </w:r>
          </w:p>
        </w:tc>
        <w:tc>
          <w:tcPr>
            <w:tcW w:w="1055" w:type="dxa"/>
            <w:noWrap/>
            <w:hideMark/>
          </w:tcPr>
          <w:p w14:paraId="36C3D15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86.8</w:t>
            </w:r>
          </w:p>
        </w:tc>
        <w:tc>
          <w:tcPr>
            <w:tcW w:w="1055" w:type="dxa"/>
            <w:noWrap/>
            <w:hideMark/>
          </w:tcPr>
          <w:p w14:paraId="1142FA7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17.6</w:t>
            </w:r>
          </w:p>
        </w:tc>
      </w:tr>
      <w:tr w:rsidR="0017338C" w:rsidRPr="00AF5030" w14:paraId="0892F16F" w14:textId="77777777" w:rsidTr="0017338C">
        <w:trPr>
          <w:trHeight w:val="300"/>
        </w:trPr>
        <w:tc>
          <w:tcPr>
            <w:tcW w:w="1206" w:type="dxa"/>
            <w:noWrap/>
            <w:hideMark/>
          </w:tcPr>
          <w:p w14:paraId="1E8A6D0C"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Sweden</w:t>
            </w:r>
          </w:p>
        </w:tc>
        <w:tc>
          <w:tcPr>
            <w:tcW w:w="876" w:type="dxa"/>
            <w:noWrap/>
            <w:hideMark/>
          </w:tcPr>
          <w:p w14:paraId="3F861F9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8.9</w:t>
            </w:r>
          </w:p>
        </w:tc>
        <w:tc>
          <w:tcPr>
            <w:tcW w:w="1055" w:type="dxa"/>
            <w:noWrap/>
            <w:hideMark/>
          </w:tcPr>
          <w:p w14:paraId="17764FC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7.4</w:t>
            </w:r>
          </w:p>
        </w:tc>
        <w:tc>
          <w:tcPr>
            <w:tcW w:w="973" w:type="dxa"/>
            <w:noWrap/>
            <w:hideMark/>
          </w:tcPr>
          <w:p w14:paraId="30DF450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25.8</w:t>
            </w:r>
          </w:p>
        </w:tc>
        <w:tc>
          <w:tcPr>
            <w:tcW w:w="973" w:type="dxa"/>
            <w:noWrap/>
            <w:hideMark/>
          </w:tcPr>
          <w:p w14:paraId="00691A08"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4.9</w:t>
            </w:r>
          </w:p>
        </w:tc>
        <w:tc>
          <w:tcPr>
            <w:tcW w:w="1055" w:type="dxa"/>
            <w:noWrap/>
            <w:hideMark/>
          </w:tcPr>
          <w:p w14:paraId="5B18669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77.0</w:t>
            </w:r>
          </w:p>
        </w:tc>
        <w:tc>
          <w:tcPr>
            <w:tcW w:w="1055" w:type="dxa"/>
            <w:noWrap/>
            <w:hideMark/>
          </w:tcPr>
          <w:p w14:paraId="5225A0B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5.0</w:t>
            </w:r>
          </w:p>
        </w:tc>
      </w:tr>
      <w:tr w:rsidR="0017338C" w:rsidRPr="00AF5030" w14:paraId="3B7CF962" w14:textId="77777777" w:rsidTr="0017338C">
        <w:trPr>
          <w:trHeight w:val="300"/>
        </w:trPr>
        <w:tc>
          <w:tcPr>
            <w:tcW w:w="1206" w:type="dxa"/>
            <w:noWrap/>
            <w:hideMark/>
          </w:tcPr>
          <w:p w14:paraId="0844F337"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Turkey</w:t>
            </w:r>
          </w:p>
        </w:tc>
        <w:tc>
          <w:tcPr>
            <w:tcW w:w="876" w:type="dxa"/>
            <w:noWrap/>
            <w:hideMark/>
          </w:tcPr>
          <w:p w14:paraId="583327D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25.3</w:t>
            </w:r>
          </w:p>
        </w:tc>
        <w:tc>
          <w:tcPr>
            <w:tcW w:w="1055" w:type="dxa"/>
            <w:noWrap/>
            <w:hideMark/>
          </w:tcPr>
          <w:p w14:paraId="3D8B8EE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21.4</w:t>
            </w:r>
          </w:p>
        </w:tc>
        <w:tc>
          <w:tcPr>
            <w:tcW w:w="973" w:type="dxa"/>
            <w:noWrap/>
            <w:hideMark/>
          </w:tcPr>
          <w:p w14:paraId="2DF56E0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31.4</w:t>
            </w:r>
          </w:p>
        </w:tc>
        <w:tc>
          <w:tcPr>
            <w:tcW w:w="973" w:type="dxa"/>
            <w:noWrap/>
            <w:hideMark/>
          </w:tcPr>
          <w:p w14:paraId="3B8A30DF"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21.3</w:t>
            </w:r>
          </w:p>
        </w:tc>
        <w:tc>
          <w:tcPr>
            <w:tcW w:w="1055" w:type="dxa"/>
            <w:noWrap/>
            <w:hideMark/>
          </w:tcPr>
          <w:p w14:paraId="3F81B54D"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51.6</w:t>
            </w:r>
          </w:p>
        </w:tc>
        <w:tc>
          <w:tcPr>
            <w:tcW w:w="1055" w:type="dxa"/>
            <w:noWrap/>
            <w:hideMark/>
          </w:tcPr>
          <w:p w14:paraId="6E15201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19.1</w:t>
            </w:r>
          </w:p>
        </w:tc>
      </w:tr>
      <w:tr w:rsidR="0017338C" w:rsidRPr="00AF5030" w14:paraId="75352948" w14:textId="77777777" w:rsidTr="0017338C">
        <w:trPr>
          <w:trHeight w:val="300"/>
        </w:trPr>
        <w:tc>
          <w:tcPr>
            <w:tcW w:w="1206" w:type="dxa"/>
            <w:noWrap/>
            <w:hideMark/>
          </w:tcPr>
          <w:p w14:paraId="4477F52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United Kingdom</w:t>
            </w:r>
          </w:p>
        </w:tc>
        <w:tc>
          <w:tcPr>
            <w:tcW w:w="876" w:type="dxa"/>
            <w:noWrap/>
            <w:hideMark/>
          </w:tcPr>
          <w:p w14:paraId="490496C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11.8</w:t>
            </w:r>
          </w:p>
        </w:tc>
        <w:tc>
          <w:tcPr>
            <w:tcW w:w="1055" w:type="dxa"/>
            <w:noWrap/>
            <w:hideMark/>
          </w:tcPr>
          <w:p w14:paraId="5018762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10.5</w:t>
            </w:r>
          </w:p>
        </w:tc>
        <w:tc>
          <w:tcPr>
            <w:tcW w:w="973" w:type="dxa"/>
            <w:noWrap/>
            <w:hideMark/>
          </w:tcPr>
          <w:p w14:paraId="5579A2A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23.2</w:t>
            </w:r>
          </w:p>
        </w:tc>
        <w:tc>
          <w:tcPr>
            <w:tcW w:w="973" w:type="dxa"/>
            <w:noWrap/>
            <w:hideMark/>
          </w:tcPr>
          <w:p w14:paraId="36622E3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8.6</w:t>
            </w:r>
          </w:p>
        </w:tc>
        <w:tc>
          <w:tcPr>
            <w:tcW w:w="1055" w:type="dxa"/>
            <w:noWrap/>
            <w:hideMark/>
          </w:tcPr>
          <w:p w14:paraId="6F931737"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39.2</w:t>
            </w:r>
          </w:p>
        </w:tc>
        <w:tc>
          <w:tcPr>
            <w:tcW w:w="1055" w:type="dxa"/>
            <w:noWrap/>
            <w:hideMark/>
          </w:tcPr>
          <w:p w14:paraId="78EE9E20"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7.0</w:t>
            </w:r>
          </w:p>
        </w:tc>
      </w:tr>
      <w:tr w:rsidR="0017338C" w:rsidRPr="00AF5030" w14:paraId="7206F2BF" w14:textId="77777777" w:rsidTr="0017338C">
        <w:trPr>
          <w:trHeight w:val="300"/>
        </w:trPr>
        <w:tc>
          <w:tcPr>
            <w:tcW w:w="1206" w:type="dxa"/>
            <w:noWrap/>
            <w:hideMark/>
          </w:tcPr>
          <w:p w14:paraId="137DB282"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United States</w:t>
            </w:r>
          </w:p>
        </w:tc>
        <w:tc>
          <w:tcPr>
            <w:tcW w:w="876" w:type="dxa"/>
            <w:noWrap/>
            <w:hideMark/>
          </w:tcPr>
          <w:p w14:paraId="5835E8B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20.9</w:t>
            </w:r>
          </w:p>
        </w:tc>
        <w:tc>
          <w:tcPr>
            <w:tcW w:w="1055" w:type="dxa"/>
            <w:noWrap/>
            <w:hideMark/>
          </w:tcPr>
          <w:p w14:paraId="272E6763"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18.2</w:t>
            </w:r>
          </w:p>
        </w:tc>
        <w:tc>
          <w:tcPr>
            <w:tcW w:w="973" w:type="dxa"/>
            <w:noWrap/>
            <w:hideMark/>
          </w:tcPr>
          <w:p w14:paraId="3A411AC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46.3</w:t>
            </w:r>
          </w:p>
        </w:tc>
        <w:tc>
          <w:tcPr>
            <w:tcW w:w="973" w:type="dxa"/>
            <w:noWrap/>
            <w:hideMark/>
          </w:tcPr>
          <w:p w14:paraId="6EAE2281"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14.6</w:t>
            </w:r>
          </w:p>
        </w:tc>
        <w:tc>
          <w:tcPr>
            <w:tcW w:w="1055" w:type="dxa"/>
            <w:noWrap/>
            <w:hideMark/>
          </w:tcPr>
          <w:p w14:paraId="296EAE9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74.5</w:t>
            </w:r>
          </w:p>
        </w:tc>
        <w:tc>
          <w:tcPr>
            <w:tcW w:w="1055" w:type="dxa"/>
            <w:noWrap/>
            <w:hideMark/>
          </w:tcPr>
          <w:p w14:paraId="162DB1B4"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14.2</w:t>
            </w:r>
          </w:p>
        </w:tc>
      </w:tr>
      <w:tr w:rsidR="0017338C" w:rsidRPr="00AF5030" w14:paraId="380AB267" w14:textId="77777777" w:rsidTr="0017338C">
        <w:trPr>
          <w:trHeight w:val="300"/>
        </w:trPr>
        <w:tc>
          <w:tcPr>
            <w:tcW w:w="1206" w:type="dxa"/>
            <w:noWrap/>
            <w:hideMark/>
          </w:tcPr>
          <w:p w14:paraId="0F9B779C" w14:textId="77777777" w:rsidR="0017338C" w:rsidRPr="00AF5030" w:rsidRDefault="0017338C" w:rsidP="0017338C">
            <w:pPr>
              <w:jc w:val="center"/>
              <w:rPr>
                <w:rFonts w:asciiTheme="minorHAnsi" w:eastAsia="Times New Roman" w:hAnsiTheme="minorHAnsi" w:cs="Times New Roman"/>
                <w:color w:val="000000"/>
                <w:szCs w:val="24"/>
                <w:lang w:eastAsia="en-GB"/>
              </w:rPr>
            </w:pPr>
          </w:p>
        </w:tc>
        <w:tc>
          <w:tcPr>
            <w:tcW w:w="876" w:type="dxa"/>
            <w:noWrap/>
            <w:hideMark/>
          </w:tcPr>
          <w:p w14:paraId="5A4856A4" w14:textId="77777777" w:rsidR="0017338C" w:rsidRPr="00AF5030" w:rsidRDefault="0017338C" w:rsidP="0017338C">
            <w:pPr>
              <w:rPr>
                <w:rFonts w:asciiTheme="minorHAnsi" w:eastAsia="Times New Roman" w:hAnsiTheme="minorHAnsi" w:cs="Times New Roman"/>
                <w:szCs w:val="24"/>
                <w:lang w:eastAsia="en-GB"/>
              </w:rPr>
            </w:pPr>
          </w:p>
        </w:tc>
        <w:tc>
          <w:tcPr>
            <w:tcW w:w="1055" w:type="dxa"/>
            <w:noWrap/>
            <w:hideMark/>
          </w:tcPr>
          <w:p w14:paraId="2430A98C"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 </w:t>
            </w:r>
          </w:p>
        </w:tc>
        <w:tc>
          <w:tcPr>
            <w:tcW w:w="973" w:type="dxa"/>
            <w:noWrap/>
            <w:hideMark/>
          </w:tcPr>
          <w:p w14:paraId="79E51CC6"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 </w:t>
            </w:r>
          </w:p>
        </w:tc>
        <w:tc>
          <w:tcPr>
            <w:tcW w:w="973" w:type="dxa"/>
            <w:noWrap/>
            <w:hideMark/>
          </w:tcPr>
          <w:p w14:paraId="658DCB9E"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 </w:t>
            </w:r>
          </w:p>
        </w:tc>
        <w:tc>
          <w:tcPr>
            <w:tcW w:w="1055" w:type="dxa"/>
            <w:hideMark/>
          </w:tcPr>
          <w:p w14:paraId="0BC957A0"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tc>
        <w:tc>
          <w:tcPr>
            <w:tcW w:w="1055" w:type="dxa"/>
            <w:hideMark/>
          </w:tcPr>
          <w:p w14:paraId="463345D4" w14:textId="77777777" w:rsidR="0017338C" w:rsidRPr="00AF5030" w:rsidRDefault="0017338C" w:rsidP="0017338C">
            <w:pPr>
              <w:rPr>
                <w:rFonts w:asciiTheme="minorHAnsi" w:eastAsia="Times New Roman" w:hAnsiTheme="minorHAnsi" w:cs="Times New Roman"/>
                <w:szCs w:val="24"/>
                <w:lang w:eastAsia="en-GB"/>
              </w:rPr>
            </w:pPr>
            <w:r w:rsidRPr="00AF5030">
              <w:rPr>
                <w:rFonts w:asciiTheme="minorHAnsi" w:eastAsia="Times New Roman" w:hAnsiTheme="minorHAnsi" w:cs="Times New Roman"/>
                <w:szCs w:val="24"/>
                <w:lang w:eastAsia="en-GB"/>
              </w:rPr>
              <w:t> </w:t>
            </w:r>
          </w:p>
        </w:tc>
      </w:tr>
      <w:tr w:rsidR="0017338C" w:rsidRPr="00AF5030" w14:paraId="1AF522F3" w14:textId="77777777" w:rsidTr="0017338C">
        <w:trPr>
          <w:trHeight w:val="300"/>
        </w:trPr>
        <w:tc>
          <w:tcPr>
            <w:tcW w:w="1206" w:type="dxa"/>
            <w:noWrap/>
            <w:hideMark/>
          </w:tcPr>
          <w:p w14:paraId="0D6AF1D6" w14:textId="77777777" w:rsidR="0017338C" w:rsidRPr="00AF5030" w:rsidRDefault="0017338C" w:rsidP="0017338C">
            <w:pP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OECD average</w:t>
            </w:r>
          </w:p>
        </w:tc>
        <w:tc>
          <w:tcPr>
            <w:tcW w:w="876" w:type="dxa"/>
            <w:noWrap/>
            <w:hideMark/>
          </w:tcPr>
          <w:p w14:paraId="5ACC5F1B"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13.1</w:t>
            </w:r>
          </w:p>
        </w:tc>
        <w:tc>
          <w:tcPr>
            <w:tcW w:w="1055" w:type="dxa"/>
            <w:noWrap/>
            <w:hideMark/>
          </w:tcPr>
          <w:p w14:paraId="6D6969C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11.6</w:t>
            </w:r>
          </w:p>
        </w:tc>
        <w:tc>
          <w:tcPr>
            <w:tcW w:w="973" w:type="dxa"/>
            <w:noWrap/>
            <w:hideMark/>
          </w:tcPr>
          <w:p w14:paraId="000B980A"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32.5</w:t>
            </w:r>
          </w:p>
        </w:tc>
        <w:tc>
          <w:tcPr>
            <w:tcW w:w="973" w:type="dxa"/>
            <w:noWrap/>
            <w:hideMark/>
          </w:tcPr>
          <w:p w14:paraId="57D479A5"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9.8</w:t>
            </w:r>
          </w:p>
        </w:tc>
        <w:tc>
          <w:tcPr>
            <w:tcW w:w="1055" w:type="dxa"/>
            <w:noWrap/>
            <w:hideMark/>
          </w:tcPr>
          <w:p w14:paraId="0D4B89C2"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63.9</w:t>
            </w:r>
          </w:p>
        </w:tc>
        <w:tc>
          <w:tcPr>
            <w:tcW w:w="1055" w:type="dxa"/>
            <w:noWrap/>
            <w:hideMark/>
          </w:tcPr>
          <w:p w14:paraId="25F09E49" w14:textId="77777777" w:rsidR="0017338C" w:rsidRPr="00AF5030" w:rsidRDefault="0017338C" w:rsidP="0017338C">
            <w:pPr>
              <w:jc w:val="center"/>
              <w:rPr>
                <w:rFonts w:asciiTheme="minorHAnsi" w:eastAsia="Times New Roman" w:hAnsiTheme="minorHAnsi" w:cs="Times New Roman"/>
                <w:color w:val="000000"/>
                <w:szCs w:val="24"/>
                <w:lang w:eastAsia="en-GB"/>
              </w:rPr>
            </w:pPr>
            <w:r w:rsidRPr="00AF5030">
              <w:rPr>
                <w:rFonts w:asciiTheme="minorHAnsi" w:eastAsia="Times New Roman" w:hAnsiTheme="minorHAnsi" w:cs="Times New Roman"/>
                <w:color w:val="000000"/>
                <w:szCs w:val="24"/>
                <w:lang w:eastAsia="en-GB"/>
              </w:rPr>
              <w:t>8.9</w:t>
            </w:r>
          </w:p>
        </w:tc>
      </w:tr>
    </w:tbl>
    <w:p w14:paraId="42C083BC" w14:textId="7F7DD87D" w:rsidR="0017338C" w:rsidRPr="00AF5030" w:rsidRDefault="0017338C">
      <w:pPr>
        <w:rPr>
          <w:rFonts w:asciiTheme="minorHAnsi" w:hAnsiTheme="minorHAnsi"/>
          <w:szCs w:val="24"/>
        </w:rPr>
      </w:pPr>
      <w:r w:rsidRPr="00AF5030">
        <w:rPr>
          <w:rFonts w:asciiTheme="minorHAnsi" w:hAnsiTheme="minorHAnsi"/>
          <w:szCs w:val="24"/>
        </w:rPr>
        <w:t>Source OECD Family data base Charts CO2.2.A, C and D</w:t>
      </w:r>
    </w:p>
    <w:p w14:paraId="19E733B1" w14:textId="55B6BF94" w:rsidR="00CA02D9" w:rsidRPr="00AF5030" w:rsidRDefault="00CA02D9">
      <w:pPr>
        <w:rPr>
          <w:rFonts w:asciiTheme="minorHAnsi" w:hAnsiTheme="minorHAnsi"/>
          <w:szCs w:val="24"/>
        </w:rPr>
      </w:pPr>
    </w:p>
    <w:p w14:paraId="5EE06608" w14:textId="44F99A9B" w:rsidR="00CA02D9" w:rsidRPr="00AF5030" w:rsidRDefault="006E22B5">
      <w:pPr>
        <w:rPr>
          <w:rFonts w:asciiTheme="minorHAnsi" w:hAnsiTheme="minorHAnsi"/>
          <w:b/>
          <w:bCs/>
          <w:szCs w:val="24"/>
        </w:rPr>
      </w:pPr>
      <w:r w:rsidRPr="00AF5030">
        <w:rPr>
          <w:rFonts w:asciiTheme="minorHAnsi" w:hAnsiTheme="minorHAnsi"/>
          <w:b/>
          <w:bCs/>
          <w:szCs w:val="24"/>
        </w:rPr>
        <w:t>DISCUSSION</w:t>
      </w:r>
    </w:p>
    <w:p w14:paraId="36AD17FB" w14:textId="297DD2B3" w:rsidR="006E22B5" w:rsidRPr="00AF5030" w:rsidRDefault="006E22B5">
      <w:pPr>
        <w:rPr>
          <w:rFonts w:asciiTheme="minorHAnsi" w:hAnsiTheme="minorHAnsi"/>
          <w:b/>
          <w:bCs/>
          <w:szCs w:val="24"/>
        </w:rPr>
      </w:pPr>
    </w:p>
    <w:p w14:paraId="5B08E0B0" w14:textId="35ED5063" w:rsidR="006E22B5" w:rsidRPr="00AF5030" w:rsidRDefault="006E22B5">
      <w:pPr>
        <w:rPr>
          <w:rFonts w:asciiTheme="minorHAnsi" w:hAnsiTheme="minorHAnsi"/>
          <w:szCs w:val="24"/>
        </w:rPr>
      </w:pPr>
      <w:r w:rsidRPr="00AF5030">
        <w:rPr>
          <w:rFonts w:asciiTheme="minorHAnsi" w:hAnsiTheme="minorHAnsi"/>
          <w:szCs w:val="24"/>
        </w:rPr>
        <w:t>There is pretty clear and consistent evidence here that for a rich country the US has unusually high child poverty rates</w:t>
      </w:r>
      <w:r w:rsidR="00BE193B">
        <w:rPr>
          <w:rFonts w:asciiTheme="minorHAnsi" w:hAnsiTheme="minorHAnsi"/>
          <w:szCs w:val="24"/>
        </w:rPr>
        <w:t>,</w:t>
      </w:r>
      <w:r w:rsidRPr="00AF5030">
        <w:rPr>
          <w:rFonts w:asciiTheme="minorHAnsi" w:hAnsiTheme="minorHAnsi"/>
          <w:szCs w:val="24"/>
        </w:rPr>
        <w:t xml:space="preserve"> whichever poverty threshold is used. Why is this? There are a variety of national characteristics that could explain this finding – demographic, labour market, the earnings structure and social policies. We can rule out quite a number of these factors. Labour demand has been quite buoyant in the US in recent years (and before the C-19 epidemic) with high levels of male and female employment and low unemployment. Hours worked in the US is much higher than in European countries and the minimum wage is also comparatively high. Single parent families are</w:t>
      </w:r>
      <w:r w:rsidR="00BE193B">
        <w:rPr>
          <w:rFonts w:asciiTheme="minorHAnsi" w:hAnsiTheme="minorHAnsi"/>
          <w:szCs w:val="24"/>
        </w:rPr>
        <w:t xml:space="preserve"> more </w:t>
      </w:r>
      <w:r w:rsidRPr="00AF5030">
        <w:rPr>
          <w:rFonts w:asciiTheme="minorHAnsi" w:hAnsiTheme="minorHAnsi"/>
          <w:szCs w:val="24"/>
        </w:rPr>
        <w:t xml:space="preserve"> common is the </w:t>
      </w:r>
      <w:r w:rsidR="004E21C3" w:rsidRPr="00AF5030">
        <w:rPr>
          <w:rFonts w:asciiTheme="minorHAnsi" w:hAnsiTheme="minorHAnsi"/>
          <w:szCs w:val="24"/>
        </w:rPr>
        <w:t>US but not as high or very different to some European countries.</w:t>
      </w:r>
      <w:r w:rsidR="00F72AB6">
        <w:rPr>
          <w:rStyle w:val="FootnoteReference"/>
          <w:rFonts w:asciiTheme="minorHAnsi" w:hAnsiTheme="minorHAnsi"/>
          <w:szCs w:val="24"/>
        </w:rPr>
        <w:footnoteReference w:id="7"/>
      </w:r>
      <w:r w:rsidR="004E21C3" w:rsidRPr="00AF5030">
        <w:rPr>
          <w:rFonts w:asciiTheme="minorHAnsi" w:hAnsiTheme="minorHAnsi"/>
          <w:szCs w:val="24"/>
        </w:rPr>
        <w:t xml:space="preserve"> Fertility is comparatively high but not exceptionally different to some European countries and it is very unlikely that these differences </w:t>
      </w:r>
      <w:r w:rsidR="00BE193B">
        <w:rPr>
          <w:rFonts w:asciiTheme="minorHAnsi" w:hAnsiTheme="minorHAnsi"/>
          <w:szCs w:val="24"/>
        </w:rPr>
        <w:t xml:space="preserve">in child poverty </w:t>
      </w:r>
      <w:r w:rsidR="004E21C3" w:rsidRPr="00AF5030">
        <w:rPr>
          <w:rFonts w:asciiTheme="minorHAnsi" w:hAnsiTheme="minorHAnsi"/>
          <w:szCs w:val="24"/>
        </w:rPr>
        <w:t>could be driven by family size or structure.</w:t>
      </w:r>
    </w:p>
    <w:p w14:paraId="0CCD837B" w14:textId="4339C659" w:rsidR="004E21C3" w:rsidRPr="00AF5030" w:rsidRDefault="004E21C3">
      <w:pPr>
        <w:rPr>
          <w:rFonts w:asciiTheme="minorHAnsi" w:hAnsiTheme="minorHAnsi"/>
          <w:szCs w:val="24"/>
        </w:rPr>
      </w:pPr>
    </w:p>
    <w:p w14:paraId="1A7B14CF" w14:textId="6D7AE149" w:rsidR="004E21C3" w:rsidRPr="00AF5030" w:rsidRDefault="004E21C3">
      <w:pPr>
        <w:rPr>
          <w:rFonts w:asciiTheme="minorHAnsi" w:hAnsiTheme="minorHAnsi"/>
          <w:szCs w:val="24"/>
        </w:rPr>
      </w:pPr>
      <w:r w:rsidRPr="00AF5030">
        <w:rPr>
          <w:rFonts w:asciiTheme="minorHAnsi" w:hAnsiTheme="minorHAnsi"/>
          <w:szCs w:val="24"/>
        </w:rPr>
        <w:t xml:space="preserve">What is clearly to blame is social policy. What makes the difference is the lack of family benefits </w:t>
      </w:r>
      <w:r w:rsidR="00BE193B">
        <w:rPr>
          <w:rFonts w:asciiTheme="minorHAnsi" w:hAnsiTheme="minorHAnsi"/>
          <w:szCs w:val="24"/>
        </w:rPr>
        <w:t xml:space="preserve">- </w:t>
      </w:r>
      <w:r w:rsidRPr="00AF5030">
        <w:rPr>
          <w:rFonts w:asciiTheme="minorHAnsi" w:hAnsiTheme="minorHAnsi"/>
          <w:szCs w:val="24"/>
        </w:rPr>
        <w:t xml:space="preserve">cash transfers that in other countries contribute to reducing the child poverty rates that would exist if families just relied on market income. We have already seen some evidence to support this conclusion in Figure 1 – the US has very low spending as a proportion of its GDP on family benefits. Further evidence comes from comparative analysis of the value and structure of </w:t>
      </w:r>
      <w:r w:rsidR="00B22A73" w:rsidRPr="00AF5030">
        <w:rPr>
          <w:rFonts w:asciiTheme="minorHAnsi" w:hAnsiTheme="minorHAnsi"/>
          <w:szCs w:val="24"/>
        </w:rPr>
        <w:t xml:space="preserve">family benefits. The US has never had the universal tax funded child benefit that exists in most European countries. It did have a means-tested child benefit in the form of Aid to Families with Dependent Children (AFDC) but it was abolished. The only help that poor families can get of this kind is from the food stamps programme (SNAP) which is highly variable across states. One innovation which </w:t>
      </w:r>
      <w:r w:rsidR="00BE193B">
        <w:rPr>
          <w:rFonts w:asciiTheme="minorHAnsi" w:hAnsiTheme="minorHAnsi"/>
          <w:szCs w:val="24"/>
        </w:rPr>
        <w:t xml:space="preserve">has been </w:t>
      </w:r>
      <w:r w:rsidR="00B22A73" w:rsidRPr="00AF5030">
        <w:rPr>
          <w:rFonts w:asciiTheme="minorHAnsi" w:hAnsiTheme="minorHAnsi"/>
          <w:szCs w:val="24"/>
        </w:rPr>
        <w:t xml:space="preserve">of great help to working families with children was </w:t>
      </w:r>
      <w:r w:rsidR="00FB536F" w:rsidRPr="00AF5030">
        <w:rPr>
          <w:rFonts w:asciiTheme="minorHAnsi" w:hAnsiTheme="minorHAnsi"/>
          <w:szCs w:val="24"/>
        </w:rPr>
        <w:t xml:space="preserve">the introduction of </w:t>
      </w:r>
      <w:r w:rsidR="00B22A73" w:rsidRPr="00AF5030">
        <w:rPr>
          <w:rFonts w:asciiTheme="minorHAnsi" w:hAnsiTheme="minorHAnsi"/>
          <w:szCs w:val="24"/>
        </w:rPr>
        <w:t>Earned Income Tax Credits</w:t>
      </w:r>
      <w:r w:rsidR="00BE193B">
        <w:rPr>
          <w:rFonts w:asciiTheme="minorHAnsi" w:hAnsiTheme="minorHAnsi"/>
          <w:szCs w:val="24"/>
        </w:rPr>
        <w:t>,</w:t>
      </w:r>
      <w:r w:rsidR="00B22A73" w:rsidRPr="00AF5030">
        <w:rPr>
          <w:rFonts w:asciiTheme="minorHAnsi" w:hAnsiTheme="minorHAnsi"/>
          <w:szCs w:val="24"/>
        </w:rPr>
        <w:t xml:space="preserve"> </w:t>
      </w:r>
      <w:r w:rsidR="00FB536F" w:rsidRPr="00AF5030">
        <w:rPr>
          <w:rFonts w:asciiTheme="minorHAnsi" w:hAnsiTheme="minorHAnsi"/>
          <w:szCs w:val="24"/>
        </w:rPr>
        <w:t xml:space="preserve">but the problem is that it only benefits those with an earned income </w:t>
      </w:r>
      <w:r w:rsidR="00FB536F" w:rsidRPr="00BE193B">
        <w:rPr>
          <w:rFonts w:asciiTheme="minorHAnsi" w:hAnsiTheme="minorHAnsi"/>
          <w:szCs w:val="24"/>
          <w:highlight w:val="yellow"/>
        </w:rPr>
        <w:t>?above</w:t>
      </w:r>
      <w:r w:rsidR="00FB536F" w:rsidRPr="00AF5030">
        <w:rPr>
          <w:rFonts w:asciiTheme="minorHAnsi" w:hAnsiTheme="minorHAnsi"/>
          <w:szCs w:val="24"/>
        </w:rPr>
        <w:t xml:space="preserve"> a threshold.</w:t>
      </w:r>
    </w:p>
    <w:p w14:paraId="6694B328" w14:textId="2393470F" w:rsidR="0050525D" w:rsidRPr="00AF5030" w:rsidRDefault="0050525D">
      <w:pPr>
        <w:rPr>
          <w:rFonts w:asciiTheme="minorHAnsi" w:hAnsiTheme="minorHAnsi"/>
          <w:szCs w:val="24"/>
        </w:rPr>
      </w:pPr>
    </w:p>
    <w:p w14:paraId="6419D8E6" w14:textId="0B6EB6D7" w:rsidR="00B9731B" w:rsidRPr="00AF5030" w:rsidRDefault="00B9731B">
      <w:pPr>
        <w:rPr>
          <w:rFonts w:asciiTheme="minorHAnsi" w:hAnsiTheme="minorHAnsi"/>
          <w:szCs w:val="24"/>
        </w:rPr>
      </w:pPr>
      <w:r w:rsidRPr="00AF5030">
        <w:rPr>
          <w:rFonts w:asciiTheme="minorHAnsi" w:hAnsiTheme="minorHAnsi"/>
          <w:szCs w:val="24"/>
        </w:rPr>
        <w:t>One way that the impact of these policies can be observed is by modelling them using standard cases.</w:t>
      </w:r>
      <w:r w:rsidR="00BE193B">
        <w:rPr>
          <w:rStyle w:val="FootnoteReference"/>
          <w:rFonts w:asciiTheme="minorHAnsi" w:hAnsiTheme="minorHAnsi"/>
          <w:szCs w:val="24"/>
        </w:rPr>
        <w:footnoteReference w:id="8"/>
      </w:r>
      <w:r w:rsidRPr="00AF5030">
        <w:rPr>
          <w:rFonts w:asciiTheme="minorHAnsi" w:hAnsiTheme="minorHAnsi"/>
          <w:szCs w:val="24"/>
        </w:rPr>
        <w:t xml:space="preserve"> The OECD tax/benefit model enables this to be done and in figure 4 we </w:t>
      </w:r>
      <w:r w:rsidRPr="00AF5030">
        <w:rPr>
          <w:rFonts w:asciiTheme="minorHAnsi" w:hAnsiTheme="minorHAnsi"/>
          <w:szCs w:val="24"/>
        </w:rPr>
        <w:lastRenderedPageBreak/>
        <w:t xml:space="preserve">have presented the </w:t>
      </w:r>
      <w:r w:rsidR="001158ED" w:rsidRPr="00AF5030">
        <w:rPr>
          <w:rFonts w:asciiTheme="minorHAnsi" w:hAnsiTheme="minorHAnsi"/>
          <w:szCs w:val="24"/>
        </w:rPr>
        <w:t xml:space="preserve">results for the </w:t>
      </w:r>
      <w:r w:rsidRPr="00AF5030">
        <w:rPr>
          <w:rFonts w:asciiTheme="minorHAnsi" w:hAnsiTheme="minorHAnsi"/>
          <w:szCs w:val="24"/>
        </w:rPr>
        <w:t>US compared to European countries for a couple with two children with one parent working full-time on 65% of the average wage. It shows the level of the benefits they would receive and the taxes they would pay as a proportion of average earnings. In the US</w:t>
      </w:r>
      <w:r w:rsidR="00BE193B">
        <w:rPr>
          <w:rFonts w:asciiTheme="minorHAnsi" w:hAnsiTheme="minorHAnsi"/>
          <w:szCs w:val="24"/>
        </w:rPr>
        <w:t xml:space="preserve"> </w:t>
      </w:r>
      <w:r w:rsidR="002C43D2" w:rsidRPr="00AF5030">
        <w:rPr>
          <w:rFonts w:asciiTheme="minorHAnsi" w:hAnsiTheme="minorHAnsi"/>
          <w:szCs w:val="24"/>
        </w:rPr>
        <w:t>(actually the model is based on Wisconsin rules)</w:t>
      </w:r>
      <w:r w:rsidRPr="00AF5030">
        <w:rPr>
          <w:rFonts w:asciiTheme="minorHAnsi" w:hAnsiTheme="minorHAnsi"/>
          <w:szCs w:val="24"/>
        </w:rPr>
        <w:t xml:space="preserve"> net wages would be increased by </w:t>
      </w:r>
      <w:r w:rsidR="001158ED" w:rsidRPr="00AF5030">
        <w:rPr>
          <w:rFonts w:asciiTheme="minorHAnsi" w:hAnsiTheme="minorHAnsi"/>
          <w:szCs w:val="24"/>
        </w:rPr>
        <w:t>$3505 or 6.5%of average earnings. This is entirely due to Earned Income Tax Credit</w:t>
      </w:r>
      <w:r w:rsidR="002C43D2" w:rsidRPr="00AF5030">
        <w:rPr>
          <w:rFonts w:asciiTheme="minorHAnsi" w:hAnsiTheme="minorHAnsi"/>
          <w:szCs w:val="24"/>
        </w:rPr>
        <w:t>, this family case is not eligible for SNAP or housing benefit.</w:t>
      </w:r>
      <w:r w:rsidR="001158ED" w:rsidRPr="00AF5030">
        <w:rPr>
          <w:rFonts w:asciiTheme="minorHAnsi" w:hAnsiTheme="minorHAnsi"/>
          <w:szCs w:val="24"/>
        </w:rPr>
        <w:t xml:space="preserve"> Other countries tend to use a combination of elements. The package in the US is not actually the lowest among these countries but it is considerably below the level of most. </w:t>
      </w:r>
      <w:r w:rsidR="001158ED" w:rsidRPr="00AF5030">
        <w:rPr>
          <w:rFonts w:asciiTheme="minorHAnsi" w:hAnsiTheme="minorHAnsi"/>
          <w:szCs w:val="24"/>
          <w:highlight w:val="yellow"/>
        </w:rPr>
        <w:t>Note for editors I could repeat this analysis for other family types, earnings levels ad finitum.</w:t>
      </w:r>
    </w:p>
    <w:p w14:paraId="5E0FABD2" w14:textId="1A3F8A88" w:rsidR="001158ED" w:rsidRPr="00AF5030" w:rsidRDefault="001158ED">
      <w:pPr>
        <w:rPr>
          <w:rFonts w:asciiTheme="minorHAnsi" w:hAnsiTheme="minorHAnsi"/>
          <w:szCs w:val="24"/>
        </w:rPr>
      </w:pPr>
    </w:p>
    <w:p w14:paraId="7BE752A0" w14:textId="7459D076" w:rsidR="0050525D" w:rsidRPr="00AF5030" w:rsidRDefault="0050525D">
      <w:pPr>
        <w:rPr>
          <w:rFonts w:asciiTheme="minorHAnsi" w:hAnsiTheme="minorHAnsi"/>
          <w:szCs w:val="24"/>
        </w:rPr>
      </w:pPr>
    </w:p>
    <w:p w14:paraId="3A936E3E" w14:textId="01A6996D" w:rsidR="0050525D" w:rsidRPr="00AF5030" w:rsidRDefault="0050525D" w:rsidP="0050525D">
      <w:pPr>
        <w:rPr>
          <w:rFonts w:asciiTheme="minorHAnsi" w:hAnsiTheme="minorHAnsi"/>
          <w:b/>
          <w:szCs w:val="24"/>
        </w:rPr>
      </w:pPr>
      <w:r w:rsidRPr="00AF5030">
        <w:rPr>
          <w:rFonts w:asciiTheme="minorHAnsi" w:hAnsiTheme="minorHAnsi"/>
          <w:b/>
          <w:bCs/>
          <w:szCs w:val="24"/>
        </w:rPr>
        <w:t>Figure 4:</w:t>
      </w:r>
      <w:r w:rsidRPr="00AF5030">
        <w:rPr>
          <w:rFonts w:asciiTheme="minorHAnsi" w:hAnsiTheme="minorHAnsi"/>
          <w:szCs w:val="24"/>
        </w:rPr>
        <w:t xml:space="preserve"> </w:t>
      </w:r>
      <w:r w:rsidRPr="00AF5030">
        <w:rPr>
          <w:rFonts w:asciiTheme="minorHAnsi" w:hAnsiTheme="minorHAnsi"/>
          <w:b/>
          <w:szCs w:val="24"/>
        </w:rPr>
        <w:t xml:space="preserve">Child benefit package as % average earnings. Couple plus two children </w:t>
      </w:r>
      <w:r w:rsidRPr="00AF5030">
        <w:rPr>
          <w:rFonts w:asciiTheme="minorHAnsi" w:hAnsiTheme="minorHAnsi"/>
          <w:b/>
          <w:szCs w:val="24"/>
        </w:rPr>
        <w:t>one</w:t>
      </w:r>
      <w:r w:rsidRPr="00AF5030">
        <w:rPr>
          <w:rFonts w:asciiTheme="minorHAnsi" w:hAnsiTheme="minorHAnsi"/>
          <w:b/>
          <w:szCs w:val="24"/>
        </w:rPr>
        <w:t xml:space="preserve"> employed for 65% of the average wage</w:t>
      </w:r>
      <w:r w:rsidRPr="00AF5030">
        <w:rPr>
          <w:rFonts w:asciiTheme="minorHAnsi" w:hAnsiTheme="minorHAnsi"/>
          <w:b/>
          <w:szCs w:val="24"/>
        </w:rPr>
        <w:t xml:space="preserve"> other not working</w:t>
      </w:r>
      <w:r w:rsidRPr="00AF5030">
        <w:rPr>
          <w:rFonts w:asciiTheme="minorHAnsi" w:hAnsiTheme="minorHAnsi"/>
          <w:b/>
          <w:szCs w:val="24"/>
        </w:rPr>
        <w:t>. 2018</w:t>
      </w:r>
    </w:p>
    <w:p w14:paraId="349F4750" w14:textId="256B70B6" w:rsidR="0050525D" w:rsidRPr="00AF5030" w:rsidRDefault="0050525D">
      <w:pPr>
        <w:rPr>
          <w:rFonts w:asciiTheme="minorHAnsi" w:hAnsiTheme="minorHAnsi"/>
          <w:szCs w:val="24"/>
        </w:rPr>
      </w:pPr>
    </w:p>
    <w:p w14:paraId="25CFB6EF" w14:textId="4102E26D" w:rsidR="0050525D" w:rsidRPr="00AF5030" w:rsidRDefault="001158ED">
      <w:pPr>
        <w:rPr>
          <w:rFonts w:asciiTheme="minorHAnsi" w:hAnsiTheme="minorHAnsi"/>
          <w:szCs w:val="24"/>
        </w:rPr>
      </w:pPr>
      <w:r w:rsidRPr="00AF5030">
        <w:rPr>
          <w:rFonts w:asciiTheme="minorHAnsi" w:hAnsiTheme="minorHAnsi"/>
          <w:noProof/>
          <w:szCs w:val="24"/>
        </w:rPr>
        <w:drawing>
          <wp:inline distT="0" distB="0" distL="0" distR="0" wp14:anchorId="26B55846" wp14:editId="160845C1">
            <wp:extent cx="5267325" cy="2743200"/>
            <wp:effectExtent l="0" t="0" r="9525" b="0"/>
            <wp:docPr id="3" name="Chart 3">
              <a:extLst xmlns:a="http://schemas.openxmlformats.org/drawingml/2006/main">
                <a:ext uri="{FF2B5EF4-FFF2-40B4-BE49-F238E27FC236}">
                  <a16:creationId xmlns:a16="http://schemas.microsoft.com/office/drawing/2014/main" id="{186FA393-A55F-438D-A030-A723F07896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94AEAD" w14:textId="63FE0BE5" w:rsidR="006E22B5" w:rsidRPr="00AF5030" w:rsidRDefault="006E22B5">
      <w:pPr>
        <w:rPr>
          <w:rFonts w:asciiTheme="minorHAnsi" w:hAnsiTheme="minorHAnsi"/>
          <w:szCs w:val="24"/>
        </w:rPr>
      </w:pPr>
    </w:p>
    <w:p w14:paraId="241B4382" w14:textId="4D014253" w:rsidR="006E22B5" w:rsidRPr="00AF5030" w:rsidRDefault="00B9731B">
      <w:pPr>
        <w:rPr>
          <w:rFonts w:asciiTheme="minorHAnsi" w:hAnsiTheme="minorHAnsi"/>
          <w:szCs w:val="24"/>
        </w:rPr>
      </w:pPr>
      <w:r w:rsidRPr="00AF5030">
        <w:rPr>
          <w:rFonts w:asciiTheme="minorHAnsi" w:hAnsiTheme="minorHAnsi"/>
          <w:szCs w:val="24"/>
        </w:rPr>
        <w:t xml:space="preserve">Source: Own calculations using </w:t>
      </w:r>
      <w:hyperlink r:id="rId12" w:history="1">
        <w:r w:rsidRPr="00AF5030">
          <w:rPr>
            <w:rFonts w:asciiTheme="minorHAnsi" w:hAnsiTheme="minorHAnsi"/>
            <w:color w:val="0000FF"/>
            <w:szCs w:val="24"/>
            <w:u w:val="single"/>
          </w:rPr>
          <w:t>http://www.oecd.org/els/soc/tax-benefit-web-calculator/</w:t>
        </w:r>
      </w:hyperlink>
    </w:p>
    <w:p w14:paraId="445A40EB" w14:textId="55795E3F" w:rsidR="002C43D2" w:rsidRPr="00AF5030" w:rsidRDefault="002C43D2">
      <w:pPr>
        <w:rPr>
          <w:rFonts w:asciiTheme="minorHAnsi" w:hAnsiTheme="minorHAnsi"/>
          <w:szCs w:val="24"/>
        </w:rPr>
      </w:pPr>
    </w:p>
    <w:p w14:paraId="2C217FCA" w14:textId="6DD95F22" w:rsidR="002C43D2" w:rsidRPr="00AF5030" w:rsidRDefault="002C43D2">
      <w:pPr>
        <w:rPr>
          <w:rFonts w:asciiTheme="minorHAnsi" w:hAnsiTheme="minorHAnsi"/>
          <w:szCs w:val="24"/>
        </w:rPr>
      </w:pPr>
      <w:r w:rsidRPr="00AF5030">
        <w:rPr>
          <w:rFonts w:asciiTheme="minorHAnsi" w:hAnsiTheme="minorHAnsi"/>
          <w:szCs w:val="24"/>
        </w:rPr>
        <w:t>It is beyond the scope of this chapter to explain why the US social policies for families with children are so much less generous than most European countries. Family benefits do not follow the normal path of the political economy of the welfare state theories</w:t>
      </w:r>
      <w:r w:rsidRPr="00AF5030">
        <w:rPr>
          <w:rStyle w:val="FootnoteReference"/>
          <w:rFonts w:asciiTheme="minorHAnsi" w:hAnsiTheme="minorHAnsi"/>
          <w:szCs w:val="24"/>
        </w:rPr>
        <w:footnoteReference w:id="9"/>
      </w:r>
      <w:r w:rsidRPr="00AF5030">
        <w:rPr>
          <w:rFonts w:asciiTheme="minorHAnsi" w:hAnsiTheme="minorHAnsi"/>
          <w:szCs w:val="24"/>
        </w:rPr>
        <w:t>. There the US welfare state is classified as Liberal – but so are the UK and Ireland with much more generous family benefits. Nevertheless</w:t>
      </w:r>
      <w:r w:rsidR="00F72AB6">
        <w:rPr>
          <w:rFonts w:asciiTheme="minorHAnsi" w:hAnsiTheme="minorHAnsi"/>
          <w:szCs w:val="24"/>
        </w:rPr>
        <w:t>,</w:t>
      </w:r>
      <w:r w:rsidRPr="00AF5030">
        <w:rPr>
          <w:rFonts w:asciiTheme="minorHAnsi" w:hAnsiTheme="minorHAnsi"/>
          <w:szCs w:val="24"/>
        </w:rPr>
        <w:t xml:space="preserve"> the absence of an adequate safet</w:t>
      </w:r>
      <w:r w:rsidR="00F72AB6">
        <w:rPr>
          <w:rFonts w:asciiTheme="minorHAnsi" w:hAnsiTheme="minorHAnsi"/>
          <w:szCs w:val="24"/>
        </w:rPr>
        <w:t>y</w:t>
      </w:r>
      <w:r w:rsidRPr="00AF5030">
        <w:rPr>
          <w:rFonts w:asciiTheme="minorHAnsi" w:hAnsiTheme="minorHAnsi"/>
          <w:szCs w:val="24"/>
        </w:rPr>
        <w:t xml:space="preserve"> net for children in the US drives the much higher child poverty rates</w:t>
      </w:r>
      <w:r w:rsidR="005D336D" w:rsidRPr="00AF5030">
        <w:rPr>
          <w:rFonts w:asciiTheme="minorHAnsi" w:hAnsiTheme="minorHAnsi"/>
          <w:szCs w:val="24"/>
        </w:rPr>
        <w:t xml:space="preserve"> which has long term consequences for American society as well as enormous extra costs </w:t>
      </w:r>
      <w:r w:rsidRPr="00AF5030">
        <w:rPr>
          <w:rFonts w:asciiTheme="minorHAnsi" w:hAnsiTheme="minorHAnsi"/>
          <w:szCs w:val="24"/>
        </w:rPr>
        <w:t xml:space="preserve">. It also makes families with children much more vulnerable </w:t>
      </w:r>
      <w:r w:rsidR="005D336D" w:rsidRPr="00AF5030">
        <w:rPr>
          <w:rFonts w:asciiTheme="minorHAnsi" w:hAnsiTheme="minorHAnsi"/>
          <w:szCs w:val="24"/>
        </w:rPr>
        <w:t>in a crisis – in a recession</w:t>
      </w:r>
      <w:r w:rsidR="00F72AB6">
        <w:rPr>
          <w:rStyle w:val="FootnoteReference"/>
          <w:rFonts w:asciiTheme="minorHAnsi" w:hAnsiTheme="minorHAnsi"/>
          <w:szCs w:val="24"/>
        </w:rPr>
        <w:footnoteReference w:id="10"/>
      </w:r>
      <w:r w:rsidR="005D336D" w:rsidRPr="00AF5030">
        <w:rPr>
          <w:rFonts w:asciiTheme="minorHAnsi" w:hAnsiTheme="minorHAnsi"/>
          <w:szCs w:val="24"/>
        </w:rPr>
        <w:t xml:space="preserve"> or now at the time of writing a dreadful epidemic. Most national responses to th</w:t>
      </w:r>
      <w:r w:rsidR="00F72AB6">
        <w:rPr>
          <w:rFonts w:asciiTheme="minorHAnsi" w:hAnsiTheme="minorHAnsi"/>
          <w:szCs w:val="24"/>
        </w:rPr>
        <w:t>e epidemic</w:t>
      </w:r>
      <w:bookmarkStart w:id="0" w:name="_GoBack"/>
      <w:bookmarkEnd w:id="0"/>
      <w:r w:rsidR="005D336D" w:rsidRPr="00AF5030">
        <w:rPr>
          <w:rFonts w:asciiTheme="minorHAnsi" w:hAnsiTheme="minorHAnsi"/>
          <w:szCs w:val="24"/>
        </w:rPr>
        <w:t xml:space="preserve"> seemed to have involved attempts to maintain employment and in some places short-term increases in sickness and </w:t>
      </w:r>
      <w:r w:rsidR="005D336D" w:rsidRPr="00AF5030">
        <w:rPr>
          <w:rFonts w:asciiTheme="minorHAnsi" w:hAnsiTheme="minorHAnsi"/>
          <w:szCs w:val="24"/>
        </w:rPr>
        <w:lastRenderedPageBreak/>
        <w:t>unemployment benefits – but for families with children they only have limited impact when there are no or inadequate child benefits.</w:t>
      </w:r>
    </w:p>
    <w:p w14:paraId="6D8AE290" w14:textId="04229DF6" w:rsidR="00AF5030" w:rsidRPr="00AF5030" w:rsidRDefault="00AF5030">
      <w:pPr>
        <w:rPr>
          <w:rFonts w:asciiTheme="minorHAnsi" w:hAnsiTheme="minorHAnsi"/>
          <w:szCs w:val="24"/>
        </w:rPr>
      </w:pPr>
    </w:p>
    <w:sectPr w:rsidR="00AF5030" w:rsidRPr="00AF503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239A6" w14:textId="77777777" w:rsidR="000B5394" w:rsidRDefault="000B5394" w:rsidP="00F73202">
      <w:r>
        <w:separator/>
      </w:r>
    </w:p>
  </w:endnote>
  <w:endnote w:type="continuationSeparator" w:id="0">
    <w:p w14:paraId="4BC2A7B9" w14:textId="77777777" w:rsidR="000B5394" w:rsidRDefault="000B5394" w:rsidP="00F7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938009"/>
      <w:docPartObj>
        <w:docPartGallery w:val="Page Numbers (Bottom of Page)"/>
        <w:docPartUnique/>
      </w:docPartObj>
    </w:sdtPr>
    <w:sdtEndPr>
      <w:rPr>
        <w:noProof/>
      </w:rPr>
    </w:sdtEndPr>
    <w:sdtContent>
      <w:p w14:paraId="49D53E32" w14:textId="20D6F0FA" w:rsidR="0017338C" w:rsidRDefault="00173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A20AF" w14:textId="77777777" w:rsidR="0017338C" w:rsidRDefault="00173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DC529" w14:textId="77777777" w:rsidR="000B5394" w:rsidRDefault="000B5394" w:rsidP="00F73202">
      <w:r>
        <w:separator/>
      </w:r>
    </w:p>
  </w:footnote>
  <w:footnote w:type="continuationSeparator" w:id="0">
    <w:p w14:paraId="32683B93" w14:textId="77777777" w:rsidR="000B5394" w:rsidRDefault="000B5394" w:rsidP="00F73202">
      <w:r>
        <w:continuationSeparator/>
      </w:r>
    </w:p>
  </w:footnote>
  <w:footnote w:id="1">
    <w:p w14:paraId="2F01D7EF" w14:textId="67003B7E" w:rsidR="0017338C" w:rsidRDefault="0017338C">
      <w:pPr>
        <w:pStyle w:val="FootnoteText"/>
      </w:pPr>
      <w:r>
        <w:rPr>
          <w:rStyle w:val="FootnoteReference"/>
        </w:rPr>
        <w:footnoteRef/>
      </w:r>
      <w:r>
        <w:t xml:space="preserve"> Emeritus Professor of Social Policy, University of York, UK.</w:t>
      </w:r>
    </w:p>
  </w:footnote>
  <w:footnote w:id="2">
    <w:p w14:paraId="52D0EBBB" w14:textId="3A89A53F" w:rsidR="00AF5030" w:rsidRDefault="00AF5030">
      <w:pPr>
        <w:pStyle w:val="FootnoteText"/>
      </w:pPr>
      <w:r>
        <w:rPr>
          <w:rStyle w:val="FootnoteReference"/>
        </w:rPr>
        <w:footnoteRef/>
      </w:r>
      <w:r>
        <w:t xml:space="preserve"> </w:t>
      </w:r>
      <w:r w:rsidR="009910E5">
        <w:t>There is a huge and international literature. But see for example</w:t>
      </w:r>
    </w:p>
    <w:p w14:paraId="7051FE94" w14:textId="77777777" w:rsidR="009910E5" w:rsidRDefault="009910E5" w:rsidP="009910E5">
      <w:pPr>
        <w:pStyle w:val="FootnoteText"/>
      </w:pPr>
      <w:r>
        <w:t xml:space="preserve">Griggs, J. with Walker, R. (2008) The costs of child poverty for individuals and society: A literature review, York: Joseph Rowntree Foundation (www.jrf.org.uk/report/costs-child-poverty-individuals-and-societyliterature-review). </w:t>
      </w:r>
    </w:p>
    <w:p w14:paraId="14A06237" w14:textId="3B89A249" w:rsidR="009910E5" w:rsidRDefault="009910E5" w:rsidP="009910E5">
      <w:pPr>
        <w:pStyle w:val="FootnoteText"/>
      </w:pPr>
      <w:r>
        <w:t xml:space="preserve">And </w:t>
      </w:r>
    </w:p>
    <w:p w14:paraId="4D954790" w14:textId="67E48190" w:rsidR="009910E5" w:rsidRDefault="009910E5" w:rsidP="009910E5">
      <w:pPr>
        <w:pStyle w:val="FootnoteText"/>
      </w:pPr>
      <w:r>
        <w:t xml:space="preserve"> Hirsch, D. (2013) An estimate of the cost of child poverty in 2013 http://www.cpag.org.uk/sites/default/files/Cost%20of%20child%20poverty%20research%20update%20(2013).pdf</w:t>
      </w:r>
    </w:p>
  </w:footnote>
  <w:footnote w:id="3">
    <w:p w14:paraId="30182CF4" w14:textId="0BAE4703" w:rsidR="009910E5" w:rsidRPr="009910E5" w:rsidRDefault="009910E5" w:rsidP="009910E5">
      <w:pPr>
        <w:rPr>
          <w:rFonts w:asciiTheme="minorHAnsi" w:eastAsia="Times New Roman" w:hAnsiTheme="minorHAnsi" w:cs="Times New Roman"/>
          <w:color w:val="222222"/>
          <w:szCs w:val="24"/>
          <w:shd w:val="clear" w:color="auto" w:fill="FFFFFF"/>
          <w:lang w:val="en-US"/>
        </w:rPr>
      </w:pPr>
      <w:r w:rsidRPr="009910E5">
        <w:rPr>
          <w:rStyle w:val="FootnoteReference"/>
          <w:rFonts w:asciiTheme="minorHAnsi" w:hAnsiTheme="minorHAnsi"/>
        </w:rPr>
        <w:footnoteRef/>
      </w:r>
      <w:r w:rsidRPr="009910E5">
        <w:rPr>
          <w:rFonts w:asciiTheme="minorHAnsi" w:hAnsiTheme="minorHAnsi"/>
        </w:rPr>
        <w:t xml:space="preserve"> </w:t>
      </w:r>
      <w:r w:rsidRPr="009910E5">
        <w:rPr>
          <w:rFonts w:asciiTheme="minorHAnsi" w:eastAsia="Times New Roman" w:hAnsiTheme="minorHAnsi" w:cs="Times New Roman"/>
          <w:color w:val="222222"/>
          <w:szCs w:val="24"/>
          <w:shd w:val="clear" w:color="auto" w:fill="FFFFFF"/>
          <w:lang w:val="en-US"/>
        </w:rPr>
        <w:t xml:space="preserve">Bradshaw, J. (2018) Social Justice for children, in Craig, G. (ed) </w:t>
      </w:r>
      <w:r w:rsidRPr="009910E5">
        <w:rPr>
          <w:rFonts w:asciiTheme="minorHAnsi" w:eastAsia="Times New Roman" w:hAnsiTheme="minorHAnsi" w:cs="Times New Roman"/>
          <w:i/>
          <w:color w:val="222222"/>
          <w:szCs w:val="24"/>
          <w:shd w:val="clear" w:color="auto" w:fill="FFFFFF"/>
          <w:lang w:val="en-US"/>
        </w:rPr>
        <w:t>A Handbook on Global Social Justice</w:t>
      </w:r>
      <w:r w:rsidRPr="009910E5">
        <w:rPr>
          <w:rFonts w:asciiTheme="minorHAnsi" w:eastAsia="Times New Roman" w:hAnsiTheme="minorHAnsi" w:cs="Times New Roman"/>
          <w:color w:val="222222"/>
          <w:szCs w:val="24"/>
          <w:shd w:val="clear" w:color="auto" w:fill="FFFFFF"/>
          <w:lang w:val="en-US"/>
        </w:rPr>
        <w:t>, Edward Elgar.</w:t>
      </w:r>
    </w:p>
  </w:footnote>
  <w:footnote w:id="4">
    <w:p w14:paraId="3D786A41" w14:textId="77777777" w:rsidR="009910E5" w:rsidRDefault="009910E5" w:rsidP="009910E5">
      <w:pPr>
        <w:pStyle w:val="FootnoteText"/>
      </w:pPr>
      <w:r>
        <w:rPr>
          <w:rStyle w:val="FootnoteReference"/>
        </w:rPr>
        <w:footnoteRef/>
      </w:r>
      <w:r>
        <w:t xml:space="preserve"> </w:t>
      </w:r>
    </w:p>
    <w:p w14:paraId="77024744" w14:textId="4F911974" w:rsidR="009910E5" w:rsidRDefault="009910E5" w:rsidP="009910E5">
      <w:pPr>
        <w:pStyle w:val="FootnoteText"/>
      </w:pPr>
      <w:r>
        <w:t>Gordon, D. 2008 Children, policy and social justice, in  Craig, G., Burchardt, T. &amp; Gordon, D. (eds.). Social Justice and Public Policy: Seeking fairness in diverse societies. Policy Press, p. 157 - 180 24 p.</w:t>
      </w:r>
    </w:p>
  </w:footnote>
  <w:footnote w:id="5">
    <w:p w14:paraId="54C9F17F" w14:textId="0E399703" w:rsidR="009910E5" w:rsidRDefault="009910E5">
      <w:pPr>
        <w:pStyle w:val="FootnoteText"/>
      </w:pPr>
      <w:r>
        <w:rPr>
          <w:rStyle w:val="FootnoteReference"/>
        </w:rPr>
        <w:footnoteRef/>
      </w:r>
      <w:r>
        <w:t xml:space="preserve"> </w:t>
      </w:r>
      <w:r w:rsidRPr="009910E5">
        <w:t>Van Mechelen, N. and J. Bradshaw (2013), ‘Child benefit packages for working families, 1992–2009’, in I. Marx and K. Nelson (eds), Minimum Income Protection in Flux, Houndmills, Basingstoke: Palgrave Macmillan, pp. 81–107.</w:t>
      </w:r>
    </w:p>
  </w:footnote>
  <w:footnote w:id="6">
    <w:p w14:paraId="6C31267B" w14:textId="3EC115D3" w:rsidR="0017338C" w:rsidRDefault="0017338C">
      <w:pPr>
        <w:pStyle w:val="FootnoteText"/>
      </w:pPr>
      <w:r>
        <w:rPr>
          <w:rStyle w:val="FootnoteReference"/>
        </w:rPr>
        <w:footnoteRef/>
      </w:r>
      <w:r>
        <w:t xml:space="preserve"> As has been recently demonstrated in an assessment of transfers on inequality </w:t>
      </w:r>
      <w:r w:rsidRPr="005C02C4">
        <w:t>Bradshaw, J. and Movshuk, O. (2018) Inequality in the UK in comparative perspective, in Fee, D. and Kober-Smith, A. (eds) Inequalities in the United Kingdom: New Discourses, Evolutions and Actions, Emerald Publishing: Paris</w:t>
      </w:r>
    </w:p>
  </w:footnote>
  <w:footnote w:id="7">
    <w:p w14:paraId="6C31B769" w14:textId="0791074D" w:rsidR="00F72AB6" w:rsidRDefault="00F72AB6">
      <w:pPr>
        <w:pStyle w:val="FootnoteText"/>
      </w:pPr>
      <w:r>
        <w:rPr>
          <w:rStyle w:val="FootnoteReference"/>
        </w:rPr>
        <w:footnoteRef/>
      </w:r>
      <w:r>
        <w:t xml:space="preserve"> </w:t>
      </w:r>
      <w:r w:rsidRPr="00F72AB6">
        <w:t>Nieuwenhuis, R. and Maldonado, L. (eds) (2018) The Triple Bind of Single-Parent Families: Resources, employment, and policies to improve wellbeing, Bristol: Policy Press,</w:t>
      </w:r>
    </w:p>
  </w:footnote>
  <w:footnote w:id="8">
    <w:p w14:paraId="316903F6" w14:textId="66FB0772" w:rsidR="00BE193B" w:rsidRDefault="00BE193B">
      <w:pPr>
        <w:pStyle w:val="FootnoteText"/>
      </w:pPr>
      <w:r>
        <w:rPr>
          <w:rStyle w:val="FootnoteReference"/>
        </w:rPr>
        <w:footnoteRef/>
      </w:r>
      <w:r>
        <w:t xml:space="preserve"> </w:t>
      </w:r>
      <w:r w:rsidR="00F72AB6" w:rsidRPr="00F72AB6">
        <w:t>Bradshaw, J. (2018) Family Benefit Systems in Bjork Eydal, G. and Rostgaard, T.  Handbook of child and family policy, Edward Elgar Publishing</w:t>
      </w:r>
    </w:p>
  </w:footnote>
  <w:footnote w:id="9">
    <w:p w14:paraId="6BDE3446" w14:textId="030D5889" w:rsidR="002C43D2" w:rsidRDefault="002C43D2">
      <w:pPr>
        <w:pStyle w:val="FootnoteText"/>
      </w:pPr>
      <w:r>
        <w:rPr>
          <w:rStyle w:val="FootnoteReference"/>
        </w:rPr>
        <w:footnoteRef/>
      </w:r>
      <w:r>
        <w:t xml:space="preserve"> </w:t>
      </w:r>
      <w:r w:rsidR="00F72AB6">
        <w:t>Esping Anderson, G. (1990) The three worlds of welfare capitalism, Princeton UP.</w:t>
      </w:r>
    </w:p>
  </w:footnote>
  <w:footnote w:id="10">
    <w:p w14:paraId="2DEB7569" w14:textId="64911514" w:rsidR="00F72AB6" w:rsidRDefault="00F72AB6">
      <w:pPr>
        <w:pStyle w:val="FootnoteText"/>
      </w:pPr>
      <w:r>
        <w:rPr>
          <w:rStyle w:val="FootnoteReference"/>
        </w:rPr>
        <w:footnoteRef/>
      </w:r>
      <w:r>
        <w:t xml:space="preserve"> </w:t>
      </w:r>
      <w:r w:rsidRPr="00F72AB6">
        <w:t>Cantillon, B, Chzhen, Y, Handa, S. and B Nolan (eds) (2017) Children of Austerity: Impact of the Great Recession on Child Poverty in Rich Countries. Oxford: OUP. P</w:t>
      </w:r>
    </w:p>
    <w:p w14:paraId="2CE28725" w14:textId="0707883B" w:rsidR="00F72AB6" w:rsidRDefault="00F72AB6">
      <w:pPr>
        <w:pStyle w:val="FootnoteText"/>
      </w:pPr>
      <w:r w:rsidRPr="00F72AB6">
        <w:t>Chzhen, Y., Hämäläinen, S., &amp; Vargas, J. (2014). Significant Changes to Family-related Benefits in Rich Countries during the Great Recession (UNICEF Office of Research Working Paper WP-2014-13) Florence: UNICEF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02"/>
    <w:rsid w:val="000B5394"/>
    <w:rsid w:val="00101900"/>
    <w:rsid w:val="001158ED"/>
    <w:rsid w:val="0017338C"/>
    <w:rsid w:val="001D4E5E"/>
    <w:rsid w:val="001E0A29"/>
    <w:rsid w:val="00222BDA"/>
    <w:rsid w:val="0026448A"/>
    <w:rsid w:val="002C43D2"/>
    <w:rsid w:val="002F136F"/>
    <w:rsid w:val="002F25BC"/>
    <w:rsid w:val="003C579B"/>
    <w:rsid w:val="003D2B0E"/>
    <w:rsid w:val="00402E23"/>
    <w:rsid w:val="004B5A19"/>
    <w:rsid w:val="004E21C3"/>
    <w:rsid w:val="0050525D"/>
    <w:rsid w:val="00513DE5"/>
    <w:rsid w:val="005C02C4"/>
    <w:rsid w:val="005D336D"/>
    <w:rsid w:val="00641C9F"/>
    <w:rsid w:val="006C7D97"/>
    <w:rsid w:val="006E22B5"/>
    <w:rsid w:val="006E2918"/>
    <w:rsid w:val="008E7D91"/>
    <w:rsid w:val="009651D4"/>
    <w:rsid w:val="009910E5"/>
    <w:rsid w:val="009C175B"/>
    <w:rsid w:val="00AD6C06"/>
    <w:rsid w:val="00AF5030"/>
    <w:rsid w:val="00B0303B"/>
    <w:rsid w:val="00B22A73"/>
    <w:rsid w:val="00B9731B"/>
    <w:rsid w:val="00BE193B"/>
    <w:rsid w:val="00BF7B1C"/>
    <w:rsid w:val="00CA02D9"/>
    <w:rsid w:val="00D335B6"/>
    <w:rsid w:val="00E03816"/>
    <w:rsid w:val="00F344CA"/>
    <w:rsid w:val="00F72AB6"/>
    <w:rsid w:val="00F73202"/>
    <w:rsid w:val="00F95F4E"/>
    <w:rsid w:val="00FB5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E4FD"/>
  <w15:chartTrackingRefBased/>
  <w15:docId w15:val="{F6E0963F-4044-482F-953B-4083E4D7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3DE5"/>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3202"/>
    <w:rPr>
      <w:sz w:val="20"/>
      <w:szCs w:val="20"/>
    </w:rPr>
  </w:style>
  <w:style w:type="character" w:customStyle="1" w:styleId="FootnoteTextChar">
    <w:name w:val="Footnote Text Char"/>
    <w:basedOn w:val="DefaultParagraphFont"/>
    <w:link w:val="FootnoteText"/>
    <w:uiPriority w:val="99"/>
    <w:semiHidden/>
    <w:rsid w:val="00F73202"/>
    <w:rPr>
      <w:rFonts w:ascii="Times New Roman" w:hAnsi="Times New Roman"/>
      <w:sz w:val="20"/>
      <w:szCs w:val="20"/>
    </w:rPr>
  </w:style>
  <w:style w:type="character" w:styleId="FootnoteReference">
    <w:name w:val="footnote reference"/>
    <w:basedOn w:val="DefaultParagraphFont"/>
    <w:uiPriority w:val="99"/>
    <w:semiHidden/>
    <w:unhideWhenUsed/>
    <w:rsid w:val="00F73202"/>
    <w:rPr>
      <w:vertAlign w:val="superscript"/>
    </w:rPr>
  </w:style>
  <w:style w:type="paragraph" w:styleId="Header">
    <w:name w:val="header"/>
    <w:basedOn w:val="Normal"/>
    <w:link w:val="HeaderChar"/>
    <w:uiPriority w:val="99"/>
    <w:unhideWhenUsed/>
    <w:rsid w:val="004B5A19"/>
    <w:pPr>
      <w:tabs>
        <w:tab w:val="center" w:pos="4513"/>
        <w:tab w:val="right" w:pos="9026"/>
      </w:tabs>
    </w:pPr>
  </w:style>
  <w:style w:type="character" w:customStyle="1" w:styleId="HeaderChar">
    <w:name w:val="Header Char"/>
    <w:basedOn w:val="DefaultParagraphFont"/>
    <w:link w:val="Header"/>
    <w:uiPriority w:val="99"/>
    <w:rsid w:val="004B5A19"/>
    <w:rPr>
      <w:rFonts w:ascii="Times New Roman" w:hAnsi="Times New Roman"/>
      <w:sz w:val="24"/>
    </w:rPr>
  </w:style>
  <w:style w:type="paragraph" w:styleId="Footer">
    <w:name w:val="footer"/>
    <w:basedOn w:val="Normal"/>
    <w:link w:val="FooterChar"/>
    <w:uiPriority w:val="99"/>
    <w:unhideWhenUsed/>
    <w:rsid w:val="004B5A19"/>
    <w:pPr>
      <w:tabs>
        <w:tab w:val="center" w:pos="4513"/>
        <w:tab w:val="right" w:pos="9026"/>
      </w:tabs>
    </w:pPr>
  </w:style>
  <w:style w:type="character" w:customStyle="1" w:styleId="FooterChar">
    <w:name w:val="Footer Char"/>
    <w:basedOn w:val="DefaultParagraphFont"/>
    <w:link w:val="Footer"/>
    <w:uiPriority w:val="99"/>
    <w:rsid w:val="004B5A19"/>
    <w:rPr>
      <w:rFonts w:ascii="Times New Roman" w:hAnsi="Times New Roman"/>
      <w:sz w:val="24"/>
    </w:rPr>
  </w:style>
  <w:style w:type="paragraph" w:styleId="BalloonText">
    <w:name w:val="Balloon Text"/>
    <w:basedOn w:val="Normal"/>
    <w:link w:val="BalloonTextChar"/>
    <w:uiPriority w:val="99"/>
    <w:semiHidden/>
    <w:unhideWhenUsed/>
    <w:rsid w:val="002F25BC"/>
    <w:rPr>
      <w:rFonts w:ascii="Segoe UI" w:hAnsi="Segoe UI"/>
      <w:sz w:val="18"/>
      <w:szCs w:val="18"/>
    </w:rPr>
  </w:style>
  <w:style w:type="character" w:customStyle="1" w:styleId="BalloonTextChar">
    <w:name w:val="Balloon Text Char"/>
    <w:basedOn w:val="DefaultParagraphFont"/>
    <w:link w:val="BalloonText"/>
    <w:uiPriority w:val="99"/>
    <w:semiHidden/>
    <w:rsid w:val="002F25BC"/>
    <w:rPr>
      <w:rFonts w:ascii="Segoe UI" w:hAnsi="Segoe UI"/>
      <w:sz w:val="18"/>
      <w:szCs w:val="18"/>
    </w:rPr>
  </w:style>
  <w:style w:type="character" w:styleId="Hyperlink">
    <w:name w:val="Hyperlink"/>
    <w:basedOn w:val="DefaultParagraphFont"/>
    <w:uiPriority w:val="99"/>
    <w:unhideWhenUsed/>
    <w:rsid w:val="002F25BC"/>
    <w:rPr>
      <w:color w:val="0563C1" w:themeColor="hyperlink"/>
      <w:u w:val="single"/>
    </w:rPr>
  </w:style>
  <w:style w:type="character" w:styleId="UnresolvedMention">
    <w:name w:val="Unresolved Mention"/>
    <w:basedOn w:val="DefaultParagraphFont"/>
    <w:uiPriority w:val="99"/>
    <w:semiHidden/>
    <w:unhideWhenUsed/>
    <w:rsid w:val="002F25BC"/>
    <w:rPr>
      <w:color w:val="605E5C"/>
      <w:shd w:val="clear" w:color="auto" w:fill="E1DFDD"/>
    </w:rPr>
  </w:style>
  <w:style w:type="table" w:styleId="TableGrid">
    <w:name w:val="Table Grid"/>
    <w:basedOn w:val="TableNormal"/>
    <w:uiPriority w:val="39"/>
    <w:rsid w:val="002F2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967605">
      <w:bodyDiv w:val="1"/>
      <w:marLeft w:val="0"/>
      <w:marRight w:val="0"/>
      <w:marTop w:val="0"/>
      <w:marBottom w:val="0"/>
      <w:divBdr>
        <w:top w:val="none" w:sz="0" w:space="0" w:color="auto"/>
        <w:left w:val="none" w:sz="0" w:space="0" w:color="auto"/>
        <w:bottom w:val="none" w:sz="0" w:space="0" w:color="auto"/>
        <w:right w:val="none" w:sz="0" w:space="0" w:color="auto"/>
      </w:divBdr>
    </w:div>
    <w:div w:id="213663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ecd.org/els/soc/tax-benefit-web-calculat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www.lisdatacenter.org/lis-ikf-webapp/app/search-ikf-figures"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Sheet7!$H$2</c:f>
              <c:strCache>
                <c:ptCount val="1"/>
                <c:pt idx="0">
                  <c:v>Before transfers</c:v>
                </c:pt>
              </c:strCache>
            </c:strRef>
          </c:tx>
          <c:spPr>
            <a:solidFill>
              <a:schemeClr val="accent1"/>
            </a:solidFill>
            <a:ln>
              <a:noFill/>
            </a:ln>
            <a:effectLst/>
          </c:spPr>
          <c:invertIfNegative val="0"/>
          <c:cat>
            <c:strRef>
              <c:f>Sheet7!$G$3:$G$33</c:f>
              <c:strCache>
                <c:ptCount val="31"/>
                <c:pt idx="0">
                  <c:v>Spain</c:v>
                </c:pt>
                <c:pt idx="1">
                  <c:v>Romania</c:v>
                </c:pt>
                <c:pt idx="2">
                  <c:v>Italy (2017)</c:v>
                </c:pt>
                <c:pt idx="3">
                  <c:v>Portugal</c:v>
                </c:pt>
                <c:pt idx="4">
                  <c:v>Malta</c:v>
                </c:pt>
                <c:pt idx="5">
                  <c:v>Greece</c:v>
                </c:pt>
                <c:pt idx="6">
                  <c:v>Slovakia (2017)</c:v>
                </c:pt>
                <c:pt idx="7">
                  <c:v>Bulgaria</c:v>
                </c:pt>
                <c:pt idx="8">
                  <c:v>Croatia</c:v>
                </c:pt>
                <c:pt idx="9">
                  <c:v>Lithuania (2017)</c:v>
                </c:pt>
                <c:pt idx="10">
                  <c:v>Belgium</c:v>
                </c:pt>
                <c:pt idx="11">
                  <c:v>Latvia</c:v>
                </c:pt>
                <c:pt idx="12">
                  <c:v>Netherlands</c:v>
                </c:pt>
                <c:pt idx="13">
                  <c:v>Luxembourg (2017)</c:v>
                </c:pt>
                <c:pt idx="14">
                  <c:v>Switzerland (2017)</c:v>
                </c:pt>
                <c:pt idx="15">
                  <c:v>Czechia</c:v>
                </c:pt>
                <c:pt idx="16">
                  <c:v>Cyprus (2017)</c:v>
                </c:pt>
                <c:pt idx="17">
                  <c:v>Sweden</c:v>
                </c:pt>
                <c:pt idx="18">
                  <c:v>France (2017)</c:v>
                </c:pt>
                <c:pt idx="19">
                  <c:v>Estonia</c:v>
                </c:pt>
                <c:pt idx="20">
                  <c:v>UK (2017)</c:v>
                </c:pt>
                <c:pt idx="21">
                  <c:v>Austria</c:v>
                </c:pt>
                <c:pt idx="22">
                  <c:v>Germany (2017)</c:v>
                </c:pt>
                <c:pt idx="23">
                  <c:v>Slovenia</c:v>
                </c:pt>
                <c:pt idx="24">
                  <c:v>Denmark</c:v>
                </c:pt>
                <c:pt idx="25">
                  <c:v>Poland (2017)</c:v>
                </c:pt>
                <c:pt idx="26">
                  <c:v>Ireland (2017)</c:v>
                </c:pt>
                <c:pt idx="27">
                  <c:v>Norway (2017)</c:v>
                </c:pt>
                <c:pt idx="28">
                  <c:v>Iceland (2016)</c:v>
                </c:pt>
                <c:pt idx="29">
                  <c:v>Finland</c:v>
                </c:pt>
                <c:pt idx="30">
                  <c:v>Hungary</c:v>
                </c:pt>
              </c:strCache>
            </c:strRef>
          </c:cat>
          <c:val>
            <c:numRef>
              <c:f>Sheet7!$H$3:$H$33</c:f>
              <c:numCache>
                <c:formatCode>General</c:formatCode>
                <c:ptCount val="31"/>
                <c:pt idx="0">
                  <c:v>32.700000000000003</c:v>
                </c:pt>
                <c:pt idx="1">
                  <c:v>40.1</c:v>
                </c:pt>
                <c:pt idx="2">
                  <c:v>33.700000000000003</c:v>
                </c:pt>
                <c:pt idx="3">
                  <c:v>25.6</c:v>
                </c:pt>
                <c:pt idx="4">
                  <c:v>28.9</c:v>
                </c:pt>
                <c:pt idx="5">
                  <c:v>31.3</c:v>
                </c:pt>
                <c:pt idx="6">
                  <c:v>27.5</c:v>
                </c:pt>
                <c:pt idx="7">
                  <c:v>37.6</c:v>
                </c:pt>
                <c:pt idx="8">
                  <c:v>28.4</c:v>
                </c:pt>
                <c:pt idx="9">
                  <c:v>37.299999999999997</c:v>
                </c:pt>
                <c:pt idx="10">
                  <c:v>30.7</c:v>
                </c:pt>
                <c:pt idx="11">
                  <c:v>26.6</c:v>
                </c:pt>
                <c:pt idx="12">
                  <c:v>21.7</c:v>
                </c:pt>
                <c:pt idx="13">
                  <c:v>37.700000000000003</c:v>
                </c:pt>
                <c:pt idx="14">
                  <c:v>30.1</c:v>
                </c:pt>
                <c:pt idx="15">
                  <c:v>18.7</c:v>
                </c:pt>
                <c:pt idx="16">
                  <c:v>28.2</c:v>
                </c:pt>
                <c:pt idx="17">
                  <c:v>34.799999999999997</c:v>
                </c:pt>
                <c:pt idx="18">
                  <c:v>35.9</c:v>
                </c:pt>
                <c:pt idx="19">
                  <c:v>29.9</c:v>
                </c:pt>
                <c:pt idx="20">
                  <c:v>41.9</c:v>
                </c:pt>
                <c:pt idx="21">
                  <c:v>38.1</c:v>
                </c:pt>
                <c:pt idx="22">
                  <c:v>30.8</c:v>
                </c:pt>
                <c:pt idx="23">
                  <c:v>24.2</c:v>
                </c:pt>
                <c:pt idx="24">
                  <c:v>22.5</c:v>
                </c:pt>
                <c:pt idx="25">
                  <c:v>29.7</c:v>
                </c:pt>
                <c:pt idx="26">
                  <c:v>38.799999999999997</c:v>
                </c:pt>
                <c:pt idx="27">
                  <c:v>31.3</c:v>
                </c:pt>
                <c:pt idx="28">
                  <c:v>26.6</c:v>
                </c:pt>
                <c:pt idx="29">
                  <c:v>30.4</c:v>
                </c:pt>
                <c:pt idx="30">
                  <c:v>40.700000000000003</c:v>
                </c:pt>
              </c:numCache>
            </c:numRef>
          </c:val>
          <c:extLst>
            <c:ext xmlns:c16="http://schemas.microsoft.com/office/drawing/2014/chart" uri="{C3380CC4-5D6E-409C-BE32-E72D297353CC}">
              <c16:uniqueId val="{00000000-41F9-4A12-962B-F5AD42B1650A}"/>
            </c:ext>
          </c:extLst>
        </c:ser>
        <c:ser>
          <c:idx val="1"/>
          <c:order val="1"/>
          <c:tx>
            <c:strRef>
              <c:f>Sheet7!$I$2</c:f>
              <c:strCache>
                <c:ptCount val="1"/>
                <c:pt idx="0">
                  <c:v>After transfers</c:v>
                </c:pt>
              </c:strCache>
            </c:strRef>
          </c:tx>
          <c:spPr>
            <a:solidFill>
              <a:schemeClr val="accent2"/>
            </a:solidFill>
            <a:ln>
              <a:noFill/>
            </a:ln>
            <a:effectLst/>
          </c:spPr>
          <c:invertIfNegative val="0"/>
          <c:cat>
            <c:strRef>
              <c:f>Sheet7!$G$3:$G$33</c:f>
              <c:strCache>
                <c:ptCount val="31"/>
                <c:pt idx="0">
                  <c:v>Spain</c:v>
                </c:pt>
                <c:pt idx="1">
                  <c:v>Romania</c:v>
                </c:pt>
                <c:pt idx="2">
                  <c:v>Italy (2017)</c:v>
                </c:pt>
                <c:pt idx="3">
                  <c:v>Portugal</c:v>
                </c:pt>
                <c:pt idx="4">
                  <c:v>Malta</c:v>
                </c:pt>
                <c:pt idx="5">
                  <c:v>Greece</c:v>
                </c:pt>
                <c:pt idx="6">
                  <c:v>Slovakia (2017)</c:v>
                </c:pt>
                <c:pt idx="7">
                  <c:v>Bulgaria</c:v>
                </c:pt>
                <c:pt idx="8">
                  <c:v>Croatia</c:v>
                </c:pt>
                <c:pt idx="9">
                  <c:v>Lithuania (2017)</c:v>
                </c:pt>
                <c:pt idx="10">
                  <c:v>Belgium</c:v>
                </c:pt>
                <c:pt idx="11">
                  <c:v>Latvia</c:v>
                </c:pt>
                <c:pt idx="12">
                  <c:v>Netherlands</c:v>
                </c:pt>
                <c:pt idx="13">
                  <c:v>Luxembourg (2017)</c:v>
                </c:pt>
                <c:pt idx="14">
                  <c:v>Switzerland (2017)</c:v>
                </c:pt>
                <c:pt idx="15">
                  <c:v>Czechia</c:v>
                </c:pt>
                <c:pt idx="16">
                  <c:v>Cyprus (2017)</c:v>
                </c:pt>
                <c:pt idx="17">
                  <c:v>Sweden</c:v>
                </c:pt>
                <c:pt idx="18">
                  <c:v>France (2017)</c:v>
                </c:pt>
                <c:pt idx="19">
                  <c:v>Estonia</c:v>
                </c:pt>
                <c:pt idx="20">
                  <c:v>UK (2017)</c:v>
                </c:pt>
                <c:pt idx="21">
                  <c:v>Austria</c:v>
                </c:pt>
                <c:pt idx="22">
                  <c:v>Germany (2017)</c:v>
                </c:pt>
                <c:pt idx="23">
                  <c:v>Slovenia</c:v>
                </c:pt>
                <c:pt idx="24">
                  <c:v>Denmark</c:v>
                </c:pt>
                <c:pt idx="25">
                  <c:v>Poland (2017)</c:v>
                </c:pt>
                <c:pt idx="26">
                  <c:v>Ireland (2017)</c:v>
                </c:pt>
                <c:pt idx="27">
                  <c:v>Norway (2017)</c:v>
                </c:pt>
                <c:pt idx="28">
                  <c:v>Iceland (2016)</c:v>
                </c:pt>
                <c:pt idx="29">
                  <c:v>Finland</c:v>
                </c:pt>
                <c:pt idx="30">
                  <c:v>Hungary</c:v>
                </c:pt>
              </c:strCache>
            </c:strRef>
          </c:cat>
          <c:val>
            <c:numRef>
              <c:f>Sheet7!$I$3:$I$33</c:f>
              <c:numCache>
                <c:formatCode>General</c:formatCode>
                <c:ptCount val="31"/>
                <c:pt idx="0">
                  <c:v>26.8</c:v>
                </c:pt>
                <c:pt idx="1">
                  <c:v>32</c:v>
                </c:pt>
                <c:pt idx="2">
                  <c:v>26.4</c:v>
                </c:pt>
                <c:pt idx="3">
                  <c:v>19</c:v>
                </c:pt>
                <c:pt idx="4">
                  <c:v>21.4</c:v>
                </c:pt>
                <c:pt idx="5">
                  <c:v>22.7</c:v>
                </c:pt>
                <c:pt idx="6">
                  <c:v>19.899999999999999</c:v>
                </c:pt>
                <c:pt idx="7">
                  <c:v>26.6</c:v>
                </c:pt>
                <c:pt idx="8">
                  <c:v>19.7</c:v>
                </c:pt>
                <c:pt idx="9">
                  <c:v>25.7</c:v>
                </c:pt>
                <c:pt idx="10">
                  <c:v>20.6</c:v>
                </c:pt>
                <c:pt idx="11">
                  <c:v>17.5</c:v>
                </c:pt>
                <c:pt idx="12">
                  <c:v>13.5</c:v>
                </c:pt>
                <c:pt idx="13">
                  <c:v>22.8</c:v>
                </c:pt>
                <c:pt idx="14">
                  <c:v>18</c:v>
                </c:pt>
                <c:pt idx="15">
                  <c:v>11</c:v>
                </c:pt>
                <c:pt idx="16">
                  <c:v>16.5</c:v>
                </c:pt>
                <c:pt idx="17">
                  <c:v>19.3</c:v>
                </c:pt>
                <c:pt idx="18">
                  <c:v>19.100000000000001</c:v>
                </c:pt>
                <c:pt idx="19">
                  <c:v>15.2</c:v>
                </c:pt>
                <c:pt idx="20">
                  <c:v>21.3</c:v>
                </c:pt>
                <c:pt idx="21">
                  <c:v>19.2</c:v>
                </c:pt>
                <c:pt idx="22">
                  <c:v>15.2</c:v>
                </c:pt>
                <c:pt idx="23">
                  <c:v>11.7</c:v>
                </c:pt>
                <c:pt idx="24">
                  <c:v>10.7</c:v>
                </c:pt>
                <c:pt idx="25">
                  <c:v>14</c:v>
                </c:pt>
                <c:pt idx="26">
                  <c:v>17</c:v>
                </c:pt>
                <c:pt idx="27">
                  <c:v>13.7</c:v>
                </c:pt>
                <c:pt idx="28">
                  <c:v>10.4</c:v>
                </c:pt>
                <c:pt idx="29">
                  <c:v>11.1</c:v>
                </c:pt>
                <c:pt idx="30">
                  <c:v>13.8</c:v>
                </c:pt>
              </c:numCache>
            </c:numRef>
          </c:val>
          <c:extLst>
            <c:ext xmlns:c16="http://schemas.microsoft.com/office/drawing/2014/chart" uri="{C3380CC4-5D6E-409C-BE32-E72D297353CC}">
              <c16:uniqueId val="{00000001-41F9-4A12-962B-F5AD42B1650A}"/>
            </c:ext>
          </c:extLst>
        </c:ser>
        <c:dLbls>
          <c:showLegendKey val="0"/>
          <c:showVal val="0"/>
          <c:showCatName val="0"/>
          <c:showSerName val="0"/>
          <c:showPercent val="0"/>
          <c:showBubbleSize val="0"/>
        </c:dLbls>
        <c:gapWidth val="219"/>
        <c:overlap val="-27"/>
        <c:axId val="814213792"/>
        <c:axId val="814216416"/>
      </c:barChart>
      <c:lineChart>
        <c:grouping val="standard"/>
        <c:varyColors val="0"/>
        <c:ser>
          <c:idx val="2"/>
          <c:order val="2"/>
          <c:tx>
            <c:strRef>
              <c:f>Sheet7!$J$2</c:f>
              <c:strCache>
                <c:ptCount val="1"/>
                <c:pt idx="0">
                  <c:v>% reduction (right axis)</c:v>
                </c:pt>
              </c:strCache>
            </c:strRef>
          </c:tx>
          <c:spPr>
            <a:ln w="28575" cap="rnd">
              <a:solidFill>
                <a:schemeClr val="accent3"/>
              </a:solidFill>
              <a:round/>
            </a:ln>
            <a:effectLst/>
          </c:spPr>
          <c:marker>
            <c:symbol val="none"/>
          </c:marker>
          <c:cat>
            <c:strRef>
              <c:f>Sheet7!$G$3:$G$33</c:f>
              <c:strCache>
                <c:ptCount val="31"/>
                <c:pt idx="0">
                  <c:v>Spain</c:v>
                </c:pt>
                <c:pt idx="1">
                  <c:v>Romania</c:v>
                </c:pt>
                <c:pt idx="2">
                  <c:v>Italy (2017)</c:v>
                </c:pt>
                <c:pt idx="3">
                  <c:v>Portugal</c:v>
                </c:pt>
                <c:pt idx="4">
                  <c:v>Malta</c:v>
                </c:pt>
                <c:pt idx="5">
                  <c:v>Greece</c:v>
                </c:pt>
                <c:pt idx="6">
                  <c:v>Slovakia (2017)</c:v>
                </c:pt>
                <c:pt idx="7">
                  <c:v>Bulgaria</c:v>
                </c:pt>
                <c:pt idx="8">
                  <c:v>Croatia</c:v>
                </c:pt>
                <c:pt idx="9">
                  <c:v>Lithuania (2017)</c:v>
                </c:pt>
                <c:pt idx="10">
                  <c:v>Belgium</c:v>
                </c:pt>
                <c:pt idx="11">
                  <c:v>Latvia</c:v>
                </c:pt>
                <c:pt idx="12">
                  <c:v>Netherlands</c:v>
                </c:pt>
                <c:pt idx="13">
                  <c:v>Luxembourg (2017)</c:v>
                </c:pt>
                <c:pt idx="14">
                  <c:v>Switzerland (2017)</c:v>
                </c:pt>
                <c:pt idx="15">
                  <c:v>Czechia</c:v>
                </c:pt>
                <c:pt idx="16">
                  <c:v>Cyprus (2017)</c:v>
                </c:pt>
                <c:pt idx="17">
                  <c:v>Sweden</c:v>
                </c:pt>
                <c:pt idx="18">
                  <c:v>France (2017)</c:v>
                </c:pt>
                <c:pt idx="19">
                  <c:v>Estonia</c:v>
                </c:pt>
                <c:pt idx="20">
                  <c:v>UK (2017)</c:v>
                </c:pt>
                <c:pt idx="21">
                  <c:v>Austria</c:v>
                </c:pt>
                <c:pt idx="22">
                  <c:v>Germany (2017)</c:v>
                </c:pt>
                <c:pt idx="23">
                  <c:v>Slovenia</c:v>
                </c:pt>
                <c:pt idx="24">
                  <c:v>Denmark</c:v>
                </c:pt>
                <c:pt idx="25">
                  <c:v>Poland (2017)</c:v>
                </c:pt>
                <c:pt idx="26">
                  <c:v>Ireland (2017)</c:v>
                </c:pt>
                <c:pt idx="27">
                  <c:v>Norway (2017)</c:v>
                </c:pt>
                <c:pt idx="28">
                  <c:v>Iceland (2016)</c:v>
                </c:pt>
                <c:pt idx="29">
                  <c:v>Finland</c:v>
                </c:pt>
                <c:pt idx="30">
                  <c:v>Hungary</c:v>
                </c:pt>
              </c:strCache>
            </c:strRef>
          </c:cat>
          <c:val>
            <c:numRef>
              <c:f>Sheet7!$J$3:$J$33</c:f>
              <c:numCache>
                <c:formatCode>General</c:formatCode>
                <c:ptCount val="31"/>
                <c:pt idx="0">
                  <c:v>18.042813455657498</c:v>
                </c:pt>
                <c:pt idx="1">
                  <c:v>20.199501246882797</c:v>
                </c:pt>
                <c:pt idx="2">
                  <c:v>21.661721068249268</c:v>
                </c:pt>
                <c:pt idx="3">
                  <c:v>25.781250000000007</c:v>
                </c:pt>
                <c:pt idx="4">
                  <c:v>25.95155709342561</c:v>
                </c:pt>
                <c:pt idx="5">
                  <c:v>27.476038338658149</c:v>
                </c:pt>
                <c:pt idx="6">
                  <c:v>27.636363636363644</c:v>
                </c:pt>
                <c:pt idx="7">
                  <c:v>29.25531914893617</c:v>
                </c:pt>
                <c:pt idx="8">
                  <c:v>30.633802816901408</c:v>
                </c:pt>
                <c:pt idx="9">
                  <c:v>31.099195710455763</c:v>
                </c:pt>
                <c:pt idx="10">
                  <c:v>32.899022801302927</c:v>
                </c:pt>
                <c:pt idx="11">
                  <c:v>34.210526315789473</c:v>
                </c:pt>
                <c:pt idx="12">
                  <c:v>37.788018433179722</c:v>
                </c:pt>
                <c:pt idx="13">
                  <c:v>39.522546419098148</c:v>
                </c:pt>
                <c:pt idx="14">
                  <c:v>40.199335548172762</c:v>
                </c:pt>
                <c:pt idx="15">
                  <c:v>41.17647058823529</c:v>
                </c:pt>
                <c:pt idx="16">
                  <c:v>41.48936170212766</c:v>
                </c:pt>
                <c:pt idx="17">
                  <c:v>44.540229885057464</c:v>
                </c:pt>
                <c:pt idx="18">
                  <c:v>46.796657381615589</c:v>
                </c:pt>
                <c:pt idx="19">
                  <c:v>49.163879598662206</c:v>
                </c:pt>
                <c:pt idx="20">
                  <c:v>49.164677804295941</c:v>
                </c:pt>
                <c:pt idx="21">
                  <c:v>49.606299212598429</c:v>
                </c:pt>
                <c:pt idx="22">
                  <c:v>50.649350649350652</c:v>
                </c:pt>
                <c:pt idx="23">
                  <c:v>51.652892561983478</c:v>
                </c:pt>
                <c:pt idx="24">
                  <c:v>52.44444444444445</c:v>
                </c:pt>
                <c:pt idx="25">
                  <c:v>52.861952861952865</c:v>
                </c:pt>
                <c:pt idx="26">
                  <c:v>56.185567010309278</c:v>
                </c:pt>
                <c:pt idx="27">
                  <c:v>56.230031948881795</c:v>
                </c:pt>
                <c:pt idx="28">
                  <c:v>60.902255639097746</c:v>
                </c:pt>
                <c:pt idx="29">
                  <c:v>63.48684210526315</c:v>
                </c:pt>
                <c:pt idx="30">
                  <c:v>66.093366093366086</c:v>
                </c:pt>
              </c:numCache>
            </c:numRef>
          </c:val>
          <c:smooth val="0"/>
          <c:extLst>
            <c:ext xmlns:c16="http://schemas.microsoft.com/office/drawing/2014/chart" uri="{C3380CC4-5D6E-409C-BE32-E72D297353CC}">
              <c16:uniqueId val="{00000002-41F9-4A12-962B-F5AD42B1650A}"/>
            </c:ext>
          </c:extLst>
        </c:ser>
        <c:dLbls>
          <c:showLegendKey val="0"/>
          <c:showVal val="0"/>
          <c:showCatName val="0"/>
          <c:showSerName val="0"/>
          <c:showPercent val="0"/>
          <c:showBubbleSize val="0"/>
        </c:dLbls>
        <c:marker val="1"/>
        <c:smooth val="0"/>
        <c:axId val="490829416"/>
        <c:axId val="490831712"/>
      </c:lineChart>
      <c:catAx>
        <c:axId val="81421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216416"/>
        <c:crosses val="autoZero"/>
        <c:auto val="1"/>
        <c:lblAlgn val="ctr"/>
        <c:lblOffset val="100"/>
        <c:noMultiLvlLbl val="0"/>
      </c:catAx>
      <c:valAx>
        <c:axId val="81421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213792"/>
        <c:crosses val="autoZero"/>
        <c:crossBetween val="between"/>
      </c:valAx>
      <c:valAx>
        <c:axId val="4908317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829416"/>
        <c:crosses val="max"/>
        <c:crossBetween val="between"/>
      </c:valAx>
      <c:catAx>
        <c:axId val="490829416"/>
        <c:scaling>
          <c:orientation val="minMax"/>
        </c:scaling>
        <c:delete val="1"/>
        <c:axPos val="b"/>
        <c:numFmt formatCode="General" sourceLinked="1"/>
        <c:majorTickMark val="out"/>
        <c:minorTickMark val="none"/>
        <c:tickLblPos val="nextTo"/>
        <c:crossAx val="4908317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Poverty!$C$1</c:f>
              <c:strCache>
                <c:ptCount val="1"/>
                <c:pt idx="0">
                  <c:v>Poverty  (last available year) </c:v>
                </c:pt>
              </c:strCache>
            </c:strRef>
          </c:tx>
          <c:spPr>
            <a:solidFill>
              <a:schemeClr val="accent1"/>
            </a:solidFill>
            <a:ln>
              <a:noFill/>
            </a:ln>
            <a:effectLst/>
          </c:spPr>
          <c:invertIfNegative val="0"/>
          <c:cat>
            <c:strRef>
              <c:f>Poverty!$B$2:$B$42</c:f>
              <c:strCache>
                <c:ptCount val="41"/>
                <c:pt idx="0">
                  <c:v>Denmark</c:v>
                </c:pt>
                <c:pt idx="1">
                  <c:v>Finland</c:v>
                </c:pt>
                <c:pt idx="2">
                  <c:v>Iceland</c:v>
                </c:pt>
                <c:pt idx="3">
                  <c:v>Republic of Korea</c:v>
                </c:pt>
                <c:pt idx="4">
                  <c:v>Czech Republic</c:v>
                </c:pt>
                <c:pt idx="5">
                  <c:v>Norway</c:v>
                </c:pt>
                <c:pt idx="6">
                  <c:v>Slovenia</c:v>
                </c:pt>
                <c:pt idx="7">
                  <c:v>Poland</c:v>
                </c:pt>
                <c:pt idx="8">
                  <c:v>Netherlands</c:v>
                </c:pt>
                <c:pt idx="9">
                  <c:v>Hungary</c:v>
                </c:pt>
                <c:pt idx="10">
                  <c:v>Germany</c:v>
                </c:pt>
                <c:pt idx="11">
                  <c:v>Cyprus</c:v>
                </c:pt>
                <c:pt idx="12">
                  <c:v>Estonia</c:v>
                </c:pt>
                <c:pt idx="13">
                  <c:v>Ireland</c:v>
                </c:pt>
                <c:pt idx="14">
                  <c:v>Switzerland</c:v>
                </c:pt>
                <c:pt idx="15">
                  <c:v>Australia</c:v>
                </c:pt>
                <c:pt idx="16">
                  <c:v>Japan</c:v>
                </c:pt>
                <c:pt idx="17">
                  <c:v>Latvia</c:v>
                </c:pt>
                <c:pt idx="18">
                  <c:v>Belgium</c:v>
                </c:pt>
                <c:pt idx="19">
                  <c:v>Sweden</c:v>
                </c:pt>
                <c:pt idx="20">
                  <c:v>Austria</c:v>
                </c:pt>
                <c:pt idx="21">
                  <c:v>France</c:v>
                </c:pt>
                <c:pt idx="22">
                  <c:v>New Zealand</c:v>
                </c:pt>
                <c:pt idx="23">
                  <c:v>Slovakia</c:v>
                </c:pt>
                <c:pt idx="24">
                  <c:v>Portugal</c:v>
                </c:pt>
                <c:pt idx="25">
                  <c:v>Canada</c:v>
                </c:pt>
                <c:pt idx="26">
                  <c:v>Malta</c:v>
                </c:pt>
                <c:pt idx="27">
                  <c:v>United Kingdom</c:v>
                </c:pt>
                <c:pt idx="28">
                  <c:v>Croatia</c:v>
                </c:pt>
                <c:pt idx="29">
                  <c:v>Luxembourg</c:v>
                </c:pt>
                <c:pt idx="30">
                  <c:v>Greece</c:v>
                </c:pt>
                <c:pt idx="31">
                  <c:v>Chile</c:v>
                </c:pt>
                <c:pt idx="32">
                  <c:v>Lithuania</c:v>
                </c:pt>
                <c:pt idx="33">
                  <c:v>Italy</c:v>
                </c:pt>
                <c:pt idx="34">
                  <c:v>Spain</c:v>
                </c:pt>
                <c:pt idx="35">
                  <c:v>Bulgaria</c:v>
                </c:pt>
                <c:pt idx="36">
                  <c:v>United States</c:v>
                </c:pt>
                <c:pt idx="37">
                  <c:v>Mexico</c:v>
                </c:pt>
                <c:pt idx="38">
                  <c:v>Romania</c:v>
                </c:pt>
                <c:pt idx="39">
                  <c:v>Turkey</c:v>
                </c:pt>
                <c:pt idx="40">
                  <c:v>Israel</c:v>
                </c:pt>
              </c:strCache>
            </c:strRef>
          </c:cat>
          <c:val>
            <c:numRef>
              <c:f>Poverty!$C$2:$C$42</c:f>
              <c:numCache>
                <c:formatCode>General</c:formatCode>
                <c:ptCount val="41"/>
                <c:pt idx="0">
                  <c:v>10</c:v>
                </c:pt>
                <c:pt idx="1">
                  <c:v>10.199999999999999</c:v>
                </c:pt>
                <c:pt idx="2">
                  <c:v>10.4</c:v>
                </c:pt>
                <c:pt idx="3">
                  <c:v>11.5</c:v>
                </c:pt>
                <c:pt idx="4">
                  <c:v>11.6</c:v>
                </c:pt>
                <c:pt idx="5">
                  <c:v>12.8</c:v>
                </c:pt>
                <c:pt idx="6">
                  <c:v>12.8</c:v>
                </c:pt>
                <c:pt idx="7">
                  <c:v>14</c:v>
                </c:pt>
                <c:pt idx="8">
                  <c:v>14.4</c:v>
                </c:pt>
                <c:pt idx="9">
                  <c:v>14.8</c:v>
                </c:pt>
                <c:pt idx="10">
                  <c:v>15.2</c:v>
                </c:pt>
                <c:pt idx="11">
                  <c:v>16.5</c:v>
                </c:pt>
                <c:pt idx="12">
                  <c:v>16.5</c:v>
                </c:pt>
                <c:pt idx="13">
                  <c:v>17</c:v>
                </c:pt>
                <c:pt idx="14">
                  <c:v>17</c:v>
                </c:pt>
                <c:pt idx="15">
                  <c:v>17.5</c:v>
                </c:pt>
                <c:pt idx="16">
                  <c:v>18.2</c:v>
                </c:pt>
                <c:pt idx="17">
                  <c:v>18.399999999999999</c:v>
                </c:pt>
                <c:pt idx="18">
                  <c:v>18.600000000000001</c:v>
                </c:pt>
                <c:pt idx="19">
                  <c:v>18.600000000000001</c:v>
                </c:pt>
                <c:pt idx="20">
                  <c:v>19.100000000000001</c:v>
                </c:pt>
                <c:pt idx="21">
                  <c:v>19.100000000000001</c:v>
                </c:pt>
                <c:pt idx="22">
                  <c:v>19.8</c:v>
                </c:pt>
                <c:pt idx="23">
                  <c:v>19.899999999999999</c:v>
                </c:pt>
                <c:pt idx="24">
                  <c:v>20.7</c:v>
                </c:pt>
                <c:pt idx="25">
                  <c:v>20.97</c:v>
                </c:pt>
                <c:pt idx="26">
                  <c:v>21.2</c:v>
                </c:pt>
                <c:pt idx="27">
                  <c:v>21.3</c:v>
                </c:pt>
                <c:pt idx="28">
                  <c:v>21.4</c:v>
                </c:pt>
                <c:pt idx="29">
                  <c:v>22.8</c:v>
                </c:pt>
                <c:pt idx="30">
                  <c:v>24.5</c:v>
                </c:pt>
                <c:pt idx="31">
                  <c:v>25.5</c:v>
                </c:pt>
                <c:pt idx="32">
                  <c:v>25.7</c:v>
                </c:pt>
                <c:pt idx="33">
                  <c:v>26.4</c:v>
                </c:pt>
                <c:pt idx="34">
                  <c:v>28.3</c:v>
                </c:pt>
                <c:pt idx="35">
                  <c:v>29.2</c:v>
                </c:pt>
                <c:pt idx="36">
                  <c:v>29.4</c:v>
                </c:pt>
                <c:pt idx="37">
                  <c:v>31.6</c:v>
                </c:pt>
                <c:pt idx="38">
                  <c:v>32.200000000000003</c:v>
                </c:pt>
                <c:pt idx="39">
                  <c:v>33.4</c:v>
                </c:pt>
                <c:pt idx="40">
                  <c:v>36.1</c:v>
                </c:pt>
              </c:numCache>
            </c:numRef>
          </c:val>
          <c:extLst>
            <c:ext xmlns:c16="http://schemas.microsoft.com/office/drawing/2014/chart" uri="{C3380CC4-5D6E-409C-BE32-E72D297353CC}">
              <c16:uniqueId val="{00000000-4E82-472A-A59C-49208FDE89BD}"/>
            </c:ext>
          </c:extLst>
        </c:ser>
        <c:dLbls>
          <c:showLegendKey val="0"/>
          <c:showVal val="0"/>
          <c:showCatName val="0"/>
          <c:showSerName val="0"/>
          <c:showPercent val="0"/>
          <c:showBubbleSize val="0"/>
        </c:dLbls>
        <c:gapWidth val="219"/>
        <c:overlap val="-27"/>
        <c:axId val="38526800"/>
        <c:axId val="128108592"/>
      </c:barChart>
      <c:catAx>
        <c:axId val="3852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8108592"/>
        <c:crosses val="autoZero"/>
        <c:auto val="1"/>
        <c:lblAlgn val="ctr"/>
        <c:lblOffset val="100"/>
        <c:noMultiLvlLbl val="0"/>
      </c:catAx>
      <c:valAx>
        <c:axId val="128108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children in poor households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26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data!$W$1</c:f>
              <c:strCache>
                <c:ptCount val="1"/>
                <c:pt idx="0">
                  <c:v>Social asistance</c:v>
                </c:pt>
              </c:strCache>
            </c:strRef>
          </c:tx>
          <c:spPr>
            <a:solidFill>
              <a:schemeClr val="accent1"/>
            </a:solidFill>
            <a:ln>
              <a:noFill/>
            </a:ln>
            <a:effectLst/>
          </c:spPr>
          <c:invertIfNegative val="0"/>
          <c:cat>
            <c:strRef>
              <c:f>data!$V$2:$V$34</c:f>
              <c:strCache>
                <c:ptCount val="33"/>
                <c:pt idx="0">
                  <c:v>Austria</c:v>
                </c:pt>
                <c:pt idx="1">
                  <c:v>Belgium</c:v>
                </c:pt>
                <c:pt idx="2">
                  <c:v>Bulgaria</c:v>
                </c:pt>
                <c:pt idx="3">
                  <c:v>Canada</c:v>
                </c:pt>
                <c:pt idx="4">
                  <c:v>Cyprus</c:v>
                </c:pt>
                <c:pt idx="5">
                  <c:v>Czech Republic</c:v>
                </c:pt>
                <c:pt idx="6">
                  <c:v>Denmark</c:v>
                </c:pt>
                <c:pt idx="7">
                  <c:v>Estonia</c:v>
                </c:pt>
                <c:pt idx="8">
                  <c:v>Finland</c:v>
                </c:pt>
                <c:pt idx="9">
                  <c:v>France</c:v>
                </c:pt>
                <c:pt idx="10">
                  <c:v>Greece</c:v>
                </c:pt>
                <c:pt idx="11">
                  <c:v>Germany</c:v>
                </c:pt>
                <c:pt idx="12">
                  <c:v>Croatia</c:v>
                </c:pt>
                <c:pt idx="13">
                  <c:v>Hungary</c:v>
                </c:pt>
                <c:pt idx="14">
                  <c:v>Iceland</c:v>
                </c:pt>
                <c:pt idx="15">
                  <c:v>Ireland</c:v>
                </c:pt>
                <c:pt idx="16">
                  <c:v>Italy</c:v>
                </c:pt>
                <c:pt idx="17">
                  <c:v>Lithuania</c:v>
                </c:pt>
                <c:pt idx="18">
                  <c:v>Latvia</c:v>
                </c:pt>
                <c:pt idx="19">
                  <c:v>Luxembourg</c:v>
                </c:pt>
                <c:pt idx="20">
                  <c:v>Malta</c:v>
                </c:pt>
                <c:pt idx="21">
                  <c:v>Netherlands</c:v>
                </c:pt>
                <c:pt idx="22">
                  <c:v>Norway</c:v>
                </c:pt>
                <c:pt idx="23">
                  <c:v>Poland</c:v>
                </c:pt>
                <c:pt idx="24">
                  <c:v>Portugal</c:v>
                </c:pt>
                <c:pt idx="25">
                  <c:v>Romania</c:v>
                </c:pt>
                <c:pt idx="26">
                  <c:v>Slovenia</c:v>
                </c:pt>
                <c:pt idx="27">
                  <c:v>Slovak Republic</c:v>
                </c:pt>
                <c:pt idx="28">
                  <c:v>Spain</c:v>
                </c:pt>
                <c:pt idx="29">
                  <c:v>Sweden</c:v>
                </c:pt>
                <c:pt idx="30">
                  <c:v>Switzerland</c:v>
                </c:pt>
                <c:pt idx="31">
                  <c:v>United Kingdom</c:v>
                </c:pt>
                <c:pt idx="32">
                  <c:v>United States</c:v>
                </c:pt>
              </c:strCache>
            </c:strRef>
          </c:cat>
          <c:val>
            <c:numRef>
              <c:f>data!$W$2:$W$34</c:f>
              <c:numCache>
                <c:formatCode>General</c:formatCode>
                <c:ptCount val="33"/>
                <c:pt idx="0">
                  <c:v>0</c:v>
                </c:pt>
                <c:pt idx="1">
                  <c:v>0</c:v>
                </c:pt>
                <c:pt idx="2">
                  <c:v>0</c:v>
                </c:pt>
                <c:pt idx="3">
                  <c:v>0.5214363963830142</c:v>
                </c:pt>
                <c:pt idx="4">
                  <c:v>4.1431150077359469</c:v>
                </c:pt>
                <c:pt idx="5">
                  <c:v>0</c:v>
                </c:pt>
                <c:pt idx="6">
                  <c:v>38.108981239610543</c:v>
                </c:pt>
                <c:pt idx="7">
                  <c:v>0</c:v>
                </c:pt>
                <c:pt idx="8">
                  <c:v>0</c:v>
                </c:pt>
                <c:pt idx="9">
                  <c:v>0</c:v>
                </c:pt>
                <c:pt idx="10">
                  <c:v>0</c:v>
                </c:pt>
                <c:pt idx="11">
                  <c:v>0</c:v>
                </c:pt>
                <c:pt idx="12">
                  <c:v>0</c:v>
                </c:pt>
                <c:pt idx="13">
                  <c:v>0</c:v>
                </c:pt>
                <c:pt idx="14">
                  <c:v>0</c:v>
                </c:pt>
                <c:pt idx="15">
                  <c:v>0</c:v>
                </c:pt>
                <c:pt idx="16">
                  <c:v>0</c:v>
                </c:pt>
                <c:pt idx="17">
                  <c:v>7.994088140451451</c:v>
                </c:pt>
                <c:pt idx="18">
                  <c:v>0</c:v>
                </c:pt>
                <c:pt idx="19">
                  <c:v>3.867209080407815</c:v>
                </c:pt>
                <c:pt idx="20">
                  <c:v>0</c:v>
                </c:pt>
                <c:pt idx="21">
                  <c:v>0</c:v>
                </c:pt>
                <c:pt idx="22">
                  <c:v>0</c:v>
                </c:pt>
                <c:pt idx="23">
                  <c:v>0</c:v>
                </c:pt>
                <c:pt idx="24">
                  <c:v>0</c:v>
                </c:pt>
                <c:pt idx="25">
                  <c:v>0</c:v>
                </c:pt>
                <c:pt idx="26">
                  <c:v>4.3204047217537944</c:v>
                </c:pt>
                <c:pt idx="27">
                  <c:v>0</c:v>
                </c:pt>
                <c:pt idx="28">
                  <c:v>0</c:v>
                </c:pt>
                <c:pt idx="29">
                  <c:v>0</c:v>
                </c:pt>
                <c:pt idx="30">
                  <c:v>0</c:v>
                </c:pt>
                <c:pt idx="31">
                  <c:v>0</c:v>
                </c:pt>
                <c:pt idx="32">
                  <c:v>0</c:v>
                </c:pt>
              </c:numCache>
            </c:numRef>
          </c:val>
          <c:extLst>
            <c:ext xmlns:c16="http://schemas.microsoft.com/office/drawing/2014/chart" uri="{C3380CC4-5D6E-409C-BE32-E72D297353CC}">
              <c16:uniqueId val="{00000000-1FA0-46CC-A95C-CFD3CAAC54F0}"/>
            </c:ext>
          </c:extLst>
        </c:ser>
        <c:ser>
          <c:idx val="1"/>
          <c:order val="1"/>
          <c:tx>
            <c:strRef>
              <c:f>data!$X$1</c:f>
              <c:strCache>
                <c:ptCount val="1"/>
                <c:pt idx="0">
                  <c:v>Housing benefit</c:v>
                </c:pt>
              </c:strCache>
            </c:strRef>
          </c:tx>
          <c:spPr>
            <a:solidFill>
              <a:schemeClr val="accent2"/>
            </a:solidFill>
            <a:ln>
              <a:noFill/>
            </a:ln>
            <a:effectLst/>
          </c:spPr>
          <c:invertIfNegative val="0"/>
          <c:cat>
            <c:strRef>
              <c:f>data!$V$2:$V$34</c:f>
              <c:strCache>
                <c:ptCount val="33"/>
                <c:pt idx="0">
                  <c:v>Austria</c:v>
                </c:pt>
                <c:pt idx="1">
                  <c:v>Belgium</c:v>
                </c:pt>
                <c:pt idx="2">
                  <c:v>Bulgaria</c:v>
                </c:pt>
                <c:pt idx="3">
                  <c:v>Canada</c:v>
                </c:pt>
                <c:pt idx="4">
                  <c:v>Cyprus</c:v>
                </c:pt>
                <c:pt idx="5">
                  <c:v>Czech Republic</c:v>
                </c:pt>
                <c:pt idx="6">
                  <c:v>Denmark</c:v>
                </c:pt>
                <c:pt idx="7">
                  <c:v>Estonia</c:v>
                </c:pt>
                <c:pt idx="8">
                  <c:v>Finland</c:v>
                </c:pt>
                <c:pt idx="9">
                  <c:v>France</c:v>
                </c:pt>
                <c:pt idx="10">
                  <c:v>Greece</c:v>
                </c:pt>
                <c:pt idx="11">
                  <c:v>Germany</c:v>
                </c:pt>
                <c:pt idx="12">
                  <c:v>Croatia</c:v>
                </c:pt>
                <c:pt idx="13">
                  <c:v>Hungary</c:v>
                </c:pt>
                <c:pt idx="14">
                  <c:v>Iceland</c:v>
                </c:pt>
                <c:pt idx="15">
                  <c:v>Ireland</c:v>
                </c:pt>
                <c:pt idx="16">
                  <c:v>Italy</c:v>
                </c:pt>
                <c:pt idx="17">
                  <c:v>Lithuania</c:v>
                </c:pt>
                <c:pt idx="18">
                  <c:v>Latvia</c:v>
                </c:pt>
                <c:pt idx="19">
                  <c:v>Luxembourg</c:v>
                </c:pt>
                <c:pt idx="20">
                  <c:v>Malta</c:v>
                </c:pt>
                <c:pt idx="21">
                  <c:v>Netherlands</c:v>
                </c:pt>
                <c:pt idx="22">
                  <c:v>Norway</c:v>
                </c:pt>
                <c:pt idx="23">
                  <c:v>Poland</c:v>
                </c:pt>
                <c:pt idx="24">
                  <c:v>Portugal</c:v>
                </c:pt>
                <c:pt idx="25">
                  <c:v>Romania</c:v>
                </c:pt>
                <c:pt idx="26">
                  <c:v>Slovenia</c:v>
                </c:pt>
                <c:pt idx="27">
                  <c:v>Slovak Republic</c:v>
                </c:pt>
                <c:pt idx="28">
                  <c:v>Spain</c:v>
                </c:pt>
                <c:pt idx="29">
                  <c:v>Sweden</c:v>
                </c:pt>
                <c:pt idx="30">
                  <c:v>Switzerland</c:v>
                </c:pt>
                <c:pt idx="31">
                  <c:v>United Kingdom</c:v>
                </c:pt>
                <c:pt idx="32">
                  <c:v>United States</c:v>
                </c:pt>
              </c:strCache>
            </c:strRef>
          </c:cat>
          <c:val>
            <c:numRef>
              <c:f>data!$X$2:$X$34</c:f>
              <c:numCache>
                <c:formatCode>General</c:formatCode>
                <c:ptCount val="33"/>
                <c:pt idx="0">
                  <c:v>1.7839330472832322</c:v>
                </c:pt>
                <c:pt idx="1">
                  <c:v>0</c:v>
                </c:pt>
                <c:pt idx="2">
                  <c:v>0</c:v>
                </c:pt>
                <c:pt idx="3">
                  <c:v>0</c:v>
                </c:pt>
                <c:pt idx="4">
                  <c:v>1.1508509541000518</c:v>
                </c:pt>
                <c:pt idx="5">
                  <c:v>0</c:v>
                </c:pt>
                <c:pt idx="6">
                  <c:v>2.1303609593920685</c:v>
                </c:pt>
                <c:pt idx="7">
                  <c:v>0</c:v>
                </c:pt>
                <c:pt idx="8">
                  <c:v>8.0955688945842059</c:v>
                </c:pt>
                <c:pt idx="9">
                  <c:v>6.1801811723891076</c:v>
                </c:pt>
                <c:pt idx="10">
                  <c:v>0</c:v>
                </c:pt>
                <c:pt idx="11">
                  <c:v>2.7928994082840237</c:v>
                </c:pt>
                <c:pt idx="12">
                  <c:v>0</c:v>
                </c:pt>
                <c:pt idx="13">
                  <c:v>0</c:v>
                </c:pt>
                <c:pt idx="14">
                  <c:v>6.971298294251806</c:v>
                </c:pt>
                <c:pt idx="15">
                  <c:v>11.744764647341563</c:v>
                </c:pt>
                <c:pt idx="16">
                  <c:v>0.48309178743961351</c:v>
                </c:pt>
                <c:pt idx="17">
                  <c:v>0</c:v>
                </c:pt>
                <c:pt idx="18">
                  <c:v>0</c:v>
                </c:pt>
                <c:pt idx="19">
                  <c:v>3.4955552207322582</c:v>
                </c:pt>
                <c:pt idx="20">
                  <c:v>8.8308259397368314</c:v>
                </c:pt>
                <c:pt idx="21">
                  <c:v>7.2395350633302433</c:v>
                </c:pt>
                <c:pt idx="22">
                  <c:v>0</c:v>
                </c:pt>
                <c:pt idx="23">
                  <c:v>8.0765075353879396</c:v>
                </c:pt>
                <c:pt idx="24">
                  <c:v>0</c:v>
                </c:pt>
                <c:pt idx="25">
                  <c:v>0</c:v>
                </c:pt>
                <c:pt idx="26">
                  <c:v>8.8302928100567222</c:v>
                </c:pt>
                <c:pt idx="27">
                  <c:v>0</c:v>
                </c:pt>
                <c:pt idx="28">
                  <c:v>0</c:v>
                </c:pt>
                <c:pt idx="29">
                  <c:v>1.0724890907750297</c:v>
                </c:pt>
                <c:pt idx="30">
                  <c:v>0</c:v>
                </c:pt>
                <c:pt idx="31">
                  <c:v>4.9047799792504874</c:v>
                </c:pt>
                <c:pt idx="32">
                  <c:v>0</c:v>
                </c:pt>
              </c:numCache>
            </c:numRef>
          </c:val>
          <c:extLst>
            <c:ext xmlns:c16="http://schemas.microsoft.com/office/drawing/2014/chart" uri="{C3380CC4-5D6E-409C-BE32-E72D297353CC}">
              <c16:uniqueId val="{00000001-1FA0-46CC-A95C-CFD3CAAC54F0}"/>
            </c:ext>
          </c:extLst>
        </c:ser>
        <c:ser>
          <c:idx val="2"/>
          <c:order val="2"/>
          <c:tx>
            <c:strRef>
              <c:f>data!$Y$1</c:f>
              <c:strCache>
                <c:ptCount val="1"/>
                <c:pt idx="0">
                  <c:v>Family benefit</c:v>
                </c:pt>
              </c:strCache>
            </c:strRef>
          </c:tx>
          <c:spPr>
            <a:solidFill>
              <a:schemeClr val="accent3"/>
            </a:solidFill>
            <a:ln>
              <a:noFill/>
            </a:ln>
            <a:effectLst/>
          </c:spPr>
          <c:invertIfNegative val="0"/>
          <c:cat>
            <c:strRef>
              <c:f>data!$V$2:$V$34</c:f>
              <c:strCache>
                <c:ptCount val="33"/>
                <c:pt idx="0">
                  <c:v>Austria</c:v>
                </c:pt>
                <c:pt idx="1">
                  <c:v>Belgium</c:v>
                </c:pt>
                <c:pt idx="2">
                  <c:v>Bulgaria</c:v>
                </c:pt>
                <c:pt idx="3">
                  <c:v>Canada</c:v>
                </c:pt>
                <c:pt idx="4">
                  <c:v>Cyprus</c:v>
                </c:pt>
                <c:pt idx="5">
                  <c:v>Czech Republic</c:v>
                </c:pt>
                <c:pt idx="6">
                  <c:v>Denmark</c:v>
                </c:pt>
                <c:pt idx="7">
                  <c:v>Estonia</c:v>
                </c:pt>
                <c:pt idx="8">
                  <c:v>Finland</c:v>
                </c:pt>
                <c:pt idx="9">
                  <c:v>France</c:v>
                </c:pt>
                <c:pt idx="10">
                  <c:v>Greece</c:v>
                </c:pt>
                <c:pt idx="11">
                  <c:v>Germany</c:v>
                </c:pt>
                <c:pt idx="12">
                  <c:v>Croatia</c:v>
                </c:pt>
                <c:pt idx="13">
                  <c:v>Hungary</c:v>
                </c:pt>
                <c:pt idx="14">
                  <c:v>Iceland</c:v>
                </c:pt>
                <c:pt idx="15">
                  <c:v>Ireland</c:v>
                </c:pt>
                <c:pt idx="16">
                  <c:v>Italy</c:v>
                </c:pt>
                <c:pt idx="17">
                  <c:v>Lithuania</c:v>
                </c:pt>
                <c:pt idx="18">
                  <c:v>Latvia</c:v>
                </c:pt>
                <c:pt idx="19">
                  <c:v>Luxembourg</c:v>
                </c:pt>
                <c:pt idx="20">
                  <c:v>Malta</c:v>
                </c:pt>
                <c:pt idx="21">
                  <c:v>Netherlands</c:v>
                </c:pt>
                <c:pt idx="22">
                  <c:v>Norway</c:v>
                </c:pt>
                <c:pt idx="23">
                  <c:v>Poland</c:v>
                </c:pt>
                <c:pt idx="24">
                  <c:v>Portugal</c:v>
                </c:pt>
                <c:pt idx="25">
                  <c:v>Romania</c:v>
                </c:pt>
                <c:pt idx="26">
                  <c:v>Slovenia</c:v>
                </c:pt>
                <c:pt idx="27">
                  <c:v>Slovak Republic</c:v>
                </c:pt>
                <c:pt idx="28">
                  <c:v>Spain</c:v>
                </c:pt>
                <c:pt idx="29">
                  <c:v>Sweden</c:v>
                </c:pt>
                <c:pt idx="30">
                  <c:v>Switzerland</c:v>
                </c:pt>
                <c:pt idx="31">
                  <c:v>United Kingdom</c:v>
                </c:pt>
                <c:pt idx="32">
                  <c:v>United States</c:v>
                </c:pt>
              </c:strCache>
            </c:strRef>
          </c:cat>
          <c:val>
            <c:numRef>
              <c:f>data!$Y$2:$Y$34</c:f>
              <c:numCache>
                <c:formatCode>General</c:formatCode>
                <c:ptCount val="33"/>
                <c:pt idx="0">
                  <c:v>9.765920387442117</c:v>
                </c:pt>
                <c:pt idx="1">
                  <c:v>7.5866173296330564</c:v>
                </c:pt>
                <c:pt idx="2">
                  <c:v>7.6362865021565431</c:v>
                </c:pt>
                <c:pt idx="3">
                  <c:v>23.584807917262378</c:v>
                </c:pt>
                <c:pt idx="4">
                  <c:v>4.899432697266632</c:v>
                </c:pt>
                <c:pt idx="5">
                  <c:v>19.081272084805654</c:v>
                </c:pt>
                <c:pt idx="6">
                  <c:v>6.7765376395155545</c:v>
                </c:pt>
                <c:pt idx="7">
                  <c:v>8.3894750222448202</c:v>
                </c:pt>
                <c:pt idx="8">
                  <c:v>5.3880083631213331</c:v>
                </c:pt>
                <c:pt idx="9">
                  <c:v>5.3195847903301301</c:v>
                </c:pt>
                <c:pt idx="10">
                  <c:v>7.8951078528126324</c:v>
                </c:pt>
                <c:pt idx="11">
                  <c:v>9.1834319526627226</c:v>
                </c:pt>
                <c:pt idx="12">
                  <c:v>6.1124724332271505</c:v>
                </c:pt>
                <c:pt idx="13">
                  <c:v>7.7518476208239111</c:v>
                </c:pt>
                <c:pt idx="14">
                  <c:v>7.9915821147385397</c:v>
                </c:pt>
                <c:pt idx="15">
                  <c:v>7.1145742901306459</c:v>
                </c:pt>
                <c:pt idx="16">
                  <c:v>9.1045410628019319</c:v>
                </c:pt>
                <c:pt idx="17">
                  <c:v>9.721246864922966</c:v>
                </c:pt>
                <c:pt idx="18">
                  <c:v>3.4450050454086787</c:v>
                </c:pt>
                <c:pt idx="19">
                  <c:v>12.537056568396029</c:v>
                </c:pt>
                <c:pt idx="20">
                  <c:v>3.8575286100038575</c:v>
                </c:pt>
                <c:pt idx="21">
                  <c:v>5.9853838430645663</c:v>
                </c:pt>
                <c:pt idx="22">
                  <c:v>3.9056077682672727</c:v>
                </c:pt>
                <c:pt idx="23">
                  <c:v>26.786793385705653</c:v>
                </c:pt>
                <c:pt idx="24">
                  <c:v>3.9863258993976887</c:v>
                </c:pt>
                <c:pt idx="25">
                  <c:v>7.7560975609756095</c:v>
                </c:pt>
                <c:pt idx="26">
                  <c:v>13.816699882467168</c:v>
                </c:pt>
                <c:pt idx="27">
                  <c:v>4.6152346922202376</c:v>
                </c:pt>
                <c:pt idx="28">
                  <c:v>0</c:v>
                </c:pt>
                <c:pt idx="29">
                  <c:v>6.0327511356095425</c:v>
                </c:pt>
                <c:pt idx="30">
                  <c:v>5.3166155311631202</c:v>
                </c:pt>
                <c:pt idx="31">
                  <c:v>10.676358207444521</c:v>
                </c:pt>
                <c:pt idx="32">
                  <c:v>0</c:v>
                </c:pt>
              </c:numCache>
            </c:numRef>
          </c:val>
          <c:extLst>
            <c:ext xmlns:c16="http://schemas.microsoft.com/office/drawing/2014/chart" uri="{C3380CC4-5D6E-409C-BE32-E72D297353CC}">
              <c16:uniqueId val="{00000002-1FA0-46CC-A95C-CFD3CAAC54F0}"/>
            </c:ext>
          </c:extLst>
        </c:ser>
        <c:ser>
          <c:idx val="3"/>
          <c:order val="3"/>
          <c:tx>
            <c:strRef>
              <c:f>data!$Z$1</c:f>
              <c:strCache>
                <c:ptCount val="1"/>
                <c:pt idx="0">
                  <c:v>In-work benefit</c:v>
                </c:pt>
              </c:strCache>
            </c:strRef>
          </c:tx>
          <c:spPr>
            <a:solidFill>
              <a:schemeClr val="accent4"/>
            </a:solidFill>
            <a:ln>
              <a:noFill/>
            </a:ln>
            <a:effectLst/>
          </c:spPr>
          <c:invertIfNegative val="0"/>
          <c:cat>
            <c:strRef>
              <c:f>data!$V$2:$V$34</c:f>
              <c:strCache>
                <c:ptCount val="33"/>
                <c:pt idx="0">
                  <c:v>Austria</c:v>
                </c:pt>
                <c:pt idx="1">
                  <c:v>Belgium</c:v>
                </c:pt>
                <c:pt idx="2">
                  <c:v>Bulgaria</c:v>
                </c:pt>
                <c:pt idx="3">
                  <c:v>Canada</c:v>
                </c:pt>
                <c:pt idx="4">
                  <c:v>Cyprus</c:v>
                </c:pt>
                <c:pt idx="5">
                  <c:v>Czech Republic</c:v>
                </c:pt>
                <c:pt idx="6">
                  <c:v>Denmark</c:v>
                </c:pt>
                <c:pt idx="7">
                  <c:v>Estonia</c:v>
                </c:pt>
                <c:pt idx="8">
                  <c:v>Finland</c:v>
                </c:pt>
                <c:pt idx="9">
                  <c:v>France</c:v>
                </c:pt>
                <c:pt idx="10">
                  <c:v>Greece</c:v>
                </c:pt>
                <c:pt idx="11">
                  <c:v>Germany</c:v>
                </c:pt>
                <c:pt idx="12">
                  <c:v>Croatia</c:v>
                </c:pt>
                <c:pt idx="13">
                  <c:v>Hungary</c:v>
                </c:pt>
                <c:pt idx="14">
                  <c:v>Iceland</c:v>
                </c:pt>
                <c:pt idx="15">
                  <c:v>Ireland</c:v>
                </c:pt>
                <c:pt idx="16">
                  <c:v>Italy</c:v>
                </c:pt>
                <c:pt idx="17">
                  <c:v>Lithuania</c:v>
                </c:pt>
                <c:pt idx="18">
                  <c:v>Latvia</c:v>
                </c:pt>
                <c:pt idx="19">
                  <c:v>Luxembourg</c:v>
                </c:pt>
                <c:pt idx="20">
                  <c:v>Malta</c:v>
                </c:pt>
                <c:pt idx="21">
                  <c:v>Netherlands</c:v>
                </c:pt>
                <c:pt idx="22">
                  <c:v>Norway</c:v>
                </c:pt>
                <c:pt idx="23">
                  <c:v>Poland</c:v>
                </c:pt>
                <c:pt idx="24">
                  <c:v>Portugal</c:v>
                </c:pt>
                <c:pt idx="25">
                  <c:v>Romania</c:v>
                </c:pt>
                <c:pt idx="26">
                  <c:v>Slovenia</c:v>
                </c:pt>
                <c:pt idx="27">
                  <c:v>Slovak Republic</c:v>
                </c:pt>
                <c:pt idx="28">
                  <c:v>Spain</c:v>
                </c:pt>
                <c:pt idx="29">
                  <c:v>Sweden</c:v>
                </c:pt>
                <c:pt idx="30">
                  <c:v>Switzerland</c:v>
                </c:pt>
                <c:pt idx="31">
                  <c:v>United Kingdom</c:v>
                </c:pt>
                <c:pt idx="32">
                  <c:v>United States</c:v>
                </c:pt>
              </c:strCache>
            </c:strRef>
          </c:cat>
          <c:val>
            <c:numRef>
              <c:f>data!$Z$2:$Z$34</c:f>
              <c:numCache>
                <c:formatCode>General</c:formatCode>
                <c:ptCount val="33"/>
                <c:pt idx="0">
                  <c:v>0</c:v>
                </c:pt>
                <c:pt idx="1">
                  <c:v>0</c:v>
                </c:pt>
                <c:pt idx="2">
                  <c:v>0</c:v>
                </c:pt>
                <c:pt idx="3">
                  <c:v>0</c:v>
                </c:pt>
                <c:pt idx="4">
                  <c:v>0</c:v>
                </c:pt>
                <c:pt idx="5">
                  <c:v>0</c:v>
                </c:pt>
                <c:pt idx="6">
                  <c:v>0</c:v>
                </c:pt>
                <c:pt idx="7">
                  <c:v>0</c:v>
                </c:pt>
                <c:pt idx="8">
                  <c:v>4.7715429059598478</c:v>
                </c:pt>
                <c:pt idx="9">
                  <c:v>9.7484236900795729</c:v>
                </c:pt>
                <c:pt idx="10">
                  <c:v>0</c:v>
                </c:pt>
                <c:pt idx="11">
                  <c:v>0</c:v>
                </c:pt>
                <c:pt idx="12">
                  <c:v>0</c:v>
                </c:pt>
                <c:pt idx="13">
                  <c:v>0</c:v>
                </c:pt>
                <c:pt idx="14">
                  <c:v>0</c:v>
                </c:pt>
                <c:pt idx="15">
                  <c:v>3.9382133101827344</c:v>
                </c:pt>
                <c:pt idx="16">
                  <c:v>3.0917874396135265</c:v>
                </c:pt>
                <c:pt idx="17">
                  <c:v>0</c:v>
                </c:pt>
                <c:pt idx="18">
                  <c:v>0</c:v>
                </c:pt>
                <c:pt idx="19">
                  <c:v>0</c:v>
                </c:pt>
                <c:pt idx="20">
                  <c:v>1.7161716171617163</c:v>
                </c:pt>
                <c:pt idx="21">
                  <c:v>0</c:v>
                </c:pt>
                <c:pt idx="22">
                  <c:v>0</c:v>
                </c:pt>
                <c:pt idx="23">
                  <c:v>0</c:v>
                </c:pt>
                <c:pt idx="24">
                  <c:v>0</c:v>
                </c:pt>
                <c:pt idx="25">
                  <c:v>0</c:v>
                </c:pt>
                <c:pt idx="26">
                  <c:v>0</c:v>
                </c:pt>
                <c:pt idx="27">
                  <c:v>4.2020464511937643</c:v>
                </c:pt>
                <c:pt idx="28">
                  <c:v>0</c:v>
                </c:pt>
                <c:pt idx="29">
                  <c:v>4.9814883914227686</c:v>
                </c:pt>
                <c:pt idx="30">
                  <c:v>0</c:v>
                </c:pt>
                <c:pt idx="31">
                  <c:v>0</c:v>
                </c:pt>
                <c:pt idx="32">
                  <c:v>6.3671945947909485</c:v>
                </c:pt>
              </c:numCache>
            </c:numRef>
          </c:val>
          <c:extLst>
            <c:ext xmlns:c16="http://schemas.microsoft.com/office/drawing/2014/chart" uri="{C3380CC4-5D6E-409C-BE32-E72D297353CC}">
              <c16:uniqueId val="{00000003-1FA0-46CC-A95C-CFD3CAAC54F0}"/>
            </c:ext>
          </c:extLst>
        </c:ser>
        <c:dLbls>
          <c:showLegendKey val="0"/>
          <c:showVal val="0"/>
          <c:showCatName val="0"/>
          <c:showSerName val="0"/>
          <c:showPercent val="0"/>
          <c:showBubbleSize val="0"/>
        </c:dLbls>
        <c:gapWidth val="150"/>
        <c:overlap val="100"/>
        <c:axId val="566498872"/>
        <c:axId val="566491656"/>
      </c:barChart>
      <c:catAx>
        <c:axId val="566498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91656"/>
        <c:crosses val="autoZero"/>
        <c:auto val="1"/>
        <c:lblAlgn val="ctr"/>
        <c:lblOffset val="100"/>
        <c:noMultiLvlLbl val="0"/>
      </c:catAx>
      <c:valAx>
        <c:axId val="566491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498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CFA86-A8D3-4043-B65B-0EB77841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3290</TotalTime>
  <Pages>9</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dc:creator>
  <cp:keywords/>
  <dc:description/>
  <cp:lastModifiedBy>jonat</cp:lastModifiedBy>
  <cp:revision>4</cp:revision>
  <dcterms:created xsi:type="dcterms:W3CDTF">2020-05-01T11:04:00Z</dcterms:created>
  <dcterms:modified xsi:type="dcterms:W3CDTF">2020-05-04T13:22:00Z</dcterms:modified>
</cp:coreProperties>
</file>