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65E" w:rsidRPr="00FB3F03" w:rsidRDefault="0081665E" w:rsidP="0081665E">
      <w:pPr>
        <w:spacing w:after="0" w:line="480" w:lineRule="auto"/>
        <w:jc w:val="both"/>
        <w:rPr>
          <w:rFonts w:ascii="Times New Roman" w:hAnsi="Times New Roman" w:cs="Times New Roman"/>
          <w:b/>
          <w:color w:val="000000" w:themeColor="text1"/>
          <w:sz w:val="28"/>
          <w:szCs w:val="28"/>
        </w:rPr>
      </w:pPr>
      <w:r w:rsidRPr="00FB3F03">
        <w:rPr>
          <w:rFonts w:ascii="Times New Roman" w:hAnsi="Times New Roman" w:cs="Times New Roman"/>
          <w:b/>
          <w:color w:val="000000" w:themeColor="text1"/>
          <w:sz w:val="28"/>
          <w:szCs w:val="28"/>
        </w:rPr>
        <w:t xml:space="preserve">What are the required elements needed to create an effective visual art intervention for people living with dementia? A systematic review. </w:t>
      </w:r>
    </w:p>
    <w:p w:rsidR="0081665E" w:rsidRPr="00FB3F03" w:rsidRDefault="0081665E" w:rsidP="0081665E">
      <w:pPr>
        <w:spacing w:after="0" w:line="480" w:lineRule="auto"/>
        <w:jc w:val="both"/>
        <w:rPr>
          <w:rFonts w:ascii="Times New Roman" w:hAnsi="Times New Roman" w:cs="Times New Roman"/>
          <w:b/>
          <w:color w:val="000000" w:themeColor="text1"/>
          <w:sz w:val="24"/>
          <w:szCs w:val="24"/>
        </w:rPr>
      </w:pPr>
      <w:bookmarkStart w:id="0" w:name="_GoBack"/>
      <w:bookmarkEnd w:id="0"/>
    </w:p>
    <w:p w:rsidR="0081665E" w:rsidRPr="00FB3F03" w:rsidRDefault="0081665E" w:rsidP="0081665E">
      <w:pPr>
        <w:spacing w:after="0" w:line="480" w:lineRule="auto"/>
        <w:jc w:val="both"/>
        <w:rPr>
          <w:color w:val="000000" w:themeColor="text1"/>
          <w:vertAlign w:val="superscript"/>
        </w:rPr>
      </w:pPr>
      <w:r w:rsidRPr="00FB3F03">
        <w:rPr>
          <w:rFonts w:ascii="Times New Roman" w:hAnsi="Times New Roman" w:cs="Times New Roman"/>
          <w:color w:val="000000" w:themeColor="text1"/>
          <w:sz w:val="24"/>
          <w:szCs w:val="24"/>
        </w:rPr>
        <w:t>Emily Shoesmith</w:t>
      </w:r>
      <w:r w:rsidRPr="00FB3F03">
        <w:rPr>
          <w:color w:val="000000" w:themeColor="text1"/>
          <w:vertAlign w:val="superscript"/>
        </w:rPr>
        <w:t>1</w:t>
      </w:r>
      <w:r w:rsidRPr="00FB3F03">
        <w:rPr>
          <w:rFonts w:ascii="Times New Roman" w:hAnsi="Times New Roman" w:cs="Times New Roman"/>
          <w:color w:val="000000" w:themeColor="text1"/>
          <w:sz w:val="24"/>
          <w:szCs w:val="24"/>
        </w:rPr>
        <w:t xml:space="preserve">, </w:t>
      </w:r>
      <w:r w:rsidR="00F5520D" w:rsidRPr="00FB3F03">
        <w:rPr>
          <w:rFonts w:ascii="Times New Roman" w:hAnsi="Times New Roman" w:cs="Times New Roman"/>
          <w:color w:val="000000" w:themeColor="text1"/>
          <w:sz w:val="24"/>
          <w:szCs w:val="24"/>
        </w:rPr>
        <w:t>Divine Charura</w:t>
      </w:r>
      <w:r w:rsidRPr="00FB3F03">
        <w:rPr>
          <w:color w:val="000000" w:themeColor="text1"/>
          <w:vertAlign w:val="superscript"/>
        </w:rPr>
        <w:t>1</w:t>
      </w:r>
      <w:r w:rsidRPr="00FB3F03">
        <w:rPr>
          <w:rFonts w:ascii="Times New Roman" w:hAnsi="Times New Roman" w:cs="Times New Roman"/>
          <w:color w:val="000000" w:themeColor="text1"/>
          <w:sz w:val="24"/>
          <w:szCs w:val="24"/>
        </w:rPr>
        <w:t xml:space="preserve">, &amp; </w:t>
      </w:r>
      <w:r w:rsidR="00F5520D" w:rsidRPr="00FB3F03">
        <w:rPr>
          <w:rFonts w:ascii="Times New Roman" w:hAnsi="Times New Roman" w:cs="Times New Roman"/>
          <w:color w:val="000000" w:themeColor="text1"/>
          <w:sz w:val="24"/>
          <w:szCs w:val="24"/>
        </w:rPr>
        <w:t>Claire Surr</w:t>
      </w:r>
      <w:r w:rsidRPr="00FB3F03">
        <w:rPr>
          <w:color w:val="000000" w:themeColor="text1"/>
          <w:vertAlign w:val="superscript"/>
        </w:rPr>
        <w:t>1</w:t>
      </w: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r w:rsidRPr="00FB3F03">
        <w:rPr>
          <w:color w:val="000000" w:themeColor="text1"/>
          <w:vertAlign w:val="superscript"/>
        </w:rPr>
        <w:t>1</w:t>
      </w:r>
      <w:r w:rsidRPr="00FB3F03">
        <w:rPr>
          <w:rFonts w:ascii="Times New Roman" w:hAnsi="Times New Roman" w:cs="Times New Roman"/>
          <w:color w:val="000000" w:themeColor="text1"/>
          <w:sz w:val="24"/>
          <w:szCs w:val="24"/>
        </w:rPr>
        <w:t xml:space="preserve">Centre for Dementia Research, School of Health and Community Studies, Leeds Beckett University, Leeds, UK </w:t>
      </w:r>
    </w:p>
    <w:p w:rsidR="0081665E" w:rsidRPr="00FB3F03" w:rsidRDefault="0081665E" w:rsidP="0081665E">
      <w:pPr>
        <w:spacing w:after="0" w:line="480" w:lineRule="auto"/>
        <w:jc w:val="both"/>
        <w:rPr>
          <w:color w:val="000000" w:themeColor="text1"/>
          <w:vertAlign w:val="superscript"/>
        </w:rPr>
      </w:pP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Correspondence </w:t>
      </w:r>
      <w:proofErr w:type="gramStart"/>
      <w:r w:rsidRPr="00FB3F03">
        <w:rPr>
          <w:rFonts w:ascii="Times New Roman" w:hAnsi="Times New Roman" w:cs="Times New Roman"/>
          <w:color w:val="000000" w:themeColor="text1"/>
          <w:sz w:val="24"/>
          <w:szCs w:val="24"/>
        </w:rPr>
        <w:t>to:</w:t>
      </w:r>
      <w:proofErr w:type="gramEnd"/>
      <w:r w:rsidRPr="00FB3F03">
        <w:rPr>
          <w:rFonts w:ascii="Times New Roman" w:hAnsi="Times New Roman" w:cs="Times New Roman"/>
          <w:color w:val="000000" w:themeColor="text1"/>
          <w:sz w:val="24"/>
          <w:szCs w:val="24"/>
        </w:rPr>
        <w:t xml:space="preserve"> Emily Shoesmith, Centre for Dementia Research, School of Health and Community Studies, Leeds Beckett University, Leeds, LS1 3HE, UK. Tel: +44 (0)113 812 6723; Email: </w:t>
      </w:r>
      <w:hyperlink r:id="rId7" w:history="1">
        <w:r w:rsidR="00A644B3" w:rsidRPr="00FB3F03">
          <w:rPr>
            <w:rStyle w:val="Hyperlink"/>
            <w:rFonts w:ascii="Times New Roman" w:hAnsi="Times New Roman" w:cs="Times New Roman"/>
            <w:color w:val="000000" w:themeColor="text1"/>
            <w:sz w:val="24"/>
            <w:szCs w:val="24"/>
          </w:rPr>
          <w:t>emily.shoesmith@york.ac.uk</w:t>
        </w:r>
      </w:hyperlink>
      <w:r w:rsidRPr="00FB3F03">
        <w:rPr>
          <w:rFonts w:ascii="Times New Roman" w:hAnsi="Times New Roman" w:cs="Times New Roman"/>
          <w:color w:val="000000" w:themeColor="text1"/>
          <w:sz w:val="24"/>
          <w:szCs w:val="24"/>
        </w:rPr>
        <w:t xml:space="preserve">; ORCID ID: 0000-0002-2420-4919. </w:t>
      </w: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b/>
          <w:color w:val="000000" w:themeColor="text1"/>
          <w:sz w:val="24"/>
          <w:szCs w:val="24"/>
        </w:rPr>
        <w:t xml:space="preserve">Word Count: </w:t>
      </w:r>
      <w:r w:rsidRPr="00FB3F03">
        <w:rPr>
          <w:rFonts w:ascii="Times New Roman" w:hAnsi="Times New Roman" w:cs="Times New Roman"/>
          <w:color w:val="000000" w:themeColor="text1"/>
          <w:sz w:val="24"/>
          <w:szCs w:val="24"/>
        </w:rPr>
        <w:t>8,</w:t>
      </w:r>
      <w:r w:rsidR="00F5520D" w:rsidRPr="00FB3F03">
        <w:rPr>
          <w:rFonts w:ascii="Times New Roman" w:hAnsi="Times New Roman" w:cs="Times New Roman"/>
          <w:color w:val="000000" w:themeColor="text1"/>
          <w:sz w:val="24"/>
          <w:szCs w:val="24"/>
        </w:rPr>
        <w:t>647</w:t>
      </w:r>
      <w:r w:rsidRPr="00FB3F03">
        <w:rPr>
          <w:rFonts w:ascii="Times New Roman" w:hAnsi="Times New Roman" w:cs="Times New Roman"/>
          <w:color w:val="000000" w:themeColor="text1"/>
          <w:sz w:val="24"/>
          <w:szCs w:val="24"/>
        </w:rPr>
        <w:t xml:space="preserve"> words (excluding references, tables and figures)</w:t>
      </w: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                        11,</w:t>
      </w:r>
      <w:r w:rsidR="00F5520D" w:rsidRPr="00FB3F03">
        <w:rPr>
          <w:rFonts w:ascii="Times New Roman" w:hAnsi="Times New Roman" w:cs="Times New Roman"/>
          <w:color w:val="000000" w:themeColor="text1"/>
          <w:sz w:val="24"/>
          <w:szCs w:val="24"/>
        </w:rPr>
        <w:t>691</w:t>
      </w:r>
      <w:r w:rsidRPr="00FB3F03">
        <w:rPr>
          <w:rFonts w:ascii="Times New Roman" w:hAnsi="Times New Roman" w:cs="Times New Roman"/>
          <w:color w:val="000000" w:themeColor="text1"/>
          <w:sz w:val="24"/>
          <w:szCs w:val="24"/>
        </w:rPr>
        <w:t xml:space="preserve"> words (including references, tables and figures)</w:t>
      </w: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p>
    <w:p w:rsidR="0081665E" w:rsidRPr="00FB3F03" w:rsidRDefault="0081665E" w:rsidP="0081665E">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b/>
          <w:color w:val="000000" w:themeColor="text1"/>
          <w:sz w:val="24"/>
          <w:szCs w:val="24"/>
        </w:rPr>
        <w:t xml:space="preserve">Funding: </w:t>
      </w:r>
      <w:r w:rsidRPr="00FB3F03">
        <w:rPr>
          <w:rFonts w:ascii="Times New Roman" w:hAnsi="Times New Roman" w:cs="Times New Roman"/>
          <w:color w:val="000000" w:themeColor="text1"/>
          <w:sz w:val="24"/>
          <w:szCs w:val="24"/>
        </w:rPr>
        <w:t xml:space="preserve">This research project is funded by the School of Health and Community Studies, Leeds Beckett University. </w:t>
      </w: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81665E" w:rsidRPr="00FB3F03" w:rsidRDefault="0081665E" w:rsidP="00200F3E">
      <w:pPr>
        <w:spacing w:after="0" w:line="480" w:lineRule="auto"/>
        <w:jc w:val="both"/>
        <w:rPr>
          <w:rFonts w:ascii="Times New Roman" w:hAnsi="Times New Roman" w:cs="Times New Roman"/>
          <w:b/>
          <w:color w:val="000000" w:themeColor="text1"/>
          <w:sz w:val="28"/>
          <w:szCs w:val="28"/>
        </w:rPr>
      </w:pPr>
    </w:p>
    <w:p w:rsidR="00A644B3" w:rsidRPr="00FB3F03" w:rsidRDefault="00A644B3" w:rsidP="00200F3E">
      <w:pPr>
        <w:spacing w:after="0" w:line="480" w:lineRule="auto"/>
        <w:jc w:val="both"/>
        <w:rPr>
          <w:rFonts w:ascii="Times New Roman" w:hAnsi="Times New Roman" w:cs="Times New Roman"/>
          <w:b/>
          <w:color w:val="000000" w:themeColor="text1"/>
          <w:sz w:val="28"/>
          <w:szCs w:val="28"/>
        </w:rPr>
      </w:pPr>
    </w:p>
    <w:p w:rsidR="00200F3E" w:rsidRPr="00FB3F03" w:rsidRDefault="00200F3E" w:rsidP="00200F3E">
      <w:pPr>
        <w:spacing w:after="0" w:line="480" w:lineRule="auto"/>
        <w:jc w:val="both"/>
        <w:rPr>
          <w:rFonts w:ascii="Times New Roman" w:hAnsi="Times New Roman" w:cs="Times New Roman"/>
          <w:b/>
          <w:color w:val="000000" w:themeColor="text1"/>
          <w:sz w:val="28"/>
          <w:szCs w:val="28"/>
        </w:rPr>
      </w:pPr>
      <w:r w:rsidRPr="00FB3F03">
        <w:rPr>
          <w:rFonts w:ascii="Times New Roman" w:hAnsi="Times New Roman" w:cs="Times New Roman"/>
          <w:b/>
          <w:color w:val="000000" w:themeColor="text1"/>
          <w:sz w:val="28"/>
          <w:szCs w:val="28"/>
        </w:rPr>
        <w:lastRenderedPageBreak/>
        <w:t xml:space="preserve">What are the required elements needed to create an effective visual art intervention for people living with dementia? A systematic review. </w:t>
      </w:r>
    </w:p>
    <w:p w:rsidR="00200F3E" w:rsidRPr="00FB3F03" w:rsidRDefault="00200F3E"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t>Abstract</w:t>
      </w:r>
    </w:p>
    <w:p w:rsidR="009D3FFA" w:rsidRPr="00FB3F03" w:rsidRDefault="009D3FFA" w:rsidP="002507D4">
      <w:pPr>
        <w:spacing w:after="0" w:line="480" w:lineRule="auto"/>
        <w:jc w:val="both"/>
        <w:rPr>
          <w:rFonts w:ascii="Times New Roman" w:hAnsi="Times New Roman" w:cs="Times New Roman"/>
          <w:b/>
          <w:color w:val="000000" w:themeColor="text1"/>
          <w:sz w:val="24"/>
          <w:szCs w:val="24"/>
        </w:rPr>
      </w:pPr>
    </w:p>
    <w:p w:rsidR="009D3FFA" w:rsidRPr="00FB3F03" w:rsidRDefault="009D3FFA"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Although there has been growing interest in visual art interventions for people with dementia, there is a restricted evidence base regarding their theoretical basis. To address this gap, this systematic literature review explored how and why visual art interventions work in dementia care. Common features of successful visual art interventions were identified, </w:t>
      </w:r>
      <w:proofErr w:type="gramStart"/>
      <w:r w:rsidRPr="00FB3F03">
        <w:rPr>
          <w:rFonts w:ascii="Times New Roman" w:hAnsi="Times New Roman" w:cs="Times New Roman"/>
          <w:color w:val="000000" w:themeColor="text1"/>
          <w:sz w:val="24"/>
          <w:szCs w:val="24"/>
        </w:rPr>
        <w:t>including:</w:t>
      </w:r>
      <w:proofErr w:type="gramEnd"/>
      <w:r w:rsidRPr="00FB3F03">
        <w:rPr>
          <w:rFonts w:ascii="Times New Roman" w:hAnsi="Times New Roman" w:cs="Times New Roman"/>
          <w:color w:val="000000" w:themeColor="text1"/>
          <w:sz w:val="24"/>
          <w:szCs w:val="24"/>
        </w:rPr>
        <w:t xml:space="preserve"> intervention ‘dose’, session content, participant choice, artistic ability, the role of the facilitator/therapist, group work, and setting. Understanding the mechanisms and/or processes of visual art interventions is important for future development, evaluation and implementation.</w:t>
      </w:r>
    </w:p>
    <w:p w:rsidR="009D3FFA" w:rsidRPr="00FB3F03" w:rsidRDefault="009D3FFA" w:rsidP="002507D4">
      <w:pPr>
        <w:spacing w:after="0" w:line="480" w:lineRule="auto"/>
        <w:jc w:val="both"/>
        <w:rPr>
          <w:rFonts w:ascii="Times New Roman" w:hAnsi="Times New Roman" w:cs="Times New Roman"/>
          <w:b/>
          <w:color w:val="000000" w:themeColor="text1"/>
          <w:sz w:val="24"/>
          <w:szCs w:val="24"/>
        </w:rPr>
      </w:pPr>
    </w:p>
    <w:p w:rsidR="009D3FFA" w:rsidRPr="00FB3F03" w:rsidRDefault="009D3FFA" w:rsidP="009D3FFA">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b/>
          <w:color w:val="000000" w:themeColor="text1"/>
          <w:sz w:val="24"/>
          <w:szCs w:val="24"/>
        </w:rPr>
        <w:t xml:space="preserve">Keywords: </w:t>
      </w:r>
      <w:r w:rsidRPr="00FB3F03">
        <w:rPr>
          <w:rFonts w:ascii="Times New Roman" w:hAnsi="Times New Roman" w:cs="Times New Roman"/>
          <w:color w:val="000000" w:themeColor="text1"/>
          <w:sz w:val="24"/>
          <w:szCs w:val="24"/>
        </w:rPr>
        <w:t>dementia, visual arts, arts and related therapy, creativity, psychosocial interventions</w:t>
      </w:r>
    </w:p>
    <w:p w:rsidR="009D3FFA" w:rsidRPr="00FB3F03" w:rsidRDefault="009D3FFA"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5A4813" w:rsidRPr="00FB3F03" w:rsidRDefault="005A4813"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lastRenderedPageBreak/>
        <w:t>Introduction</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Psychosocial interventions are activities and therapies that aim to support cognitive function, </w:t>
      </w:r>
      <w:r w:rsidR="0029411E" w:rsidRPr="00FB3F03">
        <w:rPr>
          <w:rFonts w:ascii="Times New Roman" w:hAnsi="Times New Roman" w:cs="Times New Roman"/>
          <w:color w:val="000000" w:themeColor="text1"/>
          <w:sz w:val="24"/>
          <w:szCs w:val="24"/>
        </w:rPr>
        <w:t>behavior</w:t>
      </w:r>
      <w:r w:rsidRPr="00FB3F03">
        <w:rPr>
          <w:rFonts w:ascii="Times New Roman" w:hAnsi="Times New Roman" w:cs="Times New Roman"/>
          <w:color w:val="000000" w:themeColor="text1"/>
          <w:sz w:val="24"/>
          <w:szCs w:val="24"/>
        </w:rPr>
        <w:t>, social development, mood and quality of life (</w:t>
      </w:r>
      <w:proofErr w:type="spellStart"/>
      <w:r w:rsidRPr="00FB3F03">
        <w:rPr>
          <w:rFonts w:ascii="Times New Roman" w:hAnsi="Times New Roman" w:cs="Times New Roman"/>
          <w:color w:val="000000" w:themeColor="text1"/>
          <w:sz w:val="24"/>
          <w:szCs w:val="24"/>
        </w:rPr>
        <w:t>Ionicioiu</w:t>
      </w:r>
      <w:proofErr w:type="spellEnd"/>
      <w:r w:rsidRPr="00FB3F03">
        <w:rPr>
          <w:rFonts w:ascii="Times New Roman" w:hAnsi="Times New Roman" w:cs="Times New Roman"/>
          <w:color w:val="000000" w:themeColor="text1"/>
          <w:sz w:val="24"/>
          <w:szCs w:val="24"/>
        </w:rPr>
        <w:t xml:space="preserve">, David, &amp; </w:t>
      </w:r>
      <w:proofErr w:type="spellStart"/>
      <w:r w:rsidRPr="00FB3F03">
        <w:rPr>
          <w:rFonts w:ascii="Times New Roman" w:hAnsi="Times New Roman" w:cs="Times New Roman"/>
          <w:color w:val="000000" w:themeColor="text1"/>
          <w:sz w:val="24"/>
          <w:szCs w:val="24"/>
        </w:rPr>
        <w:t>Szamosközi</w:t>
      </w:r>
      <w:proofErr w:type="spellEnd"/>
      <w:r w:rsidRPr="00FB3F03">
        <w:rPr>
          <w:rFonts w:ascii="Times New Roman" w:hAnsi="Times New Roman" w:cs="Times New Roman"/>
          <w:color w:val="000000" w:themeColor="text1"/>
          <w:sz w:val="24"/>
          <w:szCs w:val="24"/>
        </w:rPr>
        <w:t xml:space="preserve">, 2014; Logsdon, Gibbons, McCurry, &amp; Terri, 2002), and they make an essential contribution to the treatment and support of people living with dementia (Knapp et al., 2006; </w:t>
      </w:r>
      <w:proofErr w:type="spellStart"/>
      <w:r w:rsidRPr="00FB3F03">
        <w:rPr>
          <w:rFonts w:ascii="Times New Roman" w:hAnsi="Times New Roman" w:cs="Times New Roman"/>
          <w:color w:val="000000" w:themeColor="text1"/>
          <w:sz w:val="24"/>
          <w:szCs w:val="24"/>
        </w:rPr>
        <w:t>Oyebode</w:t>
      </w:r>
      <w:proofErr w:type="spellEnd"/>
      <w:r w:rsidRPr="00FB3F03">
        <w:rPr>
          <w:rFonts w:ascii="Times New Roman" w:hAnsi="Times New Roman" w:cs="Times New Roman"/>
          <w:color w:val="000000" w:themeColor="text1"/>
          <w:sz w:val="24"/>
          <w:szCs w:val="24"/>
        </w:rPr>
        <w:t xml:space="preserve"> &amp; Parveen, 2019). The National Institute for Health and Clinical Excellence (NICE; 2006) guidelines on dementia recommend psychosocial interventions for treatment and management of the cognitive and non-cognitive symptoms that can be experienced in dementia. With the number of dementia cases expected to double every twenty years (World Alzheimer’s Report, 2009), it is vital that there is a strong evidence-base to support dementia services to provide a range of effective psychosocial interventions for those with dementia from diagnosis to end of life (Prince, </w:t>
      </w:r>
      <w:proofErr w:type="spellStart"/>
      <w:r w:rsidRPr="00FB3F03">
        <w:rPr>
          <w:rFonts w:ascii="Times New Roman" w:hAnsi="Times New Roman" w:cs="Times New Roman"/>
          <w:color w:val="000000" w:themeColor="text1"/>
          <w:sz w:val="24"/>
          <w:szCs w:val="24"/>
        </w:rPr>
        <w:t>Guerchet</w:t>
      </w:r>
      <w:proofErr w:type="spellEnd"/>
      <w:r w:rsidRPr="00FB3F03">
        <w:rPr>
          <w:rFonts w:ascii="Times New Roman" w:hAnsi="Times New Roman" w:cs="Times New Roman"/>
          <w:color w:val="000000" w:themeColor="text1"/>
          <w:sz w:val="24"/>
          <w:szCs w:val="24"/>
        </w:rPr>
        <w:t xml:space="preserve">, &amp; </w:t>
      </w:r>
      <w:proofErr w:type="spellStart"/>
      <w:r w:rsidRPr="00FB3F03">
        <w:rPr>
          <w:rFonts w:ascii="Times New Roman" w:hAnsi="Times New Roman" w:cs="Times New Roman"/>
          <w:color w:val="000000" w:themeColor="text1"/>
          <w:sz w:val="24"/>
          <w:szCs w:val="24"/>
        </w:rPr>
        <w:t>Prina</w:t>
      </w:r>
      <w:proofErr w:type="spellEnd"/>
      <w:r w:rsidRPr="00FB3F03">
        <w:rPr>
          <w:rFonts w:ascii="Times New Roman" w:hAnsi="Times New Roman" w:cs="Times New Roman"/>
          <w:color w:val="000000" w:themeColor="text1"/>
          <w:sz w:val="24"/>
          <w:szCs w:val="24"/>
        </w:rPr>
        <w:t>, 2013). Evidence suggests that psychosocial interventions are most effective when they adopt a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approach and target the individual, specific needs of people living with dementia (O’Connor, Ames, Gardner, &amp; King, 2009; </w:t>
      </w:r>
      <w:proofErr w:type="spellStart"/>
      <w:r w:rsidRPr="00FB3F03">
        <w:rPr>
          <w:rFonts w:ascii="Times New Roman" w:hAnsi="Times New Roman" w:cs="Times New Roman"/>
          <w:color w:val="000000" w:themeColor="text1"/>
          <w:sz w:val="24"/>
          <w:szCs w:val="24"/>
        </w:rPr>
        <w:t>Sörensen</w:t>
      </w:r>
      <w:proofErr w:type="spellEnd"/>
      <w:r w:rsidRPr="00FB3F03">
        <w:rPr>
          <w:rFonts w:ascii="Times New Roman" w:hAnsi="Times New Roman" w:cs="Times New Roman"/>
          <w:color w:val="000000" w:themeColor="text1"/>
          <w:sz w:val="24"/>
          <w:szCs w:val="24"/>
        </w:rPr>
        <w:t xml:space="preserve">, </w:t>
      </w:r>
      <w:proofErr w:type="spellStart"/>
      <w:r w:rsidRPr="00FB3F03">
        <w:rPr>
          <w:rFonts w:ascii="Times New Roman" w:hAnsi="Times New Roman" w:cs="Times New Roman"/>
          <w:color w:val="000000" w:themeColor="text1"/>
          <w:sz w:val="24"/>
          <w:szCs w:val="24"/>
        </w:rPr>
        <w:t>Pinquart</w:t>
      </w:r>
      <w:proofErr w:type="spellEnd"/>
      <w:r w:rsidRPr="00FB3F03">
        <w:rPr>
          <w:rFonts w:ascii="Times New Roman" w:hAnsi="Times New Roman" w:cs="Times New Roman"/>
          <w:color w:val="000000" w:themeColor="text1"/>
          <w:sz w:val="24"/>
          <w:szCs w:val="24"/>
        </w:rPr>
        <w:t xml:space="preserve">, &amp; Duberstein, 2002).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There is growing international recognition of the benefits of arts-based psychosocial interventions, with an emergent literature on the evidence of their benefits to people’s health, well-being and quality of life (Roe et al., 2016). Engagement in cultural and creative arts by older people can increase morale and provide opportunities for social connection (Roe et al., 2016). A review completed by the Arts and Health Working Group (Department of Health, 2007) recommended that the arts are also integral to healthcare provision for people with dementia as they lead to a range of benefits, including enhanced self-esteem, confidence, cognition, quality of life and communication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Camic, &amp; </w:t>
      </w:r>
      <w:proofErr w:type="spellStart"/>
      <w:r w:rsidRPr="00FB3F03">
        <w:rPr>
          <w:rFonts w:ascii="Times New Roman" w:hAnsi="Times New Roman" w:cs="Times New Roman"/>
          <w:color w:val="000000" w:themeColor="text1"/>
          <w:sz w:val="24"/>
          <w:szCs w:val="24"/>
        </w:rPr>
        <w:t>Springham</w:t>
      </w:r>
      <w:proofErr w:type="spellEnd"/>
      <w:r w:rsidRPr="00FB3F03">
        <w:rPr>
          <w:rFonts w:ascii="Times New Roman" w:hAnsi="Times New Roman" w:cs="Times New Roman"/>
          <w:color w:val="000000" w:themeColor="text1"/>
          <w:sz w:val="24"/>
          <w:szCs w:val="24"/>
        </w:rPr>
        <w:t xml:space="preserve">, 2012; Rentz, </w:t>
      </w:r>
      <w:r w:rsidRPr="00FB3F03">
        <w:rPr>
          <w:rFonts w:ascii="Times New Roman" w:hAnsi="Times New Roman" w:cs="Times New Roman"/>
          <w:color w:val="000000" w:themeColor="text1"/>
          <w:sz w:val="24"/>
          <w:szCs w:val="24"/>
        </w:rPr>
        <w:lastRenderedPageBreak/>
        <w:t xml:space="preserve">2002; Rusted, Shepherd, &amp; Waller, 2006). Visual art interventions, such as ‘drawing, painting, sculpture, and other art forms’ (British Association of Art Therapists; BAAT, 2014) are a widely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art-based psychosocial intervention format and are noted to be beneficial when they adopt a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approach (Sauer, </w:t>
      </w:r>
      <w:proofErr w:type="spellStart"/>
      <w:r w:rsidRPr="00FB3F03">
        <w:rPr>
          <w:rFonts w:ascii="Times New Roman" w:hAnsi="Times New Roman" w:cs="Times New Roman"/>
          <w:color w:val="000000" w:themeColor="text1"/>
          <w:sz w:val="24"/>
          <w:szCs w:val="24"/>
        </w:rPr>
        <w:t>Fopma</w:t>
      </w:r>
      <w:proofErr w:type="spellEnd"/>
      <w:r w:rsidRPr="00FB3F03">
        <w:rPr>
          <w:rFonts w:ascii="Times New Roman" w:hAnsi="Times New Roman" w:cs="Times New Roman"/>
          <w:color w:val="000000" w:themeColor="text1"/>
          <w:sz w:val="24"/>
          <w:szCs w:val="24"/>
        </w:rPr>
        <w:t xml:space="preserve">-Loy, Kinney, &amp; </w:t>
      </w:r>
      <w:proofErr w:type="spellStart"/>
      <w:r w:rsidRPr="00FB3F03">
        <w:rPr>
          <w:rFonts w:ascii="Times New Roman" w:hAnsi="Times New Roman" w:cs="Times New Roman"/>
          <w:color w:val="000000" w:themeColor="text1"/>
          <w:sz w:val="24"/>
          <w:szCs w:val="24"/>
        </w:rPr>
        <w:t>Lokon</w:t>
      </w:r>
      <w:proofErr w:type="spellEnd"/>
      <w:r w:rsidRPr="00FB3F03">
        <w:rPr>
          <w:rFonts w:ascii="Times New Roman" w:hAnsi="Times New Roman" w:cs="Times New Roman"/>
          <w:color w:val="000000" w:themeColor="text1"/>
          <w:sz w:val="24"/>
          <w:szCs w:val="24"/>
        </w:rPr>
        <w:t>, 2016). Interventions using visual arts can adopt a variety of formats, for example, as therapeutic visual art or as a visual art therapy. Art therapy has a specific therapeutic aim and is delivered by trained therapists (</w:t>
      </w:r>
      <w:proofErr w:type="spellStart"/>
      <w:r w:rsidRPr="00FB3F03">
        <w:rPr>
          <w:rFonts w:ascii="Times New Roman" w:hAnsi="Times New Roman" w:cs="Times New Roman"/>
          <w:color w:val="000000" w:themeColor="text1"/>
          <w:sz w:val="24"/>
          <w:szCs w:val="24"/>
        </w:rPr>
        <w:t>Fancourt</w:t>
      </w:r>
      <w:proofErr w:type="spellEnd"/>
      <w:r w:rsidRPr="00FB3F03">
        <w:rPr>
          <w:rFonts w:ascii="Times New Roman" w:hAnsi="Times New Roman" w:cs="Times New Roman"/>
          <w:color w:val="000000" w:themeColor="text1"/>
          <w:sz w:val="24"/>
          <w:szCs w:val="24"/>
        </w:rPr>
        <w:t>, 2017)</w:t>
      </w:r>
      <w:r w:rsidRPr="00FB3F03">
        <w:rPr>
          <w:rFonts w:ascii="Times New Roman" w:hAnsi="Times New Roman" w:cs="Times New Roman"/>
          <w:i/>
          <w:color w:val="000000" w:themeColor="text1"/>
          <w:sz w:val="24"/>
          <w:szCs w:val="24"/>
        </w:rPr>
        <w:t xml:space="preserve"> </w:t>
      </w:r>
      <w:r w:rsidRPr="00FB3F03">
        <w:rPr>
          <w:rFonts w:ascii="Times New Roman" w:hAnsi="Times New Roman" w:cs="Times New Roman"/>
          <w:color w:val="000000" w:themeColor="text1"/>
          <w:sz w:val="24"/>
          <w:szCs w:val="24"/>
        </w:rPr>
        <w:t xml:space="preserve">Conversely, therapeutic art making uses creative expression to bring pleasure, new knowledge and skills, and is a vehicle for self-expression. There is no overt emphasis on the uncovering and exploring of emotions as there is in art therapy (Collie, </w:t>
      </w:r>
      <w:proofErr w:type="spellStart"/>
      <w:r w:rsidRPr="00FB3F03">
        <w:rPr>
          <w:rFonts w:ascii="Times New Roman" w:hAnsi="Times New Roman" w:cs="Times New Roman"/>
          <w:color w:val="000000" w:themeColor="text1"/>
          <w:sz w:val="24"/>
          <w:szCs w:val="24"/>
        </w:rPr>
        <w:t>Botorff</w:t>
      </w:r>
      <w:proofErr w:type="spellEnd"/>
      <w:r w:rsidRPr="00FB3F03">
        <w:rPr>
          <w:rFonts w:ascii="Times New Roman" w:hAnsi="Times New Roman" w:cs="Times New Roman"/>
          <w:color w:val="000000" w:themeColor="text1"/>
          <w:sz w:val="24"/>
          <w:szCs w:val="24"/>
        </w:rPr>
        <w:t xml:space="preserve">, &amp; Long, 2006).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A35731"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Visual art interventions in dementia care can be described as complex, due to their multifaceted nature, incorporating a range of components (Medical Research Council; MRC, 2006). These components often differ across research studies, and the variation of these elements can influence the outcomes. Subsequently, this results in challenges identifying the active and successful components that bring about any observed changes (MRC, 2006). Many issues surrounding complex interventions relate to the difficulty of </w:t>
      </w:r>
      <w:r w:rsidR="0029411E" w:rsidRPr="00FB3F03">
        <w:rPr>
          <w:rFonts w:ascii="Times New Roman" w:hAnsi="Times New Roman" w:cs="Times New Roman"/>
          <w:color w:val="000000" w:themeColor="text1"/>
          <w:sz w:val="24"/>
          <w:szCs w:val="24"/>
        </w:rPr>
        <w:t>standardizing</w:t>
      </w:r>
      <w:r w:rsidRPr="00FB3F03">
        <w:rPr>
          <w:rFonts w:ascii="Times New Roman" w:hAnsi="Times New Roman" w:cs="Times New Roman"/>
          <w:color w:val="000000" w:themeColor="text1"/>
          <w:sz w:val="24"/>
          <w:szCs w:val="24"/>
        </w:rPr>
        <w:t xml:space="preserve"> an interventions design and delivery (</w:t>
      </w:r>
      <w:proofErr w:type="spellStart"/>
      <w:r w:rsidRPr="00FB3F03">
        <w:rPr>
          <w:rFonts w:ascii="Times New Roman" w:hAnsi="Times New Roman" w:cs="Times New Roman"/>
          <w:color w:val="000000" w:themeColor="text1"/>
          <w:sz w:val="24"/>
          <w:szCs w:val="24"/>
        </w:rPr>
        <w:t>Hawe</w:t>
      </w:r>
      <w:proofErr w:type="spellEnd"/>
      <w:r w:rsidRPr="00FB3F03">
        <w:rPr>
          <w:rFonts w:ascii="Times New Roman" w:hAnsi="Times New Roman" w:cs="Times New Roman"/>
          <w:color w:val="000000" w:themeColor="text1"/>
          <w:sz w:val="24"/>
          <w:szCs w:val="24"/>
        </w:rPr>
        <w:t xml:space="preserve">, </w:t>
      </w:r>
      <w:proofErr w:type="spellStart"/>
      <w:r w:rsidRPr="00FB3F03">
        <w:rPr>
          <w:rFonts w:ascii="Times New Roman" w:hAnsi="Times New Roman" w:cs="Times New Roman"/>
          <w:color w:val="000000" w:themeColor="text1"/>
          <w:sz w:val="24"/>
          <w:szCs w:val="24"/>
        </w:rPr>
        <w:t>Shiell</w:t>
      </w:r>
      <w:proofErr w:type="spellEnd"/>
      <w:r w:rsidRPr="00FB3F03">
        <w:rPr>
          <w:rFonts w:ascii="Times New Roman" w:hAnsi="Times New Roman" w:cs="Times New Roman"/>
          <w:color w:val="000000" w:themeColor="text1"/>
          <w:sz w:val="24"/>
          <w:szCs w:val="24"/>
        </w:rPr>
        <w:t xml:space="preserve">, Riley, &amp; Gold, 2004; Rifkin, 2007). In order to develop an effective intervention, a good theoretical understanding about causal mechanisms for change is required, so that key components are included and weak links in the causal chain can be identified and strengthened (MRC, 2006). However, there is little robust empirical evidence of the underpinning active components and/or processes through which any positive impacts of visual art interventions for people with dementia may occur (Burnside, Knecht, </w:t>
      </w:r>
      <w:proofErr w:type="spellStart"/>
      <w:r w:rsidRPr="00FB3F03">
        <w:rPr>
          <w:rFonts w:ascii="Times New Roman" w:hAnsi="Times New Roman" w:cs="Times New Roman"/>
          <w:color w:val="000000" w:themeColor="text1"/>
          <w:sz w:val="24"/>
          <w:szCs w:val="24"/>
        </w:rPr>
        <w:t>Hopley</w:t>
      </w:r>
      <w:proofErr w:type="spellEnd"/>
      <w:r w:rsidRPr="00FB3F03">
        <w:rPr>
          <w:rFonts w:ascii="Times New Roman" w:hAnsi="Times New Roman" w:cs="Times New Roman"/>
          <w:color w:val="000000" w:themeColor="text1"/>
          <w:sz w:val="24"/>
          <w:szCs w:val="24"/>
        </w:rPr>
        <w:t xml:space="preserve">, &amp; Logsdon, 2015; de Medeiros &amp; Basting, 2013; </w:t>
      </w:r>
      <w:proofErr w:type="spellStart"/>
      <w:r w:rsidRPr="00FB3F03">
        <w:rPr>
          <w:rFonts w:ascii="Times New Roman" w:hAnsi="Times New Roman" w:cs="Times New Roman"/>
          <w:color w:val="000000" w:themeColor="text1"/>
          <w:sz w:val="24"/>
          <w:szCs w:val="24"/>
        </w:rPr>
        <w:t>Zeilig</w:t>
      </w:r>
      <w:proofErr w:type="spellEnd"/>
      <w:r w:rsidRPr="00FB3F03">
        <w:rPr>
          <w:rFonts w:ascii="Times New Roman" w:hAnsi="Times New Roman" w:cs="Times New Roman"/>
          <w:color w:val="000000" w:themeColor="text1"/>
          <w:sz w:val="24"/>
          <w:szCs w:val="24"/>
        </w:rPr>
        <w:t xml:space="preserve"> et al., 2014). De Medeiros and Basting (2013) suggest a better understanding of arts interventions is required, in particular how and </w:t>
      </w:r>
      <w:r w:rsidRPr="00FB3F03">
        <w:rPr>
          <w:rFonts w:ascii="Times New Roman" w:hAnsi="Times New Roman" w:cs="Times New Roman"/>
          <w:color w:val="000000" w:themeColor="text1"/>
          <w:sz w:val="24"/>
          <w:szCs w:val="24"/>
        </w:rPr>
        <w:lastRenderedPageBreak/>
        <w:t xml:space="preserve">why they may result in positive impacts. The priority should not be to determine which art form is most effective, but rather, seek clarity around what exactly it is that makes the visual arts effective. </w:t>
      </w:r>
    </w:p>
    <w:p w:rsidR="00A35731" w:rsidRPr="00FB3F03" w:rsidRDefault="00A35731" w:rsidP="002507D4">
      <w:pPr>
        <w:spacing w:after="0" w:line="480" w:lineRule="auto"/>
        <w:jc w:val="both"/>
        <w:rPr>
          <w:rFonts w:ascii="Times New Roman" w:hAnsi="Times New Roman" w:cs="Times New Roman"/>
          <w:color w:val="000000" w:themeColor="text1"/>
          <w:sz w:val="24"/>
          <w:szCs w:val="24"/>
        </w:rPr>
      </w:pPr>
    </w:p>
    <w:p w:rsidR="00516427" w:rsidRPr="00FB3F03" w:rsidRDefault="00A35731"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response to this, Windle et al. (2017) aimed to explore how and why visual art interventions in dementia care may ‘work’ and subsequently lead to positive outcomes for people living with dementia. By conducting a qualitative exploration and a realist synthesis, Windle et al. (2017) reported that effective creative interventions can be understood through essential attributes of two key conditions: (1) a provocative and stimulating aesthetic experience, and (2) a dynamic and responsive artistic practice. The findings reported by Windle et al. (2017) provide a strong foundation for what may ‘work’ in visual art interventions within dementia care. However, further research is required to refine and strengthen the evidence base for the arts in dementia care, as understanding the underpinning components of interventions are vital for development, evaluation and implementation (MRC, 2006). Thus, the current review aims to identify the active components or qualities of visual art interventions that are effective, acceptable and feasible. This will contribute to the evidence base and further advance visual art research within dementia care.  </w:t>
      </w:r>
    </w:p>
    <w:p w:rsidR="00516427" w:rsidRPr="00FB3F03" w:rsidRDefault="00516427"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The questions this review aimed to answer were:</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Are visual art interventions effective in improving quality of life, well-being or other psychosocial outcomes for people living with dementia?</w:t>
      </w:r>
    </w:p>
    <w:p w:rsidR="002507D4" w:rsidRPr="00FB3F03" w:rsidRDefault="002507D4" w:rsidP="002507D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What are the active components or qualities of </w:t>
      </w:r>
      <w:r w:rsidR="00F5520D" w:rsidRPr="00FB3F03">
        <w:rPr>
          <w:rFonts w:ascii="Times New Roman" w:hAnsi="Times New Roman" w:cs="Times New Roman"/>
          <w:color w:val="000000" w:themeColor="text1"/>
          <w:sz w:val="24"/>
          <w:szCs w:val="24"/>
        </w:rPr>
        <w:t>effective, acceptable and feasible visual art interventions for people with dementia?</w:t>
      </w:r>
    </w:p>
    <w:p w:rsidR="002507D4" w:rsidRPr="00FB3F03" w:rsidRDefault="002507D4" w:rsidP="002507D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Are visual art interventions acceptable and feasible for people with dementia and those delivering the intervention?</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A35731"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This paper also includes recommendations and implications for improving future visual art interventions within dementia care. The review protocol is registered on PROSPERO number CRD42017075301. </w:t>
      </w:r>
    </w:p>
    <w:p w:rsidR="0060448E" w:rsidRPr="00FB3F03" w:rsidRDefault="0060448E"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t>Methods</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t xml:space="preserve">Search Strategy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May 2018, a systematic literature search was conducted in PsycINFO, PsycARTICLES, CINAHL (EbscoHost) and PubMed. </w:t>
      </w:r>
      <w:bookmarkStart w:id="1" w:name="_Hlk39479515"/>
      <w:r w:rsidR="0001095A" w:rsidRPr="00FB3F03">
        <w:rPr>
          <w:rFonts w:ascii="Times New Roman" w:hAnsi="Times New Roman" w:cs="Times New Roman"/>
          <w:color w:val="000000" w:themeColor="text1"/>
          <w:sz w:val="24"/>
          <w:szCs w:val="24"/>
        </w:rPr>
        <w:t>These databases were selected based on those utilized for existing visual arts and dementia reviews (e.g. Beard, 2012; Cowl &amp; Gaugler, 2012). In addition, they cover millions of research articles from thousands of social science and health-related journals including the fields of psychology and related disciplines, medicine, nursing and other allied health subjects, which are appropriate for the topic of arts as applied to supporting the social and psychological needs of people with a specific health condition, namely dementia</w:t>
      </w:r>
      <w:r w:rsidR="00EE3443" w:rsidRPr="00FB3F03">
        <w:rPr>
          <w:rFonts w:ascii="Times New Roman" w:hAnsi="Times New Roman" w:cs="Times New Roman"/>
          <w:color w:val="000000" w:themeColor="text1"/>
          <w:sz w:val="24"/>
          <w:szCs w:val="24"/>
        </w:rPr>
        <w:t xml:space="preserve">. </w:t>
      </w:r>
      <w:bookmarkEnd w:id="1"/>
      <w:r w:rsidRPr="00FB3F03">
        <w:rPr>
          <w:rFonts w:ascii="Times New Roman" w:hAnsi="Times New Roman" w:cs="Times New Roman"/>
          <w:color w:val="000000" w:themeColor="text1"/>
          <w:sz w:val="24"/>
          <w:szCs w:val="24"/>
        </w:rPr>
        <w:t>Keyword searches were employed with the terms ‘</w:t>
      </w:r>
      <w:r w:rsidRPr="00FB3F03">
        <w:rPr>
          <w:rFonts w:ascii="Times New Roman" w:hAnsi="Times New Roman" w:cs="Times New Roman"/>
          <w:i/>
          <w:color w:val="000000" w:themeColor="text1"/>
          <w:sz w:val="24"/>
          <w:szCs w:val="24"/>
        </w:rPr>
        <w:t>art therap*</w:t>
      </w:r>
      <w:r w:rsidRPr="00FB3F03">
        <w:rPr>
          <w:rFonts w:ascii="Times New Roman" w:hAnsi="Times New Roman" w:cs="Times New Roman"/>
          <w:color w:val="000000" w:themeColor="text1"/>
          <w:sz w:val="24"/>
          <w:szCs w:val="24"/>
        </w:rPr>
        <w:t>’, ‘</w:t>
      </w:r>
      <w:r w:rsidRPr="00FB3F03">
        <w:rPr>
          <w:rFonts w:ascii="Times New Roman" w:hAnsi="Times New Roman" w:cs="Times New Roman"/>
          <w:i/>
          <w:color w:val="000000" w:themeColor="text1"/>
          <w:sz w:val="24"/>
          <w:szCs w:val="24"/>
        </w:rPr>
        <w:t>dementia</w:t>
      </w:r>
      <w:r w:rsidRPr="00FB3F03">
        <w:rPr>
          <w:rFonts w:ascii="Times New Roman" w:hAnsi="Times New Roman" w:cs="Times New Roman"/>
          <w:color w:val="000000" w:themeColor="text1"/>
          <w:sz w:val="24"/>
          <w:szCs w:val="24"/>
        </w:rPr>
        <w:t>’, ‘</w:t>
      </w:r>
      <w:r w:rsidRPr="00FB3F03">
        <w:rPr>
          <w:rFonts w:ascii="Times New Roman" w:hAnsi="Times New Roman" w:cs="Times New Roman"/>
          <w:i/>
          <w:color w:val="000000" w:themeColor="text1"/>
          <w:sz w:val="24"/>
          <w:szCs w:val="24"/>
        </w:rPr>
        <w:t>arts-based approaches’</w:t>
      </w:r>
      <w:r w:rsidRPr="00FB3F03">
        <w:rPr>
          <w:rFonts w:ascii="Times New Roman" w:hAnsi="Times New Roman" w:cs="Times New Roman"/>
          <w:color w:val="000000" w:themeColor="text1"/>
          <w:sz w:val="24"/>
          <w:szCs w:val="24"/>
        </w:rPr>
        <w:t xml:space="preserve"> and ‘</w:t>
      </w:r>
      <w:r w:rsidRPr="00FB3F03">
        <w:rPr>
          <w:rFonts w:ascii="Times New Roman" w:hAnsi="Times New Roman" w:cs="Times New Roman"/>
          <w:i/>
          <w:color w:val="000000" w:themeColor="text1"/>
          <w:sz w:val="24"/>
          <w:szCs w:val="24"/>
        </w:rPr>
        <w:t>creative arts’</w:t>
      </w:r>
      <w:r w:rsidRPr="00FB3F03">
        <w:rPr>
          <w:rFonts w:ascii="Times New Roman" w:hAnsi="Times New Roman" w:cs="Times New Roman"/>
          <w:color w:val="000000" w:themeColor="text1"/>
          <w:sz w:val="24"/>
          <w:szCs w:val="24"/>
        </w:rPr>
        <w:t xml:space="preserve">, in combination with keywords indexing dementia and visual art interventions, for the years 1990 through to 2018. Reference lists of included papers and identified systematic reviews of art interventions were manually searched to identify any further studies. The full search terms and search combinations are available from the author on request.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i/>
          <w:color w:val="000000" w:themeColor="text1"/>
          <w:sz w:val="24"/>
          <w:szCs w:val="24"/>
        </w:rPr>
        <w:lastRenderedPageBreak/>
        <w:t>Inclusion criteria:</w:t>
      </w:r>
      <w:r w:rsidRPr="00FB3F03">
        <w:rPr>
          <w:rFonts w:ascii="Times New Roman" w:hAnsi="Times New Roman" w:cs="Times New Roman"/>
          <w:color w:val="000000" w:themeColor="text1"/>
          <w:sz w:val="24"/>
          <w:szCs w:val="24"/>
        </w:rPr>
        <w:t xml:space="preserve"> were that studies (a) involved group or individual art therapy provided by a Health and Care Professions Council registered art therapist or international equivalent; or involved visual art-based approaches led by other art professionals; (b) included participants with a diagnosis of dementia; known memory problems or known cognitive impairment deemed to be indicative of dementia. </w:t>
      </w:r>
      <w:r w:rsidRPr="00FB3F03">
        <w:rPr>
          <w:rFonts w:ascii="Times New Roman" w:hAnsi="Times New Roman" w:cs="Times New Roman"/>
          <w:i/>
          <w:color w:val="000000" w:themeColor="text1"/>
          <w:sz w:val="24"/>
          <w:szCs w:val="24"/>
        </w:rPr>
        <w:t>Exclusion criteria:</w:t>
      </w:r>
      <w:r w:rsidRPr="00FB3F03">
        <w:rPr>
          <w:rFonts w:ascii="Times New Roman" w:hAnsi="Times New Roman" w:cs="Times New Roman"/>
          <w:color w:val="000000" w:themeColor="text1"/>
          <w:sz w:val="24"/>
          <w:szCs w:val="24"/>
        </w:rPr>
        <w:t xml:space="preserve"> were that studies (a) involved non-visual arts; (b) involved non-arts-based groups or activities, e.g. gardening and cooking; (c) involved visual arts adjunct to other interventions or services; (d) involved self-initiated arts, where activities were not supported by a professional; (e) did not specify or report on an outcome of the art intervention; (f) involved participants that had a co-diagnosis of other conditions that may include symptoms such as memory problems or cognitive impairment. </w:t>
      </w:r>
      <w:bookmarkStart w:id="2" w:name="_Hlk39481014"/>
      <w:bookmarkStart w:id="3" w:name="_Hlk40281124"/>
      <w:r w:rsidR="00154B87" w:rsidRPr="00FB3F03">
        <w:rPr>
          <w:rFonts w:ascii="Times New Roman" w:hAnsi="Times New Roman" w:cs="Times New Roman"/>
          <w:color w:val="000000" w:themeColor="text1"/>
          <w:sz w:val="24"/>
          <w:szCs w:val="24"/>
        </w:rPr>
        <w:t xml:space="preserve">Lastly, although the search strategy was conducted for the years 1990 through to 2018, a pre-2000 exclusion criteria was subsequently added in order to focus on current evidence-based best practice. </w:t>
      </w:r>
      <w:bookmarkEnd w:id="2"/>
      <w:r w:rsidR="0001095A" w:rsidRPr="00FB3F03">
        <w:rPr>
          <w:rFonts w:ascii="Times New Roman" w:hAnsi="Times New Roman" w:cs="Times New Roman"/>
          <w:color w:val="000000" w:themeColor="text1"/>
          <w:sz w:val="24"/>
          <w:szCs w:val="24"/>
        </w:rPr>
        <w:t xml:space="preserve">Those studies conducted pre-2000 </w:t>
      </w:r>
      <w:r w:rsidR="00B62F33" w:rsidRPr="00FB3F03">
        <w:rPr>
          <w:rFonts w:ascii="Times New Roman" w:hAnsi="Times New Roman" w:cs="Times New Roman"/>
          <w:color w:val="000000" w:themeColor="text1"/>
          <w:sz w:val="24"/>
          <w:szCs w:val="24"/>
        </w:rPr>
        <w:t>had less of a person-centred perspective of people with dementia and thus, were not relevant to current practice.</w:t>
      </w:r>
      <w:bookmarkEnd w:id="3"/>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All database hits (n = 1,588) were downloaded into Endnote software, and duplicate entries were removed leaving 1,346 individual papers (see Figure 1). </w:t>
      </w:r>
      <w:bookmarkStart w:id="4" w:name="_Hlk39480389"/>
      <w:r w:rsidRPr="00FB3F03">
        <w:rPr>
          <w:rFonts w:ascii="Times New Roman" w:hAnsi="Times New Roman" w:cs="Times New Roman"/>
          <w:color w:val="000000" w:themeColor="text1"/>
          <w:sz w:val="24"/>
          <w:szCs w:val="24"/>
        </w:rPr>
        <w:t xml:space="preserve">Titles and abstracts of all articles were reviewed by the first author to </w:t>
      </w:r>
      <w:r w:rsidR="006B54AD" w:rsidRPr="00FB3F03">
        <w:rPr>
          <w:rFonts w:ascii="Times New Roman" w:hAnsi="Times New Roman" w:cs="Times New Roman"/>
          <w:color w:val="000000" w:themeColor="text1"/>
          <w:sz w:val="24"/>
          <w:szCs w:val="24"/>
        </w:rPr>
        <w:t>identify potentially eligible articles for inclusion.</w:t>
      </w:r>
      <w:r w:rsidRPr="00FB3F03">
        <w:rPr>
          <w:rFonts w:ascii="Times New Roman" w:hAnsi="Times New Roman" w:cs="Times New Roman"/>
          <w:color w:val="000000" w:themeColor="text1"/>
          <w:sz w:val="24"/>
          <w:szCs w:val="24"/>
        </w:rPr>
        <w:t xml:space="preserve"> </w:t>
      </w:r>
      <w:r w:rsidR="0001095A" w:rsidRPr="00FB3F03">
        <w:rPr>
          <w:rFonts w:ascii="Times New Roman" w:hAnsi="Times New Roman" w:cs="Times New Roman"/>
          <w:color w:val="000000" w:themeColor="text1"/>
          <w:sz w:val="24"/>
          <w:szCs w:val="24"/>
        </w:rPr>
        <w:t xml:space="preserve">Studies were excluded if they clearly did not meet the inclusion criteria. </w:t>
      </w:r>
      <w:r w:rsidRPr="00FB3F03">
        <w:rPr>
          <w:rFonts w:ascii="Times New Roman" w:hAnsi="Times New Roman" w:cs="Times New Roman"/>
          <w:color w:val="000000" w:themeColor="text1"/>
          <w:sz w:val="24"/>
          <w:szCs w:val="24"/>
        </w:rPr>
        <w:t xml:space="preserve">Papers excluded at this stage were independently reviewed by the </w:t>
      </w:r>
      <w:r w:rsidR="003A4111" w:rsidRPr="00FB3F03">
        <w:rPr>
          <w:rFonts w:ascii="Times New Roman" w:hAnsi="Times New Roman" w:cs="Times New Roman"/>
          <w:color w:val="000000" w:themeColor="text1"/>
          <w:sz w:val="24"/>
          <w:szCs w:val="24"/>
        </w:rPr>
        <w:t>second</w:t>
      </w:r>
      <w:r w:rsidRPr="00FB3F03">
        <w:rPr>
          <w:rFonts w:ascii="Times New Roman" w:hAnsi="Times New Roman" w:cs="Times New Roman"/>
          <w:color w:val="000000" w:themeColor="text1"/>
          <w:sz w:val="24"/>
          <w:szCs w:val="24"/>
        </w:rPr>
        <w:t xml:space="preserve"> author to ensure </w:t>
      </w:r>
      <w:r w:rsidR="006B54AD" w:rsidRPr="00FB3F03">
        <w:rPr>
          <w:rFonts w:ascii="Times New Roman" w:hAnsi="Times New Roman" w:cs="Times New Roman"/>
          <w:color w:val="000000" w:themeColor="text1"/>
          <w:sz w:val="24"/>
          <w:szCs w:val="24"/>
        </w:rPr>
        <w:t xml:space="preserve">consensus. </w:t>
      </w:r>
      <w:r w:rsidR="0001095A" w:rsidRPr="00FB3F03">
        <w:rPr>
          <w:rFonts w:ascii="Times New Roman" w:hAnsi="Times New Roman" w:cs="Times New Roman"/>
          <w:color w:val="000000" w:themeColor="text1"/>
          <w:sz w:val="24"/>
          <w:szCs w:val="24"/>
        </w:rPr>
        <w:t xml:space="preserve">Articles that appeared to meet the criteria, or where it was not feasible to determine this from the title/abstract, went forward to the full-text review. </w:t>
      </w:r>
      <w:r w:rsidRPr="00FB3F03">
        <w:rPr>
          <w:rFonts w:ascii="Times New Roman" w:hAnsi="Times New Roman" w:cs="Times New Roman"/>
          <w:color w:val="000000" w:themeColor="text1"/>
          <w:sz w:val="24"/>
          <w:szCs w:val="24"/>
        </w:rPr>
        <w:t>A full</w:t>
      </w:r>
      <w:r w:rsidR="004B0A5E"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text review was completed of </w:t>
      </w:r>
      <w:r w:rsidR="0001095A" w:rsidRPr="00FB3F03">
        <w:rPr>
          <w:rFonts w:ascii="Times New Roman" w:hAnsi="Times New Roman" w:cs="Times New Roman"/>
          <w:color w:val="000000" w:themeColor="text1"/>
          <w:sz w:val="24"/>
          <w:szCs w:val="24"/>
        </w:rPr>
        <w:t>these</w:t>
      </w:r>
      <w:r w:rsidRPr="00FB3F03">
        <w:rPr>
          <w:rFonts w:ascii="Times New Roman" w:hAnsi="Times New Roman" w:cs="Times New Roman"/>
          <w:color w:val="000000" w:themeColor="text1"/>
          <w:sz w:val="24"/>
          <w:szCs w:val="24"/>
        </w:rPr>
        <w:t xml:space="preserve"> articles and those failing to meet inclusion criteria were excluded. Excluded and included papers were then reviewed by both the second and third author and consensus was reached between the three </w:t>
      </w:r>
      <w:r w:rsidRPr="00FB3F03">
        <w:rPr>
          <w:rFonts w:ascii="Times New Roman" w:hAnsi="Times New Roman" w:cs="Times New Roman"/>
          <w:color w:val="000000" w:themeColor="text1"/>
          <w:sz w:val="24"/>
          <w:szCs w:val="24"/>
        </w:rPr>
        <w:lastRenderedPageBreak/>
        <w:t xml:space="preserve">authors on final papers to be included in the review. </w:t>
      </w:r>
      <w:bookmarkEnd w:id="4"/>
      <w:r w:rsidRPr="00FB3F03">
        <w:rPr>
          <w:rFonts w:ascii="Times New Roman" w:hAnsi="Times New Roman" w:cs="Times New Roman"/>
          <w:color w:val="000000" w:themeColor="text1"/>
          <w:sz w:val="24"/>
          <w:szCs w:val="24"/>
        </w:rPr>
        <w:t xml:space="preserve">Included studies are </w:t>
      </w:r>
      <w:r w:rsidR="0029411E" w:rsidRPr="00FB3F03">
        <w:rPr>
          <w:rFonts w:ascii="Times New Roman" w:hAnsi="Times New Roman" w:cs="Times New Roman"/>
          <w:color w:val="000000" w:themeColor="text1"/>
          <w:sz w:val="24"/>
          <w:szCs w:val="24"/>
        </w:rPr>
        <w:t>summarized</w:t>
      </w:r>
      <w:r w:rsidRPr="00FB3F03">
        <w:rPr>
          <w:rFonts w:ascii="Times New Roman" w:hAnsi="Times New Roman" w:cs="Times New Roman"/>
          <w:color w:val="000000" w:themeColor="text1"/>
          <w:sz w:val="24"/>
          <w:szCs w:val="24"/>
        </w:rPr>
        <w:t xml:space="preserve"> in Table 1. </w:t>
      </w:r>
    </w:p>
    <w:p w:rsidR="00200F3E" w:rsidRPr="00FB3F03" w:rsidRDefault="00200F3E" w:rsidP="002507D4">
      <w:pPr>
        <w:spacing w:after="0" w:line="480" w:lineRule="auto"/>
        <w:jc w:val="both"/>
        <w:rPr>
          <w:rFonts w:ascii="Times New Roman" w:hAnsi="Times New Roman" w:cs="Times New Roman"/>
          <w:color w:val="000000" w:themeColor="text1"/>
          <w:sz w:val="24"/>
          <w:szCs w:val="24"/>
        </w:rPr>
      </w:pPr>
    </w:p>
    <w:p w:rsidR="004B0A5E"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[Insert Figure 1 here]</w:t>
      </w:r>
    </w:p>
    <w:p w:rsidR="0060448E" w:rsidRPr="00FB3F03" w:rsidRDefault="0060448E"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b/>
          <w:color w:val="000000" w:themeColor="text1"/>
          <w:sz w:val="24"/>
          <w:szCs w:val="24"/>
        </w:rPr>
        <w:t>Quality Assessment</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B62F33"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Version 11 of the Mixed Methods Appraisal Tool (MMAT; Pluye et al., 2011) was used to assess each study. Following the tool’s guidance, studies meeting all of the assessment criteria scored 100%, and scores of less than 100% were awarded when fewer criteria had been met (Pluye et al., 2011) (see Table 1). The first and </w:t>
      </w:r>
      <w:r w:rsidR="003A4111" w:rsidRPr="00FB3F03">
        <w:rPr>
          <w:rFonts w:ascii="Times New Roman" w:hAnsi="Times New Roman" w:cs="Times New Roman"/>
          <w:color w:val="000000" w:themeColor="text1"/>
          <w:sz w:val="24"/>
          <w:szCs w:val="24"/>
        </w:rPr>
        <w:t>second</w:t>
      </w:r>
      <w:r w:rsidRPr="00FB3F03">
        <w:rPr>
          <w:rFonts w:ascii="Times New Roman" w:hAnsi="Times New Roman" w:cs="Times New Roman"/>
          <w:color w:val="000000" w:themeColor="text1"/>
          <w:sz w:val="24"/>
          <w:szCs w:val="24"/>
        </w:rPr>
        <w:t xml:space="preserve"> authors independently assessed and rated the included studies and compared scores.</w:t>
      </w:r>
      <w:r w:rsidR="0029411E" w:rsidRPr="00FB3F03">
        <w:rPr>
          <w:rFonts w:ascii="Times New Roman" w:hAnsi="Times New Roman" w:cs="Times New Roman"/>
          <w:color w:val="000000" w:themeColor="text1"/>
          <w:sz w:val="24"/>
          <w:szCs w:val="24"/>
        </w:rPr>
        <w:t xml:space="preserve"> There was independent agreement on 20 out of the 21 papers (95%) and disagreement on one item on the remaining paper which was resolved through discussion. </w:t>
      </w:r>
      <w:r w:rsidRPr="00FB3F03">
        <w:rPr>
          <w:rFonts w:ascii="Times New Roman" w:hAnsi="Times New Roman" w:cs="Times New Roman"/>
          <w:color w:val="000000" w:themeColor="text1"/>
          <w:sz w:val="24"/>
          <w:szCs w:val="24"/>
        </w:rPr>
        <w:t>Studies of lower quality were not excluded from the review, as the primary objective was to gain knowledge on active components of visual art interventions and highlight facilitating conditions and elements. Thus, a quality review was conducted to permit a description of quality of the evidence base within the analytic process.</w:t>
      </w:r>
    </w:p>
    <w:p w:rsidR="00A35731" w:rsidRPr="00FB3F03" w:rsidRDefault="00A35731"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t>Analysis</w:t>
      </w:r>
    </w:p>
    <w:p w:rsidR="00F5520D" w:rsidRPr="00FB3F03" w:rsidRDefault="00F5520D" w:rsidP="002507D4">
      <w:pPr>
        <w:spacing w:after="0" w:line="480" w:lineRule="auto"/>
        <w:jc w:val="both"/>
        <w:rPr>
          <w:rFonts w:ascii="Times New Roman" w:hAnsi="Times New Roman" w:cs="Times New Roman"/>
          <w:b/>
          <w:color w:val="000000" w:themeColor="text1"/>
          <w:sz w:val="24"/>
          <w:szCs w:val="24"/>
        </w:rPr>
      </w:pPr>
    </w:p>
    <w:p w:rsidR="00154B87" w:rsidRPr="00FB3F03" w:rsidRDefault="00F5520D"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Cs/>
          <w:color w:val="000000" w:themeColor="text1"/>
          <w:sz w:val="24"/>
          <w:szCs w:val="24"/>
        </w:rPr>
        <w:t>The type of available evidence did not permit a meta-analysis to ascertain formal assessment of efficacy/effectiveness (as per the first research question) due to the heterogeneity of included studies and lack of methodological rigour. However, it was possible to assess the active components of interventions deemed to be effective by their authors. Therefore,</w:t>
      </w:r>
      <w:r w:rsidRPr="00FB3F03">
        <w:rPr>
          <w:rFonts w:ascii="Times New Roman" w:hAnsi="Times New Roman" w:cs="Times New Roman"/>
          <w:b/>
          <w:color w:val="000000" w:themeColor="text1"/>
          <w:sz w:val="24"/>
          <w:szCs w:val="24"/>
        </w:rPr>
        <w:t xml:space="preserve"> </w:t>
      </w:r>
      <w:r w:rsidRPr="00FB3F03">
        <w:rPr>
          <w:rFonts w:ascii="Times New Roman" w:hAnsi="Times New Roman" w:cs="Times New Roman"/>
          <w:bCs/>
          <w:color w:val="000000" w:themeColor="text1"/>
          <w:sz w:val="24"/>
          <w:szCs w:val="24"/>
        </w:rPr>
        <w:t>a</w:t>
      </w:r>
      <w:r w:rsidR="002507D4" w:rsidRPr="00FB3F03">
        <w:rPr>
          <w:rFonts w:ascii="Times New Roman" w:hAnsi="Times New Roman" w:cs="Times New Roman"/>
          <w:color w:val="000000" w:themeColor="text1"/>
          <w:sz w:val="24"/>
          <w:szCs w:val="24"/>
        </w:rPr>
        <w:t xml:space="preserve"> critical synthesis of the evidence was used, an adapted form of Critical Interpretative Synthesis (Dixon-</w:t>
      </w:r>
      <w:r w:rsidR="002507D4" w:rsidRPr="00FB3F03">
        <w:rPr>
          <w:rFonts w:ascii="Times New Roman" w:hAnsi="Times New Roman" w:cs="Times New Roman"/>
          <w:color w:val="000000" w:themeColor="text1"/>
          <w:sz w:val="24"/>
          <w:szCs w:val="24"/>
        </w:rPr>
        <w:lastRenderedPageBreak/>
        <w:t xml:space="preserve">Woods et al., 2006). This method allows for synthesis of diverse studies and is of particular use when the included studies </w:t>
      </w:r>
      <w:r w:rsidR="0029411E" w:rsidRPr="00FB3F03">
        <w:rPr>
          <w:rFonts w:ascii="Times New Roman" w:hAnsi="Times New Roman" w:cs="Times New Roman"/>
          <w:color w:val="000000" w:themeColor="text1"/>
          <w:sz w:val="24"/>
          <w:szCs w:val="24"/>
        </w:rPr>
        <w:t>utilize</w:t>
      </w:r>
      <w:r w:rsidR="002507D4" w:rsidRPr="00FB3F03">
        <w:rPr>
          <w:rFonts w:ascii="Times New Roman" w:hAnsi="Times New Roman" w:cs="Times New Roman"/>
          <w:color w:val="000000" w:themeColor="text1"/>
          <w:sz w:val="24"/>
          <w:szCs w:val="24"/>
        </w:rPr>
        <w:t xml:space="preserve"> varying research methods. This flexible approach permits inclusion of qualitative, quantitative and mixed-methods studies. CIS is recommended when the aim of the review is to inform evidence-based practice and decision-making. </w:t>
      </w:r>
      <w:r w:rsidR="00154B87" w:rsidRPr="00FB3F03">
        <w:rPr>
          <w:rFonts w:ascii="Times New Roman" w:hAnsi="Times New Roman" w:cs="Times New Roman"/>
          <w:color w:val="000000" w:themeColor="text1"/>
          <w:sz w:val="24"/>
          <w:szCs w:val="24"/>
        </w:rPr>
        <w:t>This method comprises four steps for conducting analysis of existing literature:</w:t>
      </w:r>
    </w:p>
    <w:p w:rsidR="00154B87" w:rsidRPr="00FB3F03" w:rsidRDefault="00154B87" w:rsidP="002507D4">
      <w:pPr>
        <w:spacing w:after="0" w:line="480" w:lineRule="auto"/>
        <w:jc w:val="both"/>
        <w:rPr>
          <w:rFonts w:ascii="Times New Roman" w:hAnsi="Times New Roman" w:cs="Times New Roman"/>
          <w:color w:val="000000" w:themeColor="text1"/>
          <w:sz w:val="24"/>
          <w:szCs w:val="24"/>
        </w:rPr>
      </w:pPr>
    </w:p>
    <w:p w:rsidR="00154B87" w:rsidRPr="00FB3F03" w:rsidRDefault="00154B87" w:rsidP="00154B87">
      <w:pPr>
        <w:pStyle w:val="ListParagraph"/>
        <w:numPr>
          <w:ilvl w:val="0"/>
          <w:numId w:val="2"/>
        </w:numPr>
        <w:spacing w:after="0" w:line="480" w:lineRule="auto"/>
        <w:jc w:val="both"/>
        <w:rPr>
          <w:rFonts w:ascii="Times New Roman" w:hAnsi="Times New Roman" w:cs="Times New Roman"/>
          <w:b/>
          <w:bCs/>
          <w:color w:val="000000" w:themeColor="text1"/>
          <w:sz w:val="24"/>
          <w:szCs w:val="24"/>
        </w:rPr>
      </w:pPr>
      <w:r w:rsidRPr="00FB3F03">
        <w:rPr>
          <w:rFonts w:ascii="Times New Roman" w:hAnsi="Times New Roman" w:cs="Times New Roman"/>
          <w:b/>
          <w:bCs/>
          <w:color w:val="000000" w:themeColor="text1"/>
          <w:sz w:val="24"/>
          <w:szCs w:val="24"/>
        </w:rPr>
        <w:t xml:space="preserve">Approaching the literature: </w:t>
      </w:r>
      <w:r w:rsidRPr="00FB3F03">
        <w:rPr>
          <w:rFonts w:ascii="Times New Roman" w:hAnsi="Times New Roman" w:cs="Times New Roman"/>
          <w:color w:val="000000" w:themeColor="text1"/>
          <w:sz w:val="24"/>
          <w:szCs w:val="24"/>
        </w:rPr>
        <w:t xml:space="preserve">Extensive notetaking was made throughout the preliminary stages of analyzing the literature. Reflexivity was embedded within the analytic approach to challenge any pre-existing assumptions the authors may have held. </w:t>
      </w:r>
    </w:p>
    <w:p w:rsidR="00920222" w:rsidRPr="00FB3F03" w:rsidRDefault="00920222" w:rsidP="00154B87">
      <w:pPr>
        <w:pStyle w:val="ListParagraph"/>
        <w:numPr>
          <w:ilvl w:val="0"/>
          <w:numId w:val="2"/>
        </w:numPr>
        <w:spacing w:after="0" w:line="480" w:lineRule="auto"/>
        <w:jc w:val="both"/>
        <w:rPr>
          <w:rFonts w:ascii="Times New Roman" w:hAnsi="Times New Roman" w:cs="Times New Roman"/>
          <w:b/>
          <w:bCs/>
          <w:color w:val="000000" w:themeColor="text1"/>
          <w:sz w:val="24"/>
          <w:szCs w:val="24"/>
        </w:rPr>
      </w:pPr>
      <w:r w:rsidRPr="00FB3F03">
        <w:rPr>
          <w:rFonts w:ascii="Times New Roman" w:hAnsi="Times New Roman" w:cs="Times New Roman"/>
          <w:b/>
          <w:bCs/>
          <w:color w:val="000000" w:themeColor="text1"/>
          <w:sz w:val="24"/>
          <w:szCs w:val="24"/>
        </w:rPr>
        <w:t xml:space="preserve">Systematically gathering the data: </w:t>
      </w:r>
      <w:r w:rsidRPr="00FB3F03">
        <w:rPr>
          <w:rFonts w:ascii="Times New Roman" w:hAnsi="Times New Roman" w:cs="Times New Roman"/>
          <w:color w:val="000000" w:themeColor="text1"/>
          <w:sz w:val="24"/>
          <w:szCs w:val="24"/>
        </w:rPr>
        <w:t>Data was extracted from the papers using an extraction table, with a range of column headings to guide the data extraction process. These included research methodologies, intervention content, mode of delivery, frequency and duration, and outcomes of the intervention.</w:t>
      </w:r>
    </w:p>
    <w:p w:rsidR="00920222" w:rsidRPr="00FB3F03" w:rsidRDefault="00920222" w:rsidP="00154B87">
      <w:pPr>
        <w:pStyle w:val="ListParagraph"/>
        <w:numPr>
          <w:ilvl w:val="0"/>
          <w:numId w:val="2"/>
        </w:numPr>
        <w:spacing w:after="0" w:line="480" w:lineRule="auto"/>
        <w:jc w:val="both"/>
        <w:rPr>
          <w:rFonts w:ascii="Times New Roman" w:hAnsi="Times New Roman" w:cs="Times New Roman"/>
          <w:b/>
          <w:bCs/>
          <w:color w:val="000000" w:themeColor="text1"/>
          <w:sz w:val="24"/>
          <w:szCs w:val="24"/>
        </w:rPr>
      </w:pPr>
      <w:r w:rsidRPr="00FB3F03">
        <w:rPr>
          <w:rFonts w:ascii="Times New Roman" w:hAnsi="Times New Roman" w:cs="Times New Roman"/>
          <w:b/>
          <w:bCs/>
          <w:color w:val="000000" w:themeColor="text1"/>
          <w:sz w:val="24"/>
          <w:szCs w:val="24"/>
        </w:rPr>
        <w:t xml:space="preserve">Interrogating the literature: </w:t>
      </w:r>
      <w:r w:rsidRPr="00FB3F03">
        <w:rPr>
          <w:rFonts w:ascii="Times New Roman" w:hAnsi="Times New Roman" w:cs="Times New Roman"/>
          <w:color w:val="000000" w:themeColor="text1"/>
          <w:sz w:val="24"/>
          <w:szCs w:val="24"/>
        </w:rPr>
        <w:t xml:space="preserve">Literature was examined to inductively determine what meaningful interpretations could be made. </w:t>
      </w:r>
    </w:p>
    <w:p w:rsidR="00154B87" w:rsidRPr="00FB3F03" w:rsidRDefault="00920222" w:rsidP="002507D4">
      <w:pPr>
        <w:pStyle w:val="ListParagraph"/>
        <w:numPr>
          <w:ilvl w:val="0"/>
          <w:numId w:val="2"/>
        </w:numPr>
        <w:spacing w:after="0" w:line="480" w:lineRule="auto"/>
        <w:jc w:val="both"/>
        <w:rPr>
          <w:rFonts w:ascii="Times New Roman" w:hAnsi="Times New Roman" w:cs="Times New Roman"/>
          <w:b/>
          <w:bCs/>
          <w:color w:val="000000" w:themeColor="text1"/>
          <w:sz w:val="24"/>
          <w:szCs w:val="24"/>
        </w:rPr>
      </w:pPr>
      <w:r w:rsidRPr="00FB3F03">
        <w:rPr>
          <w:rFonts w:ascii="Times New Roman" w:hAnsi="Times New Roman" w:cs="Times New Roman"/>
          <w:b/>
          <w:bCs/>
          <w:color w:val="000000" w:themeColor="text1"/>
          <w:sz w:val="24"/>
          <w:szCs w:val="24"/>
        </w:rPr>
        <w:t xml:space="preserve">Interpreting the analysis into a synthesized form: </w:t>
      </w:r>
      <w:r w:rsidRPr="00FB3F03">
        <w:rPr>
          <w:rFonts w:ascii="Times New Roman" w:hAnsi="Times New Roman" w:cs="Times New Roman"/>
          <w:color w:val="000000" w:themeColor="text1"/>
          <w:sz w:val="24"/>
          <w:szCs w:val="24"/>
        </w:rPr>
        <w:t xml:space="preserve">The information was organised and synthesized within separate common features, with a narrative description for each feature. </w:t>
      </w:r>
    </w:p>
    <w:p w:rsidR="00B62F33" w:rsidRPr="00FB3F03" w:rsidRDefault="00B62F33" w:rsidP="00920222">
      <w:pPr>
        <w:pStyle w:val="ListParagraph"/>
        <w:spacing w:after="0" w:line="480" w:lineRule="auto"/>
        <w:jc w:val="both"/>
        <w:rPr>
          <w:rFonts w:ascii="Times New Roman" w:hAnsi="Times New Roman" w:cs="Times New Roman"/>
          <w:b/>
          <w:bCs/>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t xml:space="preserve">Results </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 total of 21 papers were included in the review, evaluating 21 different visual art interventions. Table 1 </w:t>
      </w:r>
      <w:r w:rsidR="0029411E" w:rsidRPr="00FB3F03">
        <w:rPr>
          <w:rFonts w:ascii="Times New Roman" w:hAnsi="Times New Roman" w:cs="Times New Roman"/>
          <w:color w:val="000000" w:themeColor="text1"/>
          <w:sz w:val="24"/>
          <w:szCs w:val="24"/>
        </w:rPr>
        <w:t>summarizes</w:t>
      </w:r>
      <w:r w:rsidRPr="00FB3F03">
        <w:rPr>
          <w:rFonts w:ascii="Times New Roman" w:hAnsi="Times New Roman" w:cs="Times New Roman"/>
          <w:color w:val="000000" w:themeColor="text1"/>
          <w:sz w:val="24"/>
          <w:szCs w:val="24"/>
        </w:rPr>
        <w:t xml:space="preserve"> the characteristics of each study and Table 2 </w:t>
      </w:r>
      <w:r w:rsidR="0029411E" w:rsidRPr="00FB3F03">
        <w:rPr>
          <w:rFonts w:ascii="Times New Roman" w:hAnsi="Times New Roman" w:cs="Times New Roman"/>
          <w:color w:val="000000" w:themeColor="text1"/>
          <w:sz w:val="24"/>
          <w:szCs w:val="24"/>
        </w:rPr>
        <w:t>summarizes</w:t>
      </w:r>
      <w:r w:rsidRPr="00FB3F03">
        <w:rPr>
          <w:rFonts w:ascii="Times New Roman" w:hAnsi="Times New Roman" w:cs="Times New Roman"/>
          <w:color w:val="000000" w:themeColor="text1"/>
          <w:sz w:val="24"/>
          <w:szCs w:val="24"/>
        </w:rPr>
        <w:t xml:space="preserve"> the outcome measures and key findings of each study. Across the included studies, three main outcomes were reported: (1) social inclusion and connectedness; (2) well-being, encompassing a range of </w:t>
      </w:r>
      <w:r w:rsidRPr="00FB3F03">
        <w:rPr>
          <w:rFonts w:ascii="Times New Roman" w:hAnsi="Times New Roman" w:cs="Times New Roman"/>
          <w:color w:val="000000" w:themeColor="text1"/>
          <w:sz w:val="24"/>
          <w:szCs w:val="24"/>
        </w:rPr>
        <w:lastRenderedPageBreak/>
        <w:t xml:space="preserve">areas such as pleasure, enjoyment, quality of life, self-esteem; (3) cognitive stimulation. Studies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a range of methods and data collection approaches including validated measures (e.g. Camic, Tischler, &amp; Pearman, 2014;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Sauer et al., 2016; Young, Tischler, Hulbert, &amp; Camic, 2015) and qualitative post-session questionnaires (e.g. Flatt, Liptak, Oakley, </w:t>
      </w:r>
      <w:proofErr w:type="spellStart"/>
      <w:r w:rsidRPr="00FB3F03">
        <w:rPr>
          <w:rFonts w:ascii="Times New Roman" w:hAnsi="Times New Roman" w:cs="Times New Roman"/>
          <w:color w:val="000000" w:themeColor="text1"/>
          <w:sz w:val="24"/>
          <w:szCs w:val="24"/>
        </w:rPr>
        <w:t>Gogan</w:t>
      </w:r>
      <w:proofErr w:type="spellEnd"/>
      <w:r w:rsidRPr="00FB3F03">
        <w:rPr>
          <w:rFonts w:ascii="Times New Roman" w:hAnsi="Times New Roman" w:cs="Times New Roman"/>
          <w:color w:val="000000" w:themeColor="text1"/>
          <w:sz w:val="24"/>
          <w:szCs w:val="24"/>
        </w:rPr>
        <w:t xml:space="preserve">, Varner, &amp; </w:t>
      </w:r>
      <w:proofErr w:type="spellStart"/>
      <w:r w:rsidRPr="00FB3F03">
        <w:rPr>
          <w:rFonts w:ascii="Times New Roman" w:hAnsi="Times New Roman" w:cs="Times New Roman"/>
          <w:color w:val="000000" w:themeColor="text1"/>
          <w:sz w:val="24"/>
          <w:szCs w:val="24"/>
        </w:rPr>
        <w:t>Lingler</w:t>
      </w:r>
      <w:proofErr w:type="spellEnd"/>
      <w:r w:rsidRPr="00FB3F03">
        <w:rPr>
          <w:rFonts w:ascii="Times New Roman" w:hAnsi="Times New Roman" w:cs="Times New Roman"/>
          <w:color w:val="000000" w:themeColor="text1"/>
          <w:sz w:val="24"/>
          <w:szCs w:val="24"/>
        </w:rPr>
        <w:t xml:space="preserve">, 2015; Johnson, Culverwell, Hulbert, Robertson, &amp; Camic, 2017). </w:t>
      </w:r>
      <w:r w:rsidR="0029411E" w:rsidRPr="00FB3F03">
        <w:rPr>
          <w:rFonts w:ascii="Times New Roman" w:hAnsi="Times New Roman" w:cs="Times New Roman"/>
          <w:color w:val="000000" w:themeColor="text1"/>
          <w:sz w:val="24"/>
          <w:szCs w:val="24"/>
        </w:rPr>
        <w:t>Behavioral</w:t>
      </w:r>
      <w:r w:rsidRPr="00FB3F03">
        <w:rPr>
          <w:rFonts w:ascii="Times New Roman" w:hAnsi="Times New Roman" w:cs="Times New Roman"/>
          <w:color w:val="000000" w:themeColor="text1"/>
          <w:sz w:val="24"/>
          <w:szCs w:val="24"/>
        </w:rPr>
        <w:t xml:space="preserve"> observation was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across some studies to capture changes in well-being (e.g. Kinney &amp; Rentz, 2005; Sauer et al., 2016), and engagement (MacPherson, Bird, Anderson, Davis, &amp; Blair, 2009).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[Insert Table 1 and Table 2 here]</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516427"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Common features of successful visual arts interventions were identified across the papers including: (1) intervention ‘dose’; (2) session content; (3) participant choice; (4) artistic ability; (5) the role of the facilitator/therapist; (6) group work, peer support and </w:t>
      </w:r>
      <w:r w:rsidR="0029411E" w:rsidRPr="00FB3F03">
        <w:rPr>
          <w:rFonts w:ascii="Times New Roman" w:hAnsi="Times New Roman" w:cs="Times New Roman"/>
          <w:color w:val="000000" w:themeColor="text1"/>
          <w:sz w:val="24"/>
          <w:szCs w:val="24"/>
        </w:rPr>
        <w:t>socialization</w:t>
      </w:r>
      <w:r w:rsidRPr="00FB3F03">
        <w:rPr>
          <w:rFonts w:ascii="Times New Roman" w:hAnsi="Times New Roman" w:cs="Times New Roman"/>
          <w:color w:val="000000" w:themeColor="text1"/>
          <w:sz w:val="24"/>
          <w:szCs w:val="24"/>
        </w:rPr>
        <w:t xml:space="preserve">; (7) setting. </w:t>
      </w:r>
    </w:p>
    <w:p w:rsidR="00A35731" w:rsidRPr="00FB3F03" w:rsidRDefault="00A35731"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t>Intervention Dose</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Intervention dose consisted of three components: session duration, frequency of engagement and overall duration of the intervention. The duration of session length differed across interventions (see Table 1). The most common length of individual sessions was either 60</w:t>
      </w:r>
      <w:r w:rsidR="00430AED"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minutes or two</w:t>
      </w:r>
      <w:r w:rsidR="00430AED"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hours. Six studies involved interventions that lasted 60</w:t>
      </w:r>
      <w:r w:rsidR="00430AED"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minutes (Gross, Danilova, Vandehey, &amp; </w:t>
      </w:r>
      <w:proofErr w:type="spellStart"/>
      <w:r w:rsidRPr="00FB3F03">
        <w:rPr>
          <w:rFonts w:ascii="Times New Roman" w:hAnsi="Times New Roman" w:cs="Times New Roman"/>
          <w:color w:val="000000" w:themeColor="text1"/>
          <w:sz w:val="24"/>
          <w:szCs w:val="24"/>
        </w:rPr>
        <w:t>Diekhoff</w:t>
      </w:r>
      <w:proofErr w:type="spellEnd"/>
      <w:r w:rsidRPr="00FB3F03">
        <w:rPr>
          <w:rFonts w:ascii="Times New Roman" w:hAnsi="Times New Roman" w:cs="Times New Roman"/>
          <w:color w:val="000000" w:themeColor="text1"/>
          <w:sz w:val="24"/>
          <w:szCs w:val="24"/>
        </w:rPr>
        <w:t xml:space="preserve">, 2015; MacPherson et al., 2009, Pӧllänen &amp; Hirsimäki, 2014; Rentz, 2002; Rusted et al., 2006; Sauer et al., 2016). Over half of these interventions (n = 4) reported statistically significant positive results for outcomes related to well-being, self-esteem, </w:t>
      </w:r>
      <w:r w:rsidRPr="00FB3F03">
        <w:rPr>
          <w:rFonts w:ascii="Times New Roman" w:hAnsi="Times New Roman" w:cs="Times New Roman"/>
          <w:color w:val="000000" w:themeColor="text1"/>
          <w:sz w:val="24"/>
          <w:szCs w:val="24"/>
        </w:rPr>
        <w:lastRenderedPageBreak/>
        <w:t xml:space="preserve">pleasure, engagement and enjoyment during the session. Rentz (2002) reported 80% of participants expressed pleasure during the sessions, MacPherson et al. (2008) observed people with dementia were engaged from the outset, and Pӧllänen &amp; Hirsimäki (2014) observed sustained attention and increased interaction. This indicates sessions of this length can engage participants and provide enjoyment.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For studies lasting two</w:t>
      </w:r>
      <w:r w:rsidR="00430AED"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hours (Camic, Baker, &amp; Tischler, 2016; Camic et al., 2014; Young, Tischler, Hulbert, &amp; Camic, 2015), they consisted of two separate activities which both lasted 60</w:t>
      </w:r>
      <w:r w:rsidR="00430AED"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minutes each. Camic et al. (2014) found no significant pre-post difference for outcomes including quality of life and activities of daily living for people with dementia. Camic et al. (2016) collected field notes and conducted interviews with participants, and found participants felt the art gallery was a physically valued place that provided intellectual stimulation and offered opportunities for social inclusion. Young et al. (2015) did not report any statistically significant findings on outcomes such as verbal fluency and memory in their study. Overall, as with sessions of 60-minutes duration, participants appeared to engage with and enjoy the activity. However, there is no evidence to support two-hour sessions with regard to outcomes such as self-esteem, sustained attention and overall well-being. </w:t>
      </w:r>
    </w:p>
    <w:p w:rsidR="002507D4" w:rsidRPr="00FB3F03" w:rsidRDefault="002507D4" w:rsidP="002507D4">
      <w:pPr>
        <w:spacing w:after="0" w:line="480" w:lineRule="auto"/>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Of note is that in sessions lasting 60</w:t>
      </w:r>
      <w:r w:rsidR="00B3716F"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minutes, participants commonly had more advanced dementia (Gross et al., 2015; Pӧllänen &amp; Hirsimäki, 2014; Rusted et al., 2006; Sauer et al., 2016), whereas in studies where the art intervention was 60+ minutes, participants had mild-moderate dementia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Flatt et al., 2015; Johnson et al., 2017;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Ullán et al., 2013; Young et al., 2015). Most authors, however, did not specify why they selected participants with specific and similar degrees of cognitive impairment. Johnson et al. (2017) stated participants </w:t>
      </w:r>
      <w:r w:rsidRPr="00FB3F03">
        <w:rPr>
          <w:rFonts w:ascii="Times New Roman" w:hAnsi="Times New Roman" w:cs="Times New Roman"/>
          <w:color w:val="000000" w:themeColor="text1"/>
          <w:sz w:val="24"/>
          <w:szCs w:val="24"/>
        </w:rPr>
        <w:lastRenderedPageBreak/>
        <w:t xml:space="preserve">had mild to moderate dementia, with preserved language to the extent they could engage in a group that relied on verbal communication skills. Similarly, Flatt et al. (2015) had no exclusion criteria in place but the samples were limited to those who were physically able to participate.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There was a large difference in the frequency of engagement in the interventions (see Table 1), however, the most common frequency was one session a week (Brownell, 2008;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Hattori et al., 2011; Kinney &amp; Rentz, 2005; MacPherson et al., 2009; Rentz, 2002; Rusted et al., 2006; Sauer et al., 2016;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Young et al., 2015). The majority of interventions that were delivered once a week produced positive results, including improved well-being (Kinney &amp; Rentz, 2005; Sauer et al, 2016); intellectual stimulation (Camic et al., 2014) and social inclusion (Camic et al., 2016; MacPherson et al., 2009). The consistency of once per week may have facilitated these outcomes. All studies with quantitively significant results were delivered once per week, and only one study activity exceeded 60 minutes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Intervention duration ranged from a single session (Flatt et al., 2015) to one session a week for 40 weeks (Rusted et al., 2006). For the studies with clearly defined durations, the median intervention duration was 8</w:t>
      </w:r>
      <w:r w:rsidR="00263ACF"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weeks. Studies where the intervention produced quantitatively significant results ranged from one weekly 1-hour session for ‘several sessions’ (Rentz, 2002) to one weekly 1-hour session over 40-weeks (Rusted et al., 2006). Although Rusted et al. (2006) found that mental acuity, sociability, calmness and physical engagement increased for the art therapy group, only limited participants had a full data set over 40-weeks. Of the 45 participants recruited, only 21 completed the full nine-months of group work, and the two follow-up sessions. Reasons for attrition were attributable to participants passing away or moving throughout the study period, and nine had incomplete data. This suggests it may be challenging to sustain attendance at an intervention over a time period of this length. However, this is </w:t>
      </w:r>
      <w:r w:rsidRPr="00FB3F03">
        <w:rPr>
          <w:rFonts w:ascii="Times New Roman" w:hAnsi="Times New Roman" w:cs="Times New Roman"/>
          <w:color w:val="000000" w:themeColor="text1"/>
          <w:sz w:val="24"/>
          <w:szCs w:val="24"/>
        </w:rPr>
        <w:lastRenderedPageBreak/>
        <w:t xml:space="preserve">perhaps unsurprising for this participant group. Similarly, Gross et al. (2015) stated their intervention period was a duration of 12-weeks, yet the average number of sessions attended was 7.8. Despite this, facilitator ratings of participant well-being during sessions showed statistically significant improvements from baseline measurements. However, the care facility </w:t>
      </w:r>
      <w:proofErr w:type="gramStart"/>
      <w:r w:rsidRPr="00FB3F03">
        <w:rPr>
          <w:rFonts w:ascii="Times New Roman" w:hAnsi="Times New Roman" w:cs="Times New Roman"/>
          <w:color w:val="000000" w:themeColor="text1"/>
          <w:sz w:val="24"/>
          <w:szCs w:val="24"/>
        </w:rPr>
        <w:t>staff</w:t>
      </w:r>
      <w:proofErr w:type="gramEnd"/>
      <w:r w:rsidRPr="00FB3F03">
        <w:rPr>
          <w:rFonts w:ascii="Times New Roman" w:hAnsi="Times New Roman" w:cs="Times New Roman"/>
          <w:color w:val="000000" w:themeColor="text1"/>
          <w:sz w:val="24"/>
          <w:szCs w:val="24"/>
        </w:rPr>
        <w:t xml:space="preserve"> ratings of well-being outside of the sessions did not show significant changes across the 12-weeks. This suggests any benefits for well-being of art interventions may not extend outside of the sessions. </w:t>
      </w:r>
    </w:p>
    <w:p w:rsidR="00263ACF" w:rsidRPr="00FB3F03" w:rsidRDefault="00263ACF"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Six interventions were delivered over a shorter period, with a maximum of six-weeks. Although the majority of these studies were qualitative, positive participant reactions were reported. For example, MacPherson et al. (2009) stated participants were engaged from the outset, and Walsh et al. (2011) found participants felt attending had enhanced their well-being. Furthermore, all studies reported that participants attended all of the available sessions. While the quality of this evidence is weak, it does suggest a longer intervention may be unnecessary for impacting well-being and may be a barrier to regular attendance.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 summary, sessions that are delivered once a week promotes consistency, and appears to lead to positive outcomes. One-hour sessions have been shown to engage participants, provide enjoyment, and enhance overall well-being. The duration length may not necessarily be an important element, as interventions of varying lengths have reported positive outcomes. The session content and other active ingredients may be more important to consider compared to the intervention duration.</w:t>
      </w:r>
    </w:p>
    <w:p w:rsidR="002507D4" w:rsidRPr="00FB3F03" w:rsidRDefault="002507D4" w:rsidP="002507D4">
      <w:pPr>
        <w:spacing w:after="0" w:line="480" w:lineRule="auto"/>
        <w:rPr>
          <w:rFonts w:ascii="Times New Roman" w:hAnsi="Times New Roman" w:cs="Times New Roman"/>
          <w:color w:val="000000" w:themeColor="text1"/>
          <w:sz w:val="24"/>
          <w:szCs w:val="24"/>
        </w:rPr>
      </w:pPr>
    </w:p>
    <w:p w:rsidR="00F5520D" w:rsidRPr="00FB3F03" w:rsidRDefault="00F5520D" w:rsidP="002507D4">
      <w:pPr>
        <w:spacing w:after="0" w:line="480" w:lineRule="auto"/>
        <w:rPr>
          <w:rFonts w:ascii="Times New Roman" w:hAnsi="Times New Roman" w:cs="Times New Roman"/>
          <w:color w:val="000000" w:themeColor="text1"/>
          <w:sz w:val="24"/>
          <w:szCs w:val="24"/>
        </w:rPr>
      </w:pPr>
    </w:p>
    <w:p w:rsidR="00F5520D" w:rsidRPr="00FB3F03" w:rsidRDefault="00F5520D" w:rsidP="002507D4">
      <w:pPr>
        <w:spacing w:after="0" w:line="480" w:lineRule="auto"/>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lastRenderedPageBreak/>
        <w:t xml:space="preserve">Session Content </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The visual art interventions encompassed: (1) art production only; (2) viewing and discussing artwork, or (3) a combination of the two. Six interventions evaluated a combination of art-viewing and art-making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Flatt et al., 2015; Ullán et al., 2013; Young et al., 2015). Camic et al. (2014) used validated measures but did not find any significant outcomes, possibly due to the small sample size. Other studies reported using validated measures of cognitive function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Young et al., 2015), and tentatively suggested cognitive improvements.</w:t>
      </w:r>
      <w:r w:rsidR="00263ACF" w:rsidRPr="00FB3F03">
        <w:rPr>
          <w:rFonts w:ascii="Times New Roman" w:hAnsi="Times New Roman" w:cs="Times New Roman"/>
          <w:color w:val="000000" w:themeColor="text1"/>
          <w:sz w:val="24"/>
          <w:szCs w:val="24"/>
        </w:rPr>
        <w:t xml:space="preserve"> </w:t>
      </w:r>
      <w:r w:rsidR="009B4663" w:rsidRPr="00FB3F03">
        <w:rPr>
          <w:rFonts w:ascii="Times New Roman" w:hAnsi="Times New Roman" w:cs="Times New Roman"/>
          <w:color w:val="000000" w:themeColor="text1"/>
          <w:sz w:val="24"/>
          <w:szCs w:val="24"/>
        </w:rPr>
        <w:t>T</w:t>
      </w:r>
      <w:r w:rsidRPr="00FB3F03">
        <w:rPr>
          <w:rFonts w:ascii="Times New Roman" w:hAnsi="Times New Roman" w:cs="Times New Roman"/>
          <w:color w:val="000000" w:themeColor="text1"/>
          <w:sz w:val="24"/>
          <w:szCs w:val="24"/>
        </w:rPr>
        <w:t>he remaining three studies analy</w:t>
      </w:r>
      <w:r w:rsidR="0029411E" w:rsidRPr="00FB3F03">
        <w:rPr>
          <w:rFonts w:ascii="Times New Roman" w:hAnsi="Times New Roman" w:cs="Times New Roman"/>
          <w:color w:val="000000" w:themeColor="text1"/>
          <w:sz w:val="24"/>
          <w:szCs w:val="24"/>
        </w:rPr>
        <w:t>z</w:t>
      </w:r>
      <w:r w:rsidRPr="00FB3F03">
        <w:rPr>
          <w:rFonts w:ascii="Times New Roman" w:hAnsi="Times New Roman" w:cs="Times New Roman"/>
          <w:color w:val="000000" w:themeColor="text1"/>
          <w:sz w:val="24"/>
          <w:szCs w:val="24"/>
        </w:rPr>
        <w:t xml:space="preserve">ed interview data to evaluate participant responses to the sessions. Camic et al. (2016) reported the sessions had a positive impact on participants, enhancing social inclusion and intellectual stimulation, Flatt et al. (2015) indicated high levels of intervention satisfaction, and Ullán et al. (2013) reported participant interest in learning new things, and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observational data to indicate participants’ high levels of engagement during the activity.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63ACF"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However, combining two components can make data vulnerable to a recency effect. </w:t>
      </w:r>
      <w:r w:rsidR="002507D4" w:rsidRPr="00FB3F03">
        <w:rPr>
          <w:rFonts w:ascii="Times New Roman" w:hAnsi="Times New Roman" w:cs="Times New Roman"/>
          <w:color w:val="000000" w:themeColor="text1"/>
          <w:sz w:val="24"/>
          <w:szCs w:val="24"/>
        </w:rPr>
        <w:t xml:space="preserve">Johnson et al. (2017) addressed the recency effect of combined art-viewing and object-handling within an intervention through counter-balancing the sessions so the order of the activities differed. Johnson et al. (2017) found well-being scores significantly increased from baseline, irrespective of order. Furthermore, this study was given a high-quality rating, providing confidence for the validity of its results. Participants seldom commented on their preference of individual elements in these interventions, but Flatt et al. (2015) reported that participants commented </w:t>
      </w:r>
      <w:r w:rsidR="0029411E" w:rsidRPr="00FB3F03">
        <w:rPr>
          <w:rFonts w:ascii="Times New Roman" w:hAnsi="Times New Roman" w:cs="Times New Roman"/>
          <w:color w:val="000000" w:themeColor="text1"/>
          <w:sz w:val="24"/>
          <w:szCs w:val="24"/>
        </w:rPr>
        <w:t>favorably</w:t>
      </w:r>
      <w:r w:rsidR="002507D4" w:rsidRPr="00FB3F03">
        <w:rPr>
          <w:rFonts w:ascii="Times New Roman" w:hAnsi="Times New Roman" w:cs="Times New Roman"/>
          <w:color w:val="000000" w:themeColor="text1"/>
          <w:sz w:val="24"/>
          <w:szCs w:val="24"/>
        </w:rPr>
        <w:t xml:space="preserve"> about the art-making elements, indicating it was their </w:t>
      </w:r>
      <w:r w:rsidR="0029411E" w:rsidRPr="00FB3F03">
        <w:rPr>
          <w:rFonts w:ascii="Times New Roman" w:hAnsi="Times New Roman" w:cs="Times New Roman"/>
          <w:color w:val="000000" w:themeColor="text1"/>
          <w:sz w:val="24"/>
          <w:szCs w:val="24"/>
        </w:rPr>
        <w:t>favorite</w:t>
      </w:r>
      <w:r w:rsidR="002507D4" w:rsidRPr="00FB3F03">
        <w:rPr>
          <w:rFonts w:ascii="Times New Roman" w:hAnsi="Times New Roman" w:cs="Times New Roman"/>
          <w:color w:val="000000" w:themeColor="text1"/>
          <w:sz w:val="24"/>
          <w:szCs w:val="24"/>
        </w:rPr>
        <w:t xml:space="preserve"> aspect of the </w:t>
      </w:r>
      <w:proofErr w:type="spellStart"/>
      <w:r w:rsidR="002507D4" w:rsidRPr="00FB3F03">
        <w:rPr>
          <w:rFonts w:ascii="Times New Roman" w:hAnsi="Times New Roman" w:cs="Times New Roman"/>
          <w:color w:val="000000" w:themeColor="text1"/>
          <w:sz w:val="24"/>
          <w:szCs w:val="24"/>
        </w:rPr>
        <w:t>programme</w:t>
      </w:r>
      <w:proofErr w:type="spellEnd"/>
      <w:r w:rsidR="002507D4" w:rsidRPr="00FB3F03">
        <w:rPr>
          <w:rFonts w:ascii="Times New Roman" w:hAnsi="Times New Roman" w:cs="Times New Roman"/>
          <w:color w:val="000000" w:themeColor="text1"/>
          <w:sz w:val="24"/>
          <w:szCs w:val="24"/>
        </w:rPr>
        <w:t xml:space="preserve">. </w:t>
      </w:r>
      <w:r w:rsidR="009B4663" w:rsidRPr="00FB3F03">
        <w:rPr>
          <w:rFonts w:ascii="Times New Roman" w:hAnsi="Times New Roman" w:cs="Times New Roman"/>
          <w:color w:val="000000" w:themeColor="text1"/>
          <w:sz w:val="24"/>
          <w:szCs w:val="24"/>
        </w:rPr>
        <w:t>While the quality of this evidence is weak</w:t>
      </w:r>
      <w:r w:rsidR="002507D4" w:rsidRPr="00FB3F03">
        <w:rPr>
          <w:rFonts w:ascii="Times New Roman" w:hAnsi="Times New Roman" w:cs="Times New Roman"/>
          <w:color w:val="000000" w:themeColor="text1"/>
          <w:sz w:val="24"/>
          <w:szCs w:val="24"/>
        </w:rPr>
        <w:t>,</w:t>
      </w:r>
      <w:r w:rsidR="009B4663" w:rsidRPr="00FB3F03">
        <w:rPr>
          <w:rFonts w:ascii="Times New Roman" w:hAnsi="Times New Roman" w:cs="Times New Roman"/>
          <w:color w:val="000000" w:themeColor="text1"/>
          <w:sz w:val="24"/>
          <w:szCs w:val="24"/>
        </w:rPr>
        <w:t xml:space="preserve"> it does suggest</w:t>
      </w:r>
      <w:r w:rsidR="002507D4" w:rsidRPr="00FB3F03">
        <w:rPr>
          <w:rFonts w:ascii="Times New Roman" w:hAnsi="Times New Roman" w:cs="Times New Roman"/>
          <w:color w:val="000000" w:themeColor="text1"/>
          <w:sz w:val="24"/>
          <w:szCs w:val="24"/>
        </w:rPr>
        <w:t xml:space="preserve"> hands-on activities may help to create an engaging and cognitively stimulating environment (Flatt et al., 2015).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 xml:space="preserve">For studies that focused on art production alone, the results collated from the quantitative studies appear to support the potential benefits of visual arts on similar psychosocial outcomes. Rentz (2002) used an observational tool, and reported 83% of participants sustained attention, and weekly sessions contributed to individual’s sense of well-being. Two studies compared their art intervention to a control group that consisted of a selection of recreational activities (Kinney &amp; Rentz, 2005; Rusted et al., 2006). Rusted et al. (2006) reported significant improvement in </w:t>
      </w:r>
      <w:r w:rsidR="0029411E" w:rsidRPr="00FB3F03">
        <w:rPr>
          <w:rFonts w:ascii="Times New Roman" w:hAnsi="Times New Roman" w:cs="Times New Roman"/>
          <w:color w:val="000000" w:themeColor="text1"/>
          <w:sz w:val="24"/>
          <w:szCs w:val="24"/>
        </w:rPr>
        <w:t>behavior</w:t>
      </w:r>
      <w:r w:rsidRPr="00FB3F03">
        <w:rPr>
          <w:rFonts w:ascii="Times New Roman" w:hAnsi="Times New Roman" w:cs="Times New Roman"/>
          <w:color w:val="000000" w:themeColor="text1"/>
          <w:sz w:val="24"/>
          <w:szCs w:val="24"/>
        </w:rPr>
        <w:t>, depression, mood, sociability and well-being, and Kinney and Rentz (2005) reported significant increases in well-being, a domain that encompassed interest, attention, pleasure, self-esteem and normalcy. Similarly, Sauer et al. (2016) used an observational tool, and indicated a higher intensity of well-being, engagement and pleasure in their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visual art intervention, compared to traditional visual art activities. While the quality of this evidence is weak, there were common features in the content of these interventions, ensuring the sessions were pleasurable, failure-free, and </w:t>
      </w:r>
      <w:proofErr w:type="gramStart"/>
      <w:r w:rsidRPr="00FB3F03">
        <w:rPr>
          <w:rFonts w:ascii="Times New Roman" w:hAnsi="Times New Roman" w:cs="Times New Roman"/>
          <w:color w:val="000000" w:themeColor="text1"/>
          <w:sz w:val="24"/>
          <w:szCs w:val="24"/>
        </w:rPr>
        <w:t>taking into account</w:t>
      </w:r>
      <w:proofErr w:type="gramEnd"/>
      <w:r w:rsidRPr="00FB3F03">
        <w:rPr>
          <w:rFonts w:ascii="Times New Roman" w:hAnsi="Times New Roman" w:cs="Times New Roman"/>
          <w:color w:val="000000" w:themeColor="text1"/>
          <w:sz w:val="24"/>
          <w:szCs w:val="24"/>
        </w:rPr>
        <w:t xml:space="preserve"> the individual’s needs and abilities. The participants were encouraged to express themselves, take pleasure in the creative process, and a variety of art materials were presented for use within sessions to stimulate different senses. Furthermore, the structure of these interventions followed similar parameters, with small groups participating in a one-hour visual art activity each week.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Three studies evaluated artistic </w:t>
      </w:r>
      <w:proofErr w:type="spellStart"/>
      <w:r w:rsidRPr="00FB3F03">
        <w:rPr>
          <w:rFonts w:ascii="Times New Roman" w:hAnsi="Times New Roman" w:cs="Times New Roman"/>
          <w:color w:val="000000" w:themeColor="text1"/>
          <w:sz w:val="24"/>
          <w:szCs w:val="24"/>
        </w:rPr>
        <w:t>programmes</w:t>
      </w:r>
      <w:proofErr w:type="spellEnd"/>
      <w:r w:rsidRPr="00FB3F03">
        <w:rPr>
          <w:rFonts w:ascii="Times New Roman" w:hAnsi="Times New Roman" w:cs="Times New Roman"/>
          <w:color w:val="000000" w:themeColor="text1"/>
          <w:sz w:val="24"/>
          <w:szCs w:val="24"/>
        </w:rPr>
        <w:t xml:space="preserve"> that gradually increased in complexity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Walsh et al., 2011). The aim of the former two studies was to create opportunities for participants to fully engage in learning, whilst preparing them to meet new challenges with a greater likelihood of success.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and Richards (2017) used observational data to report enhanced mood, self-esteem and social interaction. Subsequently,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used </w:t>
      </w:r>
      <w:r w:rsidR="0029411E" w:rsidRPr="00FB3F03">
        <w:rPr>
          <w:rFonts w:ascii="Times New Roman" w:hAnsi="Times New Roman" w:cs="Times New Roman"/>
          <w:color w:val="000000" w:themeColor="text1"/>
          <w:sz w:val="24"/>
          <w:szCs w:val="24"/>
        </w:rPr>
        <w:t>standardized</w:t>
      </w:r>
      <w:r w:rsidRPr="00FB3F03">
        <w:rPr>
          <w:rFonts w:ascii="Times New Roman" w:hAnsi="Times New Roman" w:cs="Times New Roman"/>
          <w:color w:val="000000" w:themeColor="text1"/>
          <w:sz w:val="24"/>
          <w:szCs w:val="24"/>
        </w:rPr>
        <w:t xml:space="preserve"> measures to compare this visual art intervention to a control group that involved art discussion and painting. Although they found no significant </w:t>
      </w:r>
      <w:r w:rsidRPr="00FB3F03">
        <w:rPr>
          <w:rFonts w:ascii="Times New Roman" w:hAnsi="Times New Roman" w:cs="Times New Roman"/>
          <w:color w:val="000000" w:themeColor="text1"/>
          <w:sz w:val="24"/>
          <w:szCs w:val="24"/>
        </w:rPr>
        <w:lastRenderedPageBreak/>
        <w:t xml:space="preserve">differences immediately post-intervention, significant improvements were found in caregiver burden and self-esteem for people with dementia at the six-month follow up.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suggested this could be attributed to participants successfully meeting different challenges and viewing their artwork at home post-intervention had improved self-esteem.</w:t>
      </w:r>
      <w:r w:rsidR="009B4663" w:rsidRPr="00FB3F03">
        <w:rPr>
          <w:rFonts w:ascii="Times New Roman" w:hAnsi="Times New Roman" w:cs="Times New Roman"/>
          <w:color w:val="000000" w:themeColor="text1"/>
          <w:sz w:val="24"/>
          <w:szCs w:val="24"/>
        </w:rPr>
        <w:t xml:space="preserve"> </w:t>
      </w:r>
      <w:r w:rsidRPr="00FB3F03">
        <w:rPr>
          <w:rFonts w:ascii="Times New Roman" w:hAnsi="Times New Roman" w:cs="Times New Roman"/>
          <w:color w:val="000000" w:themeColor="text1"/>
          <w:sz w:val="24"/>
          <w:szCs w:val="24"/>
        </w:rPr>
        <w:t xml:space="preserve">In a high-quality study, Walsh et al. (2011) collected observational data for a comparable approach, and indicated enhanced well-being, showing promising results for increasing the novelty and challenge of the activities.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summary, the content of the intervention is important, and should be designed to ensure the sessions are enjoyable, stimulating and meaningful. Incorporating a hands-on activity appears to be valuable and increasing the complexity each week has led to reported positive outcomes. Common features of an art-making component appear to underpin positive outcomes, such as creating a pleasurable and failure-free environment for the participants to express themselves. Furthermore, presenting a variety of art materials appeared to be promote autonomy and control during the sessions.  </w:t>
      </w:r>
    </w:p>
    <w:p w:rsidR="00516427" w:rsidRPr="00FB3F03" w:rsidRDefault="00516427" w:rsidP="002507D4">
      <w:pPr>
        <w:spacing w:after="0" w:line="480" w:lineRule="auto"/>
        <w:rPr>
          <w:rFonts w:ascii="Times New Roman" w:hAnsi="Times New Roman" w:cs="Times New Roman"/>
          <w:color w:val="000000" w:themeColor="text1"/>
          <w:sz w:val="24"/>
          <w:szCs w:val="24"/>
        </w:rPr>
      </w:pPr>
    </w:p>
    <w:p w:rsidR="002507D4" w:rsidRPr="00FB3F03" w:rsidRDefault="002507D4" w:rsidP="002507D4">
      <w:pPr>
        <w:spacing w:after="0" w:line="480" w:lineRule="auto"/>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t>Participant Choice</w:t>
      </w:r>
    </w:p>
    <w:p w:rsidR="002507D4" w:rsidRPr="00FB3F03" w:rsidRDefault="002507D4" w:rsidP="002507D4">
      <w:pPr>
        <w:spacing w:after="0" w:line="480" w:lineRule="auto"/>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Participant choice was either offered or not during the interventions and could relate to the type of media the participant used to make art and choice of activity or art output within the session. In a number of studies participants were encouraged to use different media and techniques (Brownell, 2008; Camic et al., 2016; Rusted et al., 2006; Sauer et al., 2016; Young et al., 2015). Freedom of choice was felt to enhance the individual’s sense of independence, and to stimulate different senses and the person’s curiosity (Brownell, 2008; Sauer et al., 2016). Two studies evaluated interventions that supported participant choice, compared to control groups that did </w:t>
      </w:r>
      <w:r w:rsidRPr="00FB3F03">
        <w:rPr>
          <w:rFonts w:ascii="Times New Roman" w:hAnsi="Times New Roman" w:cs="Times New Roman"/>
          <w:color w:val="000000" w:themeColor="text1"/>
          <w:sz w:val="24"/>
          <w:szCs w:val="24"/>
        </w:rPr>
        <w:lastRenderedPageBreak/>
        <w:t xml:space="preserve">not (Rusted et al., 2006; Sauer et al., 2016). Rusted et al. (2006) found positive effects on </w:t>
      </w:r>
      <w:r w:rsidR="0029411E" w:rsidRPr="00FB3F03">
        <w:rPr>
          <w:rFonts w:ascii="Times New Roman" w:hAnsi="Times New Roman" w:cs="Times New Roman"/>
          <w:color w:val="000000" w:themeColor="text1"/>
          <w:sz w:val="24"/>
          <w:szCs w:val="24"/>
        </w:rPr>
        <w:t>standardized</w:t>
      </w:r>
      <w:r w:rsidRPr="00FB3F03">
        <w:rPr>
          <w:rFonts w:ascii="Times New Roman" w:hAnsi="Times New Roman" w:cs="Times New Roman"/>
          <w:color w:val="000000" w:themeColor="text1"/>
          <w:sz w:val="24"/>
          <w:szCs w:val="24"/>
        </w:rPr>
        <w:t xml:space="preserve"> measures of mental acuity, physical engagement, calmness and sociability in their art therapy group, compared to the control group involving a selection of recreational activities. Sauer et al. (2016) compared a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visual art intervention; </w:t>
      </w:r>
      <w:r w:rsidRPr="00FB3F03">
        <w:rPr>
          <w:rFonts w:ascii="Times New Roman" w:hAnsi="Times New Roman" w:cs="Times New Roman"/>
          <w:i/>
          <w:color w:val="000000" w:themeColor="text1"/>
          <w:sz w:val="24"/>
          <w:szCs w:val="24"/>
        </w:rPr>
        <w:t>Opening Minds through Art</w:t>
      </w:r>
      <w:r w:rsidRPr="00FB3F03">
        <w:rPr>
          <w:rFonts w:ascii="Times New Roman" w:hAnsi="Times New Roman" w:cs="Times New Roman"/>
          <w:color w:val="000000" w:themeColor="text1"/>
          <w:sz w:val="24"/>
          <w:szCs w:val="24"/>
        </w:rPr>
        <w:t xml:space="preserve">, to traditional visual art activities that did not support participant choice. Sauer et al. (2016) found significantly higher scores for </w:t>
      </w:r>
      <w:r w:rsidRPr="00FB3F03">
        <w:rPr>
          <w:rFonts w:ascii="Times New Roman" w:hAnsi="Times New Roman" w:cs="Times New Roman"/>
          <w:i/>
          <w:color w:val="000000" w:themeColor="text1"/>
          <w:sz w:val="24"/>
          <w:szCs w:val="24"/>
        </w:rPr>
        <w:t>Opening Minds through Art</w:t>
      </w:r>
      <w:r w:rsidRPr="00FB3F03">
        <w:rPr>
          <w:rFonts w:ascii="Times New Roman" w:hAnsi="Times New Roman" w:cs="Times New Roman"/>
          <w:color w:val="000000" w:themeColor="text1"/>
          <w:sz w:val="24"/>
          <w:szCs w:val="24"/>
        </w:rPr>
        <w:t xml:space="preserve"> in well-being, engagement and pleasure, as well as significantly lower scores for disengagement.  While the quality of this evidence is weak to moderate, it does suggest participant choice may be important for impacting well-being and engagement.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63ACF"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Within the majority of included studies, however, participants engaged in pre-determined, clearly defined art activities per session employing certain materials. While offering an abundance of materials, many studies focused on a specific material each week dependent on the planned art activity (Brownell, 2008; Camic et al., 2014; Camic et al., 2016;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Walsh et al., 2011). Within these interventions, emphasis was placed on activities that were visually and tacitly stimulating as well as simplistic and familiar, to support a failure-free approach.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compared their visual art intervention that focused on a certain material each week, to a control activity that involved painting only. At the six-month follow up, they reported significant improvements in caregiver burden and self-esteem for the people with dementia in the art intervention compared to the control group. Furthermore, Camic et al. (2014) reported that participants commented on the beneficial learning experience of the group when different materials and techniques were used each week, suggesting encouragement to try new materials was experienced positively. While not offering choice around materials or activities within their intervention, Walsh et al. (2011) gave participants opportunities to make choices during the structured activities, as they wished </w:t>
      </w:r>
      <w:r w:rsidRPr="00FB3F03">
        <w:rPr>
          <w:rFonts w:ascii="Times New Roman" w:hAnsi="Times New Roman" w:cs="Times New Roman"/>
          <w:color w:val="000000" w:themeColor="text1"/>
          <w:sz w:val="24"/>
          <w:szCs w:val="24"/>
        </w:rPr>
        <w:lastRenderedPageBreak/>
        <w:t>to incorporate ‘freedom to choose’. Choices included, “</w:t>
      </w:r>
      <w:r w:rsidRPr="00FB3F03">
        <w:rPr>
          <w:rFonts w:ascii="Times New Roman" w:hAnsi="Times New Roman" w:cs="Times New Roman"/>
          <w:i/>
          <w:color w:val="000000" w:themeColor="text1"/>
          <w:sz w:val="24"/>
          <w:szCs w:val="24"/>
        </w:rPr>
        <w:t xml:space="preserve">From these paints, choose several of your </w:t>
      </w:r>
      <w:r w:rsidR="0029411E" w:rsidRPr="00FB3F03">
        <w:rPr>
          <w:rFonts w:ascii="Times New Roman" w:hAnsi="Times New Roman" w:cs="Times New Roman"/>
          <w:i/>
          <w:color w:val="000000" w:themeColor="text1"/>
          <w:sz w:val="24"/>
          <w:szCs w:val="24"/>
        </w:rPr>
        <w:t>favorite</w:t>
      </w:r>
      <w:r w:rsidRPr="00FB3F03">
        <w:rPr>
          <w:rFonts w:ascii="Times New Roman" w:hAnsi="Times New Roman" w:cs="Times New Roman"/>
          <w:i/>
          <w:color w:val="000000" w:themeColor="text1"/>
          <w:sz w:val="24"/>
          <w:szCs w:val="24"/>
        </w:rPr>
        <w:t xml:space="preserve"> </w:t>
      </w:r>
      <w:r w:rsidR="0029411E" w:rsidRPr="00FB3F03">
        <w:rPr>
          <w:rFonts w:ascii="Times New Roman" w:hAnsi="Times New Roman" w:cs="Times New Roman"/>
          <w:i/>
          <w:color w:val="000000" w:themeColor="text1"/>
          <w:sz w:val="24"/>
          <w:szCs w:val="24"/>
        </w:rPr>
        <w:t>colors</w:t>
      </w:r>
      <w:r w:rsidRPr="00FB3F03">
        <w:rPr>
          <w:rFonts w:ascii="Times New Roman" w:hAnsi="Times New Roman" w:cs="Times New Roman"/>
          <w:i/>
          <w:color w:val="000000" w:themeColor="text1"/>
          <w:sz w:val="24"/>
          <w:szCs w:val="24"/>
        </w:rPr>
        <w:t>”</w:t>
      </w:r>
      <w:r w:rsidRPr="00FB3F03">
        <w:rPr>
          <w:rFonts w:ascii="Times New Roman" w:hAnsi="Times New Roman" w:cs="Times New Roman"/>
          <w:color w:val="000000" w:themeColor="text1"/>
          <w:sz w:val="24"/>
          <w:szCs w:val="24"/>
        </w:rPr>
        <w:t xml:space="preserve">, and </w:t>
      </w:r>
      <w:r w:rsidRPr="00FB3F03">
        <w:rPr>
          <w:rFonts w:ascii="Times New Roman" w:hAnsi="Times New Roman" w:cs="Times New Roman"/>
          <w:i/>
          <w:color w:val="000000" w:themeColor="text1"/>
          <w:sz w:val="24"/>
          <w:szCs w:val="24"/>
        </w:rPr>
        <w:t>“Can you choose a body from this workbook that shows what type of work or activity you like?”</w:t>
      </w:r>
      <w:r w:rsidRPr="00FB3F03">
        <w:rPr>
          <w:rFonts w:ascii="Times New Roman" w:hAnsi="Times New Roman" w:cs="Times New Roman"/>
          <w:color w:val="000000" w:themeColor="text1"/>
          <w:sz w:val="24"/>
          <w:szCs w:val="24"/>
        </w:rPr>
        <w:t xml:space="preserve"> (Walsh et al., 2011, p.67), indicating participant choice can be incorporated in different ways. </w:t>
      </w:r>
    </w:p>
    <w:p w:rsidR="00A35731" w:rsidRPr="00FB3F03" w:rsidRDefault="00A35731"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comparison, some interventions just used one media type throughout (Esker &amp; Ashton, 2013; Flatt et al., 2015; Gross et al., 2015; Ullán et al., 2013). For example, Esker and Ashton (2013) delivered a one-to-one art intervention, providing </w:t>
      </w:r>
      <w:r w:rsidR="0029411E" w:rsidRPr="00FB3F03">
        <w:rPr>
          <w:rFonts w:ascii="Times New Roman" w:hAnsi="Times New Roman" w:cs="Times New Roman"/>
          <w:color w:val="000000" w:themeColor="text1"/>
          <w:sz w:val="24"/>
          <w:szCs w:val="24"/>
        </w:rPr>
        <w:t>watercolors</w:t>
      </w:r>
      <w:r w:rsidRPr="00FB3F03">
        <w:rPr>
          <w:rFonts w:ascii="Times New Roman" w:hAnsi="Times New Roman" w:cs="Times New Roman"/>
          <w:color w:val="000000" w:themeColor="text1"/>
          <w:sz w:val="24"/>
          <w:szCs w:val="24"/>
        </w:rPr>
        <w:t xml:space="preserve"> only, and participants were requested to paint scenes based on an allocated theme. Esker and Ashton (2013) observed passive </w:t>
      </w:r>
      <w:r w:rsidR="0029411E" w:rsidRPr="00FB3F03">
        <w:rPr>
          <w:rFonts w:ascii="Times New Roman" w:hAnsi="Times New Roman" w:cs="Times New Roman"/>
          <w:color w:val="000000" w:themeColor="text1"/>
          <w:sz w:val="24"/>
          <w:szCs w:val="24"/>
        </w:rPr>
        <w:t>behaviors</w:t>
      </w:r>
      <w:r w:rsidRPr="00FB3F03">
        <w:rPr>
          <w:rFonts w:ascii="Times New Roman" w:hAnsi="Times New Roman" w:cs="Times New Roman"/>
          <w:color w:val="000000" w:themeColor="text1"/>
          <w:sz w:val="24"/>
          <w:szCs w:val="24"/>
        </w:rPr>
        <w:t xml:space="preserve"> such as decreased activity, loss of interest and apathy. Although participant choice was not </w:t>
      </w:r>
      <w:r w:rsidR="0029411E" w:rsidRPr="00FB3F03">
        <w:rPr>
          <w:rFonts w:ascii="Times New Roman" w:hAnsi="Times New Roman" w:cs="Times New Roman"/>
          <w:color w:val="000000" w:themeColor="text1"/>
          <w:sz w:val="24"/>
          <w:szCs w:val="24"/>
        </w:rPr>
        <w:t>emphasized</w:t>
      </w:r>
      <w:r w:rsidRPr="00FB3F03">
        <w:rPr>
          <w:rFonts w:ascii="Times New Roman" w:hAnsi="Times New Roman" w:cs="Times New Roman"/>
          <w:color w:val="000000" w:themeColor="text1"/>
          <w:sz w:val="24"/>
          <w:szCs w:val="24"/>
        </w:rPr>
        <w:t xml:space="preserve"> in these interventions, they were designed to be failure-free, using good quality media and having an aim of </w:t>
      </w:r>
      <w:r w:rsidR="0029411E" w:rsidRPr="00FB3F03">
        <w:rPr>
          <w:rFonts w:ascii="Times New Roman" w:hAnsi="Times New Roman" w:cs="Times New Roman"/>
          <w:color w:val="000000" w:themeColor="text1"/>
          <w:sz w:val="24"/>
          <w:szCs w:val="24"/>
        </w:rPr>
        <w:t>maximizing</w:t>
      </w:r>
      <w:r w:rsidRPr="00FB3F03">
        <w:rPr>
          <w:rFonts w:ascii="Times New Roman" w:hAnsi="Times New Roman" w:cs="Times New Roman"/>
          <w:color w:val="000000" w:themeColor="text1"/>
          <w:sz w:val="24"/>
          <w:szCs w:val="24"/>
        </w:rPr>
        <w:t xml:space="preserve"> the abilities of the participant. These studies reported positive psychological impacts on participants, including autonomy, mastery and pride (Flatt et al., 2015), and improved confidence in their own abilities (Camic et al., 2014; Ullán et al., 2013).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00F3E"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summary, participant choice appears to be important to offer greater opportunities for engagement and pleasure than other traditional arts and crafts activities. Freedom of choice appears to enhance an individual’s independence and learning experience. However, it is also important to combine participant choice with an enjoyable, failure-free environment, </w:t>
      </w:r>
      <w:r w:rsidR="0029411E" w:rsidRPr="00FB3F03">
        <w:rPr>
          <w:rFonts w:ascii="Times New Roman" w:hAnsi="Times New Roman" w:cs="Times New Roman"/>
          <w:color w:val="000000" w:themeColor="text1"/>
          <w:sz w:val="24"/>
          <w:szCs w:val="24"/>
        </w:rPr>
        <w:t>maximizing</w:t>
      </w:r>
      <w:r w:rsidRPr="00FB3F03">
        <w:rPr>
          <w:rFonts w:ascii="Times New Roman" w:hAnsi="Times New Roman" w:cs="Times New Roman"/>
          <w:color w:val="000000" w:themeColor="text1"/>
          <w:sz w:val="24"/>
          <w:szCs w:val="24"/>
        </w:rPr>
        <w:t xml:space="preserve"> the participant’s abilities and resulting in positive outcomes. </w:t>
      </w:r>
    </w:p>
    <w:p w:rsidR="00516427" w:rsidRPr="00FB3F03" w:rsidRDefault="00516427" w:rsidP="002507D4">
      <w:pPr>
        <w:spacing w:after="0" w:line="480" w:lineRule="auto"/>
        <w:jc w:val="both"/>
        <w:rPr>
          <w:rFonts w:ascii="Times New Roman" w:hAnsi="Times New Roman" w:cs="Times New Roman"/>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b/>
          <w:i/>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b/>
          <w:i/>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b/>
          <w:i/>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lastRenderedPageBreak/>
        <w:t>Artistic Ability</w:t>
      </w:r>
    </w:p>
    <w:p w:rsidR="00F5520D" w:rsidRPr="00FB3F03" w:rsidRDefault="00F5520D" w:rsidP="002507D4">
      <w:pPr>
        <w:spacing w:after="0" w:line="480" w:lineRule="auto"/>
        <w:jc w:val="both"/>
        <w:rPr>
          <w:rFonts w:ascii="Times New Roman" w:hAnsi="Times New Roman" w:cs="Times New Roman"/>
          <w:b/>
          <w:i/>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Artistic ability and prior exposure to or enjoyment of art was discussed across the majority of the studies. Studies suggested that participants did not require any previous artistic experience or artistic ability to participate (n = 20), with the exception of one</w:t>
      </w:r>
      <w:r w:rsidR="009B4663" w:rsidRPr="00FB3F03">
        <w:rPr>
          <w:rFonts w:ascii="Times New Roman" w:hAnsi="Times New Roman" w:cs="Times New Roman"/>
          <w:color w:val="000000" w:themeColor="text1"/>
          <w:sz w:val="24"/>
          <w:szCs w:val="24"/>
        </w:rPr>
        <w:t xml:space="preserve"> high-quality</w:t>
      </w:r>
      <w:r w:rsidRPr="00FB3F03">
        <w:rPr>
          <w:rFonts w:ascii="Times New Roman" w:hAnsi="Times New Roman" w:cs="Times New Roman"/>
          <w:color w:val="000000" w:themeColor="text1"/>
          <w:sz w:val="24"/>
          <w:szCs w:val="24"/>
        </w:rPr>
        <w:t xml:space="preserve"> study that required a craft background (Pӧllänen &amp; Hirsimäki, 2014). In this study, the purpose was to explore the benefits of crafts as memory triggers for participants who had previous crafting experience. Pӧllänen </w:t>
      </w:r>
      <w:r w:rsidR="005F6CD4" w:rsidRPr="00FB3F03">
        <w:rPr>
          <w:rFonts w:ascii="Times New Roman" w:hAnsi="Times New Roman" w:cs="Times New Roman"/>
          <w:color w:val="000000" w:themeColor="text1"/>
          <w:sz w:val="24"/>
          <w:szCs w:val="24"/>
        </w:rPr>
        <w:t>and</w:t>
      </w:r>
      <w:r w:rsidRPr="00FB3F03">
        <w:rPr>
          <w:rFonts w:ascii="Times New Roman" w:hAnsi="Times New Roman" w:cs="Times New Roman"/>
          <w:color w:val="000000" w:themeColor="text1"/>
          <w:sz w:val="24"/>
          <w:szCs w:val="24"/>
        </w:rPr>
        <w:t xml:space="preserve"> Hirsimäki (2014) observed participants reactions in response to different triggers. They found that multi-sensory triggers stimulated recall of forgotten, positive craft experiences, suggesting the benefits of reminiscence in visual art. </w:t>
      </w:r>
    </w:p>
    <w:p w:rsidR="005A4813" w:rsidRPr="00FB3F03" w:rsidRDefault="005A4813"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 number of studies included individuals regardless of their previous arts experience and ability, and subsequently reported positive outcomes. Rentz (2002) collected observational data and reported individuals worked with sustained attention, and had a pleasurable, sensory experience. Likewise, Kinney and Rentz (2005) reported their study included participants who had never had any artistic experience prior to their enrolment in the intervention and they demonstrated significantly higher levels of interest, sustained attention, pleasure, self-esteem and normalcy during the visual art sessions compared to the control, recreational activity. Camic et al. (2014) also reported that although 12 participants out of the 24 had visited an art gallery within the last five years, there was no requirement to have an interest or previous experience in visual art. Although Camic et al. (2014) found no significant pre-post difference on quantitative measures of quality of life and activities of daily living, post-intervention interviews showed participants felt more empowered, engaged, and socially included. </w:t>
      </w:r>
      <w:r w:rsidR="003A4111" w:rsidRPr="00FB3F03">
        <w:rPr>
          <w:rFonts w:ascii="Times New Roman" w:hAnsi="Times New Roman" w:cs="Times New Roman"/>
          <w:color w:val="000000" w:themeColor="text1"/>
          <w:sz w:val="24"/>
          <w:szCs w:val="24"/>
        </w:rPr>
        <w:t>While this evidence is weak to moderate, it does suggest positive outcomes can be obtained regardless of prior artistic experience and ability.</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Flatt et al. (2015) noted that an existing interest in visual arts may be a limitation. They commented that this may have influenced their findings, such as the enjoyable aspects of the </w:t>
      </w:r>
      <w:proofErr w:type="spellStart"/>
      <w:r w:rsidRPr="00FB3F03">
        <w:rPr>
          <w:rFonts w:ascii="Times New Roman" w:hAnsi="Times New Roman" w:cs="Times New Roman"/>
          <w:color w:val="000000" w:themeColor="text1"/>
          <w:sz w:val="24"/>
          <w:szCs w:val="24"/>
        </w:rPr>
        <w:t>programme</w:t>
      </w:r>
      <w:proofErr w:type="spellEnd"/>
      <w:r w:rsidRPr="00FB3F03">
        <w:rPr>
          <w:rFonts w:ascii="Times New Roman" w:hAnsi="Times New Roman" w:cs="Times New Roman"/>
          <w:color w:val="000000" w:themeColor="text1"/>
          <w:sz w:val="24"/>
          <w:szCs w:val="24"/>
        </w:rPr>
        <w:t xml:space="preserve"> and participant’s </w:t>
      </w:r>
      <w:r w:rsidR="0029411E" w:rsidRPr="00FB3F03">
        <w:rPr>
          <w:rFonts w:ascii="Times New Roman" w:hAnsi="Times New Roman" w:cs="Times New Roman"/>
          <w:color w:val="000000" w:themeColor="text1"/>
          <w:sz w:val="24"/>
          <w:szCs w:val="24"/>
        </w:rPr>
        <w:t>favorable</w:t>
      </w:r>
      <w:r w:rsidRPr="00FB3F03">
        <w:rPr>
          <w:rFonts w:ascii="Times New Roman" w:hAnsi="Times New Roman" w:cs="Times New Roman"/>
          <w:color w:val="000000" w:themeColor="text1"/>
          <w:sz w:val="24"/>
          <w:szCs w:val="24"/>
        </w:rPr>
        <w:t xml:space="preserve"> opinions of the intervention. However, Camic et al. (2016) reported that when participants were asked during interviews, the majority did not express interest or participation in recent art activities. Camic et al. (2016) collected qualitative data through interviews and field notes and reported intellectual stimulation and social inclusion for participants with dementia and their caregivers. While the quality of this evidence is moderate, it does suggest the appeal of, and benefits of visual art interventions may in fact be applicable to a wider population rather than restricted to those with a background in the arts.</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order to appeal to individuals despite their previous knowledge of, or interest in art, eight interventions sought to facilitate imaginative and emotional responses that focused on ‘being in the moment’, as opposed to recollection of memories or artistic abilities (Camic et al., 2014;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2013; Flatt et al., 2015; Gross et al., 2014; Johnson et al., 2017; MacPherson et al., 2009; Ullán et al., 2013; Young et al., 2015). By doing so, the art-viewing activity allowed those with memory impairments to participate in a meaningful way. </w:t>
      </w:r>
      <w:r w:rsidR="006D44DE" w:rsidRPr="00FB3F03">
        <w:rPr>
          <w:rFonts w:ascii="Times New Roman" w:hAnsi="Times New Roman" w:cs="Times New Roman"/>
          <w:color w:val="000000" w:themeColor="text1"/>
          <w:sz w:val="24"/>
          <w:szCs w:val="24"/>
        </w:rPr>
        <w:t>While the quality of this evidence is weak to moderate, it does suggest these</w:t>
      </w:r>
      <w:r w:rsidRPr="00FB3F03">
        <w:rPr>
          <w:rFonts w:ascii="Times New Roman" w:hAnsi="Times New Roman" w:cs="Times New Roman"/>
          <w:color w:val="000000" w:themeColor="text1"/>
          <w:sz w:val="24"/>
          <w:szCs w:val="24"/>
        </w:rPr>
        <w:t xml:space="preserve"> strategies triggered learning new skills (Camic et al., 2014; Flatt et al., 2015; Ullán et al., 2013), knowledge seeking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2013), reminiscence (Flatt et al., 2015; Gross et al., 2014), and thinking and learning (MacPherson et al., 2009). </w:t>
      </w:r>
    </w:p>
    <w:p w:rsidR="00FB76E9" w:rsidRPr="00FB3F03" w:rsidRDefault="00FB76E9"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summary, visual art interventions may initially appeal to those with prior interest or experience in the arts. However, the results suggest that benefits of such an intervention may in fact be applicable to a wider population. The findings indicate that creative activities can be </w:t>
      </w:r>
      <w:r w:rsidRPr="00FB3F03">
        <w:rPr>
          <w:rFonts w:ascii="Times New Roman" w:hAnsi="Times New Roman" w:cs="Times New Roman"/>
          <w:color w:val="000000" w:themeColor="text1"/>
          <w:sz w:val="24"/>
          <w:szCs w:val="24"/>
        </w:rPr>
        <w:lastRenderedPageBreak/>
        <w:t>valuable and can provide a unique and cultural experience for people with dementia, regardless of their artistic background.</w:t>
      </w:r>
    </w:p>
    <w:p w:rsidR="009D3FFA" w:rsidRPr="00FB3F03" w:rsidRDefault="009D3FFA"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t>The Role of the Facilitator/Therapist</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The facilitators played an important role in all of the studies, regardless of their occupation (see Table 1). One key contextual feature underpinning good outcomes was that the facilitators were not only knowledgeable about artistic practice, but they also had knowledge and expertise of the impact and experience of those living with dementia. This was often provided through specific training from a professional </w:t>
      </w:r>
      <w:r w:rsidR="0029411E" w:rsidRPr="00FB3F03">
        <w:rPr>
          <w:rFonts w:ascii="Times New Roman" w:hAnsi="Times New Roman" w:cs="Times New Roman"/>
          <w:color w:val="000000" w:themeColor="text1"/>
          <w:sz w:val="24"/>
          <w:szCs w:val="24"/>
        </w:rPr>
        <w:t>organization</w:t>
      </w:r>
      <w:r w:rsidRPr="00FB3F03">
        <w:rPr>
          <w:rFonts w:ascii="Times New Roman" w:hAnsi="Times New Roman" w:cs="Times New Roman"/>
          <w:color w:val="000000" w:themeColor="text1"/>
          <w:sz w:val="24"/>
          <w:szCs w:val="24"/>
        </w:rPr>
        <w:t xml:space="preserve"> (e.g. Flatt et al., 2015; Gross et al., 2015; MacPherson et al., 2009), a psychiatrist/psychologist (Young et al., 2015) or members of the research team (e.g. Sauer et al., 2016). Alternatively, the facilitators had existing experience working with individuals with dementia (e.g. Camic et al., 2016; Pӧllänen &amp; Hirsimäki, 2014; Hattori et al., 2011; Rusted et al., 2006). The combination of artistic skill and dementia awareness appeared important for skilled facilitation, adopting a perspective of seeing the potential of what could be achieved and focusing on participant strengths (MacPherson et al., 2009; Sauer et al., 2016). Sauer et al. (2016) attributed the finding of greater intensity of engagement during intervention sessions, not only to the features of the </w:t>
      </w:r>
      <w:proofErr w:type="spellStart"/>
      <w:r w:rsidRPr="00FB3F03">
        <w:rPr>
          <w:rFonts w:ascii="Times New Roman" w:hAnsi="Times New Roman" w:cs="Times New Roman"/>
          <w:color w:val="000000" w:themeColor="text1"/>
          <w:sz w:val="24"/>
          <w:szCs w:val="24"/>
        </w:rPr>
        <w:t>programme</w:t>
      </w:r>
      <w:proofErr w:type="spellEnd"/>
      <w:r w:rsidRPr="00FB3F03">
        <w:rPr>
          <w:rFonts w:ascii="Times New Roman" w:hAnsi="Times New Roman" w:cs="Times New Roman"/>
          <w:color w:val="000000" w:themeColor="text1"/>
          <w:sz w:val="24"/>
          <w:szCs w:val="24"/>
        </w:rPr>
        <w:t>, but also the training of the facilitators.</w:t>
      </w:r>
      <w:r w:rsidR="006D44DE" w:rsidRPr="00FB3F03">
        <w:rPr>
          <w:rFonts w:ascii="Times New Roman" w:hAnsi="Times New Roman" w:cs="Times New Roman"/>
          <w:color w:val="000000" w:themeColor="text1"/>
          <w:sz w:val="24"/>
          <w:szCs w:val="24"/>
        </w:rPr>
        <w:t xml:space="preserve"> </w:t>
      </w:r>
      <w:bookmarkStart w:id="5" w:name="_Hlk39484647"/>
      <w:r w:rsidRPr="00FB3F03">
        <w:rPr>
          <w:rFonts w:ascii="Times New Roman" w:hAnsi="Times New Roman" w:cs="Times New Roman"/>
          <w:color w:val="000000" w:themeColor="text1"/>
          <w:sz w:val="24"/>
          <w:szCs w:val="24"/>
        </w:rPr>
        <w:t>Conversely, sessions delivered by high school art students (Brownell, 2008) did not find any statistical significance between the level of engagement of the participants in the control and the intervention group</w:t>
      </w:r>
      <w:r w:rsidR="00B13E10" w:rsidRPr="00FB3F03">
        <w:rPr>
          <w:rFonts w:ascii="Times New Roman" w:hAnsi="Times New Roman" w:cs="Times New Roman"/>
          <w:color w:val="000000" w:themeColor="text1"/>
          <w:sz w:val="24"/>
          <w:szCs w:val="24"/>
        </w:rPr>
        <w:t xml:space="preserve">. </w:t>
      </w:r>
      <w:r w:rsidR="006D44DE" w:rsidRPr="00FB3F03">
        <w:rPr>
          <w:rFonts w:ascii="Times New Roman" w:hAnsi="Times New Roman" w:cs="Times New Roman"/>
          <w:color w:val="000000" w:themeColor="text1"/>
          <w:sz w:val="24"/>
          <w:szCs w:val="24"/>
        </w:rPr>
        <w:t>Although the quality of this evidence is weak, it does appear that skilled facilitation is essential.</w:t>
      </w:r>
      <w:bookmarkEnd w:id="5"/>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Skilled facilitation also required the facilitators to play an important role in keeping the activity interesting, and helping participants to feel comfortable, accepted and engaged (Flatt et al., </w:t>
      </w:r>
      <w:r w:rsidRPr="00FB3F03">
        <w:rPr>
          <w:rFonts w:ascii="Times New Roman" w:hAnsi="Times New Roman" w:cs="Times New Roman"/>
          <w:color w:val="000000" w:themeColor="text1"/>
          <w:sz w:val="24"/>
          <w:szCs w:val="24"/>
        </w:rPr>
        <w:lastRenderedPageBreak/>
        <w:t xml:space="preserve">2015). People with dementia may feel anxious or overwhelmed when beginning a new intervention, especially if they have no previous artistic experience. The facilitator must be able to demonstrate techniques, provide encouragement and make suggestions as necessary. For example, the intervention delivered by Sauer et al. (2016) was designed so the facilitators encouraged and supported participants, ensuring they felt in control of the art-making process. Young et al. (2015) ensured the facilitator demonstrated different techniques to participants, and Esker and Ashton (2013) encouraged participants to go at a pace comfortable for them.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Lastly, consistency and predictability are important key elements. All studies (n = 21) were delivered by the same facilitators throughout the intervention. It is beneficial for the same facilitators to run the group to ensure the participants feel comfortable and have a sense of familiarity (Gross et al., 2015). This also gave participants ample opportunities for relationship building with those delivering the intervention (Sauer et al., 2016). By enhancing the participant/facilitator relationship, the facilitator is more likely to understand the needs of each individual, thus ensuring the intervention follows a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approach. Sauer et al. (2016) suggested that the consistent facilitation could aid the development of a mutual relationship, in which the facilitator is able to interact in ways sustaining the selfhood of the participant. In summary, the skill set, and experience of the facilitator appears to be a key contextual feature underpinning </w:t>
      </w:r>
      <w:proofErr w:type="gramStart"/>
      <w:r w:rsidRPr="00FB3F03">
        <w:rPr>
          <w:rFonts w:ascii="Times New Roman" w:hAnsi="Times New Roman" w:cs="Times New Roman"/>
          <w:color w:val="000000" w:themeColor="text1"/>
          <w:sz w:val="24"/>
          <w:szCs w:val="24"/>
        </w:rPr>
        <w:t>good outcomes</w:t>
      </w:r>
      <w:proofErr w:type="gramEnd"/>
      <w:r w:rsidRPr="00FB3F03">
        <w:rPr>
          <w:rFonts w:ascii="Times New Roman" w:hAnsi="Times New Roman" w:cs="Times New Roman"/>
          <w:color w:val="000000" w:themeColor="text1"/>
          <w:sz w:val="24"/>
          <w:szCs w:val="24"/>
        </w:rPr>
        <w:t xml:space="preserve">. The data suggests the attributes of experienced and responsive artistic practice underpins the success of a visual arts intervention. </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t xml:space="preserve">Group Work, Peer Support and </w:t>
      </w:r>
      <w:r w:rsidR="0029411E" w:rsidRPr="00FB3F03">
        <w:rPr>
          <w:rFonts w:ascii="Times New Roman" w:hAnsi="Times New Roman" w:cs="Times New Roman"/>
          <w:b/>
          <w:i/>
          <w:color w:val="000000" w:themeColor="text1"/>
          <w:sz w:val="24"/>
          <w:szCs w:val="24"/>
        </w:rPr>
        <w:t>Socialization</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Sessions were either delivered on a one-to-one basis, or in a group setting. Only two studies delivered their intervention on a one-to-one basis (Esker &amp; Ashton, 2013; Walsh et al., 2011). </w:t>
      </w:r>
      <w:r w:rsidRPr="00FB3F03">
        <w:rPr>
          <w:rFonts w:ascii="Times New Roman" w:hAnsi="Times New Roman" w:cs="Times New Roman"/>
          <w:color w:val="000000" w:themeColor="text1"/>
          <w:sz w:val="24"/>
          <w:szCs w:val="24"/>
        </w:rPr>
        <w:lastRenderedPageBreak/>
        <w:t xml:space="preserve">The results found by Esker and Ashton (2013) evidence that their </w:t>
      </w:r>
      <w:r w:rsidR="0029411E" w:rsidRPr="00FB3F03">
        <w:rPr>
          <w:rFonts w:ascii="Times New Roman" w:hAnsi="Times New Roman" w:cs="Times New Roman"/>
          <w:color w:val="000000" w:themeColor="text1"/>
          <w:sz w:val="24"/>
          <w:szCs w:val="24"/>
        </w:rPr>
        <w:t>watercolor</w:t>
      </w:r>
      <w:r w:rsidRPr="00FB3F03">
        <w:rPr>
          <w:rFonts w:ascii="Times New Roman" w:hAnsi="Times New Roman" w:cs="Times New Roman"/>
          <w:color w:val="000000" w:themeColor="text1"/>
          <w:sz w:val="24"/>
          <w:szCs w:val="24"/>
        </w:rPr>
        <w:t xml:space="preserve"> painting sessions were effective in reducing passive </w:t>
      </w:r>
      <w:r w:rsidR="0029411E" w:rsidRPr="00FB3F03">
        <w:rPr>
          <w:rFonts w:ascii="Times New Roman" w:hAnsi="Times New Roman" w:cs="Times New Roman"/>
          <w:color w:val="000000" w:themeColor="text1"/>
          <w:sz w:val="24"/>
          <w:szCs w:val="24"/>
        </w:rPr>
        <w:t>behaviors</w:t>
      </w:r>
      <w:r w:rsidRPr="00FB3F03">
        <w:rPr>
          <w:rFonts w:ascii="Times New Roman" w:hAnsi="Times New Roman" w:cs="Times New Roman"/>
          <w:color w:val="000000" w:themeColor="text1"/>
          <w:sz w:val="24"/>
          <w:szCs w:val="24"/>
        </w:rPr>
        <w:t xml:space="preserve">. However, it is difficult to claim whether the results are due to the art activity itself, or whether they were due to the 1:1 interaction. These were two factors attributable to reduced passive </w:t>
      </w:r>
      <w:r w:rsidR="0029411E" w:rsidRPr="00FB3F03">
        <w:rPr>
          <w:rFonts w:ascii="Times New Roman" w:hAnsi="Times New Roman" w:cs="Times New Roman"/>
          <w:color w:val="000000" w:themeColor="text1"/>
          <w:sz w:val="24"/>
          <w:szCs w:val="24"/>
        </w:rPr>
        <w:t>behaviors</w:t>
      </w:r>
      <w:r w:rsidRPr="00FB3F03">
        <w:rPr>
          <w:rFonts w:ascii="Times New Roman" w:hAnsi="Times New Roman" w:cs="Times New Roman"/>
          <w:color w:val="000000" w:themeColor="text1"/>
          <w:sz w:val="24"/>
          <w:szCs w:val="24"/>
        </w:rPr>
        <w:t>, and the study did not separate them. Similarly, Walsh et al. (2011) collected observational data and found their one-to-one creative bonding intervention displayed evidence of enhanced participant well-being. However, Walsh et al. (2011, p.69) discussed how “</w:t>
      </w:r>
      <w:r w:rsidRPr="00FB3F03">
        <w:rPr>
          <w:rFonts w:ascii="Times New Roman" w:hAnsi="Times New Roman" w:cs="Times New Roman"/>
          <w:i/>
          <w:color w:val="000000" w:themeColor="text1"/>
          <w:sz w:val="24"/>
          <w:szCs w:val="24"/>
        </w:rPr>
        <w:t>the residents seemed to be thirsting for contact”</w:t>
      </w:r>
      <w:r w:rsidRPr="00FB3F03">
        <w:rPr>
          <w:rFonts w:ascii="Times New Roman" w:hAnsi="Times New Roman" w:cs="Times New Roman"/>
          <w:color w:val="000000" w:themeColor="text1"/>
          <w:sz w:val="24"/>
          <w:szCs w:val="24"/>
        </w:rPr>
        <w:t xml:space="preserve">, perhaps suggesting the benefits are attributable to the focused one-on-one interaction, rather than the art activity itself.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The remaining studies (n = 19) used group-based interventions. Some groups included participant and caregiver dyads (n = 7), and the remaining groups involved only people with dementia (n = 13). With regards to the seven interventions that recruited participant dyads, only three reported quantitative results, and only one found significantly positive results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However, the qualitative data from five of these studies suggested that when a caregiver was present during the intervention, the caring relationship was enhanced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Flatt et al., 2015; Johnson et al., 2017). Despite this, MacPherson et al. (2009) indicated the presence of a caregiver can negatively impact the person with dementia. Drawing on observational and interview data, they argued that in the presence of caregivers, participants appeared to lose confidence. When caregivers were absent, this enabled participants to interact with the facilitator and their peers, resulting in high levels of engagement and enjoyment. MacPherson et al. (2009) suggested participants with dementia can achieve more than expected if the intervention promotes independence, and this may be diminished if the participant does not have total control over their own artwork. </w:t>
      </w:r>
      <w:r w:rsidR="003A4111" w:rsidRPr="00FB3F03">
        <w:rPr>
          <w:rFonts w:ascii="Times New Roman" w:hAnsi="Times New Roman" w:cs="Times New Roman"/>
          <w:color w:val="000000" w:themeColor="text1"/>
          <w:sz w:val="24"/>
          <w:szCs w:val="24"/>
        </w:rPr>
        <w:lastRenderedPageBreak/>
        <w:t xml:space="preserve">Although the quality of this study is weak, it does suggest benefits of delivering visual art sessions to people with dementia without a caregiver being present.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Studies that did not recruit family caregivers often found significant quantitative improvements for participants (e.g. Gross et al., 2015; Hattori et al., 2011; Kinney &amp; Rentz, 2005; Rusted et al., 2006; Sauer et al., 2016;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Furthermore, Sudha et al. (2013) used </w:t>
      </w:r>
      <w:r w:rsidR="0029411E" w:rsidRPr="00FB3F03">
        <w:rPr>
          <w:rFonts w:ascii="Times New Roman" w:hAnsi="Times New Roman" w:cs="Times New Roman"/>
          <w:color w:val="000000" w:themeColor="text1"/>
          <w:sz w:val="24"/>
          <w:szCs w:val="24"/>
        </w:rPr>
        <w:t>standardized</w:t>
      </w:r>
      <w:r w:rsidRPr="00FB3F03">
        <w:rPr>
          <w:rFonts w:ascii="Times New Roman" w:hAnsi="Times New Roman" w:cs="Times New Roman"/>
          <w:color w:val="000000" w:themeColor="text1"/>
          <w:sz w:val="24"/>
          <w:szCs w:val="24"/>
        </w:rPr>
        <w:t xml:space="preserve"> measures to assess social connectedness and although not statistically significant, found a positive trend towards improvement. During interviews, one participant reported: </w:t>
      </w:r>
      <w:r w:rsidRPr="00FB3F03">
        <w:rPr>
          <w:rFonts w:ascii="Times New Roman" w:hAnsi="Times New Roman" w:cs="Times New Roman"/>
          <w:i/>
          <w:color w:val="000000" w:themeColor="text1"/>
          <w:sz w:val="24"/>
          <w:szCs w:val="24"/>
        </w:rPr>
        <w:t>“Well, I’m usually a shy person […] but it made me a less shy person”</w:t>
      </w:r>
      <w:r w:rsidRPr="00FB3F03">
        <w:rPr>
          <w:rFonts w:ascii="Times New Roman" w:hAnsi="Times New Roman" w:cs="Times New Roman"/>
          <w:color w:val="000000" w:themeColor="text1"/>
          <w:sz w:val="24"/>
          <w:szCs w:val="24"/>
        </w:rPr>
        <w:t xml:space="preserve"> (p.356), suggesting the benefits of a group format. Two qualitative studies reported that participants would often compliment their peers’ work, and these compliments were met with gratitude and a sense of pride (Rentz, 2002; Ullán et al., 2013). Through observations, Ullán et al. (2013) reported the intervention was seen to promote communication between participants, as it led to establishing spontaneous conversations about various topics. Likewise, MacPherson et al. (2009) reported social enjoyment came from the opportunity for discussion and a broadening of ideas that is likely to come from a group setting. Lastly, Rentz (2002) suggested that delivering an intervention to a group of people who have had similar experiences may be a comforting notion.</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summary, this data highlights the importance of providing stimulating activities that promote </w:t>
      </w:r>
      <w:r w:rsidR="0029411E" w:rsidRPr="00FB3F03">
        <w:rPr>
          <w:rFonts w:ascii="Times New Roman" w:hAnsi="Times New Roman" w:cs="Times New Roman"/>
          <w:color w:val="000000" w:themeColor="text1"/>
          <w:sz w:val="24"/>
          <w:szCs w:val="24"/>
        </w:rPr>
        <w:t>socialization</w:t>
      </w:r>
      <w:r w:rsidRPr="00FB3F03">
        <w:rPr>
          <w:rFonts w:ascii="Times New Roman" w:hAnsi="Times New Roman" w:cs="Times New Roman"/>
          <w:color w:val="000000" w:themeColor="text1"/>
          <w:sz w:val="24"/>
          <w:szCs w:val="24"/>
        </w:rPr>
        <w:t xml:space="preserve">, and opportunities for people with dementia to develop new relationships. The potential impact of caregiver absence is seldom investigated. Thus, it would be beneficial to develop interventions for people with dementia only, which promote participant autonomy, control and empowerment. </w:t>
      </w:r>
    </w:p>
    <w:p w:rsidR="003A4111" w:rsidRPr="00FB3F03" w:rsidRDefault="003A4111" w:rsidP="002507D4">
      <w:pPr>
        <w:spacing w:after="0" w:line="480" w:lineRule="auto"/>
        <w:jc w:val="both"/>
        <w:rPr>
          <w:rFonts w:ascii="Times New Roman" w:hAnsi="Times New Roman" w:cs="Times New Roman"/>
          <w:b/>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i/>
          <w:color w:val="000000" w:themeColor="text1"/>
          <w:sz w:val="24"/>
          <w:szCs w:val="24"/>
        </w:rPr>
      </w:pPr>
      <w:r w:rsidRPr="00FB3F03">
        <w:rPr>
          <w:rFonts w:ascii="Times New Roman" w:hAnsi="Times New Roman" w:cs="Times New Roman"/>
          <w:b/>
          <w:i/>
          <w:color w:val="000000" w:themeColor="text1"/>
          <w:sz w:val="24"/>
          <w:szCs w:val="24"/>
        </w:rPr>
        <w:lastRenderedPageBreak/>
        <w:t>Setting</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The setting varied significantly across all of the studies. Often, interventions were conducted in residential or nursing homes (Brownell, 2008; Esker &amp; Ashton, 2013; Gross et al., 2015; Pӧllänen &amp; Hirsimäki, 2014; Sauer et al., 2016;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Walsh et al., 2011), or in art galleries or museums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Flatt et al., 2015; Johnson et al., 2017; MacPherson et al., 2009; Young et al., 2015). Generally, the public environments hosted individuals with milder dementia, whereas interventions in care facilities were delivered to those with moderate to advanced dementia. </w:t>
      </w:r>
    </w:p>
    <w:p w:rsidR="00A35731" w:rsidRPr="00FB3F03" w:rsidRDefault="00A35731"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Art galleries and museums were noted as a beneficial environment that could result in well-being benefits. Art galleries were typically seen as a physically valued place that enhanced intellectual stimulation and opportunities for social inclusion, as reported during interviews in qualitative studies (Camic et al., 2014; Camic et al., 2016; </w:t>
      </w: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et al., 2012; MacPherson et al., 2009). It was also acknowledged that museum environments facilitated reminiscence and the opportunity to learn new skills (Flatt et al., 2015; Johnson et al., 2017). Camic et al. (2016) reported the benefits of the art gallery being open to the public during the intervention sessions, suggesting that this enhances a sense of normalcy, equality and personhood. The nature of the public setting also allowed for the general public to be involved with the group discussion. However, it is likely this may be anxiety provoking for individuals who are unfamiliar with the setting. Furthermore, if the intervention is delivered at a public venue, transportation may be an issue (Flatt et al., 2015). Transportation was not identified as a barrier if the intervention is delivered at a site where the participant resides, or at a day care </w:t>
      </w:r>
      <w:r w:rsidR="0029411E" w:rsidRPr="00FB3F03">
        <w:rPr>
          <w:rFonts w:ascii="Times New Roman" w:hAnsi="Times New Roman" w:cs="Times New Roman"/>
          <w:color w:val="000000" w:themeColor="text1"/>
          <w:sz w:val="24"/>
          <w:szCs w:val="24"/>
        </w:rPr>
        <w:t>center</w:t>
      </w:r>
      <w:r w:rsidRPr="00FB3F03">
        <w:rPr>
          <w:rFonts w:ascii="Times New Roman" w:hAnsi="Times New Roman" w:cs="Times New Roman"/>
          <w:color w:val="000000" w:themeColor="text1"/>
          <w:sz w:val="24"/>
          <w:szCs w:val="24"/>
        </w:rPr>
        <w:t xml:space="preserve"> that provides transportation (e.g. Kinney &amp; Rentz, 2005).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 xml:space="preserve">Although art galleries and museums are highlighted as special and valued places, it is feasible to create a place of value in a care facility. Creating places of value does not have to come at a high financial cost and could include setting aside a space for creative activities (Camic et al., 2016). Ullán et al. (2013) showed how the gallery experience could be taken into a care facility, with a museum collection being viewed digitally, followed by an art-making process. They observed high levels of engagement and participant satisfaction. While the quality of this evidence is moderate, it does suggest there are opportunities for effective visual art interventions to be delivered in a range of settings.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Although interventions delivered in care facilities did not report any advantages or disadvantages to the environment, Walsh et al. (2011) noted that care staff reported the artwork displayed in the residents’ room facilitated new topics to discuss with one another. Additionally, the feeling of familiarity for participants is often sought for during the intervention (Gross et al., 2015), and delivering the intervention within the home or frequently attended day </w:t>
      </w:r>
      <w:r w:rsidR="0029411E" w:rsidRPr="00FB3F03">
        <w:rPr>
          <w:rFonts w:ascii="Times New Roman" w:hAnsi="Times New Roman" w:cs="Times New Roman"/>
          <w:color w:val="000000" w:themeColor="text1"/>
          <w:sz w:val="24"/>
          <w:szCs w:val="24"/>
        </w:rPr>
        <w:t>center</w:t>
      </w:r>
      <w:r w:rsidRPr="00FB3F03">
        <w:rPr>
          <w:rFonts w:ascii="Times New Roman" w:hAnsi="Times New Roman" w:cs="Times New Roman"/>
          <w:color w:val="000000" w:themeColor="text1"/>
          <w:sz w:val="24"/>
          <w:szCs w:val="24"/>
        </w:rPr>
        <w:t xml:space="preserve"> may help to contribute to this sense of familiarity and facilitate feelings of comfort and safety from the beginning.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summary, although art galleries and cultural venues have considerable potential for positive outcomes, there is little evidence of these sites being successfully used for people who may have more advanced dementia. There are also great opportunities for an effective visual art intervention to be delivered in other settings such as residential care or day care </w:t>
      </w:r>
      <w:r w:rsidR="0029411E" w:rsidRPr="00FB3F03">
        <w:rPr>
          <w:rFonts w:ascii="Times New Roman" w:hAnsi="Times New Roman" w:cs="Times New Roman"/>
          <w:color w:val="000000" w:themeColor="text1"/>
          <w:sz w:val="24"/>
          <w:szCs w:val="24"/>
        </w:rPr>
        <w:t>centers</w:t>
      </w:r>
      <w:r w:rsidRPr="00FB3F03">
        <w:rPr>
          <w:rFonts w:ascii="Times New Roman" w:hAnsi="Times New Roman" w:cs="Times New Roman"/>
          <w:color w:val="000000" w:themeColor="text1"/>
          <w:sz w:val="24"/>
          <w:szCs w:val="24"/>
        </w:rPr>
        <w:t xml:space="preserve"> and indicates the potential for further development. </w:t>
      </w:r>
    </w:p>
    <w:p w:rsidR="003A4111" w:rsidRPr="00FB3F03" w:rsidRDefault="003A4111" w:rsidP="002507D4">
      <w:pPr>
        <w:spacing w:after="0" w:line="480" w:lineRule="auto"/>
        <w:jc w:val="both"/>
        <w:rPr>
          <w:rFonts w:ascii="Times New Roman" w:hAnsi="Times New Roman" w:cs="Times New Roman"/>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lastRenderedPageBreak/>
        <w:t>Discussion</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Despite a growing interest in visual arts in dementia care, there are important gaps in the evidence base, and noteworthy empirical weaknesses, presenting a gap in the knowledge about ‘what works’ in visual art interventions. Authors of previous reviews (e.g. Beard, 2012; Cowl &amp; Gaugler, 2014; Young, Camic, &amp; Tischler, 2016) have described research and drawn conclusions about the general effectiveness of art therapies in dementia care. However, no reviews have identified individual, active elements or processes of visual art interventions that appear to be effective for bringing about positive outcomes and leading to successful implementation. This paper has contributed to this gap by identifying the key features of visual art interventions, which appear to lead to positive outcomes. Due to the varying quality of the included studies, the results must be treated with some caution. However, including a broad range of studies with varying methods, sample sizes and designs has permitted some common features to be identified across visual art interventions. </w:t>
      </w:r>
    </w:p>
    <w:p w:rsidR="005A4813" w:rsidRPr="00FB3F03" w:rsidRDefault="005A4813" w:rsidP="002507D4">
      <w:pPr>
        <w:spacing w:after="0" w:line="480" w:lineRule="auto"/>
        <w:jc w:val="both"/>
        <w:rPr>
          <w:rFonts w:ascii="Times New Roman" w:hAnsi="Times New Roman" w:cs="Times New Roman"/>
          <w:color w:val="000000" w:themeColor="text1"/>
          <w:sz w:val="24"/>
          <w:szCs w:val="24"/>
        </w:rPr>
      </w:pPr>
    </w:p>
    <w:p w:rsidR="005F6CD4" w:rsidRPr="00FB3F03" w:rsidRDefault="00920D5D"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 common element in the studies involved the ‘dose’ of the intervention. Interventions were most likely to lead to a positive outcome if they were delivered weekly. Previous research has found that successive activity involvement is more beneficial than sporadic activity involvement (Beerens et al., 2016). Weekly participant is important, especially as new interventions rely on structure and repetition to help optimize and facilitate performance (Me de Werd, Rikkert, &amp; Kessels, 2013). The majority of studies included in this review were smaller scale exploratory or pilot studies. Although a one-hour session is a small ‘dose’, the length of this session is ideal to test feasibility of implementing a psychosocial intervention (Rao et al., 2009). An hour can also incorporate introductions, the production of art, and an ending reserved for reflection, discussion and sharing (Pielech, Sieberg, &amp; Simons, 2013). A </w:t>
      </w:r>
      <w:r w:rsidRPr="00FB3F03">
        <w:rPr>
          <w:rFonts w:ascii="Times New Roman" w:hAnsi="Times New Roman" w:cs="Times New Roman"/>
          <w:color w:val="000000" w:themeColor="text1"/>
          <w:sz w:val="24"/>
          <w:szCs w:val="24"/>
        </w:rPr>
        <w:lastRenderedPageBreak/>
        <w:t xml:space="preserve">longer session may be feasible for individuals with milder dementia, whereas shorter sessions may be necessary for those with more advanced dementia, to support individuals to concentrate and maintain attention. Thus, when designing an intervention, it may be beneficial to consider the individual abilities and impairments that can be supported and to decide on session duration based on the needs of the intended participants. </w:t>
      </w:r>
    </w:p>
    <w:p w:rsidR="003361EF" w:rsidRPr="00FB3F03" w:rsidRDefault="003361EF" w:rsidP="002507D4">
      <w:pPr>
        <w:spacing w:after="0" w:line="480" w:lineRule="auto"/>
        <w:jc w:val="both"/>
        <w:rPr>
          <w:rFonts w:ascii="Times New Roman" w:hAnsi="Times New Roman" w:cs="Times New Roman"/>
          <w:color w:val="000000" w:themeColor="text1"/>
          <w:sz w:val="24"/>
          <w:szCs w:val="24"/>
        </w:rPr>
      </w:pPr>
    </w:p>
    <w:p w:rsidR="003361EF" w:rsidRPr="00FB3F03" w:rsidRDefault="003361EF" w:rsidP="003361EF">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 addition, the review has identified that it is important for the content of a psychosocial intervention to be meaningful for people with dementia. The interventions that offered participant autonomy and choice reported positive results. Given the personal nature of the visual arts, this is an important but often overlooked consideration in research design. To take on intrinsic therapeutic value, participants should be allowed to make their own decisions and create visual art free of restrictions. Thus, the goal throughout the intervention should be to provide participants with opportunities to engage in high-interest and enjoyable activities, tailored to them (</w:t>
      </w:r>
      <w:proofErr w:type="spellStart"/>
      <w:r w:rsidRPr="00FB3F03">
        <w:rPr>
          <w:rFonts w:ascii="Times New Roman" w:hAnsi="Times New Roman" w:cs="Times New Roman"/>
          <w:color w:val="000000" w:themeColor="text1"/>
          <w:sz w:val="24"/>
          <w:szCs w:val="24"/>
        </w:rPr>
        <w:t>Losinski</w:t>
      </w:r>
      <w:proofErr w:type="spellEnd"/>
      <w:r w:rsidRPr="00FB3F03">
        <w:rPr>
          <w:rFonts w:ascii="Times New Roman" w:hAnsi="Times New Roman" w:cs="Times New Roman"/>
          <w:color w:val="000000" w:themeColor="text1"/>
          <w:sz w:val="24"/>
          <w:szCs w:val="24"/>
        </w:rPr>
        <w:t xml:space="preserve">, Hughey, &amp; </w:t>
      </w:r>
      <w:proofErr w:type="spellStart"/>
      <w:r w:rsidRPr="00FB3F03">
        <w:rPr>
          <w:rFonts w:ascii="Times New Roman" w:hAnsi="Times New Roman" w:cs="Times New Roman"/>
          <w:color w:val="000000" w:themeColor="text1"/>
          <w:sz w:val="24"/>
          <w:szCs w:val="24"/>
        </w:rPr>
        <w:t>Maag</w:t>
      </w:r>
      <w:proofErr w:type="spellEnd"/>
      <w:r w:rsidRPr="00FB3F03">
        <w:rPr>
          <w:rFonts w:ascii="Times New Roman" w:hAnsi="Times New Roman" w:cs="Times New Roman"/>
          <w:color w:val="000000" w:themeColor="text1"/>
          <w:sz w:val="24"/>
          <w:szCs w:val="24"/>
        </w:rPr>
        <w:t>, 2016).</w:t>
      </w:r>
    </w:p>
    <w:p w:rsidR="00DA1E34" w:rsidRPr="00FB3F03" w:rsidRDefault="00DA1E34" w:rsidP="002507D4">
      <w:pPr>
        <w:spacing w:after="0" w:line="480" w:lineRule="auto"/>
        <w:jc w:val="both"/>
        <w:rPr>
          <w:rFonts w:ascii="Times New Roman" w:hAnsi="Times New Roman" w:cs="Times New Roman"/>
          <w:color w:val="000000" w:themeColor="text1"/>
          <w:sz w:val="24"/>
          <w:szCs w:val="24"/>
        </w:rPr>
      </w:pPr>
    </w:p>
    <w:p w:rsidR="00DA1E34" w:rsidRPr="00FB3F03" w:rsidRDefault="00DA1E3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The session </w:t>
      </w:r>
      <w:r w:rsidR="003361EF" w:rsidRPr="00FB3F03">
        <w:rPr>
          <w:rFonts w:ascii="Times New Roman" w:hAnsi="Times New Roman" w:cs="Times New Roman"/>
          <w:color w:val="000000" w:themeColor="text1"/>
          <w:sz w:val="24"/>
          <w:szCs w:val="24"/>
        </w:rPr>
        <w:t>structure</w:t>
      </w:r>
      <w:r w:rsidRPr="00FB3F03">
        <w:rPr>
          <w:rFonts w:ascii="Times New Roman" w:hAnsi="Times New Roman" w:cs="Times New Roman"/>
          <w:color w:val="000000" w:themeColor="text1"/>
          <w:sz w:val="24"/>
          <w:szCs w:val="24"/>
        </w:rPr>
        <w:t xml:space="preserve"> was also a common element in the current review. Six studies incorporated combined activities of art-viewing and art-making. As these interventions combined two components</w:t>
      </w:r>
      <w:r w:rsidR="002B583D" w:rsidRPr="00FB3F03">
        <w:rPr>
          <w:rFonts w:ascii="Times New Roman" w:hAnsi="Times New Roman" w:cs="Times New Roman"/>
          <w:color w:val="000000" w:themeColor="text1"/>
          <w:sz w:val="24"/>
          <w:szCs w:val="24"/>
        </w:rPr>
        <w:t xml:space="preserve">, it is difficult to extricate whether the subjective benefits identified were due to the art-making, the art-viewing or a combination of both. Furthermore, combining two components can make data vulnerable to a recency effect, as the art-making component always followed the art-viewing activity. However, this was inevitable in all of the interventions that combined the two, as the art-making activity was based upon the prior art-viewing. Despite the order of activities being unavoidable, this may have affected results as participants may have felt more relaxed and confident in the art-making section, or conversely, may have led to boredom or fatigue effects. However, the findings reported by Johnson et al. </w:t>
      </w:r>
      <w:r w:rsidR="002B583D" w:rsidRPr="00FB3F03">
        <w:rPr>
          <w:rFonts w:ascii="Times New Roman" w:hAnsi="Times New Roman" w:cs="Times New Roman"/>
          <w:color w:val="000000" w:themeColor="text1"/>
          <w:sz w:val="24"/>
          <w:szCs w:val="24"/>
        </w:rPr>
        <w:lastRenderedPageBreak/>
        <w:t>(2017) suggest well-being significantly increased in both activities, irrespective of the order in which they were presented.</w:t>
      </w:r>
    </w:p>
    <w:p w:rsidR="00DA1E34" w:rsidRPr="00FB3F03" w:rsidRDefault="00DA1E34" w:rsidP="002507D4">
      <w:pPr>
        <w:spacing w:after="0" w:line="480" w:lineRule="auto"/>
        <w:jc w:val="both"/>
        <w:rPr>
          <w:rFonts w:ascii="Times New Roman" w:hAnsi="Times New Roman" w:cs="Times New Roman"/>
          <w:color w:val="000000" w:themeColor="text1"/>
          <w:sz w:val="24"/>
          <w:szCs w:val="24"/>
        </w:rPr>
      </w:pPr>
    </w:p>
    <w:p w:rsidR="007310BE"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In a previous review, Cowl and Gaugler (2014) concluded that the mechanism for why creative artworks is still not completely known. </w:t>
      </w:r>
      <w:r w:rsidR="007310BE" w:rsidRPr="00FB3F03">
        <w:rPr>
          <w:rFonts w:ascii="Times New Roman" w:hAnsi="Times New Roman" w:cs="Times New Roman"/>
          <w:color w:val="000000" w:themeColor="text1"/>
          <w:sz w:val="24"/>
          <w:szCs w:val="24"/>
        </w:rPr>
        <w:t>U</w:t>
      </w:r>
      <w:r w:rsidRPr="00FB3F03">
        <w:rPr>
          <w:rFonts w:ascii="Times New Roman" w:hAnsi="Times New Roman" w:cs="Times New Roman"/>
          <w:color w:val="000000" w:themeColor="text1"/>
          <w:sz w:val="24"/>
          <w:szCs w:val="24"/>
        </w:rPr>
        <w:t xml:space="preserve">ncertainties exist around whether positive outcomes seen in some studies were due to creative engagement, or whether the results were due to a sense of belonging that emerged as a result of group work. </w:t>
      </w:r>
      <w:r w:rsidR="007310BE" w:rsidRPr="00FB3F03">
        <w:rPr>
          <w:rFonts w:ascii="Times New Roman" w:hAnsi="Times New Roman" w:cs="Times New Roman"/>
          <w:color w:val="000000" w:themeColor="text1"/>
          <w:sz w:val="24"/>
          <w:szCs w:val="24"/>
        </w:rPr>
        <w:t xml:space="preserve">For example, although Esker and Ashton (2013) found their art intervention was effective at reducing passivity, it is difficult to claim that the actual art activity itself resulted in engaged behavior. The intervention process involved both the art and a one-to-one interaction between the facilitator and participant, thus suggesting engagement could have resulted from the focused interaction. </w:t>
      </w:r>
    </w:p>
    <w:p w:rsidR="002507D4" w:rsidRPr="00FB3F03" w:rsidRDefault="00FD4991"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However, t</w:t>
      </w:r>
      <w:r w:rsidR="002507D4" w:rsidRPr="00FB3F03">
        <w:rPr>
          <w:rFonts w:ascii="Times New Roman" w:hAnsi="Times New Roman" w:cs="Times New Roman"/>
          <w:color w:val="000000" w:themeColor="text1"/>
          <w:sz w:val="24"/>
          <w:szCs w:val="24"/>
        </w:rPr>
        <w:t xml:space="preserve">his review has identified that the </w:t>
      </w:r>
      <w:r w:rsidR="0029411E" w:rsidRPr="00FB3F03">
        <w:rPr>
          <w:rFonts w:ascii="Times New Roman" w:hAnsi="Times New Roman" w:cs="Times New Roman"/>
          <w:color w:val="000000" w:themeColor="text1"/>
          <w:sz w:val="24"/>
          <w:szCs w:val="24"/>
        </w:rPr>
        <w:t>socializing</w:t>
      </w:r>
      <w:r w:rsidR="002507D4" w:rsidRPr="00FB3F03">
        <w:rPr>
          <w:rFonts w:ascii="Times New Roman" w:hAnsi="Times New Roman" w:cs="Times New Roman"/>
          <w:color w:val="000000" w:themeColor="text1"/>
          <w:sz w:val="24"/>
          <w:szCs w:val="24"/>
        </w:rPr>
        <w:t xml:space="preserve"> aspects of art interventions were as important as the art activities themselves, especially as individuals with dementia are at risk of becoming socially isolated (</w:t>
      </w:r>
      <w:proofErr w:type="spellStart"/>
      <w:r w:rsidR="002507D4" w:rsidRPr="00FB3F03">
        <w:rPr>
          <w:rFonts w:ascii="Times New Roman" w:hAnsi="Times New Roman" w:cs="Times New Roman"/>
          <w:color w:val="000000" w:themeColor="text1"/>
          <w:sz w:val="24"/>
          <w:szCs w:val="24"/>
        </w:rPr>
        <w:t>Brataas</w:t>
      </w:r>
      <w:proofErr w:type="spellEnd"/>
      <w:r w:rsidR="002507D4" w:rsidRPr="00FB3F03">
        <w:rPr>
          <w:rFonts w:ascii="Times New Roman" w:hAnsi="Times New Roman" w:cs="Times New Roman"/>
          <w:color w:val="000000" w:themeColor="text1"/>
          <w:sz w:val="24"/>
          <w:szCs w:val="24"/>
        </w:rPr>
        <w:t>, Bjugan, &amp; Wille, 2010</w:t>
      </w:r>
      <w:r w:rsidRPr="00FB3F03">
        <w:rPr>
          <w:rFonts w:ascii="Times New Roman" w:hAnsi="Times New Roman" w:cs="Times New Roman"/>
          <w:color w:val="000000" w:themeColor="text1"/>
          <w:sz w:val="24"/>
          <w:szCs w:val="24"/>
        </w:rPr>
        <w:t xml:space="preserve">). For example, studies in the current review identified the benefits of peer support (e.g. Rentz, 2002; Ullán et al., 2013), social enjoyment (e.g. MacPherson et al., 2009), and social connectedness (Sudha et al., 2013). </w:t>
      </w:r>
      <w:r w:rsidR="002507D4" w:rsidRPr="00FB3F03">
        <w:rPr>
          <w:rFonts w:ascii="Times New Roman" w:hAnsi="Times New Roman" w:cs="Times New Roman"/>
          <w:color w:val="000000" w:themeColor="text1"/>
          <w:sz w:val="24"/>
          <w:szCs w:val="24"/>
        </w:rPr>
        <w:t xml:space="preserve">Visual art interventions thus have the potential to create a social network for individuals with dementia and improve their social environments. Engaging in a meaningful, social interaction with others plays a vital role in terms of positively influencing well-being and quality of life in people with dementia (McDermott et al., 2018; Woods, Aguirre, Spector, &amp; Orrell, 2012). Furthermore, delivering sessions to groups has been argued to be essential for </w:t>
      </w:r>
      <w:r w:rsidR="0029411E" w:rsidRPr="00FB3F03">
        <w:rPr>
          <w:rFonts w:ascii="Times New Roman" w:hAnsi="Times New Roman" w:cs="Times New Roman"/>
          <w:color w:val="000000" w:themeColor="text1"/>
          <w:sz w:val="24"/>
          <w:szCs w:val="24"/>
        </w:rPr>
        <w:t>realization</w:t>
      </w:r>
      <w:r w:rsidR="002507D4" w:rsidRPr="00FB3F03">
        <w:rPr>
          <w:rFonts w:ascii="Times New Roman" w:hAnsi="Times New Roman" w:cs="Times New Roman"/>
          <w:color w:val="000000" w:themeColor="text1"/>
          <w:sz w:val="24"/>
          <w:szCs w:val="24"/>
        </w:rPr>
        <w:t xml:space="preserve"> of the benefits of visual art interventions (</w:t>
      </w:r>
      <w:proofErr w:type="spellStart"/>
      <w:r w:rsidR="002507D4" w:rsidRPr="00FB3F03">
        <w:rPr>
          <w:rFonts w:ascii="Times New Roman" w:hAnsi="Times New Roman" w:cs="Times New Roman"/>
          <w:color w:val="000000" w:themeColor="text1"/>
          <w:sz w:val="24"/>
          <w:szCs w:val="24"/>
        </w:rPr>
        <w:t>Hanevik</w:t>
      </w:r>
      <w:proofErr w:type="spellEnd"/>
      <w:r w:rsidR="002507D4" w:rsidRPr="00FB3F03">
        <w:rPr>
          <w:rFonts w:ascii="Times New Roman" w:hAnsi="Times New Roman" w:cs="Times New Roman"/>
          <w:color w:val="000000" w:themeColor="text1"/>
          <w:sz w:val="24"/>
          <w:szCs w:val="24"/>
        </w:rPr>
        <w:t xml:space="preserve">, </w:t>
      </w:r>
      <w:proofErr w:type="spellStart"/>
      <w:r w:rsidR="002507D4" w:rsidRPr="00FB3F03">
        <w:rPr>
          <w:rFonts w:ascii="Times New Roman" w:hAnsi="Times New Roman" w:cs="Times New Roman"/>
          <w:color w:val="000000" w:themeColor="text1"/>
          <w:sz w:val="24"/>
          <w:szCs w:val="24"/>
        </w:rPr>
        <w:t>Hestad</w:t>
      </w:r>
      <w:proofErr w:type="spellEnd"/>
      <w:r w:rsidR="002507D4" w:rsidRPr="00FB3F03">
        <w:rPr>
          <w:rFonts w:ascii="Times New Roman" w:hAnsi="Times New Roman" w:cs="Times New Roman"/>
          <w:color w:val="000000" w:themeColor="text1"/>
          <w:sz w:val="24"/>
          <w:szCs w:val="24"/>
        </w:rPr>
        <w:t xml:space="preserve">, Lien, </w:t>
      </w:r>
      <w:proofErr w:type="spellStart"/>
      <w:r w:rsidR="002507D4" w:rsidRPr="00FB3F03">
        <w:rPr>
          <w:rFonts w:ascii="Times New Roman" w:hAnsi="Times New Roman" w:cs="Times New Roman"/>
          <w:color w:val="000000" w:themeColor="text1"/>
          <w:sz w:val="24"/>
          <w:szCs w:val="24"/>
        </w:rPr>
        <w:t>Teglbjaerg</w:t>
      </w:r>
      <w:proofErr w:type="spellEnd"/>
      <w:r w:rsidR="002507D4" w:rsidRPr="00FB3F03">
        <w:rPr>
          <w:rFonts w:ascii="Times New Roman" w:hAnsi="Times New Roman" w:cs="Times New Roman"/>
          <w:color w:val="000000" w:themeColor="text1"/>
          <w:sz w:val="24"/>
          <w:szCs w:val="24"/>
        </w:rPr>
        <w:t>, &amp; Danbolt, 2013; Potash, Ho, Chick, &amp; Au Yeung, 2013). This indicates the group dynamic should be considered alongside the activities and materials used. This combination may help to facilitate successful uptake and implementation.</w:t>
      </w:r>
    </w:p>
    <w:p w:rsidR="00B13E10" w:rsidRPr="00FB3F03" w:rsidRDefault="005F6C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 xml:space="preserve">Another component to consider was participants previous artistic ability. The majority of studies in the current review suggested that participants do not require any previous artistic experience, or any existing artistic ability to participate in the sessions (n = 20). However, Pӧllänen and Hirsimäki (2014) did require the participants to have a crafts background due to the purpose of the study. Although the reported findings are not generalizable considering the small sample size of three participants, the principle could be translated into art interventions that do not require previous art experience through creating personalized art activities that combine reminiscence themes. Thus, tapping into remaining strengths, which could benefit individuals with a range of skills and abilities. </w:t>
      </w: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p>
    <w:p w:rsidR="00B13E10"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Another active component identified in this review was the role of the facilitator. It was clear in this review that a successful intervention did not require a trained art therapist. Rather, a skilled facilitator had knowledge in visual art practice, the impact of dementia, and was able to focus on participant strengths, rather than focusing on their deficiencies or symptoms associated with dementia</w:t>
      </w:r>
      <w:r w:rsidR="00A35731" w:rsidRPr="00FB3F03">
        <w:rPr>
          <w:rFonts w:ascii="Times New Roman" w:hAnsi="Times New Roman" w:cs="Times New Roman"/>
          <w:color w:val="000000" w:themeColor="text1"/>
          <w:sz w:val="24"/>
          <w:szCs w:val="24"/>
        </w:rPr>
        <w:t xml:space="preserve">, echoing the results found by Windle et al. (2017). </w:t>
      </w:r>
      <w:r w:rsidR="00B13E10" w:rsidRPr="00FB3F03">
        <w:rPr>
          <w:rFonts w:ascii="Times New Roman" w:hAnsi="Times New Roman" w:cs="Times New Roman"/>
          <w:color w:val="000000" w:themeColor="text1"/>
          <w:sz w:val="24"/>
          <w:szCs w:val="24"/>
        </w:rPr>
        <w:t>Sauer et al. (2016) provided person-centred training to facilitators prior to intervention delivery, during which an understanding of Kitwood’s (1997) Positive Person Work was fostered experientially. This type of communication between participants and facilitator has the potential to enable a transactional flow of positive interactions (Sauer et al., 2016), and appeared to lead to positive outcomes. Conversely, sessions delivered by high school art students (Brownell, 2008) suggested a lack of facilitation expertise and understanding of dementia. The students who delivered the intervention had not previously worked with people with dementia and did not have any training prior to the intervention. The findings reported by Brownell (2008) may be attributable to the absence of skilled facilitation.</w:t>
      </w:r>
    </w:p>
    <w:p w:rsidR="00666AA5" w:rsidRPr="00FB3F03" w:rsidRDefault="00666AA5" w:rsidP="002507D4">
      <w:pPr>
        <w:spacing w:after="0" w:line="480" w:lineRule="auto"/>
        <w:jc w:val="both"/>
        <w:rPr>
          <w:rFonts w:ascii="Times New Roman" w:hAnsi="Times New Roman" w:cs="Times New Roman"/>
          <w:color w:val="000000" w:themeColor="text1"/>
          <w:sz w:val="24"/>
          <w:szCs w:val="24"/>
        </w:rPr>
      </w:pPr>
    </w:p>
    <w:p w:rsidR="00666AA5" w:rsidRPr="00FB3F03" w:rsidRDefault="00666AA5"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Lastly, the current review could not identify any definitive distinctions between settings</w:t>
      </w:r>
      <w:r w:rsidR="00001324" w:rsidRPr="00FB3F03">
        <w:rPr>
          <w:rFonts w:ascii="Times New Roman" w:hAnsi="Times New Roman" w:cs="Times New Roman"/>
          <w:color w:val="000000" w:themeColor="text1"/>
          <w:sz w:val="24"/>
          <w:szCs w:val="24"/>
        </w:rPr>
        <w:t xml:space="preserve">, or in terms of outcomes, attributable to the absence of evidence in the included studies. However, art museums and galleries were often considered a place of value. Despite this, there is restricted evidence of these venues being used for people who have more severe dementia, indicating a gap in the literature for future development and evaluation. In addition, creating a place of value does not necessarily have to come at a high financial cost and could include setting aside a quiet space where people with dementia can engage in creative activities. Although many of the included studies did not focus on the advantages and disadvantages of the environment, it is important to consider the setting and provide an adequate space to deliver an intervention (Rusted et al., 2006). </w:t>
      </w:r>
    </w:p>
    <w:p w:rsidR="00F5520D" w:rsidRPr="00FB3F03" w:rsidRDefault="00F5520D" w:rsidP="002507D4">
      <w:pPr>
        <w:spacing w:after="0" w:line="480" w:lineRule="auto"/>
        <w:jc w:val="both"/>
        <w:rPr>
          <w:rFonts w:ascii="Times New Roman" w:hAnsi="Times New Roman" w:cs="Times New Roman"/>
          <w:color w:val="000000" w:themeColor="text1"/>
          <w:sz w:val="24"/>
          <w:szCs w:val="24"/>
        </w:rPr>
      </w:pPr>
    </w:p>
    <w:p w:rsidR="00961C9C"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In examining the characteristics and qualities of intervention components that appear to lead to positive outcomes, a common thread of person-</w:t>
      </w:r>
      <w:r w:rsidR="0029411E" w:rsidRPr="00FB3F03">
        <w:rPr>
          <w:rFonts w:ascii="Times New Roman" w:hAnsi="Times New Roman" w:cs="Times New Roman"/>
          <w:color w:val="000000" w:themeColor="text1"/>
          <w:sz w:val="24"/>
          <w:szCs w:val="24"/>
        </w:rPr>
        <w:t>centeredness</w:t>
      </w:r>
      <w:r w:rsidRPr="00FB3F03">
        <w:rPr>
          <w:rFonts w:ascii="Times New Roman" w:hAnsi="Times New Roman" w:cs="Times New Roman"/>
          <w:color w:val="000000" w:themeColor="text1"/>
          <w:sz w:val="24"/>
          <w:szCs w:val="24"/>
        </w:rPr>
        <w:t xml:space="preserve"> is present. Authors frequently designed their intervention to reflect a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xml:space="preserve"> philosophy. For example, designing the activities so they promote the participants’ sense of personal value and identity (Ullán et al., 2011); delivering activities while considering distinctive needs and abilities, thus ensuring each activity provided a pleasurable and failure-free session (Kinney &amp; Rentz, 2005; Rentz, 2002); providing a </w:t>
      </w:r>
      <w:proofErr w:type="spellStart"/>
      <w:r w:rsidRPr="00FB3F03">
        <w:rPr>
          <w:rFonts w:ascii="Times New Roman" w:hAnsi="Times New Roman" w:cs="Times New Roman"/>
          <w:color w:val="000000" w:themeColor="text1"/>
          <w:sz w:val="24"/>
          <w:szCs w:val="24"/>
        </w:rPr>
        <w:t>programme</w:t>
      </w:r>
      <w:proofErr w:type="spellEnd"/>
      <w:r w:rsidRPr="00FB3F03">
        <w:rPr>
          <w:rFonts w:ascii="Times New Roman" w:hAnsi="Times New Roman" w:cs="Times New Roman"/>
          <w:color w:val="000000" w:themeColor="text1"/>
          <w:sz w:val="24"/>
          <w:szCs w:val="24"/>
        </w:rPr>
        <w:t xml:space="preserve"> that met the individual’s psychological needs for attachment, comfort, inclusion, identity and occupation (Sauer et al., 2016), and creating opportunities for participants to engage fully in learning while preparing them to meet new challenges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&amp; Richards, 2017; </w:t>
      </w:r>
      <w:proofErr w:type="spellStart"/>
      <w:r w:rsidRPr="00FB3F03">
        <w:rPr>
          <w:rFonts w:ascii="Times New Roman" w:hAnsi="Times New Roman" w:cs="Times New Roman"/>
          <w:color w:val="000000" w:themeColor="text1"/>
          <w:sz w:val="24"/>
          <w:szCs w:val="24"/>
        </w:rPr>
        <w:t>Tietyen</w:t>
      </w:r>
      <w:proofErr w:type="spellEnd"/>
      <w:r w:rsidRPr="00FB3F03">
        <w:rPr>
          <w:rFonts w:ascii="Times New Roman" w:hAnsi="Times New Roman" w:cs="Times New Roman"/>
          <w:color w:val="000000" w:themeColor="text1"/>
          <w:sz w:val="24"/>
          <w:szCs w:val="24"/>
        </w:rPr>
        <w:t xml:space="preserve"> et al., 2018). These studies contribute to the overall discussion about the positive impact of person-</w:t>
      </w:r>
      <w:r w:rsidR="0029411E" w:rsidRPr="00FB3F03">
        <w:rPr>
          <w:rFonts w:ascii="Times New Roman" w:hAnsi="Times New Roman" w:cs="Times New Roman"/>
          <w:color w:val="000000" w:themeColor="text1"/>
          <w:sz w:val="24"/>
          <w:szCs w:val="24"/>
        </w:rPr>
        <w:t>centered</w:t>
      </w:r>
      <w:r w:rsidRPr="00FB3F03">
        <w:rPr>
          <w:rFonts w:ascii="Times New Roman" w:hAnsi="Times New Roman" w:cs="Times New Roman"/>
          <w:color w:val="000000" w:themeColor="text1"/>
          <w:sz w:val="24"/>
          <w:szCs w:val="24"/>
        </w:rPr>
        <w:t>, creative activities on people with dementia.</w:t>
      </w:r>
    </w:p>
    <w:p w:rsidR="00001324" w:rsidRPr="00FB3F03" w:rsidRDefault="00001324" w:rsidP="002507D4">
      <w:pPr>
        <w:spacing w:after="0" w:line="480" w:lineRule="auto"/>
        <w:jc w:val="both"/>
        <w:rPr>
          <w:rFonts w:ascii="Times New Roman" w:hAnsi="Times New Roman" w:cs="Times New Roman"/>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color w:val="000000" w:themeColor="text1"/>
          <w:sz w:val="24"/>
          <w:szCs w:val="24"/>
        </w:rPr>
      </w:pPr>
    </w:p>
    <w:p w:rsidR="00F5520D" w:rsidRPr="00FB3F03" w:rsidRDefault="00F5520D" w:rsidP="002507D4">
      <w:pPr>
        <w:spacing w:after="0" w:line="480" w:lineRule="auto"/>
        <w:jc w:val="both"/>
        <w:rPr>
          <w:rFonts w:ascii="Times New Roman" w:hAnsi="Times New Roman" w:cs="Times New Roman"/>
          <w:color w:val="000000" w:themeColor="text1"/>
          <w:sz w:val="24"/>
          <w:szCs w:val="24"/>
        </w:rPr>
      </w:pPr>
    </w:p>
    <w:p w:rsidR="002507D4"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b/>
          <w:color w:val="000000" w:themeColor="text1"/>
          <w:sz w:val="24"/>
          <w:szCs w:val="24"/>
        </w:rPr>
        <w:lastRenderedPageBreak/>
        <w:t>Limitations</w:t>
      </w:r>
    </w:p>
    <w:p w:rsidR="002507D4" w:rsidRPr="00FB3F03" w:rsidRDefault="002507D4" w:rsidP="002507D4">
      <w:pPr>
        <w:spacing w:after="0" w:line="480" w:lineRule="auto"/>
        <w:jc w:val="both"/>
        <w:rPr>
          <w:rFonts w:ascii="Times New Roman" w:hAnsi="Times New Roman" w:cs="Times New Roman"/>
          <w:b/>
          <w:color w:val="000000" w:themeColor="text1"/>
          <w:sz w:val="24"/>
          <w:szCs w:val="24"/>
        </w:rPr>
      </w:pPr>
    </w:p>
    <w:p w:rsidR="00B62F33" w:rsidRPr="00FB3F03" w:rsidRDefault="002507D4"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A limitation of this review is that it can only reflect the evidence from which it is derived. For the majority of studies included in this review, there was an inadequate clarification of study design and intervention description. A second limitation is that this review only included papers published in English</w:t>
      </w:r>
      <w:r w:rsidR="00C32BC2" w:rsidRPr="00FB3F03">
        <w:rPr>
          <w:rFonts w:ascii="Times New Roman" w:hAnsi="Times New Roman" w:cs="Times New Roman"/>
          <w:color w:val="000000" w:themeColor="text1"/>
          <w:sz w:val="24"/>
          <w:szCs w:val="24"/>
        </w:rPr>
        <w:t xml:space="preserve">, excluding non-English language studies that might have contributed further understanding. </w:t>
      </w:r>
      <w:r w:rsidRPr="00FB3F03">
        <w:rPr>
          <w:rFonts w:ascii="Times New Roman" w:hAnsi="Times New Roman" w:cs="Times New Roman"/>
          <w:color w:val="000000" w:themeColor="text1"/>
          <w:sz w:val="24"/>
          <w:szCs w:val="24"/>
        </w:rPr>
        <w:t xml:space="preserve">Furthermore, the search strategy did not involve hand-searching websites to identify grey literature on this topic. Therefore, the information extracted on each study may not include all of the published details on each intervention, since it relied on what was reported in the peer-reviewed journal papers located using the systematic search strategy. Lastly, a synthesis rather than meta-analysis was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to </w:t>
      </w:r>
      <w:r w:rsidR="0029411E" w:rsidRPr="00FB3F03">
        <w:rPr>
          <w:rFonts w:ascii="Times New Roman" w:hAnsi="Times New Roman" w:cs="Times New Roman"/>
          <w:color w:val="000000" w:themeColor="text1"/>
          <w:sz w:val="24"/>
          <w:szCs w:val="24"/>
        </w:rPr>
        <w:t>analyzes</w:t>
      </w:r>
      <w:r w:rsidRPr="00FB3F03">
        <w:rPr>
          <w:rFonts w:ascii="Times New Roman" w:hAnsi="Times New Roman" w:cs="Times New Roman"/>
          <w:color w:val="000000" w:themeColor="text1"/>
          <w:sz w:val="24"/>
          <w:szCs w:val="24"/>
        </w:rPr>
        <w:t xml:space="preserve"> the studies. A meta-analytic approach could not be </w:t>
      </w:r>
      <w:r w:rsidR="0029411E" w:rsidRPr="00FB3F03">
        <w:rPr>
          <w:rFonts w:ascii="Times New Roman" w:hAnsi="Times New Roman" w:cs="Times New Roman"/>
          <w:color w:val="000000" w:themeColor="text1"/>
          <w:sz w:val="24"/>
          <w:szCs w:val="24"/>
        </w:rPr>
        <w:t>utilized</w:t>
      </w:r>
      <w:r w:rsidRPr="00FB3F03">
        <w:rPr>
          <w:rFonts w:ascii="Times New Roman" w:hAnsi="Times New Roman" w:cs="Times New Roman"/>
          <w:color w:val="000000" w:themeColor="text1"/>
          <w:sz w:val="24"/>
          <w:szCs w:val="24"/>
        </w:rPr>
        <w:t xml:space="preserve"> to conduct pooling of effect sizes due to the heterogeneity of interventions, outcomes and study design. Additionally, this review included studies from multiple levels of evidence including low-quality evidence as the objective was to gain knowledge on the active components of visual art interventions. However, even low-quality evidence allowed for extraction of elements that appeared to be successful or </w:t>
      </w:r>
      <w:r w:rsidR="0029411E" w:rsidRPr="00FB3F03">
        <w:rPr>
          <w:rFonts w:ascii="Times New Roman" w:hAnsi="Times New Roman" w:cs="Times New Roman"/>
          <w:color w:val="000000" w:themeColor="text1"/>
          <w:sz w:val="24"/>
          <w:szCs w:val="24"/>
        </w:rPr>
        <w:t>favorable</w:t>
      </w:r>
      <w:r w:rsidRPr="00FB3F03">
        <w:rPr>
          <w:rFonts w:ascii="Times New Roman" w:hAnsi="Times New Roman" w:cs="Times New Roman"/>
          <w:color w:val="000000" w:themeColor="text1"/>
          <w:sz w:val="24"/>
          <w:szCs w:val="24"/>
        </w:rPr>
        <w:t xml:space="preserve"> to the participants involved.</w:t>
      </w:r>
      <w:r w:rsidR="009B4663" w:rsidRPr="00FB3F03">
        <w:rPr>
          <w:rFonts w:ascii="Times New Roman" w:hAnsi="Times New Roman" w:cs="Times New Roman"/>
          <w:color w:val="000000" w:themeColor="text1"/>
          <w:sz w:val="24"/>
          <w:szCs w:val="24"/>
        </w:rPr>
        <w:t xml:space="preserve"> </w:t>
      </w:r>
      <w:r w:rsidR="0029411E" w:rsidRPr="00FB3F03">
        <w:rPr>
          <w:rFonts w:ascii="Times New Roman" w:hAnsi="Times New Roman" w:cs="Times New Roman"/>
          <w:color w:val="000000" w:themeColor="text1"/>
          <w:sz w:val="24"/>
          <w:szCs w:val="24"/>
        </w:rPr>
        <w:t>This paper substantively contributes to understand</w:t>
      </w:r>
      <w:r w:rsidR="009B4663" w:rsidRPr="00FB3F03">
        <w:rPr>
          <w:rFonts w:ascii="Times New Roman" w:hAnsi="Times New Roman" w:cs="Times New Roman"/>
          <w:color w:val="000000" w:themeColor="text1"/>
          <w:sz w:val="24"/>
          <w:szCs w:val="24"/>
        </w:rPr>
        <w:t>ing</w:t>
      </w:r>
      <w:r w:rsidR="0029411E" w:rsidRPr="00FB3F03">
        <w:rPr>
          <w:rFonts w:ascii="Times New Roman" w:hAnsi="Times New Roman" w:cs="Times New Roman"/>
          <w:color w:val="000000" w:themeColor="text1"/>
          <w:sz w:val="24"/>
          <w:szCs w:val="24"/>
        </w:rPr>
        <w:t xml:space="preserve"> how and why visual art interventions </w:t>
      </w:r>
      <w:r w:rsidR="009B4663" w:rsidRPr="00FB3F03">
        <w:rPr>
          <w:rFonts w:ascii="Times New Roman" w:hAnsi="Times New Roman" w:cs="Times New Roman"/>
          <w:color w:val="000000" w:themeColor="text1"/>
          <w:sz w:val="24"/>
          <w:szCs w:val="24"/>
        </w:rPr>
        <w:t>achieve positive outcomes. This strengthens the evidence-base for the visual arts in dementia care, and subsequently provides a stronger foundation to inform future practice.</w:t>
      </w:r>
    </w:p>
    <w:p w:rsidR="0060448E" w:rsidRPr="00FB3F03" w:rsidRDefault="0060448E" w:rsidP="002507D4">
      <w:pPr>
        <w:spacing w:after="0" w:line="480" w:lineRule="auto"/>
        <w:jc w:val="both"/>
        <w:rPr>
          <w:rFonts w:ascii="Times New Roman" w:hAnsi="Times New Roman" w:cs="Times New Roman"/>
          <w:color w:val="000000" w:themeColor="text1"/>
          <w:sz w:val="24"/>
          <w:szCs w:val="24"/>
        </w:rPr>
      </w:pPr>
    </w:p>
    <w:p w:rsidR="00511AA0" w:rsidRPr="00FB3F03" w:rsidRDefault="00675556" w:rsidP="002507D4">
      <w:pPr>
        <w:spacing w:after="0" w:line="480" w:lineRule="auto"/>
        <w:jc w:val="both"/>
        <w:rPr>
          <w:rFonts w:ascii="Times New Roman" w:hAnsi="Times New Roman" w:cs="Times New Roman"/>
          <w:b/>
          <w:bCs/>
          <w:color w:val="000000" w:themeColor="text1"/>
          <w:sz w:val="24"/>
          <w:szCs w:val="24"/>
        </w:rPr>
      </w:pPr>
      <w:bookmarkStart w:id="6" w:name="_Hlk39487860"/>
      <w:r w:rsidRPr="00FB3F03">
        <w:rPr>
          <w:rFonts w:ascii="Times New Roman" w:hAnsi="Times New Roman" w:cs="Times New Roman"/>
          <w:b/>
          <w:bCs/>
          <w:color w:val="000000" w:themeColor="text1"/>
          <w:sz w:val="24"/>
          <w:szCs w:val="24"/>
        </w:rPr>
        <w:t xml:space="preserve">Implications </w:t>
      </w:r>
    </w:p>
    <w:p w:rsidR="00511AA0" w:rsidRPr="00FB3F03" w:rsidRDefault="00511AA0" w:rsidP="002507D4">
      <w:pPr>
        <w:spacing w:after="0" w:line="480" w:lineRule="auto"/>
        <w:jc w:val="both"/>
        <w:rPr>
          <w:rFonts w:ascii="Times New Roman" w:hAnsi="Times New Roman" w:cs="Times New Roman"/>
          <w:color w:val="000000" w:themeColor="text1"/>
          <w:sz w:val="24"/>
          <w:szCs w:val="24"/>
        </w:rPr>
      </w:pPr>
    </w:p>
    <w:p w:rsidR="00675556" w:rsidRPr="00FB3F03" w:rsidRDefault="00511AA0" w:rsidP="002507D4">
      <w:pPr>
        <w:spacing w:after="0" w:line="480" w:lineRule="auto"/>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For artists, practitioners, care staff and caregivers, this review offers a direction for evidence-based best practice when delivering visual art interventions for people with dementia. The </w:t>
      </w:r>
      <w:r w:rsidRPr="00FB3F03">
        <w:rPr>
          <w:rFonts w:ascii="Times New Roman" w:hAnsi="Times New Roman" w:cs="Times New Roman"/>
          <w:color w:val="000000" w:themeColor="text1"/>
          <w:sz w:val="24"/>
          <w:szCs w:val="24"/>
        </w:rPr>
        <w:lastRenderedPageBreak/>
        <w:t xml:space="preserve">knowledge of component parts can be used to inform the approach and content of visual art activities. For funders and commissioners, these elements and processes can form the foundation for service specification descriptions and art intervention outcomes and impacts for people with dementia. The description and exploration of the elements and processes in practice will bring greater clarity to proposal applications by helping to illustrate the effects that visual art can have for people with dementia. Lastly, for researchers, the findings demonstrate the complexity of the experience of engaging with visual art, showing the need for further exploration and robust investigation. </w:t>
      </w:r>
    </w:p>
    <w:bookmarkEnd w:id="6"/>
    <w:p w:rsidR="0029411E" w:rsidRPr="00FB3F03" w:rsidRDefault="0029411E" w:rsidP="002507D4">
      <w:pPr>
        <w:spacing w:after="0" w:line="480" w:lineRule="auto"/>
        <w:jc w:val="both"/>
        <w:rPr>
          <w:rFonts w:ascii="Times New Roman" w:hAnsi="Times New Roman" w:cs="Times New Roman"/>
          <w:color w:val="000000" w:themeColor="text1"/>
          <w:sz w:val="24"/>
          <w:szCs w:val="24"/>
        </w:rPr>
      </w:pPr>
    </w:p>
    <w:p w:rsidR="00511AA0" w:rsidRPr="00FB3F03" w:rsidRDefault="00511AA0" w:rsidP="002507D4">
      <w:pPr>
        <w:spacing w:after="0" w:line="480" w:lineRule="auto"/>
        <w:jc w:val="both"/>
        <w:rPr>
          <w:rFonts w:ascii="Times New Roman" w:hAnsi="Times New Roman" w:cs="Times New Roman"/>
          <w:color w:val="000000" w:themeColor="text1"/>
          <w:sz w:val="24"/>
          <w:szCs w:val="24"/>
        </w:rPr>
      </w:pPr>
    </w:p>
    <w:p w:rsidR="00511AA0" w:rsidRPr="00FB3F03" w:rsidRDefault="00511AA0" w:rsidP="002507D4">
      <w:pPr>
        <w:spacing w:after="0" w:line="480" w:lineRule="auto"/>
        <w:jc w:val="both"/>
        <w:rPr>
          <w:rFonts w:ascii="Times New Roman" w:hAnsi="Times New Roman" w:cs="Times New Roman"/>
          <w:color w:val="000000" w:themeColor="text1"/>
          <w:sz w:val="24"/>
          <w:szCs w:val="24"/>
        </w:rPr>
      </w:pPr>
    </w:p>
    <w:p w:rsidR="009A3B7F" w:rsidRPr="00FB3F03" w:rsidRDefault="009A3B7F" w:rsidP="002507D4">
      <w:pPr>
        <w:spacing w:after="0" w:line="480" w:lineRule="auto"/>
        <w:jc w:val="both"/>
        <w:rPr>
          <w:rFonts w:ascii="Times New Roman" w:hAnsi="Times New Roman" w:cs="Times New Roman"/>
          <w:color w:val="000000" w:themeColor="text1"/>
          <w:sz w:val="24"/>
          <w:szCs w:val="24"/>
        </w:rPr>
      </w:pPr>
    </w:p>
    <w:p w:rsidR="005A4813" w:rsidRPr="00FB3F03" w:rsidRDefault="005A4813"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F5520D" w:rsidRPr="00FB3F03" w:rsidRDefault="00F5520D" w:rsidP="00001324">
      <w:pPr>
        <w:spacing w:after="0" w:line="360" w:lineRule="auto"/>
        <w:jc w:val="both"/>
        <w:rPr>
          <w:rFonts w:ascii="Times New Roman" w:hAnsi="Times New Roman" w:cs="Times New Roman"/>
          <w:color w:val="000000" w:themeColor="text1"/>
          <w:sz w:val="24"/>
          <w:szCs w:val="24"/>
        </w:rPr>
      </w:pPr>
    </w:p>
    <w:p w:rsidR="005A4813" w:rsidRPr="00FB3F03" w:rsidRDefault="005A4813" w:rsidP="00001324">
      <w:pPr>
        <w:spacing w:after="0" w:line="360" w:lineRule="auto"/>
        <w:jc w:val="both"/>
        <w:rPr>
          <w:rFonts w:ascii="Times New Roman" w:hAnsi="Times New Roman" w:cs="Times New Roman"/>
          <w:color w:val="000000" w:themeColor="text1"/>
          <w:sz w:val="24"/>
          <w:szCs w:val="24"/>
        </w:rPr>
      </w:pPr>
    </w:p>
    <w:p w:rsidR="002507D4" w:rsidRPr="00FB3F03" w:rsidRDefault="002507D4" w:rsidP="00001324">
      <w:pPr>
        <w:spacing w:after="0" w:line="360" w:lineRule="auto"/>
        <w:jc w:val="both"/>
        <w:rPr>
          <w:rFonts w:ascii="Times New Roman" w:hAnsi="Times New Roman" w:cs="Times New Roman"/>
          <w:b/>
          <w:color w:val="000000" w:themeColor="text1"/>
          <w:sz w:val="24"/>
          <w:szCs w:val="24"/>
        </w:rPr>
      </w:pPr>
      <w:r w:rsidRPr="00FB3F03">
        <w:rPr>
          <w:rFonts w:ascii="Times New Roman" w:hAnsi="Times New Roman" w:cs="Times New Roman"/>
          <w:b/>
          <w:color w:val="000000" w:themeColor="text1"/>
          <w:sz w:val="24"/>
          <w:szCs w:val="24"/>
        </w:rPr>
        <w:lastRenderedPageBreak/>
        <w:t>References</w:t>
      </w:r>
    </w:p>
    <w:p w:rsidR="002507D4" w:rsidRPr="00FB3F03" w:rsidRDefault="002507D4" w:rsidP="00001324">
      <w:pPr>
        <w:spacing w:after="0" w:line="360" w:lineRule="auto"/>
        <w:jc w:val="both"/>
        <w:rPr>
          <w:rFonts w:ascii="Times New Roman" w:hAnsi="Times New Roman" w:cs="Times New Roman"/>
          <w:color w:val="000000" w:themeColor="text1"/>
          <w:sz w:val="24"/>
          <w:szCs w:val="24"/>
        </w:rPr>
      </w:pPr>
    </w:p>
    <w:p w:rsidR="002507D4" w:rsidRPr="00FB3F03" w:rsidRDefault="002507D4" w:rsidP="00001324">
      <w:pPr>
        <w:spacing w:after="0" w:line="360" w:lineRule="auto"/>
        <w:ind w:left="720" w:hanging="720"/>
        <w:contextualSpacing/>
        <w:jc w:val="both"/>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Alzheimer’s disease International (2009). </w:t>
      </w:r>
      <w:r w:rsidRPr="00FB3F03">
        <w:rPr>
          <w:rFonts w:ascii="Times New Roman" w:hAnsi="Times New Roman" w:cs="Times New Roman"/>
          <w:i/>
          <w:color w:val="000000" w:themeColor="text1"/>
          <w:sz w:val="24"/>
          <w:szCs w:val="24"/>
        </w:rPr>
        <w:t xml:space="preserve">World Alzheimer Report 2009. </w:t>
      </w:r>
      <w:r w:rsidRPr="00FB3F03">
        <w:rPr>
          <w:rFonts w:ascii="Times New Roman" w:hAnsi="Times New Roman" w:cs="Times New Roman"/>
          <w:color w:val="000000" w:themeColor="text1"/>
          <w:sz w:val="24"/>
          <w:szCs w:val="24"/>
        </w:rPr>
        <w:t xml:space="preserve">Retrieved from Alzheimer’s disease International website: </w:t>
      </w:r>
      <w:hyperlink r:id="rId8" w:history="1">
        <w:r w:rsidRPr="00FB3F03">
          <w:rPr>
            <w:rStyle w:val="Hyperlink"/>
            <w:rFonts w:ascii="Times New Roman" w:hAnsi="Times New Roman" w:cs="Times New Roman"/>
            <w:color w:val="000000" w:themeColor="text1"/>
            <w:sz w:val="24"/>
            <w:szCs w:val="24"/>
            <w:u w:val="none"/>
          </w:rPr>
          <w:t>www.alz.co.uk/research/files/WorldAlzheimerReport.pdf</w:t>
        </w:r>
      </w:hyperlink>
      <w:r w:rsidRPr="00FB3F03">
        <w:rPr>
          <w:rFonts w:ascii="Times New Roman" w:hAnsi="Times New Roman" w:cs="Times New Roman"/>
          <w:color w:val="000000" w:themeColor="text1"/>
          <w:sz w:val="24"/>
          <w:szCs w:val="24"/>
        </w:rPr>
        <w:t>.</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Beard, R. L. (2012). Art therapies and dementia care: A systematic review. </w:t>
      </w:r>
      <w:r w:rsidRPr="00FB3F03">
        <w:rPr>
          <w:rFonts w:ascii="Times New Roman" w:hAnsi="Times New Roman" w:cs="Times New Roman"/>
          <w:i/>
          <w:color w:val="000000" w:themeColor="text1"/>
          <w:sz w:val="24"/>
          <w:szCs w:val="24"/>
        </w:rPr>
        <w:t>Dementia</w:t>
      </w:r>
      <w:r w:rsidR="009A3B7F" w:rsidRPr="00FB3F03">
        <w:rPr>
          <w:rFonts w:ascii="Times New Roman" w:hAnsi="Times New Roman" w:cs="Times New Roman"/>
          <w:i/>
          <w:color w:val="000000" w:themeColor="text1"/>
          <w:sz w:val="24"/>
          <w:szCs w:val="24"/>
        </w:rPr>
        <w:t>,</w:t>
      </w:r>
      <w:r w:rsidRPr="00FB3F03">
        <w:rPr>
          <w:rFonts w:ascii="Times New Roman" w:hAnsi="Times New Roman" w:cs="Times New Roman"/>
          <w:i/>
          <w:color w:val="000000" w:themeColor="text1"/>
          <w:sz w:val="24"/>
          <w:szCs w:val="24"/>
        </w:rPr>
        <w:t xml:space="preserve"> 11</w:t>
      </w:r>
      <w:r w:rsidRPr="00FB3F03">
        <w:rPr>
          <w:rFonts w:ascii="Times New Roman" w:hAnsi="Times New Roman" w:cs="Times New Roman"/>
          <w:color w:val="000000" w:themeColor="text1"/>
          <w:sz w:val="24"/>
          <w:szCs w:val="24"/>
        </w:rPr>
        <w:t>(5), 633-656. doi:10.1177/1471301211421090.</w:t>
      </w:r>
    </w:p>
    <w:p w:rsidR="00001324" w:rsidRPr="00FB3F03" w:rsidRDefault="00001324" w:rsidP="00001324">
      <w:pPr>
        <w:pStyle w:val="EndNoteBibliography"/>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Beerens, H. C., de Boer, B., Zwakhalen, S. M. G., Tan, F. E. S., Ruwaard, D., Hamers, J. P. H., &amp; Verbeek, H. (2016). The association between aspects of daily life and quality of life of people with dementia living in long-term care facilities: </w:t>
      </w:r>
      <w:r w:rsidRPr="00FB3F03">
        <w:rPr>
          <w:rFonts w:ascii="Times New Roman" w:hAnsi="Times New Roman" w:cs="Times New Roman"/>
          <w:i/>
          <w:color w:val="000000" w:themeColor="text1"/>
          <w:sz w:val="24"/>
          <w:szCs w:val="24"/>
        </w:rPr>
        <w:t>A momentary assessment study. International Psychogeriatrics, 28</w:t>
      </w:r>
      <w:r w:rsidRPr="00FB3F03">
        <w:rPr>
          <w:rFonts w:ascii="Times New Roman" w:hAnsi="Times New Roman" w:cs="Times New Roman"/>
          <w:color w:val="000000" w:themeColor="text1"/>
          <w:sz w:val="24"/>
          <w:szCs w:val="24"/>
        </w:rPr>
        <w:t xml:space="preserve">(8), 1323-1331. </w:t>
      </w:r>
    </w:p>
    <w:p w:rsidR="002507D4" w:rsidRPr="00FB3F03" w:rsidRDefault="002507D4" w:rsidP="00001324">
      <w:pPr>
        <w:pStyle w:val="EndNoteBibliography"/>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Brataas, H. V., Bjugan, H., Wille, T., &amp; Hellzen, O. (2010). Experiences of day care and collaboration among people with mild dementia. </w:t>
      </w:r>
      <w:r w:rsidRPr="00FB3F03">
        <w:rPr>
          <w:rFonts w:ascii="Times New Roman" w:hAnsi="Times New Roman" w:cs="Times New Roman"/>
          <w:i/>
          <w:color w:val="000000" w:themeColor="text1"/>
          <w:sz w:val="24"/>
          <w:szCs w:val="24"/>
        </w:rPr>
        <w:t>Journal of Clinical Nursing, 19</w:t>
      </w:r>
      <w:r w:rsidR="00646534"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19/20</w:t>
      </w:r>
      <w:r w:rsidR="00646534"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 2839-2848. </w:t>
      </w:r>
    </w:p>
    <w:p w:rsidR="002507D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British Association of Art Therapists (2014). </w:t>
      </w:r>
      <w:r w:rsidRPr="00FB3F03">
        <w:rPr>
          <w:rFonts w:ascii="Times New Roman" w:hAnsi="Times New Roman" w:cs="Times New Roman"/>
          <w:i/>
          <w:color w:val="000000" w:themeColor="text1"/>
          <w:sz w:val="24"/>
          <w:szCs w:val="24"/>
        </w:rPr>
        <w:t>Art therapy information.</w:t>
      </w:r>
      <w:r w:rsidRPr="00FB3F03">
        <w:rPr>
          <w:rFonts w:ascii="Times New Roman" w:hAnsi="Times New Roman" w:cs="Times New Roman"/>
          <w:color w:val="000000" w:themeColor="text1"/>
          <w:sz w:val="24"/>
          <w:szCs w:val="24"/>
        </w:rPr>
        <w:t xml:space="preserve"> Retrieved from </w:t>
      </w:r>
      <w:hyperlink r:id="rId9" w:history="1">
        <w:r w:rsidRPr="00FB3F03">
          <w:rPr>
            <w:rStyle w:val="Hyperlink"/>
            <w:rFonts w:ascii="Times New Roman" w:hAnsi="Times New Roman" w:cs="Times New Roman"/>
            <w:color w:val="000000" w:themeColor="text1"/>
            <w:sz w:val="24"/>
            <w:szCs w:val="24"/>
            <w:u w:val="none"/>
          </w:rPr>
          <w:t>http://www.baat.org/About-Art-Therapy</w:t>
        </w:r>
      </w:hyperlink>
      <w:r w:rsidRPr="00FB3F03">
        <w:rPr>
          <w:rFonts w:ascii="Times New Roman" w:hAnsi="Times New Roman" w:cs="Times New Roman"/>
          <w:color w:val="000000" w:themeColor="text1"/>
          <w:sz w:val="24"/>
          <w:szCs w:val="24"/>
        </w:rPr>
        <w:t xml:space="preserve">. </w:t>
      </w:r>
    </w:p>
    <w:p w:rsidR="002507D4" w:rsidRPr="00FB3F03" w:rsidRDefault="002507D4" w:rsidP="00001324">
      <w:pPr>
        <w:pStyle w:val="EndNoteBibliography"/>
        <w:spacing w:after="0" w:line="360" w:lineRule="auto"/>
        <w:ind w:left="720" w:hanging="720"/>
        <w:rPr>
          <w:rStyle w:val="Hyperlink"/>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Brownell, C. A. (2008). An intergenerational art program as a means to decrease passive behaviors in patients with dementia. </w:t>
      </w:r>
      <w:r w:rsidRPr="00FB3F03">
        <w:rPr>
          <w:rFonts w:ascii="Times New Roman" w:hAnsi="Times New Roman" w:cs="Times New Roman"/>
          <w:i/>
          <w:color w:val="000000" w:themeColor="text1"/>
          <w:sz w:val="24"/>
          <w:szCs w:val="24"/>
        </w:rPr>
        <w:t>American Journal of Recreation Therapy, 7</w:t>
      </w:r>
      <w:r w:rsidR="00646534"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3</w:t>
      </w:r>
      <w:r w:rsidR="00646534" w:rsidRPr="00FB3F03">
        <w:rPr>
          <w:rFonts w:ascii="Times New Roman" w:hAnsi="Times New Roman" w:cs="Times New Roman"/>
          <w:color w:val="000000" w:themeColor="text1"/>
          <w:sz w:val="24"/>
          <w:szCs w:val="24"/>
        </w:rPr>
        <w:t>),</w:t>
      </w:r>
      <w:r w:rsidRPr="00FB3F03">
        <w:rPr>
          <w:rFonts w:ascii="Times New Roman" w:hAnsi="Times New Roman" w:cs="Times New Roman"/>
          <w:color w:val="000000" w:themeColor="text1"/>
          <w:sz w:val="24"/>
          <w:szCs w:val="24"/>
        </w:rPr>
        <w:t xml:space="preserve"> 5-12.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Burnside, L. D., Knecht, M. J., Hopley, E. K., &amp; Logsdon, R. G. (2017). Here:now - Conceptual model of the impact of an experiential arts program on persons with dementia and their care partners. </w:t>
      </w:r>
      <w:r w:rsidRPr="00FB3F03">
        <w:rPr>
          <w:rFonts w:ascii="Times New Roman" w:hAnsi="Times New Roman" w:cs="Times New Roman"/>
          <w:i/>
          <w:color w:val="000000" w:themeColor="text1"/>
          <w:sz w:val="24"/>
          <w:szCs w:val="24"/>
        </w:rPr>
        <w:t>Dementia, 16</w:t>
      </w:r>
      <w:r w:rsidRPr="00FB3F03">
        <w:rPr>
          <w:rFonts w:ascii="Times New Roman" w:hAnsi="Times New Roman" w:cs="Times New Roman"/>
          <w:color w:val="000000" w:themeColor="text1"/>
          <w:sz w:val="24"/>
          <w:szCs w:val="24"/>
        </w:rPr>
        <w:t>(1), 29 - 45.</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Camic, P. M., Baker, E. L., &amp; Tischler, V. (2016). Theorizing How Art Gallery Interventions Impact People With Dementia and Their Caregivers. </w:t>
      </w:r>
      <w:r w:rsidR="00646534" w:rsidRPr="00FB3F03">
        <w:rPr>
          <w:rFonts w:ascii="Times New Roman" w:hAnsi="Times New Roman" w:cs="Times New Roman"/>
          <w:i/>
          <w:color w:val="000000" w:themeColor="text1"/>
          <w:sz w:val="24"/>
          <w:szCs w:val="24"/>
        </w:rPr>
        <w:t>The</w:t>
      </w:r>
      <w:r w:rsidR="00646534" w:rsidRPr="00FB3F03">
        <w:rPr>
          <w:rFonts w:ascii="Times New Roman" w:hAnsi="Times New Roman" w:cs="Times New Roman"/>
          <w:color w:val="000000" w:themeColor="text1"/>
          <w:sz w:val="24"/>
          <w:szCs w:val="24"/>
        </w:rPr>
        <w:t xml:space="preserve"> </w:t>
      </w:r>
      <w:r w:rsidRPr="00FB3F03">
        <w:rPr>
          <w:rFonts w:ascii="Times New Roman" w:hAnsi="Times New Roman" w:cs="Times New Roman"/>
          <w:i/>
          <w:color w:val="000000" w:themeColor="text1"/>
          <w:sz w:val="24"/>
          <w:szCs w:val="24"/>
        </w:rPr>
        <w:t>Gerontologist, 56</w:t>
      </w:r>
      <w:r w:rsidRPr="00FB3F03">
        <w:rPr>
          <w:rFonts w:ascii="Times New Roman" w:hAnsi="Times New Roman" w:cs="Times New Roman"/>
          <w:color w:val="000000" w:themeColor="text1"/>
          <w:sz w:val="24"/>
          <w:szCs w:val="24"/>
        </w:rPr>
        <w:t>(6), 1033-1041. doi:10.1093/geront/gnv063.</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Camic, P., Tischler, V., &amp; Pearman, C. H. (2014). Viewing and making art together: a multi-session art-gallery-based intervention for people with dementia and their carers. </w:t>
      </w:r>
      <w:r w:rsidRPr="00FB3F03">
        <w:rPr>
          <w:rFonts w:ascii="Times New Roman" w:hAnsi="Times New Roman" w:cs="Times New Roman"/>
          <w:i/>
          <w:color w:val="000000" w:themeColor="text1"/>
          <w:sz w:val="24"/>
          <w:szCs w:val="24"/>
        </w:rPr>
        <w:t xml:space="preserve">Aging </w:t>
      </w:r>
      <w:r w:rsidR="00646534" w:rsidRPr="00FB3F03">
        <w:rPr>
          <w:rFonts w:ascii="Times New Roman" w:hAnsi="Times New Roman" w:cs="Times New Roman"/>
          <w:i/>
          <w:color w:val="000000" w:themeColor="text1"/>
          <w:sz w:val="24"/>
          <w:szCs w:val="24"/>
        </w:rPr>
        <w:t xml:space="preserve">&amp; </w:t>
      </w:r>
      <w:r w:rsidRPr="00FB3F03">
        <w:rPr>
          <w:rFonts w:ascii="Times New Roman" w:hAnsi="Times New Roman" w:cs="Times New Roman"/>
          <w:i/>
          <w:color w:val="000000" w:themeColor="text1"/>
          <w:sz w:val="24"/>
          <w:szCs w:val="24"/>
        </w:rPr>
        <w:t>Ment</w:t>
      </w:r>
      <w:r w:rsidR="00646534" w:rsidRPr="00FB3F03">
        <w:rPr>
          <w:rFonts w:ascii="Times New Roman" w:hAnsi="Times New Roman" w:cs="Times New Roman"/>
          <w:i/>
          <w:color w:val="000000" w:themeColor="text1"/>
          <w:sz w:val="24"/>
          <w:szCs w:val="24"/>
        </w:rPr>
        <w:t>al</w:t>
      </w:r>
      <w:r w:rsidRPr="00FB3F03">
        <w:rPr>
          <w:rFonts w:ascii="Times New Roman" w:hAnsi="Times New Roman" w:cs="Times New Roman"/>
          <w:i/>
          <w:color w:val="000000" w:themeColor="text1"/>
          <w:sz w:val="24"/>
          <w:szCs w:val="24"/>
        </w:rPr>
        <w:t xml:space="preserve"> Health, 18</w:t>
      </w:r>
      <w:r w:rsidRPr="00FB3F03">
        <w:rPr>
          <w:rFonts w:ascii="Times New Roman" w:hAnsi="Times New Roman" w:cs="Times New Roman"/>
          <w:color w:val="000000" w:themeColor="text1"/>
          <w:sz w:val="24"/>
          <w:szCs w:val="24"/>
        </w:rPr>
        <w:t xml:space="preserve">(2), 161-168. </w:t>
      </w:r>
    </w:p>
    <w:p w:rsidR="002507D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Collie, K., Bottorff, J. L., &amp; Long, B. C. (2006). A narrative view of art therapy and art making by women with breast cancer. </w:t>
      </w:r>
      <w:r w:rsidRPr="00FB3F03">
        <w:rPr>
          <w:rFonts w:ascii="Times New Roman" w:hAnsi="Times New Roman" w:cs="Times New Roman"/>
          <w:i/>
          <w:color w:val="000000" w:themeColor="text1"/>
          <w:sz w:val="24"/>
          <w:szCs w:val="24"/>
        </w:rPr>
        <w:t>Journal of Health Psychology, 11</w:t>
      </w:r>
      <w:r w:rsidRPr="00FB3F03">
        <w:rPr>
          <w:rFonts w:ascii="Times New Roman" w:hAnsi="Times New Roman" w:cs="Times New Roman"/>
          <w:color w:val="000000" w:themeColor="text1"/>
          <w:sz w:val="24"/>
          <w:szCs w:val="24"/>
        </w:rPr>
        <w:t xml:space="preserve">(5), 761 – 775.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Cowl, A. L., &amp; Gaugler, J. E. (2014). Efficacy of creative arts therapy in treatment of alzheimer's disease and dementia: A systematic literature review. </w:t>
      </w:r>
      <w:r w:rsidRPr="00FB3F03">
        <w:rPr>
          <w:rFonts w:ascii="Times New Roman" w:hAnsi="Times New Roman" w:cs="Times New Roman"/>
          <w:i/>
          <w:color w:val="000000" w:themeColor="text1"/>
          <w:sz w:val="24"/>
          <w:szCs w:val="24"/>
        </w:rPr>
        <w:t>Activities, Adaptation and Aging, 38</w:t>
      </w:r>
      <w:r w:rsidRPr="00FB3F03">
        <w:rPr>
          <w:rFonts w:ascii="Times New Roman" w:hAnsi="Times New Roman" w:cs="Times New Roman"/>
          <w:color w:val="000000" w:themeColor="text1"/>
          <w:sz w:val="24"/>
          <w:szCs w:val="24"/>
        </w:rPr>
        <w:t xml:space="preserve">(4), 218 - 330.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 xml:space="preserve">de Medeiros, K., &amp; Basting, A. (2014). 'Shall I compare thee to a dose of donepezil?': cultural arts interventions in dementia care research. </w:t>
      </w:r>
      <w:r w:rsidRPr="00FB3F03">
        <w:rPr>
          <w:rFonts w:ascii="Times New Roman" w:hAnsi="Times New Roman" w:cs="Times New Roman"/>
          <w:i/>
          <w:color w:val="000000" w:themeColor="text1"/>
          <w:sz w:val="24"/>
          <w:szCs w:val="24"/>
        </w:rPr>
        <w:t>The Gerontologist, 54</w:t>
      </w:r>
      <w:r w:rsidRPr="00FB3F03">
        <w:rPr>
          <w:rFonts w:ascii="Times New Roman" w:hAnsi="Times New Roman" w:cs="Times New Roman"/>
          <w:color w:val="000000" w:themeColor="text1"/>
          <w:sz w:val="24"/>
          <w:szCs w:val="24"/>
        </w:rPr>
        <w:t xml:space="preserve">(3), 344-353. </w:t>
      </w:r>
    </w:p>
    <w:p w:rsidR="002507D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Department of Health. (2007). </w:t>
      </w:r>
      <w:r w:rsidRPr="00FB3F03">
        <w:rPr>
          <w:rFonts w:ascii="Times New Roman" w:hAnsi="Times New Roman" w:cs="Times New Roman"/>
          <w:i/>
          <w:color w:val="000000" w:themeColor="text1"/>
          <w:sz w:val="24"/>
          <w:szCs w:val="24"/>
        </w:rPr>
        <w:t xml:space="preserve">Departmental Report: The Health and Personal Social Services </w:t>
      </w:r>
      <w:proofErr w:type="spellStart"/>
      <w:r w:rsidRPr="00FB3F03">
        <w:rPr>
          <w:rFonts w:ascii="Times New Roman" w:hAnsi="Times New Roman" w:cs="Times New Roman"/>
          <w:i/>
          <w:color w:val="000000" w:themeColor="text1"/>
          <w:sz w:val="24"/>
          <w:szCs w:val="24"/>
        </w:rPr>
        <w:t>Programmes</w:t>
      </w:r>
      <w:proofErr w:type="spellEnd"/>
      <w:r w:rsidRPr="00FB3F03">
        <w:rPr>
          <w:rFonts w:ascii="Times New Roman" w:hAnsi="Times New Roman" w:cs="Times New Roman"/>
          <w:i/>
          <w:color w:val="000000" w:themeColor="text1"/>
          <w:sz w:val="24"/>
          <w:szCs w:val="24"/>
        </w:rPr>
        <w:t xml:space="preserve">. </w:t>
      </w:r>
      <w:r w:rsidRPr="00FB3F03">
        <w:rPr>
          <w:rFonts w:ascii="Times New Roman" w:hAnsi="Times New Roman" w:cs="Times New Roman"/>
          <w:color w:val="000000" w:themeColor="text1"/>
          <w:sz w:val="24"/>
          <w:szCs w:val="24"/>
        </w:rPr>
        <w:t>Retrieved from</w:t>
      </w:r>
      <w:r w:rsidR="00646534" w:rsidRPr="00FB3F03">
        <w:rPr>
          <w:rFonts w:ascii="Times New Roman" w:hAnsi="Times New Roman" w:cs="Times New Roman"/>
          <w:color w:val="000000" w:themeColor="text1"/>
          <w:sz w:val="24"/>
          <w:szCs w:val="24"/>
        </w:rPr>
        <w:t xml:space="preserve"> </w:t>
      </w:r>
      <w:hyperlink r:id="rId10" w:history="1">
        <w:r w:rsidR="00646534" w:rsidRPr="00FB3F03">
          <w:rPr>
            <w:rStyle w:val="Hyperlink"/>
            <w:rFonts w:ascii="Times New Roman" w:hAnsi="Times New Roman" w:cs="Times New Roman"/>
            <w:color w:val="000000" w:themeColor="text1"/>
            <w:sz w:val="24"/>
            <w:szCs w:val="24"/>
            <w:u w:val="none"/>
          </w:rPr>
          <w:t>https://assets.publishing.service.gov.uk/government/</w:t>
        </w:r>
      </w:hyperlink>
      <w:r w:rsidRPr="00FB3F03">
        <w:rPr>
          <w:rFonts w:ascii="Times New Roman" w:hAnsi="Times New Roman" w:cs="Times New Roman"/>
          <w:color w:val="000000" w:themeColor="text1"/>
          <w:sz w:val="24"/>
          <w:szCs w:val="24"/>
        </w:rPr>
        <w:t xml:space="preserve"> uploads/system/uploads/</w:t>
      </w:r>
      <w:proofErr w:type="spellStart"/>
      <w:r w:rsidRPr="00FB3F03">
        <w:rPr>
          <w:rFonts w:ascii="Times New Roman" w:hAnsi="Times New Roman" w:cs="Times New Roman"/>
          <w:color w:val="000000" w:themeColor="text1"/>
          <w:sz w:val="24"/>
          <w:szCs w:val="24"/>
        </w:rPr>
        <w:t>attachment_data</w:t>
      </w:r>
      <w:proofErr w:type="spellEnd"/>
      <w:r w:rsidRPr="00FB3F03">
        <w:rPr>
          <w:rFonts w:ascii="Times New Roman" w:hAnsi="Times New Roman" w:cs="Times New Roman"/>
          <w:color w:val="000000" w:themeColor="text1"/>
          <w:sz w:val="24"/>
          <w:szCs w:val="24"/>
        </w:rPr>
        <w:t>/file/243293/7093.pdf.</w:t>
      </w:r>
    </w:p>
    <w:p w:rsidR="0064653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Dixon-Woods, M., Cavers, D., </w:t>
      </w:r>
      <w:proofErr w:type="spellStart"/>
      <w:r w:rsidRPr="00FB3F03">
        <w:rPr>
          <w:rFonts w:ascii="Times New Roman" w:hAnsi="Times New Roman" w:cs="Times New Roman"/>
          <w:color w:val="000000" w:themeColor="text1"/>
          <w:sz w:val="24"/>
          <w:szCs w:val="24"/>
        </w:rPr>
        <w:t>Agearwal</w:t>
      </w:r>
      <w:proofErr w:type="spellEnd"/>
      <w:r w:rsidRPr="00FB3F03">
        <w:rPr>
          <w:rFonts w:ascii="Times New Roman" w:hAnsi="Times New Roman" w:cs="Times New Roman"/>
          <w:color w:val="000000" w:themeColor="text1"/>
          <w:sz w:val="24"/>
          <w:szCs w:val="24"/>
        </w:rPr>
        <w:t>, S., Annandale, E., Arthur, A., Harvey, J</w:t>
      </w:r>
      <w:r w:rsidR="009A3B7F" w:rsidRPr="00FB3F03">
        <w:rPr>
          <w:rFonts w:ascii="Times New Roman" w:hAnsi="Times New Roman" w:cs="Times New Roman"/>
          <w:color w:val="000000" w:themeColor="text1"/>
          <w:sz w:val="24"/>
          <w:szCs w:val="24"/>
        </w:rPr>
        <w:t xml:space="preserve">., </w:t>
      </w:r>
      <w:r w:rsidR="00646534" w:rsidRPr="00FB3F03">
        <w:rPr>
          <w:rFonts w:ascii="Times New Roman" w:hAnsi="Times New Roman" w:cs="Times New Roman"/>
          <w:color w:val="000000" w:themeColor="text1"/>
          <w:sz w:val="24"/>
          <w:szCs w:val="24"/>
        </w:rPr>
        <w:t>. . .</w:t>
      </w:r>
      <w:r w:rsidRPr="00FB3F03">
        <w:rPr>
          <w:rFonts w:ascii="Times New Roman" w:hAnsi="Times New Roman" w:cs="Times New Roman"/>
          <w:color w:val="000000" w:themeColor="text1"/>
          <w:sz w:val="24"/>
          <w:szCs w:val="24"/>
        </w:rPr>
        <w:t xml:space="preserve"> Sutton, A. J. (2006). Conducting a critical interpretive synthesis of the literature on access to healthcare by vulnerable groups. </w:t>
      </w:r>
      <w:r w:rsidRPr="00FB3F03">
        <w:rPr>
          <w:rFonts w:ascii="Times New Roman" w:hAnsi="Times New Roman" w:cs="Times New Roman"/>
          <w:i/>
          <w:color w:val="000000" w:themeColor="text1"/>
          <w:sz w:val="24"/>
          <w:szCs w:val="24"/>
        </w:rPr>
        <w:t>BMC Medical Research Methodology, 6,</w:t>
      </w:r>
      <w:r w:rsidRPr="00FB3F03">
        <w:rPr>
          <w:rFonts w:ascii="Times New Roman" w:hAnsi="Times New Roman" w:cs="Times New Roman"/>
          <w:color w:val="000000" w:themeColor="text1"/>
          <w:sz w:val="24"/>
          <w:szCs w:val="24"/>
        </w:rPr>
        <w:t xml:space="preserve"> 35</w:t>
      </w:r>
      <w:r w:rsidR="00646534" w:rsidRPr="00FB3F03">
        <w:rPr>
          <w:rFonts w:ascii="Times New Roman" w:hAnsi="Times New Roman" w:cs="Times New Roman"/>
          <w:color w:val="000000" w:themeColor="text1"/>
          <w:sz w:val="24"/>
          <w:szCs w:val="24"/>
        </w:rPr>
        <w:t>.</w:t>
      </w:r>
    </w:p>
    <w:p w:rsidR="002507D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proofErr w:type="spellStart"/>
      <w:r w:rsidRPr="00FB3F03">
        <w:rPr>
          <w:rFonts w:ascii="Times New Roman" w:hAnsi="Times New Roman" w:cs="Times New Roman"/>
          <w:color w:val="000000" w:themeColor="text1"/>
          <w:sz w:val="24"/>
          <w:szCs w:val="24"/>
        </w:rPr>
        <w:t>Eekelaar</w:t>
      </w:r>
      <w:proofErr w:type="spellEnd"/>
      <w:r w:rsidRPr="00FB3F03">
        <w:rPr>
          <w:rFonts w:ascii="Times New Roman" w:hAnsi="Times New Roman" w:cs="Times New Roman"/>
          <w:color w:val="000000" w:themeColor="text1"/>
          <w:sz w:val="24"/>
          <w:szCs w:val="24"/>
        </w:rPr>
        <w:t xml:space="preserve">, C., Camic, P. M., &amp; </w:t>
      </w:r>
      <w:proofErr w:type="spellStart"/>
      <w:r w:rsidRPr="00FB3F03">
        <w:rPr>
          <w:rFonts w:ascii="Times New Roman" w:hAnsi="Times New Roman" w:cs="Times New Roman"/>
          <w:color w:val="000000" w:themeColor="text1"/>
          <w:sz w:val="24"/>
          <w:szCs w:val="24"/>
        </w:rPr>
        <w:t>Springham</w:t>
      </w:r>
      <w:proofErr w:type="spellEnd"/>
      <w:r w:rsidRPr="00FB3F03">
        <w:rPr>
          <w:rFonts w:ascii="Times New Roman" w:hAnsi="Times New Roman" w:cs="Times New Roman"/>
          <w:color w:val="000000" w:themeColor="text1"/>
          <w:sz w:val="24"/>
          <w:szCs w:val="24"/>
        </w:rPr>
        <w:t xml:space="preserve">, N. (2012). Art galleries, episodic memory and verbal fluency in dementia: An exploratory study. </w:t>
      </w:r>
      <w:r w:rsidRPr="00FB3F03">
        <w:rPr>
          <w:rFonts w:ascii="Times New Roman" w:hAnsi="Times New Roman" w:cs="Times New Roman"/>
          <w:i/>
          <w:color w:val="000000" w:themeColor="text1"/>
          <w:sz w:val="24"/>
          <w:szCs w:val="24"/>
        </w:rPr>
        <w:t>Psychology of Aesthetics, Creativity, and the Arts, 6</w:t>
      </w:r>
      <w:r w:rsidRPr="00FB3F03">
        <w:rPr>
          <w:rFonts w:ascii="Times New Roman" w:hAnsi="Times New Roman" w:cs="Times New Roman"/>
          <w:color w:val="000000" w:themeColor="text1"/>
          <w:sz w:val="24"/>
          <w:szCs w:val="24"/>
        </w:rPr>
        <w:t>(3), 262-272.</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u w:val="single"/>
        </w:rPr>
      </w:pPr>
      <w:r w:rsidRPr="00FB3F03">
        <w:rPr>
          <w:rFonts w:ascii="Times New Roman" w:hAnsi="Times New Roman" w:cs="Times New Roman"/>
          <w:color w:val="000000" w:themeColor="text1"/>
          <w:sz w:val="24"/>
          <w:szCs w:val="24"/>
        </w:rPr>
        <w:t xml:space="preserve">Esker, S. N., &amp; Ashton, C. (2013). Using Art to Decrease Passivity in Older Adults with Dementia. </w:t>
      </w:r>
      <w:r w:rsidRPr="00FB3F03">
        <w:rPr>
          <w:rFonts w:ascii="Times New Roman" w:hAnsi="Times New Roman" w:cs="Times New Roman"/>
          <w:i/>
          <w:color w:val="000000" w:themeColor="text1"/>
          <w:sz w:val="24"/>
          <w:szCs w:val="24"/>
        </w:rPr>
        <w:t>Annual in Therapeutic Recreation, 21</w:t>
      </w:r>
      <w:r w:rsidRPr="00FB3F03">
        <w:rPr>
          <w:rFonts w:ascii="Times New Roman" w:hAnsi="Times New Roman" w:cs="Times New Roman"/>
          <w:color w:val="000000" w:themeColor="text1"/>
          <w:sz w:val="24"/>
          <w:szCs w:val="24"/>
        </w:rPr>
        <w:t>, 3-15.</w:t>
      </w:r>
      <w:r w:rsidR="00646534" w:rsidRPr="00FB3F03">
        <w:rPr>
          <w:rFonts w:ascii="Times New Roman" w:hAnsi="Times New Roman" w:cs="Times New Roman"/>
          <w:color w:val="000000" w:themeColor="text1"/>
          <w:sz w:val="24"/>
          <w:szCs w:val="24"/>
        </w:rPr>
        <w:t xml:space="preserve">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Fancourt, D. (2017). </w:t>
      </w:r>
      <w:r w:rsidRPr="00FB3F03">
        <w:rPr>
          <w:rFonts w:ascii="Times New Roman" w:hAnsi="Times New Roman" w:cs="Times New Roman"/>
          <w:i/>
          <w:color w:val="000000" w:themeColor="text1"/>
          <w:sz w:val="24"/>
          <w:szCs w:val="24"/>
        </w:rPr>
        <w:t>Arts and Health: Designing and Researching Interventions.</w:t>
      </w:r>
      <w:r w:rsidRPr="00FB3F03">
        <w:rPr>
          <w:rFonts w:ascii="Times New Roman" w:hAnsi="Times New Roman" w:cs="Times New Roman"/>
          <w:color w:val="000000" w:themeColor="text1"/>
          <w:sz w:val="24"/>
          <w:szCs w:val="24"/>
        </w:rPr>
        <w:t xml:space="preserve"> Oxford, UK: Oxford University Press.</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Flatt, J. D., Liptak, A., Oakley, M. A., Gogan, J., Varner, T., &amp; Lingler, J. H. (2015). Subjective experiences of an art museum engagement activity for persons with early-stage Alzheimer's disease and their family caregivers. </w:t>
      </w:r>
      <w:r w:rsidRPr="00FB3F03">
        <w:rPr>
          <w:rFonts w:ascii="Times New Roman" w:hAnsi="Times New Roman" w:cs="Times New Roman"/>
          <w:i/>
          <w:color w:val="000000" w:themeColor="text1"/>
          <w:sz w:val="24"/>
          <w:szCs w:val="24"/>
        </w:rPr>
        <w:t>American Journal of Alzheimer's Disease and Other Dementias, 30</w:t>
      </w:r>
      <w:r w:rsidRPr="00FB3F03">
        <w:rPr>
          <w:rFonts w:ascii="Times New Roman" w:hAnsi="Times New Roman" w:cs="Times New Roman"/>
          <w:color w:val="000000" w:themeColor="text1"/>
          <w:sz w:val="24"/>
          <w:szCs w:val="24"/>
        </w:rPr>
        <w:t xml:space="preserve">(4), 380-389.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Gross, S. M., Danilova, D., Vandehey, M. A., &amp; Diekhoff, G. M. (2015). Creativity and dementia: Does artistic activity affect well-being beyond the art class? </w:t>
      </w:r>
      <w:r w:rsidRPr="00FB3F03">
        <w:rPr>
          <w:rFonts w:ascii="Times New Roman" w:hAnsi="Times New Roman" w:cs="Times New Roman"/>
          <w:i/>
          <w:color w:val="000000" w:themeColor="text1"/>
          <w:sz w:val="24"/>
          <w:szCs w:val="24"/>
        </w:rPr>
        <w:t>Dementia</w:t>
      </w:r>
      <w:r w:rsidR="00646534" w:rsidRPr="00FB3F03">
        <w:rPr>
          <w:rFonts w:ascii="Times New Roman" w:hAnsi="Times New Roman" w:cs="Times New Roman"/>
          <w:i/>
          <w:color w:val="000000" w:themeColor="text1"/>
          <w:sz w:val="24"/>
          <w:szCs w:val="24"/>
        </w:rPr>
        <w:t xml:space="preserve">, </w:t>
      </w:r>
      <w:r w:rsidRPr="00FB3F03">
        <w:rPr>
          <w:rFonts w:ascii="Times New Roman" w:hAnsi="Times New Roman" w:cs="Times New Roman"/>
          <w:i/>
          <w:color w:val="000000" w:themeColor="text1"/>
          <w:sz w:val="24"/>
          <w:szCs w:val="24"/>
        </w:rPr>
        <w:t>14</w:t>
      </w:r>
      <w:r w:rsidRPr="00FB3F03">
        <w:rPr>
          <w:rFonts w:ascii="Times New Roman" w:hAnsi="Times New Roman" w:cs="Times New Roman"/>
          <w:color w:val="000000" w:themeColor="text1"/>
          <w:sz w:val="24"/>
          <w:szCs w:val="24"/>
        </w:rPr>
        <w:t xml:space="preserve">(1), 27-46.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bookmarkStart w:id="7" w:name="_Hlk7086039"/>
      <w:r w:rsidRPr="00FB3F03">
        <w:rPr>
          <w:rFonts w:ascii="Times New Roman" w:hAnsi="Times New Roman" w:cs="Times New Roman"/>
          <w:color w:val="000000" w:themeColor="text1"/>
          <w:sz w:val="24"/>
          <w:szCs w:val="24"/>
        </w:rPr>
        <w:t>Hanevik, H., Hestad, K. A., Lien, L., Teglbjaerg, H. S., &amp; Danbolt, L. J. (2013). Expressive art therapy for psychosis: A multiple case study</w:t>
      </w:r>
      <w:r w:rsidRPr="00FB3F03">
        <w:rPr>
          <w:rFonts w:ascii="Times New Roman" w:hAnsi="Times New Roman" w:cs="Times New Roman"/>
          <w:i/>
          <w:color w:val="000000" w:themeColor="text1"/>
          <w:sz w:val="24"/>
          <w:szCs w:val="24"/>
        </w:rPr>
        <w:t>. Arts Psychotherapy, 40</w:t>
      </w:r>
      <w:r w:rsidRPr="00FB3F03">
        <w:rPr>
          <w:rFonts w:ascii="Times New Roman" w:hAnsi="Times New Roman" w:cs="Times New Roman"/>
          <w:color w:val="000000" w:themeColor="text1"/>
          <w:sz w:val="24"/>
          <w:szCs w:val="24"/>
        </w:rPr>
        <w:t xml:space="preserve">(3), 312 – 321. </w:t>
      </w:r>
    </w:p>
    <w:bookmarkEnd w:id="7"/>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Hattori, H., Hattori, C., Hokao, C., Mizushima, K., &amp; Mase, T. (2011). Controlled study on the cognitive and psychological effect of coloring and drawing in mild Alzheimer's disease patients. </w:t>
      </w:r>
      <w:r w:rsidRPr="00FB3F03">
        <w:rPr>
          <w:rFonts w:ascii="Times New Roman" w:hAnsi="Times New Roman" w:cs="Times New Roman"/>
          <w:i/>
          <w:color w:val="000000" w:themeColor="text1"/>
          <w:sz w:val="24"/>
          <w:szCs w:val="24"/>
        </w:rPr>
        <w:t>Geriatrics &amp; Gerontology International, 11</w:t>
      </w:r>
      <w:r w:rsidRPr="00FB3F03">
        <w:rPr>
          <w:rFonts w:ascii="Times New Roman" w:hAnsi="Times New Roman" w:cs="Times New Roman"/>
          <w:color w:val="000000" w:themeColor="text1"/>
          <w:sz w:val="24"/>
          <w:szCs w:val="24"/>
        </w:rPr>
        <w:t xml:space="preserve">(4), 431-437.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Hawe, P., Shiell, A., Riley, T., &amp; Gold, L. (2004). Methods for exploring implementation variation and local context within a cluster randomised community intervention trial. </w:t>
      </w:r>
      <w:r w:rsidRPr="00FB3F03">
        <w:rPr>
          <w:rFonts w:ascii="Times New Roman" w:hAnsi="Times New Roman" w:cs="Times New Roman"/>
          <w:i/>
          <w:color w:val="000000" w:themeColor="text1"/>
          <w:sz w:val="24"/>
          <w:szCs w:val="24"/>
        </w:rPr>
        <w:t>Journal of Epidemiology and Community Health, 58</w:t>
      </w:r>
      <w:r w:rsidRPr="00FB3F03">
        <w:rPr>
          <w:rFonts w:ascii="Times New Roman" w:hAnsi="Times New Roman" w:cs="Times New Roman"/>
          <w:color w:val="000000" w:themeColor="text1"/>
          <w:sz w:val="24"/>
          <w:szCs w:val="24"/>
        </w:rPr>
        <w:t xml:space="preserve">(9), 788-793. </w:t>
      </w:r>
    </w:p>
    <w:p w:rsidR="002507D4" w:rsidRPr="00FB3F03" w:rsidRDefault="002507D4" w:rsidP="00001324">
      <w:pPr>
        <w:spacing w:after="0" w:line="360" w:lineRule="auto"/>
        <w:ind w:left="720" w:hanging="720"/>
        <w:contextualSpacing/>
        <w:rPr>
          <w:rFonts w:ascii="Times New Roman" w:hAnsi="Times New Roman" w:cs="Times New Roman"/>
          <w:color w:val="000000" w:themeColor="text1"/>
          <w:sz w:val="24"/>
          <w:szCs w:val="24"/>
        </w:rPr>
      </w:pPr>
      <w:proofErr w:type="spellStart"/>
      <w:r w:rsidRPr="00FB3F03">
        <w:rPr>
          <w:rFonts w:ascii="Times New Roman" w:hAnsi="Times New Roman" w:cs="Times New Roman"/>
          <w:color w:val="000000" w:themeColor="text1"/>
          <w:sz w:val="24"/>
          <w:szCs w:val="24"/>
        </w:rPr>
        <w:lastRenderedPageBreak/>
        <w:t>Ionicioiu</w:t>
      </w:r>
      <w:proofErr w:type="spellEnd"/>
      <w:r w:rsidRPr="00FB3F03">
        <w:rPr>
          <w:rFonts w:ascii="Times New Roman" w:hAnsi="Times New Roman" w:cs="Times New Roman"/>
          <w:color w:val="000000" w:themeColor="text1"/>
          <w:sz w:val="24"/>
          <w:szCs w:val="24"/>
        </w:rPr>
        <w:t xml:space="preserve">, I., David, D., &amp; </w:t>
      </w:r>
      <w:proofErr w:type="spellStart"/>
      <w:r w:rsidRPr="00FB3F03">
        <w:rPr>
          <w:rFonts w:ascii="Times New Roman" w:hAnsi="Times New Roman" w:cs="Times New Roman"/>
          <w:color w:val="000000" w:themeColor="text1"/>
          <w:sz w:val="24"/>
          <w:szCs w:val="24"/>
        </w:rPr>
        <w:t>Szamosközi</w:t>
      </w:r>
      <w:proofErr w:type="spellEnd"/>
      <w:r w:rsidRPr="00FB3F03">
        <w:rPr>
          <w:rFonts w:ascii="Times New Roman" w:hAnsi="Times New Roman" w:cs="Times New Roman"/>
          <w:color w:val="000000" w:themeColor="text1"/>
          <w:sz w:val="24"/>
          <w:szCs w:val="24"/>
        </w:rPr>
        <w:t xml:space="preserve">, Ş. (2014). A Quantitative Meta-analysis of the Effectiveness of Psychosocial Interventions in Dementia. </w:t>
      </w:r>
      <w:r w:rsidRPr="00FB3F03">
        <w:rPr>
          <w:rFonts w:ascii="Times New Roman" w:hAnsi="Times New Roman" w:cs="Times New Roman"/>
          <w:i/>
          <w:color w:val="000000" w:themeColor="text1"/>
          <w:sz w:val="24"/>
          <w:szCs w:val="24"/>
        </w:rPr>
        <w:t>Procedia - Social and Behavioural Sciences, 127</w:t>
      </w:r>
      <w:r w:rsidRPr="00FB3F03">
        <w:rPr>
          <w:rFonts w:ascii="Times New Roman" w:hAnsi="Times New Roman" w:cs="Times New Roman"/>
          <w:color w:val="000000" w:themeColor="text1"/>
          <w:sz w:val="24"/>
          <w:szCs w:val="24"/>
        </w:rPr>
        <w:t xml:space="preserve">, 591-594. </w:t>
      </w:r>
    </w:p>
    <w:p w:rsidR="0064653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Johnson, J., Culverwell, A., Hulbert, S., Robertson, M., &amp; Camic, P. M. (2017). Museum activities in dementia care: Using visual analog scales to measure subjective wellbeing. </w:t>
      </w:r>
      <w:r w:rsidRPr="00FB3F03">
        <w:rPr>
          <w:rFonts w:ascii="Times New Roman" w:hAnsi="Times New Roman" w:cs="Times New Roman"/>
          <w:i/>
          <w:color w:val="000000" w:themeColor="text1"/>
          <w:sz w:val="24"/>
          <w:szCs w:val="24"/>
        </w:rPr>
        <w:t>Dementia</w:t>
      </w:r>
      <w:r w:rsidR="00646534" w:rsidRPr="00FB3F03">
        <w:rPr>
          <w:rFonts w:ascii="Times New Roman" w:hAnsi="Times New Roman" w:cs="Times New Roman"/>
          <w:i/>
          <w:color w:val="000000" w:themeColor="text1"/>
          <w:sz w:val="24"/>
          <w:szCs w:val="24"/>
        </w:rPr>
        <w:t xml:space="preserve">, </w:t>
      </w:r>
      <w:r w:rsidRPr="00FB3F03">
        <w:rPr>
          <w:rFonts w:ascii="Times New Roman" w:hAnsi="Times New Roman" w:cs="Times New Roman"/>
          <w:i/>
          <w:color w:val="000000" w:themeColor="text1"/>
          <w:sz w:val="24"/>
          <w:szCs w:val="24"/>
        </w:rPr>
        <w:t>16</w:t>
      </w:r>
      <w:r w:rsidRPr="00FB3F03">
        <w:rPr>
          <w:rFonts w:ascii="Times New Roman" w:hAnsi="Times New Roman" w:cs="Times New Roman"/>
          <w:color w:val="000000" w:themeColor="text1"/>
          <w:sz w:val="24"/>
          <w:szCs w:val="24"/>
        </w:rPr>
        <w:t xml:space="preserve">(5), 591-610.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Kinney, J. M., &amp; Rentz, C. A. (2005). Observed well-being among individuals with dementia: Memories in the Making©, an art program, versus other structured activity. </w:t>
      </w:r>
      <w:r w:rsidRPr="00FB3F03">
        <w:rPr>
          <w:rFonts w:ascii="Times New Roman" w:hAnsi="Times New Roman" w:cs="Times New Roman"/>
          <w:i/>
          <w:color w:val="000000" w:themeColor="text1"/>
          <w:sz w:val="24"/>
          <w:szCs w:val="24"/>
        </w:rPr>
        <w:t>American Journal of Alzheimer's Disease and Other Dementias, 20</w:t>
      </w:r>
      <w:r w:rsidRPr="00FB3F03">
        <w:rPr>
          <w:rFonts w:ascii="Times New Roman" w:hAnsi="Times New Roman" w:cs="Times New Roman"/>
          <w:color w:val="000000" w:themeColor="text1"/>
          <w:sz w:val="24"/>
          <w:szCs w:val="24"/>
        </w:rPr>
        <w:t xml:space="preserve">(4), 220-227. </w:t>
      </w:r>
    </w:p>
    <w:p w:rsidR="00001324" w:rsidRPr="00FB3F03" w:rsidRDefault="00001324" w:rsidP="00001324">
      <w:pPr>
        <w:spacing w:after="0" w:line="240" w:lineRule="auto"/>
        <w:ind w:left="720" w:hanging="720"/>
        <w:contextualSpacing/>
        <w:rPr>
          <w:rFonts w:ascii="Times New Roman" w:eastAsia="Times New Roman" w:hAnsi="Times New Roman" w:cs="Times New Roman"/>
          <w:color w:val="000000" w:themeColor="text1"/>
          <w:sz w:val="24"/>
          <w:szCs w:val="24"/>
        </w:rPr>
      </w:pPr>
      <w:proofErr w:type="spellStart"/>
      <w:r w:rsidRPr="00FB3F03">
        <w:rPr>
          <w:rFonts w:ascii="Times New Roman" w:eastAsia="Times New Roman" w:hAnsi="Times New Roman" w:cs="Times New Roman"/>
          <w:color w:val="000000" w:themeColor="text1"/>
          <w:sz w:val="24"/>
          <w:szCs w:val="24"/>
        </w:rPr>
        <w:t>Kitwood</w:t>
      </w:r>
      <w:proofErr w:type="spellEnd"/>
      <w:r w:rsidRPr="00FB3F03">
        <w:rPr>
          <w:rFonts w:ascii="Times New Roman" w:eastAsia="Times New Roman" w:hAnsi="Times New Roman" w:cs="Times New Roman"/>
          <w:color w:val="000000" w:themeColor="text1"/>
          <w:sz w:val="24"/>
          <w:szCs w:val="24"/>
        </w:rPr>
        <w:t xml:space="preserve">, T. (1997). </w:t>
      </w:r>
      <w:r w:rsidRPr="00FB3F03">
        <w:rPr>
          <w:rFonts w:ascii="Times New Roman" w:eastAsia="Times New Roman" w:hAnsi="Times New Roman" w:cs="Times New Roman"/>
          <w:i/>
          <w:color w:val="000000" w:themeColor="text1"/>
          <w:sz w:val="24"/>
          <w:szCs w:val="24"/>
        </w:rPr>
        <w:t>Dementia reconsidered: The person comes first.</w:t>
      </w:r>
      <w:r w:rsidRPr="00FB3F03">
        <w:rPr>
          <w:rFonts w:ascii="Times New Roman" w:eastAsia="Times New Roman" w:hAnsi="Times New Roman" w:cs="Times New Roman"/>
          <w:color w:val="000000" w:themeColor="text1"/>
          <w:sz w:val="24"/>
          <w:szCs w:val="24"/>
        </w:rPr>
        <w:t xml:space="preserve"> Philadelphia, PA: Open University Press.</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Knapp, M., Thorgrimsen, L., Patel, A., Spector, A., Hallam, A., Woods, B., &amp; Orrell, M. (2006). Cognitive stimulation therapy for people with dementia: Cost-effectiveness analysis. </w:t>
      </w:r>
      <w:r w:rsidRPr="00FB3F03">
        <w:rPr>
          <w:rFonts w:ascii="Times New Roman" w:hAnsi="Times New Roman" w:cs="Times New Roman"/>
          <w:i/>
          <w:color w:val="000000" w:themeColor="text1"/>
          <w:sz w:val="24"/>
          <w:szCs w:val="24"/>
        </w:rPr>
        <w:t>The British Journal of Psychiatry, 188</w:t>
      </w:r>
      <w:r w:rsidRPr="00FB3F03">
        <w:rPr>
          <w:rFonts w:ascii="Times New Roman" w:hAnsi="Times New Roman" w:cs="Times New Roman"/>
          <w:color w:val="000000" w:themeColor="text1"/>
          <w:sz w:val="24"/>
          <w:szCs w:val="24"/>
        </w:rPr>
        <w:t xml:space="preserve">(6), 574-580.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Style w:val="Hyperlink"/>
          <w:rFonts w:ascii="Times New Roman" w:hAnsi="Times New Roman" w:cs="Times New Roman"/>
          <w:color w:val="000000" w:themeColor="text1"/>
          <w:sz w:val="24"/>
          <w:szCs w:val="24"/>
          <w:u w:val="none"/>
        </w:rPr>
        <w:t xml:space="preserve">Logsdon, R. G., Gibbons, L. E., McCurry, S. M., &amp; Teri, L. (2002). Assessing quality of life in older adults with cognitive impairment. </w:t>
      </w:r>
      <w:r w:rsidRPr="00FB3F03">
        <w:rPr>
          <w:rStyle w:val="Hyperlink"/>
          <w:rFonts w:ascii="Times New Roman" w:hAnsi="Times New Roman" w:cs="Times New Roman"/>
          <w:i/>
          <w:color w:val="000000" w:themeColor="text1"/>
          <w:sz w:val="24"/>
          <w:szCs w:val="24"/>
          <w:u w:val="none"/>
        </w:rPr>
        <w:t>Psychosomatic Medicine, 64</w:t>
      </w:r>
      <w:r w:rsidRPr="00FB3F03">
        <w:rPr>
          <w:rStyle w:val="Hyperlink"/>
          <w:rFonts w:ascii="Times New Roman" w:hAnsi="Times New Roman" w:cs="Times New Roman"/>
          <w:color w:val="000000" w:themeColor="text1"/>
          <w:sz w:val="24"/>
          <w:szCs w:val="24"/>
          <w:u w:val="none"/>
        </w:rPr>
        <w:t xml:space="preserve">(3), 510 - 519.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Losinski, M., Hughey, J., &amp; Maag, J. W. (2016). Therapeutic art: Integrating the visual arts into programming for students with emotional and behavioural disorders. </w:t>
      </w:r>
      <w:r w:rsidRPr="00FB3F03">
        <w:rPr>
          <w:rFonts w:ascii="Times New Roman" w:hAnsi="Times New Roman" w:cs="Times New Roman"/>
          <w:i/>
          <w:color w:val="000000" w:themeColor="text1"/>
          <w:sz w:val="24"/>
          <w:szCs w:val="24"/>
        </w:rPr>
        <w:t>Beyond Behaviour, 25,</w:t>
      </w:r>
      <w:r w:rsidRPr="00FB3F03">
        <w:rPr>
          <w:rFonts w:ascii="Times New Roman" w:hAnsi="Times New Roman" w:cs="Times New Roman"/>
          <w:color w:val="000000" w:themeColor="text1"/>
          <w:sz w:val="24"/>
          <w:szCs w:val="24"/>
        </w:rPr>
        <w:t xml:space="preserve"> 27 - 34.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MacPherson, S., Bird, M., Anderson, K., Davis, T., &amp; Blair, A. (2009). An art gallery access programme for people with dementia: 'you do it for the moment'. </w:t>
      </w:r>
      <w:r w:rsidRPr="00FB3F03">
        <w:rPr>
          <w:rFonts w:ascii="Times New Roman" w:hAnsi="Times New Roman" w:cs="Times New Roman"/>
          <w:i/>
          <w:color w:val="000000" w:themeColor="text1"/>
          <w:sz w:val="24"/>
          <w:szCs w:val="24"/>
        </w:rPr>
        <w:t>Aging &amp; Mental Health, 13</w:t>
      </w:r>
      <w:r w:rsidRPr="00FB3F03">
        <w:rPr>
          <w:rFonts w:ascii="Times New Roman" w:hAnsi="Times New Roman" w:cs="Times New Roman"/>
          <w:color w:val="000000" w:themeColor="text1"/>
          <w:sz w:val="24"/>
          <w:szCs w:val="24"/>
        </w:rPr>
        <w:t xml:space="preserve">(5), 744-752. </w:t>
      </w:r>
    </w:p>
    <w:p w:rsidR="002507D4" w:rsidRPr="00FB3F03" w:rsidRDefault="002507D4" w:rsidP="00001324">
      <w:pPr>
        <w:spacing w:after="0" w:line="360" w:lineRule="auto"/>
        <w:ind w:left="720" w:hanging="720"/>
        <w:jc w:val="both"/>
        <w:rPr>
          <w:rFonts w:ascii="Times New Roman" w:hAnsi="Times New Roman" w:cs="Times New Roman"/>
          <w:color w:val="000000" w:themeColor="text1"/>
          <w:sz w:val="24"/>
          <w:szCs w:val="24"/>
        </w:rPr>
      </w:pPr>
      <w:bookmarkStart w:id="8" w:name="_Hlk7086070"/>
      <w:r w:rsidRPr="00FB3F03">
        <w:rPr>
          <w:rFonts w:ascii="Times New Roman" w:hAnsi="Times New Roman" w:cs="Times New Roman"/>
          <w:color w:val="000000" w:themeColor="text1"/>
          <w:sz w:val="24"/>
          <w:szCs w:val="24"/>
        </w:rPr>
        <w:t xml:space="preserve">McDermott, O., Charlesworth, G., </w:t>
      </w:r>
      <w:proofErr w:type="spellStart"/>
      <w:r w:rsidRPr="00FB3F03">
        <w:rPr>
          <w:rFonts w:ascii="Times New Roman" w:hAnsi="Times New Roman" w:cs="Times New Roman"/>
          <w:color w:val="000000" w:themeColor="text1"/>
          <w:sz w:val="24"/>
          <w:szCs w:val="24"/>
        </w:rPr>
        <w:t>Hogervorst</w:t>
      </w:r>
      <w:proofErr w:type="spellEnd"/>
      <w:r w:rsidRPr="00FB3F03">
        <w:rPr>
          <w:rFonts w:ascii="Times New Roman" w:hAnsi="Times New Roman" w:cs="Times New Roman"/>
          <w:color w:val="000000" w:themeColor="text1"/>
          <w:sz w:val="24"/>
          <w:szCs w:val="24"/>
        </w:rPr>
        <w:t xml:space="preserve">, E., Stoner, C., Moniz-Cook, E., Spector, A., </w:t>
      </w:r>
      <w:r w:rsidR="00646534" w:rsidRPr="00FB3F03">
        <w:rPr>
          <w:rFonts w:ascii="Times New Roman" w:hAnsi="Times New Roman" w:cs="Times New Roman"/>
          <w:color w:val="000000" w:themeColor="text1"/>
          <w:sz w:val="24"/>
          <w:szCs w:val="24"/>
        </w:rPr>
        <w:t>. . .</w:t>
      </w:r>
      <w:r w:rsidR="009A3B7F" w:rsidRPr="00FB3F03">
        <w:rPr>
          <w:rFonts w:ascii="Times New Roman" w:hAnsi="Times New Roman" w:cs="Times New Roman"/>
          <w:color w:val="000000" w:themeColor="text1"/>
          <w:sz w:val="24"/>
          <w:szCs w:val="24"/>
        </w:rPr>
        <w:t xml:space="preserve"> </w:t>
      </w:r>
      <w:r w:rsidRPr="00FB3F03">
        <w:rPr>
          <w:rFonts w:ascii="Times New Roman" w:hAnsi="Times New Roman" w:cs="Times New Roman"/>
          <w:color w:val="000000" w:themeColor="text1"/>
          <w:sz w:val="24"/>
          <w:szCs w:val="24"/>
        </w:rPr>
        <w:t xml:space="preserve">Orrell, M. (2018). Psychosocial interventions for people with dementia: A synthesis of systematic reviews. </w:t>
      </w:r>
      <w:r w:rsidRPr="00FB3F03">
        <w:rPr>
          <w:rFonts w:ascii="Times New Roman" w:hAnsi="Times New Roman" w:cs="Times New Roman"/>
          <w:i/>
          <w:color w:val="000000" w:themeColor="text1"/>
          <w:sz w:val="24"/>
          <w:szCs w:val="24"/>
        </w:rPr>
        <w:t>Aging and Mental Health, 17</w:t>
      </w:r>
      <w:r w:rsidRPr="00FB3F03">
        <w:rPr>
          <w:rFonts w:ascii="Times New Roman" w:hAnsi="Times New Roman" w:cs="Times New Roman"/>
          <w:color w:val="000000" w:themeColor="text1"/>
          <w:sz w:val="24"/>
          <w:szCs w:val="24"/>
        </w:rPr>
        <w:t xml:space="preserve">, 1 –11. </w:t>
      </w:r>
    </w:p>
    <w:p w:rsidR="00001324" w:rsidRPr="00FB3F03" w:rsidRDefault="00001324" w:rsidP="00001324">
      <w:pPr>
        <w:spacing w:after="0" w:line="240" w:lineRule="auto"/>
        <w:ind w:left="720" w:hanging="720"/>
        <w:rPr>
          <w:rFonts w:ascii="Times New Roman" w:eastAsia="Times New Roman" w:hAnsi="Times New Roman" w:cs="Times New Roman"/>
          <w:color w:val="000000" w:themeColor="text1"/>
          <w:sz w:val="24"/>
          <w:szCs w:val="24"/>
        </w:rPr>
      </w:pPr>
      <w:r w:rsidRPr="00FB3F03">
        <w:rPr>
          <w:rStyle w:val="Hyperlink"/>
          <w:rFonts w:ascii="Times New Roman" w:hAnsi="Times New Roman" w:cs="Times New Roman"/>
          <w:color w:val="000000" w:themeColor="text1"/>
          <w:sz w:val="24"/>
          <w:szCs w:val="24"/>
          <w:u w:val="none"/>
        </w:rPr>
        <w:t xml:space="preserve">Me de Werd, M., </w:t>
      </w:r>
      <w:proofErr w:type="spellStart"/>
      <w:r w:rsidRPr="00FB3F03">
        <w:rPr>
          <w:rStyle w:val="Hyperlink"/>
          <w:rFonts w:ascii="Times New Roman" w:hAnsi="Times New Roman" w:cs="Times New Roman"/>
          <w:color w:val="000000" w:themeColor="text1"/>
          <w:sz w:val="24"/>
          <w:szCs w:val="24"/>
          <w:u w:val="none"/>
        </w:rPr>
        <w:t>Boelen</w:t>
      </w:r>
      <w:proofErr w:type="spellEnd"/>
      <w:r w:rsidRPr="00FB3F03">
        <w:rPr>
          <w:rStyle w:val="Hyperlink"/>
          <w:rFonts w:ascii="Times New Roman" w:hAnsi="Times New Roman" w:cs="Times New Roman"/>
          <w:color w:val="000000" w:themeColor="text1"/>
          <w:sz w:val="24"/>
          <w:szCs w:val="24"/>
          <w:u w:val="none"/>
        </w:rPr>
        <w:t xml:space="preserve">, D., Rikkert, M. G. M., &amp; Kessels, R. (2013). Errorless learning of everyday tasks in people with dementia. </w:t>
      </w:r>
      <w:r w:rsidRPr="00FB3F03">
        <w:rPr>
          <w:rStyle w:val="Hyperlink"/>
          <w:rFonts w:ascii="Times New Roman" w:hAnsi="Times New Roman" w:cs="Times New Roman"/>
          <w:i/>
          <w:color w:val="000000" w:themeColor="text1"/>
          <w:sz w:val="24"/>
          <w:szCs w:val="24"/>
          <w:u w:val="none"/>
        </w:rPr>
        <w:t>Journal of Clinical Interventions in Ageing, 8,</w:t>
      </w:r>
      <w:r w:rsidRPr="00FB3F03">
        <w:rPr>
          <w:rStyle w:val="Hyperlink"/>
          <w:rFonts w:ascii="Times New Roman" w:hAnsi="Times New Roman" w:cs="Times New Roman"/>
          <w:color w:val="000000" w:themeColor="text1"/>
          <w:sz w:val="24"/>
          <w:szCs w:val="24"/>
          <w:u w:val="none"/>
        </w:rPr>
        <w:t xml:space="preserve"> 1177 - 1190. </w:t>
      </w:r>
    </w:p>
    <w:bookmarkEnd w:id="8"/>
    <w:p w:rsidR="002507D4" w:rsidRPr="00FB3F03" w:rsidRDefault="002507D4" w:rsidP="00001324">
      <w:pPr>
        <w:pStyle w:val="EndNoteBibliography"/>
        <w:spacing w:after="0" w:line="360" w:lineRule="auto"/>
        <w:ind w:left="720" w:hanging="720"/>
        <w:rPr>
          <w:rFonts w:ascii="Times New Roman" w:eastAsia="Times New Roman" w:hAnsi="Times New Roman" w:cs="Times New Roman"/>
          <w:color w:val="000000" w:themeColor="text1"/>
          <w:sz w:val="24"/>
          <w:szCs w:val="24"/>
        </w:rPr>
      </w:pPr>
      <w:r w:rsidRPr="00FB3F03">
        <w:rPr>
          <w:rFonts w:ascii="Times New Roman" w:eastAsia="Times New Roman" w:hAnsi="Times New Roman" w:cs="Times New Roman"/>
          <w:color w:val="000000" w:themeColor="text1"/>
          <w:sz w:val="24"/>
          <w:szCs w:val="24"/>
        </w:rPr>
        <w:t xml:space="preserve">Medical Research Council (2006). </w:t>
      </w:r>
      <w:r w:rsidRPr="00FB3F03">
        <w:rPr>
          <w:rFonts w:ascii="Times New Roman" w:eastAsia="Times New Roman" w:hAnsi="Times New Roman" w:cs="Times New Roman"/>
          <w:i/>
          <w:color w:val="000000" w:themeColor="text1"/>
          <w:sz w:val="24"/>
          <w:szCs w:val="24"/>
        </w:rPr>
        <w:t>Developing and evaluating complex interventions.</w:t>
      </w:r>
      <w:r w:rsidRPr="00FB3F03">
        <w:rPr>
          <w:rFonts w:ascii="Times New Roman" w:eastAsia="Times New Roman" w:hAnsi="Times New Roman" w:cs="Times New Roman"/>
          <w:color w:val="000000" w:themeColor="text1"/>
          <w:sz w:val="24"/>
          <w:szCs w:val="24"/>
        </w:rPr>
        <w:t xml:space="preserve"> London, MRC.</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National Institute for Health and Clinical Excellence. (2006). </w:t>
      </w:r>
      <w:r w:rsidRPr="00FB3F03">
        <w:rPr>
          <w:rFonts w:ascii="Times New Roman" w:hAnsi="Times New Roman" w:cs="Times New Roman"/>
          <w:i/>
          <w:color w:val="000000" w:themeColor="text1"/>
          <w:sz w:val="24"/>
          <w:szCs w:val="24"/>
        </w:rPr>
        <w:t xml:space="preserve">Dementia: Supporting people with dementia and their carers in health and social care. </w:t>
      </w:r>
      <w:r w:rsidRPr="00FB3F03">
        <w:rPr>
          <w:rFonts w:ascii="Times New Roman" w:hAnsi="Times New Roman" w:cs="Times New Roman"/>
          <w:color w:val="000000" w:themeColor="text1"/>
          <w:sz w:val="24"/>
          <w:szCs w:val="24"/>
        </w:rPr>
        <w:t xml:space="preserve">Retrieved from </w:t>
      </w:r>
      <w:hyperlink r:id="rId11" w:history="1">
        <w:r w:rsidRPr="00FB3F03">
          <w:rPr>
            <w:rStyle w:val="Hyperlink"/>
            <w:rFonts w:ascii="Times New Roman" w:hAnsi="Times New Roman" w:cs="Times New Roman"/>
            <w:color w:val="000000" w:themeColor="text1"/>
            <w:sz w:val="24"/>
            <w:szCs w:val="24"/>
            <w:u w:val="none"/>
          </w:rPr>
          <w:t>https://www.nice.org.uk/guidance/cg42</w:t>
        </w:r>
      </w:hyperlink>
      <w:r w:rsidRPr="00FB3F03">
        <w:rPr>
          <w:rFonts w:ascii="Times New Roman" w:hAnsi="Times New Roman" w:cs="Times New Roman"/>
          <w:color w:val="000000" w:themeColor="text1"/>
          <w:sz w:val="24"/>
          <w:szCs w:val="24"/>
        </w:rPr>
        <w:t xml:space="preserve">.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O'Connor, D. W., Ames, D., Gardner, B., &amp; King, M. (2009). Psychosocial treatments of psychological symptoms in dementia: A systematic review of reports meeting quality standards.</w:t>
      </w:r>
      <w:r w:rsidRPr="00FB3F03">
        <w:rPr>
          <w:rFonts w:ascii="Times New Roman" w:hAnsi="Times New Roman" w:cs="Times New Roman"/>
          <w:i/>
          <w:color w:val="000000" w:themeColor="text1"/>
          <w:sz w:val="24"/>
          <w:szCs w:val="24"/>
        </w:rPr>
        <w:t xml:space="preserve"> International Psychogeriatrics, 21, </w:t>
      </w:r>
      <w:r w:rsidRPr="00FB3F03">
        <w:rPr>
          <w:rFonts w:ascii="Times New Roman" w:hAnsi="Times New Roman" w:cs="Times New Roman"/>
          <w:color w:val="000000" w:themeColor="text1"/>
          <w:sz w:val="24"/>
          <w:szCs w:val="24"/>
        </w:rPr>
        <w:t xml:space="preserve">241 - 251. </w:t>
      </w:r>
    </w:p>
    <w:p w:rsidR="002507D4" w:rsidRPr="00FB3F03" w:rsidRDefault="002507D4" w:rsidP="00001324">
      <w:pPr>
        <w:spacing w:after="0" w:line="360" w:lineRule="auto"/>
        <w:ind w:left="720" w:hanging="720"/>
        <w:jc w:val="both"/>
        <w:rPr>
          <w:rFonts w:ascii="Times New Roman" w:hAnsi="Times New Roman" w:cs="Times New Roman"/>
          <w:color w:val="000000" w:themeColor="text1"/>
          <w:sz w:val="24"/>
          <w:szCs w:val="24"/>
        </w:rPr>
      </w:pPr>
      <w:proofErr w:type="spellStart"/>
      <w:r w:rsidRPr="00FB3F03">
        <w:rPr>
          <w:rFonts w:ascii="Times New Roman" w:hAnsi="Times New Roman" w:cs="Times New Roman"/>
          <w:color w:val="000000" w:themeColor="text1"/>
          <w:sz w:val="24"/>
          <w:szCs w:val="24"/>
        </w:rPr>
        <w:t>Oyebode</w:t>
      </w:r>
      <w:proofErr w:type="spellEnd"/>
      <w:r w:rsidRPr="00FB3F03">
        <w:rPr>
          <w:rFonts w:ascii="Times New Roman" w:hAnsi="Times New Roman" w:cs="Times New Roman"/>
          <w:color w:val="000000" w:themeColor="text1"/>
          <w:sz w:val="24"/>
          <w:szCs w:val="24"/>
        </w:rPr>
        <w:t xml:space="preserve">, J. R., &amp; Parveen, S. (2019). Psychosocial interventions for people with dementia: An overview and commentary on recent developments. </w:t>
      </w:r>
      <w:r w:rsidRPr="00FB3F03">
        <w:rPr>
          <w:rFonts w:ascii="Times New Roman" w:hAnsi="Times New Roman" w:cs="Times New Roman"/>
          <w:i/>
          <w:color w:val="000000" w:themeColor="text1"/>
          <w:sz w:val="24"/>
          <w:szCs w:val="24"/>
        </w:rPr>
        <w:t>Dementia, 18</w:t>
      </w:r>
      <w:r w:rsidRPr="00FB3F03">
        <w:rPr>
          <w:rFonts w:ascii="Times New Roman" w:hAnsi="Times New Roman" w:cs="Times New Roman"/>
          <w:color w:val="000000" w:themeColor="text1"/>
          <w:sz w:val="24"/>
          <w:szCs w:val="24"/>
        </w:rPr>
        <w:t xml:space="preserve">(1), 8 – 35. </w:t>
      </w:r>
    </w:p>
    <w:p w:rsidR="00001324" w:rsidRPr="00FB3F03" w:rsidRDefault="00001324" w:rsidP="00001324">
      <w:pPr>
        <w:pStyle w:val="EndNoteBibliography"/>
        <w:spacing w:after="0"/>
        <w:ind w:left="720" w:hanging="720"/>
        <w:rPr>
          <w:rFonts w:ascii="Times New Roman" w:hAnsi="Times New Roman" w:cs="Times New Roman"/>
          <w:color w:val="000000" w:themeColor="text1"/>
          <w:sz w:val="24"/>
          <w:szCs w:val="24"/>
        </w:rPr>
      </w:pPr>
      <w:bookmarkStart w:id="9" w:name="_Hlk7086096"/>
      <w:r w:rsidRPr="00FB3F03">
        <w:rPr>
          <w:rFonts w:ascii="Times New Roman" w:hAnsi="Times New Roman" w:cs="Times New Roman"/>
          <w:color w:val="000000" w:themeColor="text1"/>
          <w:sz w:val="24"/>
          <w:szCs w:val="24"/>
        </w:rPr>
        <w:t xml:space="preserve">Pielech, M., Sieberg, C. B., &amp; Simons, L. E. (2013). Connecting parents of children with chronic pain through art therapy. </w:t>
      </w:r>
      <w:r w:rsidRPr="00FB3F03">
        <w:rPr>
          <w:rFonts w:ascii="Times New Roman" w:hAnsi="Times New Roman" w:cs="Times New Roman"/>
          <w:i/>
          <w:color w:val="000000" w:themeColor="text1"/>
          <w:sz w:val="24"/>
          <w:szCs w:val="24"/>
        </w:rPr>
        <w:t>Clinical Practice in Pediatric Psychology, 1</w:t>
      </w:r>
      <w:r w:rsidRPr="00FB3F03">
        <w:rPr>
          <w:rFonts w:ascii="Times New Roman" w:hAnsi="Times New Roman" w:cs="Times New Roman"/>
          <w:color w:val="000000" w:themeColor="text1"/>
          <w:sz w:val="24"/>
          <w:szCs w:val="24"/>
        </w:rPr>
        <w:t xml:space="preserve">(3), 214 - 226. </w:t>
      </w:r>
    </w:p>
    <w:bookmarkEnd w:id="9"/>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Pluye, P., Robert, E., Cargo, M., Barlett, G., O'Cathain, A., Griffiths, F.,</w:t>
      </w:r>
      <w:r w:rsidR="009A3B7F" w:rsidRPr="00FB3F03">
        <w:rPr>
          <w:rFonts w:ascii="Times New Roman" w:hAnsi="Times New Roman" w:cs="Times New Roman"/>
          <w:color w:val="000000" w:themeColor="text1"/>
          <w:sz w:val="24"/>
          <w:szCs w:val="24"/>
        </w:rPr>
        <w:t xml:space="preserve"> </w:t>
      </w:r>
      <w:r w:rsidR="00C10363" w:rsidRPr="00FB3F03">
        <w:rPr>
          <w:rFonts w:ascii="Times New Roman" w:hAnsi="Times New Roman" w:cs="Times New Roman"/>
          <w:color w:val="000000" w:themeColor="text1"/>
          <w:sz w:val="24"/>
          <w:szCs w:val="24"/>
        </w:rPr>
        <w:t>. . .</w:t>
      </w:r>
      <w:r w:rsidR="009A3B7F" w:rsidRPr="00FB3F03">
        <w:rPr>
          <w:rFonts w:ascii="Times New Roman" w:hAnsi="Times New Roman" w:cs="Times New Roman"/>
          <w:color w:val="000000" w:themeColor="text1"/>
          <w:sz w:val="24"/>
          <w:szCs w:val="24"/>
        </w:rPr>
        <w:t xml:space="preserve"> </w:t>
      </w:r>
      <w:r w:rsidRPr="00FB3F03">
        <w:rPr>
          <w:rFonts w:ascii="Times New Roman" w:hAnsi="Times New Roman" w:cs="Times New Roman"/>
          <w:color w:val="000000" w:themeColor="text1"/>
          <w:sz w:val="24"/>
          <w:szCs w:val="24"/>
        </w:rPr>
        <w:t xml:space="preserve">Rousseau, M. C. (2011). </w:t>
      </w:r>
      <w:r w:rsidRPr="00FB3F03">
        <w:rPr>
          <w:rFonts w:ascii="Times New Roman" w:hAnsi="Times New Roman" w:cs="Times New Roman"/>
          <w:i/>
          <w:color w:val="000000" w:themeColor="text1"/>
          <w:sz w:val="24"/>
          <w:szCs w:val="24"/>
        </w:rPr>
        <w:t>Proposal: A mixed methods appraisal tool for systematic mixed studies reviews.</w:t>
      </w:r>
      <w:r w:rsidRPr="00FB3F03">
        <w:rPr>
          <w:rFonts w:ascii="Times New Roman" w:hAnsi="Times New Roman" w:cs="Times New Roman"/>
          <w:color w:val="000000" w:themeColor="text1"/>
          <w:sz w:val="24"/>
          <w:szCs w:val="24"/>
        </w:rPr>
        <w:t xml:space="preserve">   Retrieved from </w:t>
      </w:r>
      <w:hyperlink r:id="rId12" w:history="1">
        <w:r w:rsidRPr="00FB3F03">
          <w:rPr>
            <w:rStyle w:val="Hyperlink"/>
            <w:rFonts w:ascii="Times New Roman" w:hAnsi="Times New Roman" w:cs="Times New Roman"/>
            <w:color w:val="000000" w:themeColor="text1"/>
            <w:sz w:val="24"/>
            <w:szCs w:val="24"/>
            <w:u w:val="none"/>
          </w:rPr>
          <w:t>http://mixedmethodsappraisaltoolpublic.pbworks.com</w:t>
        </w:r>
      </w:hyperlink>
      <w:r w:rsidRPr="00FB3F03">
        <w:rPr>
          <w:rFonts w:ascii="Times New Roman" w:hAnsi="Times New Roman" w:cs="Times New Roman"/>
          <w:color w:val="000000" w:themeColor="text1"/>
          <w:sz w:val="24"/>
          <w:szCs w:val="24"/>
        </w:rPr>
        <w:t xml:space="preserve">.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Pöllänen, S. H., &amp; Hirsimäki, R. M. (2014). Crafts as memory triggers in reminiscence: A case study of older women with dementia. </w:t>
      </w:r>
      <w:r w:rsidRPr="00FB3F03">
        <w:rPr>
          <w:rFonts w:ascii="Times New Roman" w:hAnsi="Times New Roman" w:cs="Times New Roman"/>
          <w:i/>
          <w:color w:val="000000" w:themeColor="text1"/>
          <w:sz w:val="24"/>
          <w:szCs w:val="24"/>
        </w:rPr>
        <w:t>Occupational Therapy In Health Care, 28</w:t>
      </w:r>
      <w:r w:rsidRPr="00FB3F03">
        <w:rPr>
          <w:rFonts w:ascii="Times New Roman" w:hAnsi="Times New Roman" w:cs="Times New Roman"/>
          <w:color w:val="000000" w:themeColor="text1"/>
          <w:sz w:val="24"/>
          <w:szCs w:val="24"/>
        </w:rPr>
        <w:t>(4), 410-430.</w:t>
      </w:r>
    </w:p>
    <w:p w:rsidR="002507D4" w:rsidRPr="00FB3F03" w:rsidRDefault="002507D4" w:rsidP="00001324">
      <w:pPr>
        <w:spacing w:after="0" w:line="360" w:lineRule="auto"/>
        <w:ind w:left="720" w:hanging="720"/>
        <w:jc w:val="both"/>
        <w:rPr>
          <w:rFonts w:ascii="Times New Roman" w:hAnsi="Times New Roman" w:cs="Times New Roman"/>
          <w:color w:val="000000" w:themeColor="text1"/>
          <w:sz w:val="24"/>
          <w:szCs w:val="24"/>
        </w:rPr>
      </w:pPr>
      <w:bookmarkStart w:id="10" w:name="_Hlk7086115"/>
      <w:r w:rsidRPr="00FB3F03">
        <w:rPr>
          <w:rFonts w:ascii="Times New Roman" w:hAnsi="Times New Roman" w:cs="Times New Roman"/>
          <w:color w:val="000000" w:themeColor="text1"/>
          <w:sz w:val="24"/>
          <w:szCs w:val="24"/>
        </w:rPr>
        <w:t xml:space="preserve">Potash, J. S., Ho, R. T., Chick, J. K., &amp; Au Yeung, F. S. (2013). Viewing and engaging in an art therapy: Exhibit by people living with mental illness: Implications for empathy and social change. </w:t>
      </w:r>
      <w:r w:rsidRPr="00FB3F03">
        <w:rPr>
          <w:rFonts w:ascii="Times New Roman" w:hAnsi="Times New Roman" w:cs="Times New Roman"/>
          <w:i/>
          <w:color w:val="000000" w:themeColor="text1"/>
          <w:sz w:val="24"/>
          <w:szCs w:val="24"/>
        </w:rPr>
        <w:t>Public Health, 127</w:t>
      </w:r>
      <w:r w:rsidRPr="00FB3F03">
        <w:rPr>
          <w:rFonts w:ascii="Times New Roman" w:hAnsi="Times New Roman" w:cs="Times New Roman"/>
          <w:color w:val="000000" w:themeColor="text1"/>
          <w:sz w:val="24"/>
          <w:szCs w:val="24"/>
        </w:rPr>
        <w:t xml:space="preserve">(8), 735 – 744. </w:t>
      </w:r>
    </w:p>
    <w:bookmarkEnd w:id="10"/>
    <w:p w:rsidR="002507D4" w:rsidRPr="00FB3F03" w:rsidRDefault="002507D4" w:rsidP="00001324">
      <w:pPr>
        <w:spacing w:after="0" w:line="360" w:lineRule="auto"/>
        <w:ind w:left="720" w:hanging="720"/>
        <w:contextualSpacing/>
        <w:rPr>
          <w:rFonts w:ascii="Times New Roman" w:eastAsia="Times New Roman" w:hAnsi="Times New Roman" w:cs="Times New Roman"/>
          <w:color w:val="000000" w:themeColor="text1"/>
          <w:sz w:val="24"/>
          <w:szCs w:val="24"/>
        </w:rPr>
      </w:pPr>
      <w:r w:rsidRPr="00FB3F03">
        <w:rPr>
          <w:rFonts w:ascii="Times New Roman" w:eastAsia="Times New Roman" w:hAnsi="Times New Roman" w:cs="Times New Roman"/>
          <w:color w:val="000000" w:themeColor="text1"/>
          <w:sz w:val="24"/>
          <w:szCs w:val="24"/>
        </w:rPr>
        <w:t xml:space="preserve">Prince, M., </w:t>
      </w:r>
      <w:proofErr w:type="spellStart"/>
      <w:r w:rsidRPr="00FB3F03">
        <w:rPr>
          <w:rFonts w:ascii="Times New Roman" w:eastAsia="Times New Roman" w:hAnsi="Times New Roman" w:cs="Times New Roman"/>
          <w:color w:val="000000" w:themeColor="text1"/>
          <w:sz w:val="24"/>
          <w:szCs w:val="24"/>
        </w:rPr>
        <w:t>Guerchet</w:t>
      </w:r>
      <w:proofErr w:type="spellEnd"/>
      <w:r w:rsidRPr="00FB3F03">
        <w:rPr>
          <w:rFonts w:ascii="Times New Roman" w:eastAsia="Times New Roman" w:hAnsi="Times New Roman" w:cs="Times New Roman"/>
          <w:color w:val="000000" w:themeColor="text1"/>
          <w:sz w:val="24"/>
          <w:szCs w:val="24"/>
        </w:rPr>
        <w:t xml:space="preserve">, M., &amp; </w:t>
      </w:r>
      <w:proofErr w:type="spellStart"/>
      <w:r w:rsidRPr="00FB3F03">
        <w:rPr>
          <w:rFonts w:ascii="Times New Roman" w:eastAsia="Times New Roman" w:hAnsi="Times New Roman" w:cs="Times New Roman"/>
          <w:color w:val="000000" w:themeColor="text1"/>
          <w:sz w:val="24"/>
          <w:szCs w:val="24"/>
        </w:rPr>
        <w:t>Prina</w:t>
      </w:r>
      <w:proofErr w:type="spellEnd"/>
      <w:r w:rsidRPr="00FB3F03">
        <w:rPr>
          <w:rFonts w:ascii="Times New Roman" w:eastAsia="Times New Roman" w:hAnsi="Times New Roman" w:cs="Times New Roman"/>
          <w:color w:val="000000" w:themeColor="text1"/>
          <w:sz w:val="24"/>
          <w:szCs w:val="24"/>
        </w:rPr>
        <w:t xml:space="preserve">, M. (2013). </w:t>
      </w:r>
      <w:r w:rsidRPr="00FB3F03">
        <w:rPr>
          <w:rFonts w:ascii="Times New Roman" w:eastAsia="Times New Roman" w:hAnsi="Times New Roman" w:cs="Times New Roman"/>
          <w:i/>
          <w:color w:val="000000" w:themeColor="text1"/>
          <w:sz w:val="24"/>
          <w:szCs w:val="24"/>
        </w:rPr>
        <w:t>The Global Impact of Dementia 2013-2050</w:t>
      </w:r>
      <w:r w:rsidRPr="00FB3F03">
        <w:rPr>
          <w:rFonts w:ascii="Times New Roman" w:eastAsia="Times New Roman" w:hAnsi="Times New Roman" w:cs="Times New Roman"/>
          <w:color w:val="000000" w:themeColor="text1"/>
          <w:sz w:val="24"/>
          <w:szCs w:val="24"/>
        </w:rPr>
        <w:t xml:space="preserve">. London: Alzheimer’s disease International. </w:t>
      </w:r>
    </w:p>
    <w:p w:rsidR="00001324" w:rsidRPr="00FB3F03" w:rsidRDefault="00001324" w:rsidP="00001324">
      <w:pPr>
        <w:spacing w:after="0" w:line="240" w:lineRule="auto"/>
        <w:ind w:left="720" w:hanging="720"/>
        <w:rPr>
          <w:rFonts w:ascii="Times New Roman" w:eastAsia="Times New Roman" w:hAnsi="Times New Roman" w:cs="Times New Roman"/>
          <w:color w:val="000000" w:themeColor="text1"/>
          <w:sz w:val="24"/>
          <w:szCs w:val="24"/>
        </w:rPr>
      </w:pPr>
      <w:r w:rsidRPr="00FB3F03">
        <w:rPr>
          <w:rFonts w:ascii="Times New Roman" w:eastAsia="Times New Roman" w:hAnsi="Times New Roman" w:cs="Times New Roman"/>
          <w:color w:val="000000" w:themeColor="text1"/>
          <w:sz w:val="24"/>
          <w:szCs w:val="24"/>
        </w:rPr>
        <w:t xml:space="preserve">Rao, D., </w:t>
      </w:r>
      <w:proofErr w:type="spellStart"/>
      <w:r w:rsidRPr="00FB3F03">
        <w:rPr>
          <w:rFonts w:ascii="Times New Roman" w:eastAsia="Times New Roman" w:hAnsi="Times New Roman" w:cs="Times New Roman"/>
          <w:color w:val="000000" w:themeColor="text1"/>
          <w:sz w:val="24"/>
          <w:szCs w:val="24"/>
        </w:rPr>
        <w:t>Nainis</w:t>
      </w:r>
      <w:proofErr w:type="spellEnd"/>
      <w:r w:rsidRPr="00FB3F03">
        <w:rPr>
          <w:rFonts w:ascii="Times New Roman" w:eastAsia="Times New Roman" w:hAnsi="Times New Roman" w:cs="Times New Roman"/>
          <w:color w:val="000000" w:themeColor="text1"/>
          <w:sz w:val="24"/>
          <w:szCs w:val="24"/>
        </w:rPr>
        <w:t xml:space="preserve">, N., Williams, L., </w:t>
      </w:r>
      <w:proofErr w:type="spellStart"/>
      <w:r w:rsidRPr="00FB3F03">
        <w:rPr>
          <w:rFonts w:ascii="Times New Roman" w:eastAsia="Times New Roman" w:hAnsi="Times New Roman" w:cs="Times New Roman"/>
          <w:color w:val="000000" w:themeColor="text1"/>
          <w:sz w:val="24"/>
          <w:szCs w:val="24"/>
        </w:rPr>
        <w:t>Langner</w:t>
      </w:r>
      <w:proofErr w:type="spellEnd"/>
      <w:r w:rsidRPr="00FB3F03">
        <w:rPr>
          <w:rFonts w:ascii="Times New Roman" w:eastAsia="Times New Roman" w:hAnsi="Times New Roman" w:cs="Times New Roman"/>
          <w:color w:val="000000" w:themeColor="text1"/>
          <w:sz w:val="24"/>
          <w:szCs w:val="24"/>
        </w:rPr>
        <w:t xml:space="preserve">, D., </w:t>
      </w:r>
      <w:proofErr w:type="spellStart"/>
      <w:r w:rsidRPr="00FB3F03">
        <w:rPr>
          <w:rFonts w:ascii="Times New Roman" w:eastAsia="Times New Roman" w:hAnsi="Times New Roman" w:cs="Times New Roman"/>
          <w:color w:val="000000" w:themeColor="text1"/>
          <w:sz w:val="24"/>
          <w:szCs w:val="24"/>
        </w:rPr>
        <w:t>Eisin</w:t>
      </w:r>
      <w:proofErr w:type="spellEnd"/>
      <w:r w:rsidRPr="00FB3F03">
        <w:rPr>
          <w:rFonts w:ascii="Times New Roman" w:eastAsia="Times New Roman" w:hAnsi="Times New Roman" w:cs="Times New Roman"/>
          <w:color w:val="000000" w:themeColor="text1"/>
          <w:sz w:val="24"/>
          <w:szCs w:val="24"/>
        </w:rPr>
        <w:t xml:space="preserve">, A., &amp; </w:t>
      </w:r>
      <w:proofErr w:type="spellStart"/>
      <w:r w:rsidRPr="00FB3F03">
        <w:rPr>
          <w:rFonts w:ascii="Times New Roman" w:eastAsia="Times New Roman" w:hAnsi="Times New Roman" w:cs="Times New Roman"/>
          <w:color w:val="000000" w:themeColor="text1"/>
          <w:sz w:val="24"/>
          <w:szCs w:val="24"/>
        </w:rPr>
        <w:t>Paice</w:t>
      </w:r>
      <w:proofErr w:type="spellEnd"/>
      <w:r w:rsidRPr="00FB3F03">
        <w:rPr>
          <w:rFonts w:ascii="Times New Roman" w:eastAsia="Times New Roman" w:hAnsi="Times New Roman" w:cs="Times New Roman"/>
          <w:color w:val="000000" w:themeColor="text1"/>
          <w:sz w:val="24"/>
          <w:szCs w:val="24"/>
        </w:rPr>
        <w:t xml:space="preserve">, J. (2009). Art therapy for relief of symptoms associated with HIV/AIDS. </w:t>
      </w:r>
      <w:r w:rsidRPr="00FB3F03">
        <w:rPr>
          <w:rFonts w:ascii="Times New Roman" w:eastAsia="Times New Roman" w:hAnsi="Times New Roman" w:cs="Times New Roman"/>
          <w:i/>
          <w:color w:val="000000" w:themeColor="text1"/>
          <w:sz w:val="24"/>
          <w:szCs w:val="24"/>
        </w:rPr>
        <w:t xml:space="preserve">AIDS Care, 21, </w:t>
      </w:r>
      <w:r w:rsidRPr="00FB3F03">
        <w:rPr>
          <w:rFonts w:ascii="Times New Roman" w:eastAsia="Times New Roman" w:hAnsi="Times New Roman" w:cs="Times New Roman"/>
          <w:color w:val="000000" w:themeColor="text1"/>
          <w:sz w:val="24"/>
          <w:szCs w:val="24"/>
        </w:rPr>
        <w:t xml:space="preserve">64 - 69.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Rentz, C. A. (2002). Memories in the Making©: Outcome-based evaluation of an art program for individuals with dementing illnesses. </w:t>
      </w:r>
      <w:r w:rsidRPr="00FB3F03">
        <w:rPr>
          <w:rFonts w:ascii="Times New Roman" w:hAnsi="Times New Roman" w:cs="Times New Roman"/>
          <w:i/>
          <w:color w:val="000000" w:themeColor="text1"/>
          <w:sz w:val="24"/>
          <w:szCs w:val="24"/>
        </w:rPr>
        <w:t>American Journal of Alzheimer's Disease and Other Dementias, 17</w:t>
      </w:r>
      <w:r w:rsidRPr="00FB3F03">
        <w:rPr>
          <w:rFonts w:ascii="Times New Roman" w:hAnsi="Times New Roman" w:cs="Times New Roman"/>
          <w:color w:val="000000" w:themeColor="text1"/>
          <w:sz w:val="24"/>
          <w:szCs w:val="24"/>
        </w:rPr>
        <w:t xml:space="preserve">(3), 175-181.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Rifkin, A. (2007). Randomized Controlled Trials and Psychotherapy Research. </w:t>
      </w:r>
      <w:r w:rsidRPr="00FB3F03">
        <w:rPr>
          <w:rFonts w:ascii="Times New Roman" w:hAnsi="Times New Roman" w:cs="Times New Roman"/>
          <w:i/>
          <w:color w:val="000000" w:themeColor="text1"/>
          <w:sz w:val="24"/>
          <w:szCs w:val="24"/>
        </w:rPr>
        <w:t>American Journal of Psychiatry, 164</w:t>
      </w:r>
      <w:r w:rsidRPr="00FB3F03">
        <w:rPr>
          <w:rFonts w:ascii="Times New Roman" w:hAnsi="Times New Roman" w:cs="Times New Roman"/>
          <w:color w:val="000000" w:themeColor="text1"/>
          <w:sz w:val="24"/>
          <w:szCs w:val="24"/>
        </w:rPr>
        <w:t xml:space="preserve">(1), 7-8.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Roe, B., McCormick, S., Lucas, T., Gallagher, W., Win, A., &amp; Elkin, S. (2016). Coffee, cake and culture: Evaluation of an art for health programme for older people in the community. </w:t>
      </w:r>
      <w:r w:rsidRPr="00FB3F03">
        <w:rPr>
          <w:rFonts w:ascii="Times New Roman" w:hAnsi="Times New Roman" w:cs="Times New Roman"/>
          <w:i/>
          <w:color w:val="000000" w:themeColor="text1"/>
          <w:sz w:val="24"/>
          <w:szCs w:val="24"/>
        </w:rPr>
        <w:t>Dementia, 15,</w:t>
      </w:r>
      <w:r w:rsidRPr="00FB3F03">
        <w:rPr>
          <w:rFonts w:ascii="Times New Roman" w:hAnsi="Times New Roman" w:cs="Times New Roman"/>
          <w:color w:val="000000" w:themeColor="text1"/>
          <w:sz w:val="24"/>
          <w:szCs w:val="24"/>
        </w:rPr>
        <w:t xml:space="preserve"> 539 - 559.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Rusted, J., Sheppard, L., &amp; Waller, D. (2006). A Multi-centre Randomized Control Group Trial on the Use of Art Therapy for Older People with Dementia. </w:t>
      </w:r>
      <w:r w:rsidRPr="00FB3F03">
        <w:rPr>
          <w:rFonts w:ascii="Times New Roman" w:hAnsi="Times New Roman" w:cs="Times New Roman"/>
          <w:i/>
          <w:color w:val="000000" w:themeColor="text1"/>
          <w:sz w:val="24"/>
          <w:szCs w:val="24"/>
        </w:rPr>
        <w:t>Group Analysis, 39</w:t>
      </w:r>
      <w:r w:rsidRPr="00FB3F03">
        <w:rPr>
          <w:rFonts w:ascii="Times New Roman" w:hAnsi="Times New Roman" w:cs="Times New Roman"/>
          <w:color w:val="000000" w:themeColor="text1"/>
          <w:sz w:val="24"/>
          <w:szCs w:val="24"/>
        </w:rPr>
        <w:t xml:space="preserve">(4), 517-536.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Sauer, P. E., Fopma-Loy, J., Kinney, J. M., &amp; Lokon, E. (2016). 'It makes me feel like myself': Person-centered versus traditional visual arts activities for people with dementia. </w:t>
      </w:r>
      <w:r w:rsidRPr="00FB3F03">
        <w:rPr>
          <w:rFonts w:ascii="Times New Roman" w:hAnsi="Times New Roman" w:cs="Times New Roman"/>
          <w:i/>
          <w:color w:val="000000" w:themeColor="text1"/>
          <w:sz w:val="24"/>
          <w:szCs w:val="24"/>
        </w:rPr>
        <w:t>Dementia, 15</w:t>
      </w:r>
      <w:r w:rsidRPr="00FB3F03">
        <w:rPr>
          <w:rFonts w:ascii="Times New Roman" w:hAnsi="Times New Roman" w:cs="Times New Roman"/>
          <w:color w:val="000000" w:themeColor="text1"/>
          <w:sz w:val="24"/>
          <w:szCs w:val="24"/>
        </w:rPr>
        <w:t xml:space="preserve">(5), 895-912.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Style w:val="Hyperlink"/>
          <w:rFonts w:ascii="Times New Roman" w:hAnsi="Times New Roman" w:cs="Times New Roman"/>
          <w:color w:val="000000" w:themeColor="text1"/>
          <w:sz w:val="24"/>
          <w:szCs w:val="24"/>
          <w:u w:val="none"/>
        </w:rPr>
        <w:lastRenderedPageBreak/>
        <w:t xml:space="preserve">Sörensen, S., Pinquart, M., &amp; Duberstein, P. (2002). How effective are interventions with caregivers? An updated meta-analysis. </w:t>
      </w:r>
      <w:r w:rsidR="00646534" w:rsidRPr="00FB3F03">
        <w:rPr>
          <w:rStyle w:val="Hyperlink"/>
          <w:rFonts w:ascii="Times New Roman" w:hAnsi="Times New Roman" w:cs="Times New Roman"/>
          <w:i/>
          <w:color w:val="000000" w:themeColor="text1"/>
          <w:sz w:val="24"/>
          <w:szCs w:val="24"/>
          <w:u w:val="none"/>
        </w:rPr>
        <w:t xml:space="preserve">The </w:t>
      </w:r>
      <w:r w:rsidRPr="00FB3F03">
        <w:rPr>
          <w:rStyle w:val="Hyperlink"/>
          <w:rFonts w:ascii="Times New Roman" w:hAnsi="Times New Roman" w:cs="Times New Roman"/>
          <w:i/>
          <w:color w:val="000000" w:themeColor="text1"/>
          <w:sz w:val="24"/>
          <w:szCs w:val="24"/>
          <w:u w:val="none"/>
        </w:rPr>
        <w:t>Gerontologist, 42,</w:t>
      </w:r>
      <w:r w:rsidRPr="00FB3F03">
        <w:rPr>
          <w:rStyle w:val="Hyperlink"/>
          <w:rFonts w:ascii="Times New Roman" w:hAnsi="Times New Roman" w:cs="Times New Roman"/>
          <w:color w:val="000000" w:themeColor="text1"/>
          <w:sz w:val="24"/>
          <w:szCs w:val="24"/>
          <w:u w:val="none"/>
        </w:rPr>
        <w:t xml:space="preserve"> 356 - 372.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Sudha, S., Miller, L., Thomas, E. H., &amp; Chia, E. (2013). A picture is worth a thousand words: Evaluation of the ARTmail Senior Art Project among seniors with cognitive limitations in North Carolina. In R. M. Caron, J. Merrick, R. M. Caron, &amp; J. Merrick (Eds.), </w:t>
      </w:r>
      <w:r w:rsidRPr="00FB3F03">
        <w:rPr>
          <w:rFonts w:ascii="Times New Roman" w:hAnsi="Times New Roman" w:cs="Times New Roman"/>
          <w:i/>
          <w:color w:val="000000" w:themeColor="text1"/>
          <w:sz w:val="24"/>
          <w:szCs w:val="24"/>
        </w:rPr>
        <w:t>Building community capacity: Case examples from around the world.</w:t>
      </w:r>
      <w:r w:rsidRPr="00FB3F03">
        <w:rPr>
          <w:rFonts w:ascii="Times New Roman" w:hAnsi="Times New Roman" w:cs="Times New Roman"/>
          <w:color w:val="000000" w:themeColor="text1"/>
          <w:sz w:val="24"/>
          <w:szCs w:val="24"/>
        </w:rPr>
        <w:t xml:space="preserve"> (pp. 151-164). Hauppauge, NY, US: Nova Biomedical Books.</w:t>
      </w:r>
    </w:p>
    <w:p w:rsidR="00C10363"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Tietyen, A. C., &amp; Richards, A. G. (2017). A Visual Arts Education pedagogical approach for enhancing quality of life for persons with dementia (innovative practice). </w:t>
      </w:r>
      <w:r w:rsidRPr="00FB3F03">
        <w:rPr>
          <w:rFonts w:ascii="Times New Roman" w:hAnsi="Times New Roman" w:cs="Times New Roman"/>
          <w:i/>
          <w:color w:val="000000" w:themeColor="text1"/>
          <w:sz w:val="24"/>
          <w:szCs w:val="24"/>
        </w:rPr>
        <w:t>Dementia</w:t>
      </w:r>
      <w:r w:rsidR="00C10363" w:rsidRPr="00FB3F03">
        <w:rPr>
          <w:rFonts w:ascii="Times New Roman" w:hAnsi="Times New Roman" w:cs="Times New Roman"/>
          <w:i/>
          <w:color w:val="000000" w:themeColor="text1"/>
          <w:sz w:val="24"/>
          <w:szCs w:val="24"/>
        </w:rPr>
        <w:t xml:space="preserve">. </w:t>
      </w:r>
      <w:r w:rsidR="00C10363" w:rsidRPr="00FB3F03">
        <w:rPr>
          <w:rFonts w:ascii="Times New Roman" w:hAnsi="Times New Roman" w:cs="Times New Roman"/>
          <w:color w:val="000000" w:themeColor="text1"/>
          <w:sz w:val="24"/>
          <w:szCs w:val="24"/>
        </w:rPr>
        <w:t>Retrieved from https://journals.sagepub.com/doi/abs/10.1177/1471301217726612?journalCode=dema</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Tietyen, A. C., Richards, A. G., Jicha, G. A., Bardach, S. H., Schmitt, F. A., Fardo, D. W., </w:t>
      </w:r>
      <w:r w:rsidR="00C10363" w:rsidRPr="00FB3F03">
        <w:rPr>
          <w:rFonts w:ascii="Times New Roman" w:hAnsi="Times New Roman" w:cs="Times New Roman"/>
          <w:color w:val="000000" w:themeColor="text1"/>
          <w:sz w:val="24"/>
          <w:szCs w:val="24"/>
        </w:rPr>
        <w:t>. . .</w:t>
      </w:r>
      <w:r w:rsidRPr="00FB3F03">
        <w:rPr>
          <w:rFonts w:ascii="Times New Roman" w:hAnsi="Times New Roman" w:cs="Times New Roman"/>
          <w:color w:val="000000" w:themeColor="text1"/>
          <w:sz w:val="24"/>
          <w:szCs w:val="24"/>
        </w:rPr>
        <w:t xml:space="preserve"> Abner, E. L. (2018). Visual arts education improves self-esteem for persons with dementia and reduces caregiver burden: A randomised controlled trial. </w:t>
      </w:r>
      <w:r w:rsidRPr="00FB3F03">
        <w:rPr>
          <w:rFonts w:ascii="Times New Roman" w:hAnsi="Times New Roman" w:cs="Times New Roman"/>
          <w:i/>
          <w:color w:val="000000" w:themeColor="text1"/>
          <w:sz w:val="24"/>
          <w:szCs w:val="24"/>
        </w:rPr>
        <w:t>Dementia</w:t>
      </w:r>
      <w:r w:rsidR="00C10363" w:rsidRPr="00FB3F03">
        <w:rPr>
          <w:rFonts w:ascii="Times New Roman" w:hAnsi="Times New Roman" w:cs="Times New Roman"/>
          <w:color w:val="000000" w:themeColor="text1"/>
          <w:sz w:val="24"/>
          <w:szCs w:val="24"/>
        </w:rPr>
        <w:t>. Retrived from https://journals.sagepub.com/doi/abs/10.1177/1471301218769071</w:t>
      </w:r>
      <w:r w:rsidRPr="00FB3F03">
        <w:rPr>
          <w:rFonts w:ascii="Times New Roman" w:hAnsi="Times New Roman" w:cs="Times New Roman"/>
          <w:color w:val="000000" w:themeColor="text1"/>
          <w:sz w:val="24"/>
          <w:szCs w:val="24"/>
        </w:rPr>
        <w:t xml:space="preserve">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Ullán, A. M., Belver, M. H., Badía, M., Moreno, C., Garrido, E., Gómez-Isla, J</w:t>
      </w:r>
      <w:r w:rsidR="009A3B7F" w:rsidRPr="00FB3F03">
        <w:rPr>
          <w:rFonts w:ascii="Times New Roman" w:hAnsi="Times New Roman" w:cs="Times New Roman"/>
          <w:color w:val="000000" w:themeColor="text1"/>
          <w:sz w:val="24"/>
          <w:szCs w:val="24"/>
        </w:rPr>
        <w:t xml:space="preserve">., </w:t>
      </w:r>
      <w:r w:rsidR="00C10363" w:rsidRPr="00FB3F03">
        <w:rPr>
          <w:rFonts w:ascii="Times New Roman" w:hAnsi="Times New Roman" w:cs="Times New Roman"/>
          <w:color w:val="000000" w:themeColor="text1"/>
          <w:sz w:val="24"/>
          <w:szCs w:val="24"/>
        </w:rPr>
        <w:t>. . .</w:t>
      </w:r>
      <w:r w:rsidRPr="00FB3F03">
        <w:rPr>
          <w:rFonts w:ascii="Times New Roman" w:hAnsi="Times New Roman" w:cs="Times New Roman"/>
          <w:color w:val="000000" w:themeColor="text1"/>
          <w:sz w:val="24"/>
          <w:szCs w:val="24"/>
        </w:rPr>
        <w:t xml:space="preserve"> Tejedor, L. (2013). Contributions of an artistic educational program for older people with early dementia: An exploratory qualitative study. </w:t>
      </w:r>
      <w:r w:rsidRPr="00FB3F03">
        <w:rPr>
          <w:rFonts w:ascii="Times New Roman" w:hAnsi="Times New Roman" w:cs="Times New Roman"/>
          <w:i/>
          <w:color w:val="000000" w:themeColor="text1"/>
          <w:sz w:val="24"/>
          <w:szCs w:val="24"/>
        </w:rPr>
        <w:t>Dementia</w:t>
      </w:r>
      <w:r w:rsidR="00C10363" w:rsidRPr="00FB3F03">
        <w:rPr>
          <w:rFonts w:ascii="Times New Roman" w:hAnsi="Times New Roman" w:cs="Times New Roman"/>
          <w:i/>
          <w:color w:val="000000" w:themeColor="text1"/>
          <w:sz w:val="24"/>
          <w:szCs w:val="24"/>
        </w:rPr>
        <w:t>,</w:t>
      </w:r>
      <w:r w:rsidRPr="00FB3F03">
        <w:rPr>
          <w:rFonts w:ascii="Times New Roman" w:hAnsi="Times New Roman" w:cs="Times New Roman"/>
          <w:i/>
          <w:color w:val="000000" w:themeColor="text1"/>
          <w:sz w:val="24"/>
          <w:szCs w:val="24"/>
        </w:rPr>
        <w:t xml:space="preserve"> 12</w:t>
      </w:r>
      <w:r w:rsidRPr="00FB3F03">
        <w:rPr>
          <w:rFonts w:ascii="Times New Roman" w:hAnsi="Times New Roman" w:cs="Times New Roman"/>
          <w:color w:val="000000" w:themeColor="text1"/>
          <w:sz w:val="24"/>
          <w:szCs w:val="24"/>
        </w:rPr>
        <w:t xml:space="preserve">(4), 425-446.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Walsh, S. M., Lamet, A. R., Lindgren, C. L., Rillstone, P., Little, D. J., Steffey, </w:t>
      </w:r>
      <w:r w:rsidR="00C10363" w:rsidRPr="00FB3F03">
        <w:rPr>
          <w:rFonts w:ascii="Times New Roman" w:hAnsi="Times New Roman" w:cs="Times New Roman"/>
          <w:color w:val="000000" w:themeColor="text1"/>
          <w:sz w:val="24"/>
          <w:szCs w:val="24"/>
        </w:rPr>
        <w:t>. . .</w:t>
      </w:r>
      <w:r w:rsidRPr="00FB3F03">
        <w:rPr>
          <w:rFonts w:ascii="Times New Roman" w:hAnsi="Times New Roman" w:cs="Times New Roman"/>
          <w:color w:val="000000" w:themeColor="text1"/>
          <w:sz w:val="24"/>
          <w:szCs w:val="24"/>
        </w:rPr>
        <w:t xml:space="preserve"> Sonshine, R. (2011). Art in Alzheimer's care: promoting well-being in people with late-stage Alzheimer's disease. </w:t>
      </w:r>
      <w:r w:rsidRPr="00FB3F03">
        <w:rPr>
          <w:rFonts w:ascii="Times New Roman" w:hAnsi="Times New Roman" w:cs="Times New Roman"/>
          <w:i/>
          <w:color w:val="000000" w:themeColor="text1"/>
          <w:sz w:val="24"/>
          <w:szCs w:val="24"/>
        </w:rPr>
        <w:t>Rehabil</w:t>
      </w:r>
      <w:r w:rsidR="00C10363" w:rsidRPr="00FB3F03">
        <w:rPr>
          <w:rFonts w:ascii="Times New Roman" w:hAnsi="Times New Roman" w:cs="Times New Roman"/>
          <w:i/>
          <w:color w:val="000000" w:themeColor="text1"/>
          <w:sz w:val="24"/>
          <w:szCs w:val="24"/>
        </w:rPr>
        <w:t>itation</w:t>
      </w:r>
      <w:r w:rsidRPr="00FB3F03">
        <w:rPr>
          <w:rFonts w:ascii="Times New Roman" w:hAnsi="Times New Roman" w:cs="Times New Roman"/>
          <w:i/>
          <w:color w:val="000000" w:themeColor="text1"/>
          <w:sz w:val="24"/>
          <w:szCs w:val="24"/>
        </w:rPr>
        <w:t xml:space="preserve"> Nurs</w:t>
      </w:r>
      <w:r w:rsidR="00C10363" w:rsidRPr="00FB3F03">
        <w:rPr>
          <w:rFonts w:ascii="Times New Roman" w:hAnsi="Times New Roman" w:cs="Times New Roman"/>
          <w:i/>
          <w:color w:val="000000" w:themeColor="text1"/>
          <w:sz w:val="24"/>
          <w:szCs w:val="24"/>
        </w:rPr>
        <w:t>ing</w:t>
      </w:r>
      <w:r w:rsidRPr="00FB3F03">
        <w:rPr>
          <w:rFonts w:ascii="Times New Roman" w:hAnsi="Times New Roman" w:cs="Times New Roman"/>
          <w:i/>
          <w:color w:val="000000" w:themeColor="text1"/>
          <w:sz w:val="24"/>
          <w:szCs w:val="24"/>
        </w:rPr>
        <w:t>, 36</w:t>
      </w:r>
      <w:r w:rsidRPr="00FB3F03">
        <w:rPr>
          <w:rFonts w:ascii="Times New Roman" w:hAnsi="Times New Roman" w:cs="Times New Roman"/>
          <w:color w:val="000000" w:themeColor="text1"/>
          <w:sz w:val="24"/>
          <w:szCs w:val="24"/>
        </w:rPr>
        <w:t xml:space="preserve">(2), 66-72. </w:t>
      </w:r>
    </w:p>
    <w:p w:rsidR="0060448E" w:rsidRPr="00FB3F03" w:rsidRDefault="0060448E"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Windle, G., Gregory, S., Howson-Griffiths, T., Newman, A., O’Brien, D., &amp; Goulding, A. (2017). Exploring the theoretical foundations of visual art programmes for people living with dementia. </w:t>
      </w:r>
      <w:r w:rsidRPr="00FB3F03">
        <w:rPr>
          <w:rFonts w:ascii="Times New Roman" w:hAnsi="Times New Roman" w:cs="Times New Roman"/>
          <w:i/>
          <w:iCs/>
          <w:color w:val="000000" w:themeColor="text1"/>
          <w:sz w:val="24"/>
          <w:szCs w:val="24"/>
        </w:rPr>
        <w:t>Dementia, 17,</w:t>
      </w:r>
      <w:r w:rsidRPr="00FB3F03">
        <w:rPr>
          <w:rFonts w:ascii="Times New Roman" w:hAnsi="Times New Roman" w:cs="Times New Roman"/>
          <w:color w:val="000000" w:themeColor="text1"/>
          <w:sz w:val="24"/>
          <w:szCs w:val="24"/>
        </w:rPr>
        <w:t xml:space="preserve"> 702 – 727. </w:t>
      </w:r>
    </w:p>
    <w:p w:rsidR="002507D4" w:rsidRPr="00FB3F03" w:rsidRDefault="002507D4" w:rsidP="00001324">
      <w:pPr>
        <w:spacing w:after="0" w:line="360" w:lineRule="auto"/>
        <w:ind w:left="720" w:hanging="720"/>
        <w:jc w:val="both"/>
        <w:rPr>
          <w:rFonts w:ascii="Times New Roman" w:hAnsi="Times New Roman" w:cs="Times New Roman"/>
          <w:color w:val="000000" w:themeColor="text1"/>
          <w:sz w:val="24"/>
          <w:szCs w:val="24"/>
        </w:rPr>
      </w:pPr>
      <w:bookmarkStart w:id="11" w:name="_Hlk7086218"/>
      <w:r w:rsidRPr="00FB3F03">
        <w:rPr>
          <w:rFonts w:ascii="Times New Roman" w:hAnsi="Times New Roman" w:cs="Times New Roman"/>
          <w:color w:val="000000" w:themeColor="text1"/>
          <w:sz w:val="24"/>
          <w:szCs w:val="24"/>
        </w:rPr>
        <w:t xml:space="preserve">Woods, B., Aguirre, E., Spector, A. E., &amp; Orrell, M. (2012). Cognitive stimulation to improve cognitive functioning in people with dementia. </w:t>
      </w:r>
      <w:r w:rsidRPr="00FB3F03">
        <w:rPr>
          <w:rFonts w:ascii="Times New Roman" w:hAnsi="Times New Roman" w:cs="Times New Roman"/>
          <w:i/>
          <w:color w:val="000000" w:themeColor="text1"/>
          <w:sz w:val="24"/>
          <w:szCs w:val="24"/>
        </w:rPr>
        <w:t>The Cochrane Database of Systematic Reviews</w:t>
      </w:r>
      <w:r w:rsidR="00C10363" w:rsidRPr="00FB3F03">
        <w:rPr>
          <w:rFonts w:ascii="Times New Roman" w:hAnsi="Times New Roman" w:cs="Times New Roman"/>
          <w:i/>
          <w:color w:val="000000" w:themeColor="text1"/>
          <w:sz w:val="24"/>
          <w:szCs w:val="24"/>
        </w:rPr>
        <w:t>.</w:t>
      </w:r>
      <w:r w:rsidR="00C10363" w:rsidRPr="00FB3F03">
        <w:rPr>
          <w:rFonts w:ascii="Times New Roman" w:hAnsi="Times New Roman" w:cs="Times New Roman"/>
          <w:color w:val="000000" w:themeColor="text1"/>
          <w:sz w:val="24"/>
          <w:szCs w:val="24"/>
        </w:rPr>
        <w:t xml:space="preserve"> Retrieved from</w:t>
      </w:r>
      <w:r w:rsidRPr="00FB3F03">
        <w:rPr>
          <w:rFonts w:ascii="Times New Roman" w:hAnsi="Times New Roman" w:cs="Times New Roman"/>
          <w:color w:val="000000" w:themeColor="text1"/>
          <w:sz w:val="24"/>
          <w:szCs w:val="24"/>
        </w:rPr>
        <w:t xml:space="preserve"> </w:t>
      </w:r>
      <w:hyperlink r:id="rId13" w:history="1">
        <w:r w:rsidRPr="00FB3F03">
          <w:rPr>
            <w:rStyle w:val="Hyperlink"/>
            <w:rFonts w:ascii="Times New Roman" w:hAnsi="Times New Roman" w:cs="Times New Roman"/>
            <w:color w:val="000000" w:themeColor="text1"/>
            <w:sz w:val="24"/>
            <w:szCs w:val="24"/>
            <w:u w:val="none"/>
          </w:rPr>
          <w:t>https://doi.org/10.1002/14651858.CD005562.pub2</w:t>
        </w:r>
      </w:hyperlink>
      <w:r w:rsidRPr="00FB3F03">
        <w:rPr>
          <w:rFonts w:ascii="Times New Roman" w:hAnsi="Times New Roman" w:cs="Times New Roman"/>
          <w:color w:val="000000" w:themeColor="text1"/>
          <w:sz w:val="24"/>
          <w:szCs w:val="24"/>
        </w:rPr>
        <w:t>.</w:t>
      </w:r>
    </w:p>
    <w:bookmarkEnd w:id="11"/>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Young, R., Camic, P. M., &amp; Tischler, V. (2016). The impact of community-based arts and health interventions on cognition in people with dementia: A systematic literature review. </w:t>
      </w:r>
      <w:r w:rsidRPr="00FB3F03">
        <w:rPr>
          <w:rFonts w:ascii="Times New Roman" w:hAnsi="Times New Roman" w:cs="Times New Roman"/>
          <w:i/>
          <w:color w:val="000000" w:themeColor="text1"/>
          <w:sz w:val="24"/>
          <w:szCs w:val="24"/>
        </w:rPr>
        <w:t>Ageing and Mental Health, 20</w:t>
      </w:r>
      <w:r w:rsidRPr="00FB3F03">
        <w:rPr>
          <w:rFonts w:ascii="Times New Roman" w:hAnsi="Times New Roman" w:cs="Times New Roman"/>
          <w:color w:val="000000" w:themeColor="text1"/>
          <w:sz w:val="24"/>
          <w:szCs w:val="24"/>
        </w:rPr>
        <w:t xml:space="preserve">(4), 337 - 351.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t xml:space="preserve">Young, R., Tischler, V., Hulbert, S., &amp; Camic, P. M. (2015). The impact of viewing and making art on verbal fluency and memory in people with dementia in an art gallery setting. </w:t>
      </w:r>
      <w:r w:rsidRPr="00FB3F03">
        <w:rPr>
          <w:rFonts w:ascii="Times New Roman" w:hAnsi="Times New Roman" w:cs="Times New Roman"/>
          <w:i/>
          <w:color w:val="000000" w:themeColor="text1"/>
          <w:sz w:val="24"/>
          <w:szCs w:val="24"/>
        </w:rPr>
        <w:t>Psychology of Aesthetics, Creativity, and the Arts, 9</w:t>
      </w:r>
      <w:r w:rsidRPr="00FB3F03">
        <w:rPr>
          <w:rFonts w:ascii="Times New Roman" w:hAnsi="Times New Roman" w:cs="Times New Roman"/>
          <w:color w:val="000000" w:themeColor="text1"/>
          <w:sz w:val="24"/>
          <w:szCs w:val="24"/>
        </w:rPr>
        <w:t xml:space="preserve">(4), 368-375. </w:t>
      </w:r>
    </w:p>
    <w:p w:rsidR="002507D4" w:rsidRPr="00FB3F03" w:rsidRDefault="002507D4" w:rsidP="00001324">
      <w:pPr>
        <w:pStyle w:val="EndNoteBibliography"/>
        <w:spacing w:after="0" w:line="360" w:lineRule="auto"/>
        <w:ind w:left="720" w:hanging="720"/>
        <w:rPr>
          <w:rFonts w:ascii="Times New Roman" w:hAnsi="Times New Roman" w:cs="Times New Roman"/>
          <w:color w:val="000000" w:themeColor="text1"/>
          <w:sz w:val="24"/>
          <w:szCs w:val="24"/>
        </w:rPr>
      </w:pPr>
      <w:r w:rsidRPr="00FB3F03">
        <w:rPr>
          <w:rFonts w:ascii="Times New Roman" w:hAnsi="Times New Roman" w:cs="Times New Roman"/>
          <w:color w:val="000000" w:themeColor="text1"/>
          <w:sz w:val="24"/>
          <w:szCs w:val="24"/>
        </w:rPr>
        <w:lastRenderedPageBreak/>
        <w:t xml:space="preserve">Zeilig, H., Killick, J., &amp; Fox, C. (2014). The participative arts for people living with a dementia: A critical review. </w:t>
      </w:r>
      <w:r w:rsidRPr="00FB3F03">
        <w:rPr>
          <w:rFonts w:ascii="Times New Roman" w:hAnsi="Times New Roman" w:cs="Times New Roman"/>
          <w:i/>
          <w:color w:val="000000" w:themeColor="text1"/>
          <w:sz w:val="24"/>
          <w:szCs w:val="24"/>
        </w:rPr>
        <w:t>International Journal of Ageing and Later Life, 9</w:t>
      </w:r>
      <w:r w:rsidRPr="00FB3F03">
        <w:rPr>
          <w:rFonts w:ascii="Times New Roman" w:hAnsi="Times New Roman" w:cs="Times New Roman"/>
          <w:color w:val="000000" w:themeColor="text1"/>
          <w:sz w:val="24"/>
          <w:szCs w:val="24"/>
        </w:rPr>
        <w:t xml:space="preserve">(1), 7 - 34. </w:t>
      </w:r>
    </w:p>
    <w:p w:rsidR="002507D4" w:rsidRPr="00FB3F03" w:rsidRDefault="002507D4" w:rsidP="00001324">
      <w:pPr>
        <w:spacing w:after="0" w:line="360" w:lineRule="auto"/>
        <w:ind w:left="720" w:hanging="720"/>
        <w:jc w:val="both"/>
        <w:rPr>
          <w:rFonts w:ascii="Times New Roman" w:hAnsi="Times New Roman" w:cs="Times New Roman"/>
          <w:color w:val="000000" w:themeColor="text1"/>
        </w:rPr>
      </w:pPr>
    </w:p>
    <w:p w:rsidR="00200F3E" w:rsidRPr="00FB3F03" w:rsidRDefault="00200F3E" w:rsidP="002507D4">
      <w:pPr>
        <w:rPr>
          <w:color w:val="000000" w:themeColor="text1"/>
        </w:rPr>
      </w:pPr>
    </w:p>
    <w:p w:rsidR="00200F3E" w:rsidRPr="00FB3F03" w:rsidRDefault="00200F3E" w:rsidP="002507D4">
      <w:pPr>
        <w:rPr>
          <w:color w:val="000000" w:themeColor="text1"/>
        </w:rPr>
      </w:pPr>
      <w:r w:rsidRPr="00FB3F03">
        <w:rPr>
          <w:rFonts w:ascii="Times New Roman" w:hAnsi="Times New Roman" w:cs="Times New Roman"/>
          <w:noProof/>
          <w:color w:val="000000" w:themeColor="text1"/>
          <w:lang w:eastAsia="en-GB"/>
        </w:rPr>
        <w:lastRenderedPageBreak/>
        <mc:AlternateContent>
          <mc:Choice Requires="wpg">
            <w:drawing>
              <wp:anchor distT="0" distB="0" distL="114300" distR="114300" simplePos="0" relativeHeight="251659264" behindDoc="1" locked="0" layoutInCell="1" allowOverlap="1" wp14:anchorId="3C57B16A" wp14:editId="0B3DF0B3">
                <wp:simplePos x="0" y="0"/>
                <wp:positionH relativeFrom="margin">
                  <wp:posOffset>-273050</wp:posOffset>
                </wp:positionH>
                <wp:positionV relativeFrom="paragraph">
                  <wp:posOffset>233680</wp:posOffset>
                </wp:positionV>
                <wp:extent cx="6377305" cy="7823200"/>
                <wp:effectExtent l="0" t="0" r="23495" b="25400"/>
                <wp:wrapTight wrapText="bothSides">
                  <wp:wrapPolygon edited="0">
                    <wp:start x="9936" y="0"/>
                    <wp:lineTo x="1419" y="0"/>
                    <wp:lineTo x="581" y="53"/>
                    <wp:lineTo x="581" y="1894"/>
                    <wp:lineTo x="710" y="2630"/>
                    <wp:lineTo x="4839" y="3366"/>
                    <wp:lineTo x="4388" y="3419"/>
                    <wp:lineTo x="4065" y="3682"/>
                    <wp:lineTo x="4065" y="5575"/>
                    <wp:lineTo x="6001" y="5891"/>
                    <wp:lineTo x="8969" y="5891"/>
                    <wp:lineTo x="6904" y="6312"/>
                    <wp:lineTo x="6065" y="6522"/>
                    <wp:lineTo x="6065" y="8100"/>
                    <wp:lineTo x="7227" y="8416"/>
                    <wp:lineTo x="8969" y="8416"/>
                    <wp:lineTo x="8775" y="12623"/>
                    <wp:lineTo x="6130" y="12729"/>
                    <wp:lineTo x="5613" y="12834"/>
                    <wp:lineTo x="5613" y="14990"/>
                    <wp:lineTo x="6323" y="15148"/>
                    <wp:lineTo x="8969" y="15148"/>
                    <wp:lineTo x="8775" y="17673"/>
                    <wp:lineTo x="6130" y="17778"/>
                    <wp:lineTo x="5613" y="17883"/>
                    <wp:lineTo x="5613" y="20092"/>
                    <wp:lineTo x="6388" y="20197"/>
                    <wp:lineTo x="10840" y="20197"/>
                    <wp:lineTo x="0" y="20618"/>
                    <wp:lineTo x="0" y="21618"/>
                    <wp:lineTo x="14647" y="21618"/>
                    <wp:lineTo x="14776" y="20723"/>
                    <wp:lineTo x="14453" y="20618"/>
                    <wp:lineTo x="10840" y="20197"/>
                    <wp:lineTo x="12259" y="20197"/>
                    <wp:lineTo x="12840" y="19934"/>
                    <wp:lineTo x="12775" y="19356"/>
                    <wp:lineTo x="13614" y="19356"/>
                    <wp:lineTo x="21228" y="18619"/>
                    <wp:lineTo x="21615" y="18409"/>
                    <wp:lineTo x="21615" y="5628"/>
                    <wp:lineTo x="19808" y="5470"/>
                    <wp:lineTo x="14001" y="5049"/>
                    <wp:lineTo x="14066" y="3629"/>
                    <wp:lineTo x="13550" y="3419"/>
                    <wp:lineTo x="12001" y="3366"/>
                    <wp:lineTo x="16647" y="2577"/>
                    <wp:lineTo x="16711" y="2525"/>
                    <wp:lineTo x="16840" y="1894"/>
                    <wp:lineTo x="16776" y="263"/>
                    <wp:lineTo x="16518" y="0"/>
                    <wp:lineTo x="9936"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305" cy="7823200"/>
                          <a:chOff x="60901" y="0"/>
                          <a:chExt cx="6377999" cy="7823473"/>
                        </a:xfrm>
                      </wpg:grpSpPr>
                      <wpg:grpSp>
                        <wpg:cNvPr id="205" name="Group 205"/>
                        <wpg:cNvGrpSpPr/>
                        <wpg:grpSpPr>
                          <a:xfrm>
                            <a:off x="266700" y="0"/>
                            <a:ext cx="6172200" cy="7286625"/>
                            <a:chOff x="0" y="0"/>
                            <a:chExt cx="5924550" cy="7660717"/>
                          </a:xfrm>
                        </wpg:grpSpPr>
                        <wpg:grpSp>
                          <wpg:cNvPr id="2" name="Group 2"/>
                          <wpg:cNvGrpSpPr/>
                          <wpg:grpSpPr>
                            <a:xfrm>
                              <a:off x="0" y="0"/>
                              <a:ext cx="5924550" cy="7660717"/>
                              <a:chOff x="0" y="0"/>
                              <a:chExt cx="5924550" cy="7660717"/>
                            </a:xfrm>
                          </wpg:grpSpPr>
                          <wpg:grpSp>
                            <wpg:cNvPr id="5" name="Group 5"/>
                            <wpg:cNvGrpSpPr/>
                            <wpg:grpSpPr>
                              <a:xfrm>
                                <a:off x="0" y="0"/>
                                <a:ext cx="5924550" cy="4812947"/>
                                <a:chOff x="0" y="0"/>
                                <a:chExt cx="5924550" cy="4812947"/>
                              </a:xfrm>
                            </wpg:grpSpPr>
                            <wpg:grpSp>
                              <wpg:cNvPr id="16" name="Group 16"/>
                              <wpg:cNvGrpSpPr/>
                              <wpg:grpSpPr>
                                <a:xfrm>
                                  <a:off x="0" y="0"/>
                                  <a:ext cx="4533900" cy="2114550"/>
                                  <a:chOff x="0" y="0"/>
                                  <a:chExt cx="4533900" cy="2114550"/>
                                </a:xfrm>
                              </wpg:grpSpPr>
                              <wpg:grpSp>
                                <wpg:cNvPr id="25" name="Group 25"/>
                                <wpg:cNvGrpSpPr/>
                                <wpg:grpSpPr>
                                  <a:xfrm>
                                    <a:off x="0" y="19050"/>
                                    <a:ext cx="1962150" cy="981075"/>
                                    <a:chOff x="0" y="19050"/>
                                    <a:chExt cx="1962150" cy="981075"/>
                                  </a:xfrm>
                                </wpg:grpSpPr>
                                <wps:wsp>
                                  <wps:cNvPr id="34" name="Rounded Rectangle 34"/>
                                  <wps:cNvSpPr/>
                                  <wps:spPr>
                                    <a:xfrm>
                                      <a:off x="0" y="19050"/>
                                      <a:ext cx="1962150" cy="9810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133350" y="142875"/>
                                      <a:ext cx="1714500" cy="838200"/>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identified through database searching</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1588)</w:t>
                                        </w:r>
                                      </w:p>
                                    </w:txbxContent>
                                  </wps:txbx>
                                  <wps:bodyPr rot="0" vert="horz" wrap="square" lIns="91440" tIns="45720" rIns="91440" bIns="45720" anchor="t" anchorCtr="0">
                                    <a:noAutofit/>
                                  </wps:bodyPr>
                                </wps:wsp>
                              </wpg:grpSp>
                              <wpg:grpSp>
                                <wpg:cNvPr id="26" name="Group 26"/>
                                <wpg:cNvGrpSpPr/>
                                <wpg:grpSpPr>
                                  <a:xfrm>
                                    <a:off x="2571750" y="0"/>
                                    <a:ext cx="1962150" cy="981075"/>
                                    <a:chOff x="2571750" y="0"/>
                                    <a:chExt cx="1962150" cy="981075"/>
                                  </a:xfrm>
                                </wpg:grpSpPr>
                                <wps:wsp>
                                  <wps:cNvPr id="32" name="Rounded Rectangle 32"/>
                                  <wps:cNvSpPr/>
                                  <wps:spPr>
                                    <a:xfrm>
                                      <a:off x="2571750" y="0"/>
                                      <a:ext cx="1962150" cy="9810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Text Box 2"/>
                                  <wps:cNvSpPr txBox="1">
                                    <a:spLocks noChangeArrowheads="1"/>
                                  </wps:cNvSpPr>
                                  <wps:spPr bwMode="auto">
                                    <a:xfrm>
                                      <a:off x="2628900" y="146754"/>
                                      <a:ext cx="1847850" cy="772173"/>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Additional records identified through other sources</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0)</w:t>
                                        </w:r>
                                      </w:p>
                                    </w:txbxContent>
                                  </wps:txbx>
                                  <wps:bodyPr rot="0" vert="horz" wrap="square" lIns="91440" tIns="45720" rIns="91440" bIns="45720" anchor="t" anchorCtr="0">
                                    <a:noAutofit/>
                                  </wps:bodyPr>
                                </wps:wsp>
                              </wpg:grpSp>
                              <wpg:grpSp>
                                <wpg:cNvPr id="27" name="Group 27"/>
                                <wpg:cNvGrpSpPr/>
                                <wpg:grpSpPr>
                                  <a:xfrm>
                                    <a:off x="1000125" y="1323975"/>
                                    <a:ext cx="2743200" cy="790575"/>
                                    <a:chOff x="1000125" y="1323975"/>
                                    <a:chExt cx="2743200" cy="790575"/>
                                  </a:xfrm>
                                </wpg:grpSpPr>
                                <wps:wsp>
                                  <wps:cNvPr id="30" name="Rounded Rectangle 30"/>
                                  <wps:cNvSpPr/>
                                  <wps:spPr>
                                    <a:xfrm>
                                      <a:off x="1000125" y="1323975"/>
                                      <a:ext cx="2743200" cy="7905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Text Box 2"/>
                                  <wps:cNvSpPr txBox="1">
                                    <a:spLocks noChangeArrowheads="1"/>
                                  </wps:cNvSpPr>
                                  <wps:spPr bwMode="auto">
                                    <a:xfrm>
                                      <a:off x="1095375" y="1442671"/>
                                      <a:ext cx="2552700" cy="590550"/>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after duplicates removed</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1346)</w:t>
                                        </w:r>
                                      </w:p>
                                    </w:txbxContent>
                                  </wps:txbx>
                                  <wps:bodyPr rot="0" vert="horz" wrap="square" lIns="91440" tIns="45720" rIns="91440" bIns="45720" anchor="t" anchorCtr="0">
                                    <a:noAutofit/>
                                  </wps:bodyPr>
                                </wps:wsp>
                              </wpg:grpSp>
                              <wps:wsp>
                                <wps:cNvPr id="28" name="Straight Arrow Connector 28"/>
                                <wps:cNvCnPr/>
                                <wps:spPr>
                                  <a:xfrm>
                                    <a:off x="1381125" y="990600"/>
                                    <a:ext cx="0" cy="333375"/>
                                  </a:xfrm>
                                  <a:prstGeom prst="straightConnector1">
                                    <a:avLst/>
                                  </a:prstGeom>
                                  <a:ln w="19050">
                                    <a:headEnd w="med" len="med"/>
                                    <a:tailEnd type="triangle" w="lg" len="med"/>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3067050" y="981075"/>
                                    <a:ext cx="0" cy="333375"/>
                                  </a:xfrm>
                                  <a:prstGeom prst="straightConnector1">
                                    <a:avLst/>
                                  </a:prstGeom>
                                  <a:ln w="19050">
                                    <a:headEnd w="med" len="med"/>
                                    <a:tailEnd type="triangle" w="lg" len="med"/>
                                  </a:ln>
                                </wps:spPr>
                                <wps:style>
                                  <a:lnRef idx="1">
                                    <a:schemeClr val="dk1"/>
                                  </a:lnRef>
                                  <a:fillRef idx="0">
                                    <a:schemeClr val="dk1"/>
                                  </a:fillRef>
                                  <a:effectRef idx="0">
                                    <a:schemeClr val="dk1"/>
                                  </a:effectRef>
                                  <a:fontRef idx="minor">
                                    <a:schemeClr val="tx1"/>
                                  </a:fontRef>
                                </wps:style>
                                <wps:bodyPr/>
                              </wps:wsp>
                            </wpg:grpSp>
                            <wpg:grpSp>
                              <wpg:cNvPr id="17" name="Group 17"/>
                              <wpg:cNvGrpSpPr/>
                              <wpg:grpSpPr>
                                <a:xfrm>
                                  <a:off x="1562100" y="2466975"/>
                                  <a:ext cx="1724025" cy="666750"/>
                                  <a:chOff x="1562100" y="2466975"/>
                                  <a:chExt cx="1724025" cy="666750"/>
                                </a:xfrm>
                              </wpg:grpSpPr>
                              <wps:wsp>
                                <wps:cNvPr id="23" name="Text Box 2"/>
                                <wps:cNvSpPr txBox="1">
                                  <a:spLocks noChangeArrowheads="1"/>
                                </wps:cNvSpPr>
                                <wps:spPr bwMode="auto">
                                  <a:xfrm>
                                    <a:off x="1638300" y="2466975"/>
                                    <a:ext cx="1552575" cy="666750"/>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screened</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1346)</w:t>
                                      </w:r>
                                    </w:p>
                                  </w:txbxContent>
                                </wps:txbx>
                                <wps:bodyPr rot="0" vert="horz" wrap="square" lIns="91440" tIns="45720" rIns="91440" bIns="45720" anchor="t" anchorCtr="0">
                                  <a:noAutofit/>
                                </wps:bodyPr>
                              </wps:wsp>
                              <wps:wsp>
                                <wps:cNvPr id="24" name="Rounded Rectangle 24"/>
                                <wps:cNvSpPr/>
                                <wps:spPr>
                                  <a:xfrm>
                                    <a:off x="1562100" y="2466975"/>
                                    <a:ext cx="1724025" cy="6286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8" name="Straight Arrow Connector 18"/>
                              <wps:cNvCnPr/>
                              <wps:spPr>
                                <a:xfrm>
                                  <a:off x="2381250" y="2114550"/>
                                  <a:ext cx="0" cy="333375"/>
                                </a:xfrm>
                                <a:prstGeom prst="straightConnector1">
                                  <a:avLst/>
                                </a:prstGeom>
                                <a:ln w="19050">
                                  <a:headEnd w="med" len="med"/>
                                  <a:tailEnd type="triangle" w="lg" len="med"/>
                                </a:ln>
                              </wps:spPr>
                              <wps:style>
                                <a:lnRef idx="1">
                                  <a:schemeClr val="dk1"/>
                                </a:lnRef>
                                <a:fillRef idx="0">
                                  <a:schemeClr val="dk1"/>
                                </a:fillRef>
                                <a:effectRef idx="0">
                                  <a:schemeClr val="dk1"/>
                                </a:effectRef>
                                <a:fontRef idx="minor">
                                  <a:schemeClr val="tx1"/>
                                </a:fontRef>
                              </wps:style>
                              <wps:bodyPr/>
                            </wps:wsp>
                            <wpg:grpSp>
                              <wpg:cNvPr id="19" name="Group 19"/>
                              <wpg:cNvGrpSpPr/>
                              <wpg:grpSpPr>
                                <a:xfrm>
                                  <a:off x="3800475" y="2126144"/>
                                  <a:ext cx="2124075" cy="2686803"/>
                                  <a:chOff x="3800475" y="2126144"/>
                                  <a:chExt cx="2124075" cy="2686803"/>
                                </a:xfrm>
                              </wpg:grpSpPr>
                              <wps:wsp>
                                <wps:cNvPr id="21" name="Text Box 2"/>
                                <wps:cNvSpPr txBox="1">
                                  <a:spLocks noChangeArrowheads="1"/>
                                </wps:cNvSpPr>
                                <wps:spPr bwMode="auto">
                                  <a:xfrm>
                                    <a:off x="3898879" y="2195641"/>
                                    <a:ext cx="1990725" cy="2617306"/>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excluded, with reasons at title/abstract level: n =1166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Adjunct Therapies (n = 58)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Intervention (n = 584)</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Non-Visual Arts (n = 218)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Process (n = 0)</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Dementia (n = 46)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Outcomes (n = 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Self-Initiated Art (n = 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Non-English (n = 26)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Literature Review (n = 52)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Reviews/Editorials (n = 47)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Prior to 2000 (n = 126)</w:t>
                                      </w:r>
                                    </w:p>
                                  </w:txbxContent>
                                </wps:txbx>
                                <wps:bodyPr rot="0" vert="horz" wrap="square" lIns="91440" tIns="45720" rIns="91440" bIns="45720" anchor="t" anchorCtr="0">
                                  <a:noAutofit/>
                                </wps:bodyPr>
                              </wps:wsp>
                              <wps:wsp>
                                <wps:cNvPr id="22" name="Rounded Rectangle 22"/>
                                <wps:cNvSpPr/>
                                <wps:spPr>
                                  <a:xfrm>
                                    <a:off x="3800475" y="2126144"/>
                                    <a:ext cx="2124075" cy="261730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 name="Straight Arrow Connector 20"/>
                              <wps:cNvCnPr/>
                              <wps:spPr>
                                <a:xfrm>
                                  <a:off x="3286125" y="2857500"/>
                                  <a:ext cx="514350" cy="0"/>
                                </a:xfrm>
                                <a:prstGeom prst="straightConnector1">
                                  <a:avLst/>
                                </a:prstGeom>
                                <a:ln w="19050">
                                  <a:solidFill>
                                    <a:schemeClr val="tx1"/>
                                  </a:solidFill>
                                  <a:headEnd w="lg" len="med"/>
                                  <a:tailEnd type="triangle" w="lg" len="med"/>
                                </a:ln>
                              </wps:spPr>
                              <wps:style>
                                <a:lnRef idx="1">
                                  <a:schemeClr val="accent1"/>
                                </a:lnRef>
                                <a:fillRef idx="0">
                                  <a:schemeClr val="accent1"/>
                                </a:fillRef>
                                <a:effectRef idx="0">
                                  <a:schemeClr val="accent1"/>
                                </a:effectRef>
                                <a:fontRef idx="minor">
                                  <a:schemeClr val="tx1"/>
                                </a:fontRef>
                              </wps:style>
                              <wps:bodyPr/>
                            </wps:wsp>
                          </wpg:grpSp>
                          <wpg:grpSp>
                            <wpg:cNvPr id="6" name="Group 6"/>
                            <wpg:cNvGrpSpPr/>
                            <wpg:grpSpPr>
                              <a:xfrm>
                                <a:off x="1428750" y="4876800"/>
                                <a:ext cx="2038350" cy="857250"/>
                                <a:chOff x="1428750" y="4876800"/>
                                <a:chExt cx="2038350" cy="857250"/>
                              </a:xfrm>
                            </wpg:grpSpPr>
                            <wps:wsp>
                              <wps:cNvPr id="14" name="Rounded Rectangle 14"/>
                              <wps:cNvSpPr/>
                              <wps:spPr>
                                <a:xfrm>
                                  <a:off x="1428750" y="4876800"/>
                                  <a:ext cx="2038350" cy="8572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Text Box 2"/>
                              <wps:cNvSpPr txBox="1">
                                <a:spLocks noChangeArrowheads="1"/>
                              </wps:cNvSpPr>
                              <wps:spPr bwMode="auto">
                                <a:xfrm>
                                  <a:off x="1562100" y="4929772"/>
                                  <a:ext cx="1724025" cy="790575"/>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 xml:space="preserve">Full-text articles assessed for eligibility </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180)</w:t>
                                    </w:r>
                                  </w:p>
                                </w:txbxContent>
                              </wps:txbx>
                              <wps:bodyPr rot="0" vert="horz" wrap="square" lIns="91440" tIns="45720" rIns="91440" bIns="45720" anchor="t" anchorCtr="0">
                                <a:noAutofit/>
                              </wps:bodyPr>
                            </wps:wsp>
                          </wpg:grpSp>
                          <wpg:grpSp>
                            <wpg:cNvPr id="7" name="Group 7"/>
                            <wpg:cNvGrpSpPr/>
                            <wpg:grpSpPr>
                              <a:xfrm>
                                <a:off x="3800475" y="4876801"/>
                                <a:ext cx="2124075" cy="2223131"/>
                                <a:chOff x="3800475" y="4876801"/>
                                <a:chExt cx="2124075" cy="2223131"/>
                              </a:xfrm>
                            </wpg:grpSpPr>
                            <wps:wsp>
                              <wps:cNvPr id="12" name="Text Box 2"/>
                              <wps:cNvSpPr txBox="1">
                                <a:spLocks noChangeArrowheads="1"/>
                              </wps:cNvSpPr>
                              <wps:spPr bwMode="auto">
                                <a:xfrm>
                                  <a:off x="3867150" y="4973515"/>
                                  <a:ext cx="1990725" cy="2086361"/>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excluded, with reasons: n = 157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Adjunct Therapies (n = 13)</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Intervention (n = 10)</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Non-Visual Arts (n = 1)</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Process (n = 18)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Dementia (n = 4)</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Outcomes (n = 102)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Self-Initiated Art (n = 10)</w:t>
                                    </w:r>
                                  </w:p>
                                  <w:p w:rsidR="0001095A" w:rsidRPr="00200F3E" w:rsidRDefault="0001095A" w:rsidP="00200F3E">
                                    <w:pPr>
                                      <w:spacing w:line="240" w:lineRule="auto"/>
                                      <w:jc w:val="center"/>
                                      <w:rPr>
                                        <w:rFonts w:ascii="Times New Roman" w:hAnsi="Times New Roman" w:cs="Times New Roman"/>
                                      </w:rPr>
                                    </w:pPr>
                                    <w:r w:rsidRPr="00200F3E">
                                      <w:rPr>
                                        <w:rFonts w:ascii="Times New Roman" w:hAnsi="Times New Roman" w:cs="Times New Roman"/>
                                      </w:rPr>
                                      <w:t>Literature Review (n = 1)</w:t>
                                    </w:r>
                                  </w:p>
                                </w:txbxContent>
                              </wps:txbx>
                              <wps:bodyPr rot="0" vert="horz" wrap="square" lIns="91440" tIns="45720" rIns="91440" bIns="45720" anchor="t" anchorCtr="0">
                                <a:noAutofit/>
                              </wps:bodyPr>
                            </wps:wsp>
                            <wps:wsp>
                              <wps:cNvPr id="13" name="Rounded Rectangle 13"/>
                              <wps:cNvSpPr/>
                              <wps:spPr>
                                <a:xfrm>
                                  <a:off x="3800475" y="4876801"/>
                                  <a:ext cx="2124075" cy="222313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 name="Straight Arrow Connector 8"/>
                            <wps:cNvCnPr/>
                            <wps:spPr>
                              <a:xfrm>
                                <a:off x="3467100" y="5334000"/>
                                <a:ext cx="333375" cy="0"/>
                              </a:xfrm>
                              <a:prstGeom prst="straightConnector1">
                                <a:avLst/>
                              </a:prstGeom>
                              <a:ln w="1905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g:cNvPr id="9" name="Group 9"/>
                            <wpg:cNvGrpSpPr/>
                            <wpg:grpSpPr>
                              <a:xfrm>
                                <a:off x="1428750" y="6799142"/>
                                <a:ext cx="1962150" cy="861575"/>
                                <a:chOff x="1428750" y="6799142"/>
                                <a:chExt cx="1962150" cy="861575"/>
                              </a:xfrm>
                            </wpg:grpSpPr>
                            <wps:wsp>
                              <wps:cNvPr id="10" name="Rounded Rectangle 10"/>
                              <wps:cNvSpPr/>
                              <wps:spPr>
                                <a:xfrm>
                                  <a:off x="1428750" y="6799142"/>
                                  <a:ext cx="1962150" cy="8615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1562100" y="6822297"/>
                                  <a:ext cx="1724025" cy="787298"/>
                                </a:xfrm>
                                <a:prstGeom prst="rect">
                                  <a:avLst/>
                                </a:prstGeom>
                                <a:solidFill>
                                  <a:srgbClr val="FFFFFF"/>
                                </a:solidFill>
                                <a:ln w="9525">
                                  <a:noFill/>
                                  <a:miter lim="800000"/>
                                  <a:headEnd/>
                                  <a:tailEnd/>
                                </a:ln>
                              </wps:spPr>
                              <wps:txb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included in synthesis</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21)</w:t>
                                    </w:r>
                                  </w:p>
                                </w:txbxContent>
                              </wps:txbx>
                              <wps:bodyPr rot="0" vert="horz" wrap="square" lIns="91440" tIns="45720" rIns="91440" bIns="45720" anchor="t" anchorCtr="0">
                                <a:noAutofit/>
                              </wps:bodyPr>
                            </wps:wsp>
                          </wpg:grpSp>
                        </wpg:grpSp>
                        <wps:wsp>
                          <wps:cNvPr id="3" name="Straight Arrow Connector 3"/>
                          <wps:cNvCnPr/>
                          <wps:spPr>
                            <a:xfrm>
                              <a:off x="2384854" y="3089189"/>
                              <a:ext cx="0" cy="1781175"/>
                            </a:xfrm>
                            <a:prstGeom prst="straightConnector1">
                              <a:avLst/>
                            </a:prstGeom>
                            <a:ln w="1905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wps:spPr>
                            <a:xfrm>
                              <a:off x="2384854" y="5733535"/>
                              <a:ext cx="0" cy="1065606"/>
                            </a:xfrm>
                            <a:prstGeom prst="straightConnector1">
                              <a:avLst/>
                            </a:prstGeom>
                            <a:ln w="19050">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wpg:grpSp>
                      <wps:wsp>
                        <wps:cNvPr id="217" name="Text Box 2"/>
                        <wps:cNvSpPr txBox="1">
                          <a:spLocks noChangeArrowheads="1"/>
                        </wps:cNvSpPr>
                        <wps:spPr bwMode="auto">
                          <a:xfrm>
                            <a:off x="60901" y="7481208"/>
                            <a:ext cx="4295775" cy="342265"/>
                          </a:xfrm>
                          <a:prstGeom prst="rect">
                            <a:avLst/>
                          </a:prstGeom>
                          <a:solidFill>
                            <a:srgbClr val="FFFFFF"/>
                          </a:solidFill>
                          <a:ln w="9525">
                            <a:solidFill>
                              <a:schemeClr val="bg1"/>
                            </a:solidFill>
                            <a:miter lim="800000"/>
                            <a:headEnd/>
                            <a:tailEnd/>
                          </a:ln>
                        </wps:spPr>
                        <wps:txbx>
                          <w:txbxContent>
                            <w:p w:rsidR="0001095A" w:rsidRPr="00200F3E" w:rsidRDefault="0001095A" w:rsidP="00200F3E">
                              <w:pPr>
                                <w:rPr>
                                  <w:rFonts w:ascii="Times New Roman" w:hAnsi="Times New Roman" w:cs="Times New Roman"/>
                                </w:rPr>
                              </w:pPr>
                              <w:r w:rsidRPr="00200F3E">
                                <w:rPr>
                                  <w:rFonts w:ascii="Times New Roman" w:hAnsi="Times New Roman" w:cs="Times New Roman"/>
                                  <w:b/>
                                </w:rPr>
                                <w:t>Figure 1</w:t>
                              </w:r>
                              <w:r>
                                <w:rPr>
                                  <w:rFonts w:ascii="Times New Roman" w:hAnsi="Times New Roman" w:cs="Times New Roman"/>
                                  <w:b/>
                                </w:rPr>
                                <w:t>.</w:t>
                              </w:r>
                              <w:r w:rsidRPr="00200F3E">
                                <w:rPr>
                                  <w:rFonts w:ascii="Times New Roman" w:hAnsi="Times New Roman" w:cs="Times New Roman"/>
                                  <w:b/>
                                </w:rPr>
                                <w:t xml:space="preserve"> </w:t>
                              </w:r>
                              <w:r w:rsidRPr="00200F3E">
                                <w:rPr>
                                  <w:rFonts w:ascii="Times New Roman" w:hAnsi="Times New Roman" w:cs="Times New Roman"/>
                                </w:rPr>
                                <w:t>Flow diagram of paper selection process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57B16A" id="Group 1" o:spid="_x0000_s1026" style="position:absolute;margin-left:-21.5pt;margin-top:18.4pt;width:502.15pt;height:616pt;z-index:-251657216;mso-position-horizontal-relative:margin;mso-width-relative:margin;mso-height-relative:margin" coordorigin="609" coordsize="63779,7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">
                <v:group id="Group 205" o:spid="_x0000_s1027" style="position:absolute;left:2667;width:61722;height:72866" coordsize="59245,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2" o:spid="_x0000_s1028" style="position:absolute;width:59245;height:76607" coordsize="59245,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29" style="position:absolute;width:59245;height:48129" coordsize="59245,4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6" o:spid="_x0000_s1030" style="position:absolute;width:45339;height:21145" coordsize="45339,2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25" o:spid="_x0000_s1031" style="position:absolute;top:190;width:19621;height:9811" coordorigin=",190" coordsize="1962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34" o:spid="_x0000_s1032" style="position:absolute;top:190;width:19621;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" filled="f" strokecolor="black [3213]" strokeweight="1.5pt">
                            <v:stroke joinstyle="miter"/>
                          </v:roundrect>
                          <v:shapetype id="_x0000_t202" coordsize="21600,21600" o:spt="202" path="m,l,21600r21600,l21600,xe">
                            <v:stroke joinstyle="miter"/>
                            <v:path gradientshapeok="t" o:connecttype="rect"/>
                          </v:shapetype>
                          <v:shape id="Text Box 2" o:spid="_x0000_s1033" type="#_x0000_t202" style="position:absolute;left:1333;top:1428;width:17145;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identified through database searching</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1588)</w:t>
                                  </w:r>
                                </w:p>
                              </w:txbxContent>
                            </v:textbox>
                          </v:shape>
                        </v:group>
                        <v:group id="Group 26" o:spid="_x0000_s1034" style="position:absolute;left:25717;width:19622;height:9810" coordorigin="25717" coordsize="1962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ounded Rectangle 32" o:spid="_x0000_s1035" style="position:absolute;left:25717;width:19622;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" filled="f" strokecolor="black [3213]" strokeweight="1.5pt">
                            <v:stroke joinstyle="miter"/>
                          </v:roundrect>
                          <v:shape id="Text Box 2" o:spid="_x0000_s1036" type="#_x0000_t202" style="position:absolute;left:26289;top:1467;width:18478;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Additional records identified through other sources</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0)</w:t>
                                  </w:r>
                                </w:p>
                              </w:txbxContent>
                            </v:textbox>
                          </v:shape>
                        </v:group>
                        <v:group id="Group 27" o:spid="_x0000_s1037" style="position:absolute;left:10001;top:13239;width:27432;height:7906" coordorigin="10001,13239" coordsize="27432,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Rounded Rectangle 30" o:spid="_x0000_s1038" style="position:absolute;left:10001;top:13239;width:27432;height:7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" filled="f" strokecolor="black [3213]" strokeweight="1.5pt">
                            <v:stroke joinstyle="miter"/>
                          </v:roundrect>
                          <v:shape id="Text Box 2" o:spid="_x0000_s1039" type="#_x0000_t202" style="position:absolute;left:10953;top:14426;width:25527;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after duplicates removed</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1346)</w:t>
                                  </w:r>
                                </w:p>
                              </w:txbxContent>
                            </v:textbox>
                          </v:shape>
                        </v:group>
                        <v:shapetype id="_x0000_t32" coordsize="21600,21600" o:spt="32" o:oned="t" path="m,l21600,21600e" filled="f">
                          <v:path arrowok="t" fillok="f" o:connecttype="none"/>
                          <o:lock v:ext="edit" shapetype="t"/>
                        </v:shapetype>
                        <v:shape id="Straight Arrow Connector 28" o:spid="_x0000_s1040" type="#_x0000_t32" style="position:absolute;left:13811;top:9906;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" strokecolor="black [3200]" strokeweight="1.5pt">
                          <v:stroke endarrow="block" endarrowwidth="wide" joinstyle="miter"/>
                        </v:shape>
                        <v:shape id="Straight Arrow Connector 29" o:spid="_x0000_s1041" type="#_x0000_t32" style="position:absolute;left:30670;top:9810;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" strokecolor="black [3200]" strokeweight="1.5pt">
                          <v:stroke endarrow="block" endarrowwidth="wide" joinstyle="miter"/>
                        </v:shape>
                      </v:group>
                      <v:group id="Group 17" o:spid="_x0000_s1042" style="position:absolute;left:15621;top:24669;width:17240;height:6668" coordorigin="15621,24669" coordsize="17240,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2" o:spid="_x0000_s1043" type="#_x0000_t202" style="position:absolute;left:16383;top:24669;width:15525;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screened</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1346)</w:t>
                                </w:r>
                              </w:p>
                            </w:txbxContent>
                          </v:textbox>
                        </v:shape>
                        <v:roundrect id="Rounded Rectangle 24" o:spid="_x0000_s1044" style="position:absolute;left:15621;top:24669;width:17240;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" filled="f" strokecolor="black [3213]" strokeweight="1.5pt">
                          <v:stroke joinstyle="miter"/>
                        </v:roundrect>
                      </v:group>
                      <v:shape id="Straight Arrow Connector 18" o:spid="_x0000_s1045" type="#_x0000_t32" style="position:absolute;left:23812;top:21145;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" strokecolor="black [3200]" strokeweight="1.5pt">
                        <v:stroke endarrow="block" endarrowwidth="wide" joinstyle="miter"/>
                      </v:shape>
                      <v:group id="Group 19" o:spid="_x0000_s1046" style="position:absolute;left:38004;top:21261;width:21241;height:26868" coordorigin="38004,21261" coordsize="21240,2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2" o:spid="_x0000_s1047" type="#_x0000_t202" style="position:absolute;left:38988;top:21956;width:19908;height:26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excluded, with reasons at title/abstract level: n =1166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Adjunct Therapies (n = 58)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Intervention (n = 584)</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Non-Visual Arts (n = 218)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Process (n = 0)</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Dementia (n = 46)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Outcomes (n = 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Self-Initiated Art (n = 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Non-English (n = 26)</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Literature Review (n = 52)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Reviews/Editorials (n = 47)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Prior to 2000 (n = 126)</w:t>
                                </w:r>
                              </w:p>
                            </w:txbxContent>
                          </v:textbox>
                        </v:shape>
                        <v:roundrect id="Rounded Rectangle 22" o:spid="_x0000_s1048" style="position:absolute;left:38004;top:21261;width:21241;height:261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" filled="f" strokecolor="black [3213]" strokeweight="1.5pt">
                          <v:stroke joinstyle="miter"/>
                        </v:roundrect>
                      </v:group>
                      <v:shape id="Straight Arrow Connector 20" o:spid="_x0000_s1049" type="#_x0000_t32" style="position:absolute;left:32861;top:28575;width:5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" strokecolor="black [3213]" strokeweight="1.5pt">
                        <v:stroke startarrowwidth="wide" endarrow="block" endarrowwidth="wide" joinstyle="miter"/>
                      </v:shape>
                    </v:group>
                    <v:group id="Group 6" o:spid="_x0000_s1050" style="position:absolute;left:14287;top:48768;width:20384;height:8572" coordorigin="14287,48768" coordsize="20383,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14" o:spid="_x0000_s1051" style="position:absolute;left:14287;top:48768;width:20384;height:8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" filled="f" strokecolor="black [3213]" strokeweight="1.5pt">
                        <v:stroke joinstyle="miter"/>
                      </v:roundrect>
                      <v:shape id="Text Box 2" o:spid="_x0000_s1052" type="#_x0000_t202" style="position:absolute;left:15621;top:49297;width:17240;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 xml:space="preserve">Full-text articles assessed for eligibility </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180)</w:t>
                              </w:r>
                            </w:p>
                          </w:txbxContent>
                        </v:textbox>
                      </v:shape>
                    </v:group>
                    <v:group id="Group 7" o:spid="_x0000_s1053" style="position:absolute;left:38004;top:48768;width:21241;height:22231" coordorigin="38004,48768" coordsize="21240,2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2" o:spid="_x0000_s1054" type="#_x0000_t202" style="position:absolute;left:38671;top:49735;width:19907;height:20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excluded, with reasons: n = 157</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Adjunct Therapies (n = 13)</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Intervention (n = 10)</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Non-Visual Arts (n = 1)</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Arts Process (n = 18)</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Dementia (n = 4)</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No Outcomes (n = 102)</w:t>
                              </w:r>
                            </w:p>
                            <w:p w:rsidR="0001095A" w:rsidRPr="00200F3E" w:rsidRDefault="0001095A" w:rsidP="00200F3E">
                              <w:pPr>
                                <w:spacing w:after="0" w:line="240" w:lineRule="auto"/>
                                <w:jc w:val="center"/>
                                <w:rPr>
                                  <w:rFonts w:ascii="Times New Roman" w:hAnsi="Times New Roman" w:cs="Times New Roman"/>
                                </w:rPr>
                              </w:pPr>
                              <w:r w:rsidRPr="00200F3E">
                                <w:rPr>
                                  <w:rFonts w:ascii="Times New Roman" w:hAnsi="Times New Roman" w:cs="Times New Roman"/>
                                </w:rPr>
                                <w:t>Self-Initiated Art (n = 10)</w:t>
                              </w:r>
                            </w:p>
                            <w:p w:rsidR="0001095A" w:rsidRPr="00200F3E" w:rsidRDefault="0001095A" w:rsidP="00200F3E">
                              <w:pPr>
                                <w:spacing w:line="240" w:lineRule="auto"/>
                                <w:jc w:val="center"/>
                                <w:rPr>
                                  <w:rFonts w:ascii="Times New Roman" w:hAnsi="Times New Roman" w:cs="Times New Roman"/>
                                </w:rPr>
                              </w:pPr>
                              <w:r w:rsidRPr="00200F3E">
                                <w:rPr>
                                  <w:rFonts w:ascii="Times New Roman" w:hAnsi="Times New Roman" w:cs="Times New Roman"/>
                                </w:rPr>
                                <w:t>Literature Review (n = 1)</w:t>
                              </w:r>
                            </w:p>
                          </w:txbxContent>
                        </v:textbox>
                      </v:shape>
                      <v:roundrect id="Rounded Rectangle 13" o:spid="_x0000_s1055" style="position:absolute;left:38004;top:48768;width:21241;height:222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" filled="f" strokecolor="black [3213]" strokeweight="1.5pt">
                        <v:stroke joinstyle="miter"/>
                      </v:roundrect>
                    </v:group>
                    <v:shape id="Straight Arrow Connector 8" o:spid="_x0000_s1056" type="#_x0000_t32" style="position:absolute;left:34671;top:53340;width:33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" strokecolor="black [3213]" strokeweight="1.5pt">
                      <v:stroke endarrow="block" endarrowwidth="wide" joinstyle="miter"/>
                    </v:shape>
                    <v:group id="Group 9" o:spid="_x0000_s1057" style="position:absolute;left:14287;top:67991;width:19622;height:8616" coordorigin="14287,67991" coordsize="19621,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ounded Rectangle 10" o:spid="_x0000_s1058" style="position:absolute;left:14287;top:67991;width:19622;height:86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" filled="f" strokecolor="black [3213]" strokeweight="1.5pt">
                        <v:stroke joinstyle="miter"/>
                      </v:roundrect>
                      <v:shape id="Text Box 2" o:spid="_x0000_s1059" type="#_x0000_t202" style="position:absolute;left:15621;top:68222;width:17240;height:7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Records included in synthesis</w:t>
                              </w:r>
                            </w:p>
                            <w:p w:rsidR="0001095A" w:rsidRPr="00200F3E" w:rsidRDefault="0001095A" w:rsidP="00200F3E">
                              <w:pPr>
                                <w:jc w:val="center"/>
                                <w:rPr>
                                  <w:rFonts w:ascii="Times New Roman" w:hAnsi="Times New Roman" w:cs="Times New Roman"/>
                                </w:rPr>
                              </w:pPr>
                              <w:r w:rsidRPr="00200F3E">
                                <w:rPr>
                                  <w:rFonts w:ascii="Times New Roman" w:hAnsi="Times New Roman" w:cs="Times New Roman"/>
                                </w:rPr>
                                <w:t>(n = 21)</w:t>
                              </w:r>
                            </w:p>
                          </w:txbxContent>
                        </v:textbox>
                      </v:shape>
                    </v:group>
                  </v:group>
                  <v:shape id="Straight Arrow Connector 3" o:spid="_x0000_s1060" type="#_x0000_t32" style="position:absolute;left:23848;top:30891;width:0;height:17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" strokecolor="black [3213]" strokeweight="1.5pt">
                    <v:stroke endarrow="block" endarrowwidth="wide" joinstyle="miter"/>
                  </v:shape>
                  <v:shape id="Straight Arrow Connector 4" o:spid="_x0000_s1061" type="#_x0000_t32" style="position:absolute;left:23848;top:57335;width:0;height:10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" strokecolor="black [3213]" strokeweight="1.5pt">
                    <v:stroke endarrow="block" endarrowwidth="wide" joinstyle="miter"/>
                  </v:shape>
                </v:group>
                <v:shape id="Text Box 2" o:spid="_x0000_s1062" type="#_x0000_t202" style="position:absolute;left:609;top:74812;width:42957;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rsidR="0001095A" w:rsidRPr="00200F3E" w:rsidRDefault="0001095A" w:rsidP="00200F3E">
                        <w:pPr>
                          <w:rPr>
                            <w:rFonts w:ascii="Times New Roman" w:hAnsi="Times New Roman" w:cs="Times New Roman"/>
                          </w:rPr>
                        </w:pPr>
                        <w:r w:rsidRPr="00200F3E">
                          <w:rPr>
                            <w:rFonts w:ascii="Times New Roman" w:hAnsi="Times New Roman" w:cs="Times New Roman"/>
                            <w:b/>
                          </w:rPr>
                          <w:t>Figure 1</w:t>
                        </w:r>
                        <w:r>
                          <w:rPr>
                            <w:rFonts w:ascii="Times New Roman" w:hAnsi="Times New Roman" w:cs="Times New Roman"/>
                            <w:b/>
                          </w:rPr>
                          <w:t>.</w:t>
                        </w:r>
                        <w:r w:rsidRPr="00200F3E">
                          <w:rPr>
                            <w:rFonts w:ascii="Times New Roman" w:hAnsi="Times New Roman" w:cs="Times New Roman"/>
                            <w:b/>
                          </w:rPr>
                          <w:t xml:space="preserve"> </w:t>
                        </w:r>
                        <w:r w:rsidRPr="00200F3E">
                          <w:rPr>
                            <w:rFonts w:ascii="Times New Roman" w:hAnsi="Times New Roman" w:cs="Times New Roman"/>
                          </w:rPr>
                          <w:t>Flow diagram of paper selection process</w:t>
                        </w:r>
                      </w:p>
                    </w:txbxContent>
                  </v:textbox>
                </v:shape>
                <w10:wrap type="tight" anchorx="margin"/>
              </v:group>
            </w:pict>
          </mc:Fallback>
        </mc:AlternateContent>
      </w: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pPr>
    </w:p>
    <w:p w:rsidR="00C10363" w:rsidRPr="00FB3F03" w:rsidRDefault="00C10363" w:rsidP="002507D4">
      <w:pPr>
        <w:rPr>
          <w:color w:val="000000" w:themeColor="text1"/>
        </w:rPr>
        <w:sectPr w:rsidR="00C10363" w:rsidRPr="00FB3F03" w:rsidSect="002507D4">
          <w:footerReference w:type="default" r:id="rId14"/>
          <w:pgSz w:w="11906" w:h="16838"/>
          <w:pgMar w:top="1418" w:right="1440" w:bottom="1440" w:left="1418" w:header="709" w:footer="709" w:gutter="0"/>
          <w:cols w:space="708"/>
          <w:docGrid w:linePitch="360"/>
        </w:sectPr>
      </w:pPr>
    </w:p>
    <w:tbl>
      <w:tblPr>
        <w:tblStyle w:val="ListTable21"/>
        <w:tblW w:w="5000" w:type="pct"/>
        <w:jc w:val="center"/>
        <w:tblLook w:val="04A0" w:firstRow="1" w:lastRow="0" w:firstColumn="1" w:lastColumn="0" w:noHBand="0" w:noVBand="1"/>
      </w:tblPr>
      <w:tblGrid>
        <w:gridCol w:w="1631"/>
        <w:gridCol w:w="1636"/>
        <w:gridCol w:w="1023"/>
        <w:gridCol w:w="1336"/>
        <w:gridCol w:w="2399"/>
        <w:gridCol w:w="1655"/>
        <w:gridCol w:w="1960"/>
        <w:gridCol w:w="1412"/>
        <w:gridCol w:w="928"/>
      </w:tblGrid>
      <w:tr w:rsidR="00FB3F03" w:rsidRPr="00FB3F03" w:rsidTr="00C10363">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5000" w:type="pct"/>
            <w:gridSpan w:val="9"/>
          </w:tcPr>
          <w:p w:rsidR="00C10363" w:rsidRPr="00FB3F03" w:rsidRDefault="00C10363" w:rsidP="00C10363">
            <w:pPr>
              <w:rPr>
                <w:rFonts w:ascii="Times New Roman" w:hAnsi="Times New Roman" w:cs="Times New Roman"/>
                <w:bCs w:val="0"/>
                <w:i/>
                <w:color w:val="000000" w:themeColor="text1"/>
              </w:rPr>
            </w:pPr>
            <w:r w:rsidRPr="00FB3F03">
              <w:rPr>
                <w:rFonts w:ascii="Times New Roman" w:hAnsi="Times New Roman" w:cs="Times New Roman"/>
                <w:color w:val="000000" w:themeColor="text1"/>
              </w:rPr>
              <w:lastRenderedPageBreak/>
              <w:t>Table 1</w:t>
            </w:r>
            <w:r w:rsidR="00200F3E" w:rsidRPr="00FB3F03">
              <w:rPr>
                <w:rFonts w:ascii="Times New Roman" w:hAnsi="Times New Roman" w:cs="Times New Roman"/>
                <w:color w:val="000000" w:themeColor="text1"/>
              </w:rPr>
              <w:t>.</w:t>
            </w:r>
            <w:r w:rsidRPr="00FB3F03">
              <w:rPr>
                <w:rFonts w:ascii="Times New Roman" w:hAnsi="Times New Roman" w:cs="Times New Roman"/>
                <w:color w:val="000000" w:themeColor="text1"/>
              </w:rPr>
              <w:t xml:space="preserve"> </w:t>
            </w:r>
            <w:r w:rsidRPr="00FB3F03">
              <w:rPr>
                <w:rFonts w:ascii="Times New Roman" w:hAnsi="Times New Roman" w:cs="Times New Roman"/>
                <w:b w:val="0"/>
                <w:color w:val="000000" w:themeColor="text1"/>
              </w:rPr>
              <w:t>Individual Study Characteristics</w:t>
            </w:r>
            <w:r w:rsidRPr="00FB3F03">
              <w:rPr>
                <w:rFonts w:ascii="Times New Roman" w:hAnsi="Times New Roman" w:cs="Times New Roman"/>
                <w:b w:val="0"/>
                <w:i/>
                <w:color w:val="000000" w:themeColor="text1"/>
              </w:rPr>
              <w:t xml:space="preserve"> </w:t>
            </w:r>
          </w:p>
          <w:p w:rsidR="00C10363" w:rsidRPr="00FB3F03" w:rsidRDefault="00C10363" w:rsidP="00C10363">
            <w:pPr>
              <w:rPr>
                <w:rFonts w:ascii="Times New Roman" w:hAnsi="Times New Roman" w:cs="Times New Roman"/>
                <w:b w:val="0"/>
                <w:i/>
                <w:color w:val="000000" w:themeColor="text1"/>
              </w:rPr>
            </w:pPr>
            <w:r w:rsidRPr="00FB3F03">
              <w:rPr>
                <w:rFonts w:ascii="Times New Roman" w:hAnsi="Times New Roman" w:cs="Times New Roman"/>
                <w:b w:val="0"/>
                <w:i/>
                <w:color w:val="000000" w:themeColor="text1"/>
              </w:rPr>
              <w:t>Pwd: People with dementia</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jc w:val="center"/>
              <w:rPr>
                <w:rFonts w:ascii="Times New Roman" w:hAnsi="Times New Roman" w:cs="Times New Roman"/>
                <w:color w:val="000000" w:themeColor="text1"/>
              </w:rPr>
            </w:pPr>
            <w:r w:rsidRPr="00FB3F03">
              <w:rPr>
                <w:rFonts w:ascii="Times New Roman" w:hAnsi="Times New Roman" w:cs="Times New Roman"/>
                <w:color w:val="000000" w:themeColor="text1"/>
              </w:rPr>
              <w:t>Author</w:t>
            </w:r>
          </w:p>
        </w:tc>
        <w:tc>
          <w:tcPr>
            <w:tcW w:w="585"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Design</w:t>
            </w:r>
          </w:p>
        </w:tc>
        <w:tc>
          <w:tcPr>
            <w:tcW w:w="366"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Country</w:t>
            </w:r>
          </w:p>
        </w:tc>
        <w:tc>
          <w:tcPr>
            <w:tcW w:w="478"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N</w:t>
            </w:r>
          </w:p>
        </w:tc>
        <w:tc>
          <w:tcPr>
            <w:tcW w:w="858"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Intervention Type</w:t>
            </w:r>
          </w:p>
        </w:tc>
        <w:tc>
          <w:tcPr>
            <w:tcW w:w="592"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Facilitator Role</w:t>
            </w:r>
          </w:p>
        </w:tc>
        <w:tc>
          <w:tcPr>
            <w:tcW w:w="701"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Intervention Length</w:t>
            </w:r>
          </w:p>
        </w:tc>
        <w:tc>
          <w:tcPr>
            <w:tcW w:w="505"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Follow Up</w:t>
            </w:r>
          </w:p>
        </w:tc>
        <w:tc>
          <w:tcPr>
            <w:tcW w:w="332" w:type="pct"/>
          </w:tcPr>
          <w:p w:rsidR="00C10363" w:rsidRPr="00FB3F03" w:rsidRDefault="00C10363" w:rsidP="00C103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 xml:space="preserve">Quality Score </w:t>
            </w:r>
          </w:p>
        </w:tc>
      </w:tr>
      <w:tr w:rsidR="00FB3F03" w:rsidRPr="00FB3F03" w:rsidTr="00C10363">
        <w:trPr>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 xml:space="preserve">Brownell (2008) </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37 pwd, 5 students</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Intergenerational art program</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highlight w:val="yellow"/>
              </w:rPr>
            </w:pPr>
            <w:r w:rsidRPr="00FB3F03">
              <w:rPr>
                <w:rFonts w:ascii="Times New Roman" w:hAnsi="Times New Roman" w:cs="Times New Roman"/>
                <w:color w:val="000000" w:themeColor="text1"/>
              </w:rPr>
              <w:t xml:space="preserve">Senior art students </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45 min, 1x/week, 5 months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0</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25%</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Camic et al. (2014)</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 pre-post design</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13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viewing and art making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 and professional artist</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2hr, 1x/week, 8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2-3 weeks</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Camic et al. (2016)</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12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viewing and art making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 and professional artist</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2hrs, 1x/week, 8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2-3weeks</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Eekelaar</w:t>
            </w:r>
            <w:proofErr w:type="spellEnd"/>
            <w:r w:rsidRPr="00FB3F03">
              <w:rPr>
                <w:rFonts w:ascii="Times New Roman" w:hAnsi="Times New Roman" w:cs="Times New Roman"/>
                <w:b w:val="0"/>
                <w:color w:val="000000" w:themeColor="text1"/>
              </w:rPr>
              <w:t xml:space="preserve"> et al. (2012)</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 pre-post design</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viewing and art making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 and art therapist</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90min, 1x/week, 3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 weeks</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25%</w:t>
            </w:r>
          </w:p>
        </w:tc>
      </w:tr>
      <w:tr w:rsidR="00FB3F03" w:rsidRPr="00FB3F03" w:rsidTr="00C10363">
        <w:trPr>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Esker and Ashton (2013)</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 activity with watercolors</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Researcher</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30 min, 5 times in a 7-day period, twice</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Flatt et al. (2015)</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10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 viewing and art making</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Museum’s education curators</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3hrs, one session</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25%</w:t>
            </w:r>
          </w:p>
        </w:tc>
      </w:tr>
      <w:tr w:rsidR="00FB3F03" w:rsidRPr="00FB3F03" w:rsidTr="00C10363">
        <w:trPr>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Gross et al. (2015)</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76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Memories in Making® activities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Student interns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 min, 1x/week, 12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Hattori et al. (2011)</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RCT</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Japan</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39 pwd</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therapy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Speech therapists and designer/artist</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45 min, 1x/week, 12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75%</w:t>
            </w:r>
          </w:p>
        </w:tc>
      </w:tr>
      <w:tr w:rsidR="00FB3F03" w:rsidRPr="00FB3F03" w:rsidTr="00C10363">
        <w:trPr>
          <w:trHeight w:val="493"/>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highlight w:val="yellow"/>
              </w:rPr>
            </w:pPr>
            <w:r w:rsidRPr="00FB3F03">
              <w:rPr>
                <w:rFonts w:ascii="Times New Roman" w:hAnsi="Times New Roman" w:cs="Times New Roman"/>
                <w:b w:val="0"/>
                <w:color w:val="000000" w:themeColor="text1"/>
              </w:rPr>
              <w:t>Johnson et al. (2017)</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 crossover design</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36 pwd, 30 carers</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Object handling and art viewing</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Does not specify</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45 min object handling, 45 min art viewing, 11 sessions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100%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Kinney and Rentz (2005)</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12 pwd</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Memories in Making® activities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 facilitators and activities staff</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40 min, 1x/week, 8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0%</w:t>
            </w:r>
          </w:p>
        </w:tc>
      </w:tr>
      <w:tr w:rsidR="00FB3F03" w:rsidRPr="00FB3F03" w:rsidTr="00C10363">
        <w:trPr>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lastRenderedPageBreak/>
              <w:t>MacPherson et al. (2009)</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Australia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15 pwd, 6 staff</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Artwork discussion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45-60min, 1x/week, 6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2-3 weeks</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25%</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 xml:space="preserve">Pӧllänen and Hirsimäki (2014) </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Case study</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Finland</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 pwd</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Reminiscence sessions using crafts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Specialized nurse</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55-65min, 3 sessions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100%</w:t>
            </w:r>
          </w:p>
        </w:tc>
      </w:tr>
      <w:tr w:rsidR="00FB3F03" w:rsidRPr="00FB3F03" w:rsidTr="00C10363">
        <w:trPr>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Rentz (2002)</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41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Memories in Making® activities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 facilitators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 min, 1x/week, several sessions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Rusted et al. (2006)</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RCT</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21 pwd</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therapy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 therapists</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 min, 1x/week, 40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 and 3 months</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Sauer et al. (2016)</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38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Opening minds through art (OMA)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Student volunteers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60min, 1x/week, 12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25%</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Sudha et al. (2013)</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 pwd in intervention, 31 pwd in evaluation process</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ARTmail exchange program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Site staff and student volunteers</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10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Tietyen</w:t>
            </w:r>
            <w:proofErr w:type="spellEnd"/>
            <w:r w:rsidRPr="00FB3F03">
              <w:rPr>
                <w:rFonts w:ascii="Times New Roman" w:hAnsi="Times New Roman" w:cs="Times New Roman"/>
                <w:b w:val="0"/>
                <w:color w:val="000000" w:themeColor="text1"/>
              </w:rPr>
              <w:t xml:space="preserve"> and Richards (2017)</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8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activities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Does not specify</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90min, 1x/week, 8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Tietyen</w:t>
            </w:r>
            <w:proofErr w:type="spellEnd"/>
            <w:r w:rsidRPr="00FB3F03">
              <w:rPr>
                <w:rFonts w:ascii="Times New Roman" w:hAnsi="Times New Roman" w:cs="Times New Roman"/>
                <w:b w:val="0"/>
                <w:color w:val="000000" w:themeColor="text1"/>
              </w:rPr>
              <w:t xml:space="preserve"> et al. (2018)</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RCT</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26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 activities</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 education instructors</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90min, 1x/week, 8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 months</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trHeight w:val="1263"/>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Ullán et al. (2013)</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Spain</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21 pwd</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Contemporary artistic educational program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60-90min, N of sessions ranged between 5 and 22</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Focus groups post intervention – time of follow up NS</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50%</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Walsh et al. (2011)</w:t>
            </w:r>
          </w:p>
        </w:tc>
        <w:tc>
          <w:tcPr>
            <w:tcW w:w="58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Case Series</w:t>
            </w:r>
          </w:p>
        </w:tc>
        <w:tc>
          <w:tcPr>
            <w:tcW w:w="366"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USA</w:t>
            </w:r>
          </w:p>
        </w:tc>
        <w:tc>
          <w:tcPr>
            <w:tcW w:w="47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4 pwd</w:t>
            </w:r>
          </w:p>
        </w:tc>
        <w:tc>
          <w:tcPr>
            <w:tcW w:w="858"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Creative bonding intervention </w:t>
            </w:r>
          </w:p>
        </w:tc>
        <w:tc>
          <w:tcPr>
            <w:tcW w:w="59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Interventionist </w:t>
            </w:r>
          </w:p>
        </w:tc>
        <w:tc>
          <w:tcPr>
            <w:tcW w:w="701"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30 min, 12 sessions total over 3 weeks</w:t>
            </w:r>
          </w:p>
        </w:tc>
        <w:tc>
          <w:tcPr>
            <w:tcW w:w="50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75%</w:t>
            </w:r>
          </w:p>
        </w:tc>
      </w:tr>
      <w:tr w:rsidR="00FB3F03" w:rsidRPr="00FB3F03" w:rsidTr="00C10363">
        <w:trPr>
          <w:trHeight w:val="245"/>
          <w:jc w:val="center"/>
        </w:trPr>
        <w:tc>
          <w:tcPr>
            <w:cnfStyle w:val="001000000000" w:firstRow="0" w:lastRow="0" w:firstColumn="1" w:lastColumn="0" w:oddVBand="0" w:evenVBand="0" w:oddHBand="0" w:evenHBand="0" w:firstRowFirstColumn="0" w:firstRowLastColumn="0" w:lastRowFirstColumn="0" w:lastRowLastColumn="0"/>
            <w:tcW w:w="5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Young et al. (2015)</w:t>
            </w:r>
          </w:p>
        </w:tc>
        <w:tc>
          <w:tcPr>
            <w:tcW w:w="58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Quasi-experimental</w:t>
            </w:r>
          </w:p>
        </w:tc>
        <w:tc>
          <w:tcPr>
            <w:tcW w:w="366"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UK</w:t>
            </w:r>
          </w:p>
        </w:tc>
        <w:tc>
          <w:tcPr>
            <w:tcW w:w="47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13 pwd-</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pairs</w:t>
            </w:r>
          </w:p>
        </w:tc>
        <w:tc>
          <w:tcPr>
            <w:tcW w:w="858"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viewing and art making </w:t>
            </w:r>
          </w:p>
        </w:tc>
        <w:tc>
          <w:tcPr>
            <w:tcW w:w="59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Artistic educators</w:t>
            </w:r>
          </w:p>
        </w:tc>
        <w:tc>
          <w:tcPr>
            <w:tcW w:w="701"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2hrs, 1x/weekly, 8 weeks</w:t>
            </w:r>
          </w:p>
        </w:tc>
        <w:tc>
          <w:tcPr>
            <w:tcW w:w="50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None</w:t>
            </w:r>
          </w:p>
        </w:tc>
        <w:tc>
          <w:tcPr>
            <w:tcW w:w="33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100%</w:t>
            </w:r>
          </w:p>
        </w:tc>
      </w:tr>
    </w:tbl>
    <w:p w:rsidR="00C10363" w:rsidRPr="00FB3F03" w:rsidRDefault="00C10363" w:rsidP="00C10363">
      <w:pPr>
        <w:rPr>
          <w:color w:val="000000" w:themeColor="text1"/>
        </w:rPr>
      </w:pPr>
    </w:p>
    <w:p w:rsidR="00C10363" w:rsidRPr="00FB3F03" w:rsidRDefault="00C10363" w:rsidP="00C10363">
      <w:pPr>
        <w:rPr>
          <w:color w:val="000000" w:themeColor="text1"/>
        </w:rPr>
      </w:pPr>
    </w:p>
    <w:p w:rsidR="00C10363" w:rsidRPr="00FB3F03" w:rsidRDefault="00C10363" w:rsidP="00C10363">
      <w:pPr>
        <w:rPr>
          <w:color w:val="000000" w:themeColor="text1"/>
        </w:rPr>
      </w:pPr>
    </w:p>
    <w:tbl>
      <w:tblPr>
        <w:tblStyle w:val="ListTable21"/>
        <w:tblW w:w="5000" w:type="pct"/>
        <w:tblLook w:val="04A0" w:firstRow="1" w:lastRow="0" w:firstColumn="1" w:lastColumn="0" w:noHBand="0" w:noVBand="1"/>
      </w:tblPr>
      <w:tblGrid>
        <w:gridCol w:w="2469"/>
        <w:gridCol w:w="3193"/>
        <w:gridCol w:w="8318"/>
      </w:tblGrid>
      <w:tr w:rsidR="00FB3F03" w:rsidRPr="00FB3F03" w:rsidTr="00C1036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000" w:type="pct"/>
            <w:gridSpan w:val="3"/>
          </w:tcPr>
          <w:p w:rsidR="00C10363" w:rsidRPr="00FB3F03" w:rsidRDefault="00C10363" w:rsidP="00C10363">
            <w:pPr>
              <w:rPr>
                <w:rFonts w:ascii="Times New Roman" w:hAnsi="Times New Roman" w:cs="Times New Roman"/>
                <w:bCs w:val="0"/>
                <w:color w:val="000000" w:themeColor="text1"/>
              </w:rPr>
            </w:pPr>
            <w:r w:rsidRPr="00FB3F03">
              <w:rPr>
                <w:rFonts w:ascii="Times New Roman" w:hAnsi="Times New Roman" w:cs="Times New Roman"/>
                <w:color w:val="000000" w:themeColor="text1"/>
              </w:rPr>
              <w:lastRenderedPageBreak/>
              <w:t>Table 2</w:t>
            </w:r>
            <w:r w:rsidR="00200F3E" w:rsidRPr="00FB3F03">
              <w:rPr>
                <w:rFonts w:ascii="Times New Roman" w:hAnsi="Times New Roman" w:cs="Times New Roman"/>
                <w:color w:val="000000" w:themeColor="text1"/>
              </w:rPr>
              <w:t>.</w:t>
            </w:r>
            <w:r w:rsidRPr="00FB3F03">
              <w:rPr>
                <w:rFonts w:ascii="Times New Roman" w:hAnsi="Times New Roman" w:cs="Times New Roman"/>
                <w:color w:val="000000" w:themeColor="text1"/>
              </w:rPr>
              <w:t xml:space="preserve"> </w:t>
            </w:r>
            <w:r w:rsidRPr="00FB3F03">
              <w:rPr>
                <w:rFonts w:ascii="Times New Roman" w:hAnsi="Times New Roman" w:cs="Times New Roman"/>
                <w:b w:val="0"/>
                <w:color w:val="000000" w:themeColor="text1"/>
              </w:rPr>
              <w:t xml:space="preserve">Summary of outcome measures and key findings for each study </w:t>
            </w:r>
          </w:p>
          <w:p w:rsidR="00200F3E" w:rsidRPr="00FB3F03" w:rsidRDefault="00200F3E" w:rsidP="00C10363">
            <w:pPr>
              <w:rPr>
                <w:rFonts w:ascii="Times New Roman" w:hAnsi="Times New Roman" w:cs="Times New Roman"/>
                <w:bCs w:val="0"/>
                <w:color w:val="000000" w:themeColor="text1"/>
              </w:rPr>
            </w:pPr>
            <w:r w:rsidRPr="00FB3F03">
              <w:rPr>
                <w:rFonts w:ascii="Times New Roman" w:hAnsi="Times New Roman" w:cs="Times New Roman"/>
                <w:b w:val="0"/>
                <w:i/>
                <w:color w:val="000000" w:themeColor="text1"/>
              </w:rPr>
              <w:t>Pwd: People with dementia</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color w:val="000000" w:themeColor="text1"/>
              </w:rPr>
            </w:pPr>
            <w:r w:rsidRPr="00FB3F03">
              <w:rPr>
                <w:rFonts w:ascii="Times New Roman" w:hAnsi="Times New Roman" w:cs="Times New Roman"/>
                <w:color w:val="000000" w:themeColor="text1"/>
              </w:rPr>
              <w:t>Author and Year</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Outcome</w:t>
            </w:r>
            <w:r w:rsidR="0069576C" w:rsidRPr="00FB3F03">
              <w:rPr>
                <w:rFonts w:ascii="Times New Roman" w:hAnsi="Times New Roman" w:cs="Times New Roman"/>
                <w:b/>
                <w:color w:val="000000" w:themeColor="text1"/>
              </w:rPr>
              <w:t>s</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FB3F03">
              <w:rPr>
                <w:rFonts w:ascii="Times New Roman" w:hAnsi="Times New Roman" w:cs="Times New Roman"/>
                <w:b/>
                <w:color w:val="000000" w:themeColor="text1"/>
              </w:rPr>
              <w:t>Key Findings</w:t>
            </w:r>
          </w:p>
        </w:tc>
      </w:tr>
      <w:tr w:rsidR="00FB3F03" w:rsidRPr="00FB3F03" w:rsidTr="00C10363">
        <w:trPr>
          <w:trHeight w:val="488"/>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Brownell (2008)</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Pwd: Engagement, mood, agitation</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No significant difference in level of engagement, no significant difference in mood (with exception of time 3: residents not participating in arts project showed significantly more anxiety/fear), no significant difference for agitation (with exception of time 3: residents not participating in arts project displayed more verbal agitation).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Camic et al. (2014)</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Social inclusion, </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burden, QoL</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Thematic analysis revealed well-being benefits from both art gallery sites, which included positive social impact. Self-reports of enhanced cognition and improved QoL. There was a non-significant trend towards a reduction in </w:t>
            </w:r>
            <w:proofErr w:type="spellStart"/>
            <w:r w:rsidRPr="00FB3F03">
              <w:rPr>
                <w:rFonts w:ascii="Times New Roman" w:hAnsi="Times New Roman" w:cs="Times New Roman"/>
                <w:color w:val="000000" w:themeColor="text1"/>
              </w:rPr>
              <w:t>carer</w:t>
            </w:r>
            <w:proofErr w:type="spellEnd"/>
            <w:r w:rsidRPr="00FB3F03">
              <w:rPr>
                <w:rFonts w:ascii="Times New Roman" w:hAnsi="Times New Roman" w:cs="Times New Roman"/>
                <w:color w:val="000000" w:themeColor="text1"/>
              </w:rPr>
              <w:t xml:space="preserve"> burden over course of intervention.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Camic et al. (2016)</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Intellectual stimulation, social inclusion</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Art gallery environment is a physically valued site that provides intellectual stimulation and offers opportunities for social inclusion that can change how dementia is perceived.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Eekelaar</w:t>
            </w:r>
            <w:proofErr w:type="spellEnd"/>
            <w:r w:rsidRPr="00FB3F03">
              <w:rPr>
                <w:rFonts w:ascii="Times New Roman" w:hAnsi="Times New Roman" w:cs="Times New Roman"/>
                <w:b w:val="0"/>
                <w:color w:val="000000" w:themeColor="text1"/>
              </w:rPr>
              <w:t xml:space="preserve"> et al. (2012)</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Cognition</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Episodic memory could be enhanced through aesthetic responses, effects on verbal fluency are ambiguous. Family caregivers reported pwd showed improved mood, confidence and reduced isolation.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Esker &amp; Ashton (2013)</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Passivity</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Painting sessions found to be efficacious in reducing passive </w:t>
            </w:r>
            <w:r w:rsidR="00200F3E" w:rsidRPr="00FB3F03">
              <w:rPr>
                <w:rFonts w:ascii="Times New Roman" w:hAnsi="Times New Roman" w:cs="Times New Roman"/>
                <w:color w:val="000000" w:themeColor="text1"/>
              </w:rPr>
              <w:t>behaviors</w:t>
            </w:r>
            <w:r w:rsidRPr="00FB3F03">
              <w:rPr>
                <w:rFonts w:ascii="Times New Roman" w:hAnsi="Times New Roman" w:cs="Times New Roman"/>
                <w:color w:val="000000" w:themeColor="text1"/>
              </w:rPr>
              <w:t xml:space="preserve"> of pwd.</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Flatt et al. (2015)</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Subjective experiences</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Three positive key themes identified from participation in activity: cognitive stimulation, social connections and self-esteem.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Gross et al. (2015)</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Well-being</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Quantitative evidence for effectiveness of </w:t>
            </w:r>
            <w:proofErr w:type="spellStart"/>
            <w:r w:rsidRPr="00FB3F03">
              <w:rPr>
                <w:rFonts w:ascii="Times New Roman" w:hAnsi="Times New Roman" w:cs="Times New Roman"/>
                <w:color w:val="000000" w:themeColor="text1"/>
              </w:rPr>
              <w:t>programme</w:t>
            </w:r>
            <w:proofErr w:type="spellEnd"/>
            <w:r w:rsidRPr="00FB3F03">
              <w:rPr>
                <w:rFonts w:ascii="Times New Roman" w:hAnsi="Times New Roman" w:cs="Times New Roman"/>
                <w:color w:val="000000" w:themeColor="text1"/>
              </w:rPr>
              <w:t xml:space="preserve"> is unclear, but anecdotal observations indicate benefits for pwd.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Hattori et al. (2011)</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Cognition, mood, QoL, apathy, caregiver burden</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Significant improvement in the Apathy Scale in art therapy group, and in QoL. Significant improvement in the MMSE score in the calculation group. No significant differences in the other items between two groups.</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Johnson et al. (2017)</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Well-being</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Well-being significantly increased during session, and evaluation questionnaire indicated experiences of sessions were positive.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Kinney &amp; Rentz (2005)</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Well-being</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Participants demonstrated significant positive interest, sustained attention, pleasure, self-esteem and normalcy during the </w:t>
            </w:r>
            <w:proofErr w:type="spellStart"/>
            <w:r w:rsidRPr="00FB3F03">
              <w:rPr>
                <w:rFonts w:ascii="Times New Roman" w:hAnsi="Times New Roman" w:cs="Times New Roman"/>
                <w:color w:val="000000" w:themeColor="text1"/>
              </w:rPr>
              <w:t>programme</w:t>
            </w:r>
            <w:proofErr w:type="spellEnd"/>
            <w:r w:rsidRPr="00FB3F03">
              <w:rPr>
                <w:rFonts w:ascii="Times New Roman" w:hAnsi="Times New Roman" w:cs="Times New Roman"/>
                <w:color w:val="000000" w:themeColor="text1"/>
              </w:rPr>
              <w:t>. No differences in negative affect or sadness between two activities.</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MacPherson et al. (2009)</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Engagement</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Participants engaged from the beginning and maintained engagement. Improvement in confidence and social process.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Pӧllänen and Hirsimäki (2014)</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Memory</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Multisensory triggers stimulated recall of forgotten, positive craft experiences.</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Rentz (2002)</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Well-being, affect, self-esteem</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Preliminary data suggests participation in weekly sessions contributed to sense of well-being, enhanced self-esteem and pleasure</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lastRenderedPageBreak/>
              <w:t>Rusted et al. (2006)</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Cognition, </w:t>
            </w:r>
            <w:r w:rsidR="00200F3E" w:rsidRPr="00FB3F03">
              <w:rPr>
                <w:rFonts w:ascii="Times New Roman" w:hAnsi="Times New Roman" w:cs="Times New Roman"/>
                <w:color w:val="000000" w:themeColor="text1"/>
              </w:rPr>
              <w:t>behavior</w:t>
            </w:r>
            <w:r w:rsidRPr="00FB3F03">
              <w:rPr>
                <w:rFonts w:ascii="Times New Roman" w:hAnsi="Times New Roman" w:cs="Times New Roman"/>
                <w:color w:val="000000" w:themeColor="text1"/>
              </w:rPr>
              <w:t>, depression, sociability, well-being, mood</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Positive impact on </w:t>
            </w:r>
            <w:r w:rsidR="00200F3E" w:rsidRPr="00FB3F03">
              <w:rPr>
                <w:rFonts w:ascii="Times New Roman" w:hAnsi="Times New Roman" w:cs="Times New Roman"/>
                <w:color w:val="000000" w:themeColor="text1"/>
              </w:rPr>
              <w:t>behavior</w:t>
            </w:r>
            <w:r w:rsidRPr="00FB3F03">
              <w:rPr>
                <w:rFonts w:ascii="Times New Roman" w:hAnsi="Times New Roman" w:cs="Times New Roman"/>
                <w:color w:val="000000" w:themeColor="text1"/>
              </w:rPr>
              <w:t xml:space="preserve">, depression, sociability, well-being and mood.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Sauer et al. (2016)</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Well-being and ill-being</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High percentage of moderate or high intensities of well-being during OMA sessions with little to no ill-being. Significantly higher scores for OMA in the domain of engagement and pleasure, as well as significantly lower intensity scores for disengagement.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Sudha et al. (2013)</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Mood, social connectedness</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Findings suggest improved mood from baseline to end point.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Tietyen</w:t>
            </w:r>
            <w:proofErr w:type="spellEnd"/>
            <w:r w:rsidRPr="00FB3F03">
              <w:rPr>
                <w:rFonts w:ascii="Times New Roman" w:hAnsi="Times New Roman" w:cs="Times New Roman"/>
                <w:b w:val="0"/>
                <w:color w:val="000000" w:themeColor="text1"/>
              </w:rPr>
              <w:t xml:space="preserve"> &amp; Richards (2017)</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QoL, self-esteem, mood</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Five of 8 participants increased QoL, 1 remained the same and 2 slightly decreased. Six of 8 participants showed improvement in self-esteem, 1 showed no improvement and 1 showed decline. Five of 8 activities improved mood.  </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proofErr w:type="spellStart"/>
            <w:r w:rsidRPr="00FB3F03">
              <w:rPr>
                <w:rFonts w:ascii="Times New Roman" w:hAnsi="Times New Roman" w:cs="Times New Roman"/>
                <w:b w:val="0"/>
                <w:color w:val="000000" w:themeColor="text1"/>
              </w:rPr>
              <w:t>Tietyen</w:t>
            </w:r>
            <w:proofErr w:type="spellEnd"/>
            <w:r w:rsidRPr="00FB3F03">
              <w:rPr>
                <w:rFonts w:ascii="Times New Roman" w:hAnsi="Times New Roman" w:cs="Times New Roman"/>
                <w:b w:val="0"/>
                <w:color w:val="000000" w:themeColor="text1"/>
              </w:rPr>
              <w:t xml:space="preserve"> et al. (2018)</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QoL, self-esteem, ADL</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Six-month experimental group’s post-test results showed significantly improved QoL, self-esteem and ADL compared to control group.</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Ullán et al. (2013)</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Subjective experience</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Observed high levels of commitment to activity, and commitment in learning new things. Observed participant satisfaction during creative process.</w:t>
            </w:r>
          </w:p>
        </w:tc>
      </w:tr>
      <w:tr w:rsidR="00FB3F03" w:rsidRPr="00FB3F03" w:rsidTr="00C10363">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Walsh et al. (2011)</w:t>
            </w:r>
          </w:p>
        </w:tc>
        <w:tc>
          <w:tcPr>
            <w:tcW w:w="1142"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Self-transcendence, well-being</w:t>
            </w:r>
          </w:p>
        </w:tc>
        <w:tc>
          <w:tcPr>
            <w:tcW w:w="2975" w:type="pct"/>
          </w:tcPr>
          <w:p w:rsidR="00C10363" w:rsidRPr="00FB3F03" w:rsidRDefault="00C10363" w:rsidP="00C103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Six themes emerged during analysis: trusting, thirsting, following, connecting, choosing and reminiscing. Findings suggest self-transcendence and well-being enhanced. </w:t>
            </w:r>
          </w:p>
        </w:tc>
      </w:tr>
      <w:tr w:rsidR="00FB3F03" w:rsidRPr="00FB3F03" w:rsidTr="00C10363">
        <w:trPr>
          <w:trHeight w:val="235"/>
        </w:trPr>
        <w:tc>
          <w:tcPr>
            <w:cnfStyle w:val="001000000000" w:firstRow="0" w:lastRow="0" w:firstColumn="1" w:lastColumn="0" w:oddVBand="0" w:evenVBand="0" w:oddHBand="0" w:evenHBand="0" w:firstRowFirstColumn="0" w:firstRowLastColumn="0" w:lastRowFirstColumn="0" w:lastRowLastColumn="0"/>
            <w:tcW w:w="883" w:type="pct"/>
          </w:tcPr>
          <w:p w:rsidR="00C10363" w:rsidRPr="00FB3F03" w:rsidRDefault="00C10363" w:rsidP="00C10363">
            <w:pPr>
              <w:rPr>
                <w:rFonts w:ascii="Times New Roman" w:hAnsi="Times New Roman" w:cs="Times New Roman"/>
                <w:b w:val="0"/>
                <w:color w:val="000000" w:themeColor="text1"/>
              </w:rPr>
            </w:pPr>
            <w:r w:rsidRPr="00FB3F03">
              <w:rPr>
                <w:rFonts w:ascii="Times New Roman" w:hAnsi="Times New Roman" w:cs="Times New Roman"/>
                <w:b w:val="0"/>
                <w:color w:val="000000" w:themeColor="text1"/>
              </w:rPr>
              <w:t xml:space="preserve">Young et al. (2015) </w:t>
            </w:r>
          </w:p>
        </w:tc>
        <w:tc>
          <w:tcPr>
            <w:tcW w:w="1142"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Cognition</w:t>
            </w:r>
          </w:p>
        </w:tc>
        <w:tc>
          <w:tcPr>
            <w:tcW w:w="2975" w:type="pct"/>
          </w:tcPr>
          <w:p w:rsidR="00C10363" w:rsidRPr="00FB3F03" w:rsidRDefault="00C10363" w:rsidP="00C10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B3F03">
              <w:rPr>
                <w:rFonts w:ascii="Times New Roman" w:hAnsi="Times New Roman" w:cs="Times New Roman"/>
                <w:color w:val="000000" w:themeColor="text1"/>
              </w:rPr>
              <w:t xml:space="preserve">Intervention did not negatively affect cognitive ability in dimensions measured, but any increases in semantic clustering and lifetime memory were not linear in nature and there was variation between sessions. </w:t>
            </w:r>
          </w:p>
        </w:tc>
      </w:tr>
    </w:tbl>
    <w:p w:rsidR="00C10363" w:rsidRPr="00FB3F03" w:rsidRDefault="00C10363" w:rsidP="00C10363">
      <w:pPr>
        <w:rPr>
          <w:color w:val="000000" w:themeColor="text1"/>
        </w:rPr>
      </w:pPr>
    </w:p>
    <w:sectPr w:rsidR="00C10363" w:rsidRPr="00FB3F03" w:rsidSect="00C10363">
      <w:pgSz w:w="16838" w:h="11906" w:orient="landscape"/>
      <w:pgMar w:top="144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815" w:rsidRDefault="008A5815" w:rsidP="002507D4">
      <w:pPr>
        <w:spacing w:after="0" w:line="240" w:lineRule="auto"/>
      </w:pPr>
      <w:r>
        <w:separator/>
      </w:r>
    </w:p>
  </w:endnote>
  <w:endnote w:type="continuationSeparator" w:id="0">
    <w:p w:rsidR="008A5815" w:rsidRDefault="008A5815" w:rsidP="0025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91758"/>
      <w:docPartObj>
        <w:docPartGallery w:val="Page Numbers (Bottom of Page)"/>
        <w:docPartUnique/>
      </w:docPartObj>
    </w:sdtPr>
    <w:sdtEndPr>
      <w:rPr>
        <w:noProof/>
      </w:rPr>
    </w:sdtEndPr>
    <w:sdtContent>
      <w:p w:rsidR="0001095A" w:rsidRDefault="00010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095A" w:rsidRDefault="0001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815" w:rsidRDefault="008A5815" w:rsidP="002507D4">
      <w:pPr>
        <w:spacing w:after="0" w:line="240" w:lineRule="auto"/>
      </w:pPr>
      <w:r>
        <w:separator/>
      </w:r>
    </w:p>
  </w:footnote>
  <w:footnote w:type="continuationSeparator" w:id="0">
    <w:p w:rsidR="008A5815" w:rsidRDefault="008A5815" w:rsidP="00250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5F98"/>
    <w:multiLevelType w:val="hybridMultilevel"/>
    <w:tmpl w:val="B178FD0C"/>
    <w:lvl w:ilvl="0" w:tplc="A9046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D045E"/>
    <w:multiLevelType w:val="hybridMultilevel"/>
    <w:tmpl w:val="051419C0"/>
    <w:lvl w:ilvl="0" w:tplc="70F4C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D4"/>
    <w:rsid w:val="00001324"/>
    <w:rsid w:val="0001095A"/>
    <w:rsid w:val="000739B4"/>
    <w:rsid w:val="000D6EB6"/>
    <w:rsid w:val="00103148"/>
    <w:rsid w:val="0015451F"/>
    <w:rsid w:val="00154B87"/>
    <w:rsid w:val="00200F3E"/>
    <w:rsid w:val="002507D4"/>
    <w:rsid w:val="00263ACF"/>
    <w:rsid w:val="0029411E"/>
    <w:rsid w:val="002B583D"/>
    <w:rsid w:val="002C0C94"/>
    <w:rsid w:val="003361EF"/>
    <w:rsid w:val="00394626"/>
    <w:rsid w:val="003A4111"/>
    <w:rsid w:val="00430AED"/>
    <w:rsid w:val="004B0A5E"/>
    <w:rsid w:val="00511AA0"/>
    <w:rsid w:val="00516427"/>
    <w:rsid w:val="00520EB8"/>
    <w:rsid w:val="005A4813"/>
    <w:rsid w:val="005F6CD4"/>
    <w:rsid w:val="0060448E"/>
    <w:rsid w:val="0061513C"/>
    <w:rsid w:val="00646534"/>
    <w:rsid w:val="00653824"/>
    <w:rsid w:val="00666AA5"/>
    <w:rsid w:val="00675556"/>
    <w:rsid w:val="0069576C"/>
    <w:rsid w:val="006B54AD"/>
    <w:rsid w:val="006D44DE"/>
    <w:rsid w:val="007310BE"/>
    <w:rsid w:val="007657E3"/>
    <w:rsid w:val="0081665E"/>
    <w:rsid w:val="00844AAE"/>
    <w:rsid w:val="008A0DF6"/>
    <w:rsid w:val="008A5815"/>
    <w:rsid w:val="008A5A3C"/>
    <w:rsid w:val="00920222"/>
    <w:rsid w:val="00920D5D"/>
    <w:rsid w:val="00961C9C"/>
    <w:rsid w:val="009A3B7F"/>
    <w:rsid w:val="009B4663"/>
    <w:rsid w:val="009D3FFA"/>
    <w:rsid w:val="00A35731"/>
    <w:rsid w:val="00A644B3"/>
    <w:rsid w:val="00AF0820"/>
    <w:rsid w:val="00B13E10"/>
    <w:rsid w:val="00B3716F"/>
    <w:rsid w:val="00B62F33"/>
    <w:rsid w:val="00C00E3C"/>
    <w:rsid w:val="00C10363"/>
    <w:rsid w:val="00C32BC2"/>
    <w:rsid w:val="00C44AC0"/>
    <w:rsid w:val="00CC53B9"/>
    <w:rsid w:val="00D54D30"/>
    <w:rsid w:val="00D82B33"/>
    <w:rsid w:val="00DA1E34"/>
    <w:rsid w:val="00E93CCE"/>
    <w:rsid w:val="00EE3443"/>
    <w:rsid w:val="00F5520D"/>
    <w:rsid w:val="00FB3F03"/>
    <w:rsid w:val="00FB76E9"/>
    <w:rsid w:val="00FD4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0DDDC-1434-4E4C-9C66-43C538F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7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7D4"/>
    <w:pPr>
      <w:ind w:left="720"/>
      <w:contextualSpacing/>
    </w:pPr>
  </w:style>
  <w:style w:type="character" w:styleId="CommentReference">
    <w:name w:val="annotation reference"/>
    <w:basedOn w:val="DefaultParagraphFont"/>
    <w:uiPriority w:val="99"/>
    <w:semiHidden/>
    <w:unhideWhenUsed/>
    <w:rsid w:val="002507D4"/>
    <w:rPr>
      <w:sz w:val="16"/>
      <w:szCs w:val="16"/>
    </w:rPr>
  </w:style>
  <w:style w:type="paragraph" w:styleId="CommentText">
    <w:name w:val="annotation text"/>
    <w:basedOn w:val="Normal"/>
    <w:link w:val="CommentTextChar"/>
    <w:uiPriority w:val="99"/>
    <w:semiHidden/>
    <w:unhideWhenUsed/>
    <w:rsid w:val="002507D4"/>
    <w:pPr>
      <w:spacing w:line="240" w:lineRule="auto"/>
    </w:pPr>
    <w:rPr>
      <w:sz w:val="20"/>
      <w:szCs w:val="20"/>
    </w:rPr>
  </w:style>
  <w:style w:type="character" w:customStyle="1" w:styleId="CommentTextChar">
    <w:name w:val="Comment Text Char"/>
    <w:basedOn w:val="DefaultParagraphFont"/>
    <w:link w:val="CommentText"/>
    <w:uiPriority w:val="99"/>
    <w:semiHidden/>
    <w:rsid w:val="002507D4"/>
    <w:rPr>
      <w:sz w:val="20"/>
      <w:szCs w:val="20"/>
    </w:rPr>
  </w:style>
  <w:style w:type="paragraph" w:styleId="BalloonText">
    <w:name w:val="Balloon Text"/>
    <w:basedOn w:val="Normal"/>
    <w:link w:val="BalloonTextChar"/>
    <w:uiPriority w:val="99"/>
    <w:semiHidden/>
    <w:unhideWhenUsed/>
    <w:rsid w:val="0025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D4"/>
    <w:rPr>
      <w:rFonts w:ascii="Segoe UI" w:hAnsi="Segoe UI" w:cs="Segoe UI"/>
      <w:sz w:val="18"/>
      <w:szCs w:val="18"/>
    </w:rPr>
  </w:style>
  <w:style w:type="paragraph" w:customStyle="1" w:styleId="EndNoteBibliography">
    <w:name w:val="EndNote Bibliography"/>
    <w:basedOn w:val="Normal"/>
    <w:link w:val="EndNoteBibliographyChar"/>
    <w:rsid w:val="002507D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507D4"/>
    <w:rPr>
      <w:rFonts w:ascii="Calibri" w:hAnsi="Calibri" w:cs="Calibri"/>
      <w:noProof/>
      <w:lang w:val="en-US"/>
    </w:rPr>
  </w:style>
  <w:style w:type="character" w:styleId="Hyperlink">
    <w:name w:val="Hyperlink"/>
    <w:basedOn w:val="DefaultParagraphFont"/>
    <w:uiPriority w:val="99"/>
    <w:unhideWhenUsed/>
    <w:rsid w:val="002507D4"/>
    <w:rPr>
      <w:color w:val="0563C1" w:themeColor="hyperlink"/>
      <w:u w:val="single"/>
    </w:rPr>
  </w:style>
  <w:style w:type="paragraph" w:styleId="Header">
    <w:name w:val="header"/>
    <w:basedOn w:val="Normal"/>
    <w:link w:val="HeaderChar"/>
    <w:uiPriority w:val="99"/>
    <w:unhideWhenUsed/>
    <w:rsid w:val="00250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7D4"/>
  </w:style>
  <w:style w:type="paragraph" w:styleId="Footer">
    <w:name w:val="footer"/>
    <w:basedOn w:val="Normal"/>
    <w:link w:val="FooterChar"/>
    <w:uiPriority w:val="99"/>
    <w:unhideWhenUsed/>
    <w:rsid w:val="00250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7D4"/>
  </w:style>
  <w:style w:type="character" w:styleId="UnresolvedMention">
    <w:name w:val="Unresolved Mention"/>
    <w:basedOn w:val="DefaultParagraphFont"/>
    <w:uiPriority w:val="99"/>
    <w:semiHidden/>
    <w:unhideWhenUsed/>
    <w:rsid w:val="003A4111"/>
    <w:rPr>
      <w:color w:val="605E5C"/>
      <w:shd w:val="clear" w:color="auto" w:fill="E1DFDD"/>
    </w:rPr>
  </w:style>
  <w:style w:type="table" w:customStyle="1" w:styleId="ListTable21">
    <w:name w:val="List Table 21"/>
    <w:basedOn w:val="TableNormal"/>
    <w:uiPriority w:val="47"/>
    <w:rsid w:val="00C103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co.uk/research/files/WorldAlzheimerReport.pdf" TargetMode="External"/><Relationship Id="rId13" Type="http://schemas.openxmlformats.org/officeDocument/2006/relationships/hyperlink" Target="https://doi.org/10.1002/14651858.CD005562.pub2" TargetMode="External"/><Relationship Id="rId3" Type="http://schemas.openxmlformats.org/officeDocument/2006/relationships/settings" Target="settings.xml"/><Relationship Id="rId7" Type="http://schemas.openxmlformats.org/officeDocument/2006/relationships/hyperlink" Target="mailto:emily.shoesmith@york.ac.uk" TargetMode="External"/><Relationship Id="rId12" Type="http://schemas.openxmlformats.org/officeDocument/2006/relationships/hyperlink" Target="http://mixedmethodsappraisaltoolpublic.pbwork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cg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government/" TargetMode="External"/><Relationship Id="rId4" Type="http://schemas.openxmlformats.org/officeDocument/2006/relationships/webSettings" Target="webSettings.xml"/><Relationship Id="rId9" Type="http://schemas.openxmlformats.org/officeDocument/2006/relationships/hyperlink" Target="http://www.baat.org/About-Art-Therap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12037</Words>
  <Characters>68617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Shoesmith, Emily</dc:creator>
  <cp:keywords/>
  <dc:description/>
  <cp:lastModifiedBy>Emily</cp:lastModifiedBy>
  <cp:revision>2</cp:revision>
  <dcterms:created xsi:type="dcterms:W3CDTF">2020-07-13T15:23:00Z</dcterms:created>
  <dcterms:modified xsi:type="dcterms:W3CDTF">2020-07-13T15:23:00Z</dcterms:modified>
</cp:coreProperties>
</file>