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05421" w14:textId="4B82ADE3" w:rsidR="00B356C8" w:rsidRPr="005E273D" w:rsidRDefault="002F25B1" w:rsidP="007E4322">
      <w:pPr>
        <w:spacing w:line="480" w:lineRule="auto"/>
      </w:pPr>
      <w:bookmarkStart w:id="0" w:name="_GoBack"/>
      <w:bookmarkEnd w:id="0"/>
      <w:r>
        <w:rPr>
          <w:i/>
        </w:rPr>
        <w:t>In press, Journal of Speech, Language and Hearing Research</w:t>
      </w:r>
      <w:r w:rsidR="00C257A9">
        <w:rPr>
          <w:i/>
        </w:rPr>
        <w:t xml:space="preserve"> </w:t>
      </w:r>
    </w:p>
    <w:p w14:paraId="394F9EB2" w14:textId="1A90013D" w:rsidR="00B356C8" w:rsidRPr="007646B0" w:rsidRDefault="00AC575D" w:rsidP="00B356C8">
      <w:pPr>
        <w:spacing w:line="480" w:lineRule="auto"/>
        <w:jc w:val="center"/>
        <w:rPr>
          <w:b/>
        </w:rPr>
      </w:pPr>
      <w:r>
        <w:rPr>
          <w:b/>
        </w:rPr>
        <w:t>D</w:t>
      </w:r>
      <w:r w:rsidR="00B356C8" w:rsidRPr="007646B0">
        <w:rPr>
          <w:b/>
        </w:rPr>
        <w:t>oes</w:t>
      </w:r>
      <w:r>
        <w:rPr>
          <w:b/>
        </w:rPr>
        <w:t xml:space="preserve"> the</w:t>
      </w:r>
      <w:r w:rsidR="00B356C8" w:rsidRPr="007646B0">
        <w:rPr>
          <w:b/>
        </w:rPr>
        <w:t xml:space="preserve"> inclusion of a </w:t>
      </w:r>
      <w:r w:rsidR="007E4322">
        <w:rPr>
          <w:b/>
        </w:rPr>
        <w:t>genome-wide</w:t>
      </w:r>
      <w:r w:rsidR="00B356C8" w:rsidRPr="007646B0">
        <w:rPr>
          <w:b/>
        </w:rPr>
        <w:t xml:space="preserve"> polygenic score improve </w:t>
      </w:r>
      <w:r w:rsidR="00C142DA">
        <w:rPr>
          <w:b/>
        </w:rPr>
        <w:t xml:space="preserve">early </w:t>
      </w:r>
      <w:r>
        <w:rPr>
          <w:b/>
        </w:rPr>
        <w:t xml:space="preserve">risk </w:t>
      </w:r>
      <w:r w:rsidR="00B356C8" w:rsidRPr="007646B0">
        <w:rPr>
          <w:b/>
        </w:rPr>
        <w:t xml:space="preserve">prediction </w:t>
      </w:r>
      <w:r w:rsidR="007E4322">
        <w:rPr>
          <w:b/>
        </w:rPr>
        <w:t xml:space="preserve">for later language </w:t>
      </w:r>
      <w:r w:rsidR="00BA27EB">
        <w:rPr>
          <w:b/>
        </w:rPr>
        <w:t xml:space="preserve">and literacy </w:t>
      </w:r>
      <w:r>
        <w:rPr>
          <w:b/>
        </w:rPr>
        <w:t>delay</w:t>
      </w:r>
      <w:r w:rsidR="007E4322">
        <w:rPr>
          <w:b/>
        </w:rPr>
        <w:t>?</w:t>
      </w:r>
    </w:p>
    <w:p w14:paraId="7EB70BF9" w14:textId="77777777" w:rsidR="00B356C8" w:rsidRDefault="00B356C8" w:rsidP="00B356C8">
      <w:pPr>
        <w:spacing w:line="480" w:lineRule="auto"/>
        <w:jc w:val="center"/>
      </w:pPr>
    </w:p>
    <w:p w14:paraId="13E400C2" w14:textId="77777777" w:rsidR="00E9230F" w:rsidRDefault="00B356C8" w:rsidP="00B356C8">
      <w:pPr>
        <w:spacing w:line="480" w:lineRule="auto"/>
        <w:jc w:val="center"/>
      </w:pPr>
      <w:r>
        <w:t>Philip S. Dale</w:t>
      </w:r>
    </w:p>
    <w:p w14:paraId="4F534924" w14:textId="15385C80" w:rsidR="00B356C8" w:rsidRDefault="00B356C8" w:rsidP="00B356C8">
      <w:pPr>
        <w:spacing w:line="480" w:lineRule="auto"/>
        <w:jc w:val="center"/>
      </w:pPr>
      <w:r>
        <w:t xml:space="preserve"> </w:t>
      </w:r>
      <w:r w:rsidR="000D5754">
        <w:t xml:space="preserve">Department of </w:t>
      </w:r>
      <w:r w:rsidR="005F0E61">
        <w:t xml:space="preserve">Speech &amp; Hearing Sciences, </w:t>
      </w:r>
      <w:r>
        <w:t>University of New Mexico</w:t>
      </w:r>
      <w:r w:rsidR="000D5754">
        <w:t>, Albuquerque, NM</w:t>
      </w:r>
    </w:p>
    <w:p w14:paraId="20747E3C" w14:textId="77777777" w:rsidR="00E9230F" w:rsidRDefault="00B356C8" w:rsidP="00B356C8">
      <w:pPr>
        <w:spacing w:line="480" w:lineRule="auto"/>
        <w:jc w:val="center"/>
      </w:pPr>
      <w:r>
        <w:t>Sophie von Stumm</w:t>
      </w:r>
    </w:p>
    <w:p w14:paraId="4929C351" w14:textId="2E415BB0" w:rsidR="00B356C8" w:rsidRDefault="00B356C8" w:rsidP="00B356C8">
      <w:pPr>
        <w:spacing w:line="480" w:lineRule="auto"/>
        <w:jc w:val="center"/>
      </w:pPr>
      <w:r>
        <w:t xml:space="preserve"> </w:t>
      </w:r>
      <w:r w:rsidR="005F0E61">
        <w:t xml:space="preserve">Department of Education, </w:t>
      </w:r>
      <w:r>
        <w:t>University of York</w:t>
      </w:r>
      <w:r w:rsidR="000D5754">
        <w:t>, York, UK</w:t>
      </w:r>
    </w:p>
    <w:p w14:paraId="2B7BCA6B" w14:textId="77777777" w:rsidR="00E9230F" w:rsidRDefault="00B356C8" w:rsidP="00B356C8">
      <w:pPr>
        <w:spacing w:line="480" w:lineRule="auto"/>
        <w:jc w:val="center"/>
      </w:pPr>
      <w:r>
        <w:t>Saskia Selzam</w:t>
      </w:r>
    </w:p>
    <w:p w14:paraId="6236E113" w14:textId="1C6749D4" w:rsidR="00B356C8" w:rsidRDefault="00B356C8" w:rsidP="00B356C8">
      <w:pPr>
        <w:spacing w:line="480" w:lineRule="auto"/>
        <w:jc w:val="center"/>
      </w:pPr>
      <w:r>
        <w:t>King</w:t>
      </w:r>
      <w:r w:rsidR="00B431A6">
        <w:t>’</w:t>
      </w:r>
      <w:r>
        <w:t>s College London</w:t>
      </w:r>
      <w:r w:rsidR="000D5754">
        <w:t>, London, UK</w:t>
      </w:r>
    </w:p>
    <w:p w14:paraId="7AA001A4" w14:textId="41880A28" w:rsidR="00E9230F" w:rsidRDefault="00B356C8" w:rsidP="00B356C8">
      <w:pPr>
        <w:spacing w:line="480" w:lineRule="auto"/>
        <w:jc w:val="center"/>
      </w:pPr>
      <w:r>
        <w:t>Marianna E. Hayiou-Thomas</w:t>
      </w:r>
    </w:p>
    <w:p w14:paraId="6E659042" w14:textId="1AFA6697" w:rsidR="00B356C8" w:rsidRDefault="000D5754" w:rsidP="00B356C8">
      <w:pPr>
        <w:spacing w:line="480" w:lineRule="auto"/>
        <w:jc w:val="center"/>
      </w:pPr>
      <w:r>
        <w:t xml:space="preserve">Department of Psychology, </w:t>
      </w:r>
      <w:r w:rsidR="00B356C8">
        <w:t>University of York</w:t>
      </w:r>
      <w:r>
        <w:t>, York, UK</w:t>
      </w:r>
    </w:p>
    <w:p w14:paraId="1EC9E3AE" w14:textId="77777777" w:rsidR="00921102" w:rsidRDefault="00921102" w:rsidP="00B356C8">
      <w:pPr>
        <w:spacing w:line="480" w:lineRule="auto"/>
        <w:jc w:val="center"/>
        <w:rPr>
          <w:b/>
        </w:rPr>
      </w:pPr>
    </w:p>
    <w:p w14:paraId="588290EB" w14:textId="043E6D48" w:rsidR="003379CC" w:rsidRDefault="00921102" w:rsidP="003E6019">
      <w:pPr>
        <w:spacing w:line="480" w:lineRule="auto"/>
        <w:rPr>
          <w:i/>
        </w:rPr>
      </w:pPr>
      <w:r w:rsidRPr="003E6019">
        <w:rPr>
          <w:b/>
        </w:rPr>
        <w:t>Corresponding author:</w:t>
      </w:r>
      <w:r w:rsidR="00F81C0A">
        <w:rPr>
          <w:b/>
        </w:rPr>
        <w:t xml:space="preserve"> </w:t>
      </w:r>
      <w:r>
        <w:t>Philip S. Dale</w:t>
      </w:r>
      <w:r w:rsidR="00F81C0A">
        <w:t xml:space="preserve">, </w:t>
      </w:r>
      <w:r>
        <w:t>Speech &amp; Hearing Sciences</w:t>
      </w:r>
      <w:r w:rsidR="00F81C0A">
        <w:t xml:space="preserve">, </w:t>
      </w:r>
      <w:r>
        <w:t>1700 Lomas Blvd NE</w:t>
      </w:r>
      <w:r w:rsidR="00F81C0A">
        <w:t xml:space="preserve">, </w:t>
      </w:r>
      <w:r>
        <w:t>Albuquerque, NM 87131</w:t>
      </w:r>
      <w:r w:rsidR="00F81C0A">
        <w:t xml:space="preserve">, </w:t>
      </w:r>
      <w:r>
        <w:t>505-803-7435</w:t>
      </w:r>
      <w:r w:rsidR="00F81C0A">
        <w:t xml:space="preserve">,  </w:t>
      </w:r>
      <w:hyperlink r:id="rId8" w:history="1">
        <w:r w:rsidR="003379CC" w:rsidRPr="003E6019">
          <w:rPr>
            <w:rStyle w:val="Hyperlink"/>
            <w:i/>
          </w:rPr>
          <w:t>dalep@unm.edu</w:t>
        </w:r>
      </w:hyperlink>
    </w:p>
    <w:p w14:paraId="19016D8B" w14:textId="77777777" w:rsidR="00F81C0A" w:rsidRDefault="00F81C0A" w:rsidP="003E6019">
      <w:pPr>
        <w:ind w:firstLine="720"/>
      </w:pPr>
    </w:p>
    <w:p w14:paraId="4858D5FE" w14:textId="77777777" w:rsidR="003379CC" w:rsidRDefault="003379CC" w:rsidP="003E6019">
      <w:pPr>
        <w:spacing w:line="480" w:lineRule="auto"/>
      </w:pPr>
      <w:r w:rsidRPr="003E6019">
        <w:rPr>
          <w:b/>
        </w:rPr>
        <w:t>Conflict of Interest Statement:</w:t>
      </w:r>
      <w:r>
        <w:t xml:space="preserve">  There are no relevant conflicts of interest</w:t>
      </w:r>
    </w:p>
    <w:p w14:paraId="5A769373" w14:textId="77777777" w:rsidR="00F22593" w:rsidRDefault="00F22593" w:rsidP="003E6019">
      <w:pPr>
        <w:spacing w:line="480" w:lineRule="auto"/>
      </w:pPr>
    </w:p>
    <w:p w14:paraId="495C2591" w14:textId="24F31800" w:rsidR="00B356C8" w:rsidRPr="003E6019" w:rsidRDefault="003343C7" w:rsidP="003E6019">
      <w:pPr>
        <w:spacing w:line="480" w:lineRule="auto"/>
        <w:rPr>
          <w:b/>
          <w:i/>
        </w:rPr>
      </w:pPr>
      <w:r>
        <w:rPr>
          <w:b/>
        </w:rPr>
        <w:t>Funding Statement:</w:t>
      </w:r>
      <w:r>
        <w:t xml:space="preserve"> </w:t>
      </w:r>
      <w:r w:rsidRPr="003343C7">
        <w:t>TEDS is supported by a programme grant (MR/M021475/1 and previously G0901245) from the U.K. Medical Research Council</w:t>
      </w:r>
      <w:r w:rsidR="00FE377C">
        <w:t xml:space="preserve">, </w:t>
      </w:r>
      <w:r w:rsidR="00FE377C" w:rsidRPr="00FE377C">
        <w:t xml:space="preserve">with additional support from the US National </w:t>
      </w:r>
      <w:r w:rsidR="00FE377C">
        <w:t>Institutes of Health (AG046938)</w:t>
      </w:r>
      <w:r w:rsidRPr="003343C7">
        <w:t>.</w:t>
      </w:r>
      <w:r w:rsidR="00FE377C">
        <w:t xml:space="preserve"> </w:t>
      </w:r>
      <w:r w:rsidR="00FE377C" w:rsidRPr="00FE377C">
        <w:t xml:space="preserve">The research leading to these results has also received funding from the European Research Council under the European Union's Seventh Framework Programme (FP7/2007-2013)/ grant agreement n° 602768. </w:t>
      </w:r>
      <w:r w:rsidR="004B4E4E">
        <w:t>SvS is supported by a Jacobs Fellowship (2017-2019).</w:t>
      </w:r>
      <w:r w:rsidR="00B356C8" w:rsidRPr="003E6019">
        <w:rPr>
          <w:b/>
          <w:i/>
        </w:rPr>
        <w:br w:type="page"/>
      </w:r>
    </w:p>
    <w:p w14:paraId="6F1A1399" w14:textId="77777777" w:rsidR="00B356C8" w:rsidRDefault="00B356C8" w:rsidP="00B356C8">
      <w:pPr>
        <w:rPr>
          <w:b/>
        </w:rPr>
      </w:pPr>
    </w:p>
    <w:p w14:paraId="566ED250" w14:textId="77777777" w:rsidR="00042796" w:rsidRPr="00042796" w:rsidRDefault="00042796" w:rsidP="00042796">
      <w:pPr>
        <w:spacing w:line="480" w:lineRule="auto"/>
        <w:jc w:val="center"/>
        <w:rPr>
          <w:b/>
        </w:rPr>
      </w:pPr>
      <w:r w:rsidRPr="00042796">
        <w:rPr>
          <w:b/>
        </w:rPr>
        <w:t>Abstract</w:t>
      </w:r>
    </w:p>
    <w:p w14:paraId="1EFF3ECE" w14:textId="5D879901" w:rsidR="00451273" w:rsidRDefault="00451273" w:rsidP="00042796">
      <w:pPr>
        <w:spacing w:line="480" w:lineRule="auto"/>
      </w:pPr>
      <w:r w:rsidRPr="00451273">
        <w:rPr>
          <w:u w:val="single"/>
        </w:rPr>
        <w:t>Purpose</w:t>
      </w:r>
      <w:r>
        <w:t xml:space="preserve">: </w:t>
      </w:r>
      <w:r w:rsidR="00042796" w:rsidRPr="00451273">
        <w:t>The</w:t>
      </w:r>
      <w:r w:rsidR="00042796" w:rsidRPr="00042796">
        <w:t xml:space="preserve"> ability to identify children early in development who are at substantial risk for language/literacy difficulties would have great benefit both for the children and for the educational and therapeutic institutions that serve them. </w:t>
      </w:r>
      <w:r w:rsidR="00AC575D">
        <w:t xml:space="preserve">Information that is </w:t>
      </w:r>
      <w:r w:rsidR="00042796" w:rsidRPr="00042796">
        <w:t>relatively easily available prior to age 3</w:t>
      </w:r>
      <w:r w:rsidR="00AC575D">
        <w:t>,</w:t>
      </w:r>
      <w:r w:rsidR="00042796" w:rsidRPr="00042796">
        <w:t xml:space="preserve"> such as late talking, family history of language/literacy difficulties, and SES</w:t>
      </w:r>
      <w:r w:rsidR="00AC575D">
        <w:t>, have some</w:t>
      </w:r>
      <w:r w:rsidR="00042796" w:rsidRPr="00042796">
        <w:t xml:space="preserve"> but very limited predictive power. </w:t>
      </w:r>
      <w:r w:rsidR="00AC575D">
        <w:t>Here</w:t>
      </w:r>
      <w:r w:rsidR="00042796" w:rsidRPr="00042796">
        <w:t xml:space="preserve">, we examine whether </w:t>
      </w:r>
      <w:r w:rsidR="002F4010">
        <w:t xml:space="preserve">the </w:t>
      </w:r>
      <w:r w:rsidR="00042796" w:rsidRPr="00042796">
        <w:t xml:space="preserve">inclusion of a </w:t>
      </w:r>
      <w:r w:rsidR="002B0382">
        <w:t>DNA-based</w:t>
      </w:r>
      <w:r w:rsidR="00760E39">
        <w:t xml:space="preserve"> </w:t>
      </w:r>
      <w:r w:rsidR="00AC575D">
        <w:t>genome-wide polygenic score</w:t>
      </w:r>
      <w:r w:rsidR="00042796" w:rsidRPr="00042796">
        <w:t xml:space="preserve"> </w:t>
      </w:r>
      <w:r w:rsidR="002F4010">
        <w:t xml:space="preserve">that </w:t>
      </w:r>
      <w:r w:rsidR="00AD779A">
        <w:t>has been shown to capture</w:t>
      </w:r>
      <w:r w:rsidR="002F4010">
        <w:t xml:space="preserve"> children's genetic propensity for </w:t>
      </w:r>
      <w:r w:rsidR="00FA569A">
        <w:t>educational attainment</w:t>
      </w:r>
      <w:r w:rsidR="00042796" w:rsidRPr="00042796">
        <w:t xml:space="preserve"> </w:t>
      </w:r>
      <w:r w:rsidR="002B0382">
        <w:t xml:space="preserve">(EA3) </w:t>
      </w:r>
      <w:r w:rsidR="00042796" w:rsidRPr="00042796">
        <w:t>adds enough prediction to yield a clinical</w:t>
      </w:r>
      <w:r w:rsidR="00AC575D">
        <w:t>ly</w:t>
      </w:r>
      <w:r w:rsidR="00042796" w:rsidRPr="00042796">
        <w:t xml:space="preserve"> useful sc</w:t>
      </w:r>
      <w:r w:rsidR="00D73B65">
        <w:t>o</w:t>
      </w:r>
      <w:r w:rsidR="002B451E">
        <w:t xml:space="preserve">re. </w:t>
      </w:r>
    </w:p>
    <w:p w14:paraId="1E7B374D" w14:textId="77777777" w:rsidR="00A0495C" w:rsidRDefault="00451273" w:rsidP="00042796">
      <w:pPr>
        <w:spacing w:line="480" w:lineRule="auto"/>
      </w:pPr>
      <w:r w:rsidRPr="00451273">
        <w:rPr>
          <w:u w:val="single"/>
        </w:rPr>
        <w:t>Method</w:t>
      </w:r>
      <w:r>
        <w:t xml:space="preserve">: </w:t>
      </w:r>
      <w:r w:rsidR="00AC575D" w:rsidRPr="00451273">
        <w:t>Data</w:t>
      </w:r>
      <w:r w:rsidR="00AC575D">
        <w:t xml:space="preserve"> </w:t>
      </w:r>
      <w:r w:rsidR="00760E39">
        <w:t>are</w:t>
      </w:r>
      <w:r w:rsidR="00AC575D">
        <w:t xml:space="preserve"> </w:t>
      </w:r>
      <w:r w:rsidR="00760E39">
        <w:t xml:space="preserve">longitudinal scores of </w:t>
      </w:r>
      <w:r w:rsidR="002B451E">
        <w:t>1420</w:t>
      </w:r>
      <w:r w:rsidR="00042796" w:rsidRPr="00042796">
        <w:t xml:space="preserve"> children from the Twins Early Development Study</w:t>
      </w:r>
      <w:r w:rsidR="00AC575D">
        <w:t>, who were</w:t>
      </w:r>
      <w:r w:rsidR="00042796" w:rsidRPr="00042796">
        <w:t xml:space="preserve"> assessed at ages 2 and 3 years </w:t>
      </w:r>
      <w:r w:rsidR="00AC575D">
        <w:t>on</w:t>
      </w:r>
      <w:r w:rsidR="00AC575D" w:rsidRPr="00042796">
        <w:t xml:space="preserve"> </w:t>
      </w:r>
      <w:r w:rsidR="00042796" w:rsidRPr="00042796">
        <w:t xml:space="preserve">language and nonverbal ability, and at age 12 </w:t>
      </w:r>
      <w:r w:rsidR="00AC575D">
        <w:t>on</w:t>
      </w:r>
      <w:r w:rsidR="00042796" w:rsidRPr="00042796">
        <w:t xml:space="preserve"> oral language, word decoding, and reading comprehension</w:t>
      </w:r>
      <w:r w:rsidR="00AC575D">
        <w:t xml:space="preserve">. </w:t>
      </w:r>
      <w:r w:rsidR="00042796" w:rsidRPr="00042796">
        <w:t xml:space="preserve"> Five risk factors were examined: expressive vocabulary, nonverbal ability (these two from parent report), family history, mothers’ education, and EA3. Analyses were conducted both for continuous </w:t>
      </w:r>
      <w:r w:rsidR="000A5C69">
        <w:t xml:space="preserve">and categorically defined </w:t>
      </w:r>
      <w:r w:rsidR="00042796" w:rsidRPr="00042796">
        <w:t>measures of risk and outcome</w:t>
      </w:r>
      <w:r w:rsidR="00A81AC7">
        <w:t xml:space="preserve">. </w:t>
      </w:r>
    </w:p>
    <w:p w14:paraId="2BC86353" w14:textId="4684EA00" w:rsidR="00A0495C" w:rsidRDefault="00A0495C" w:rsidP="00042796">
      <w:pPr>
        <w:spacing w:line="480" w:lineRule="auto"/>
      </w:pPr>
      <w:r w:rsidRPr="00A0495C">
        <w:rPr>
          <w:u w:val="single"/>
        </w:rPr>
        <w:t>Results</w:t>
      </w:r>
      <w:r>
        <w:t xml:space="preserve">: </w:t>
      </w:r>
      <w:r w:rsidR="00AC575D">
        <w:t xml:space="preserve">Language </w:t>
      </w:r>
      <w:r w:rsidR="00A81AC7">
        <w:t xml:space="preserve">and literacy </w:t>
      </w:r>
      <w:r w:rsidR="008D0C40">
        <w:t>abilities</w:t>
      </w:r>
      <w:r w:rsidR="00AC575D">
        <w:t xml:space="preserve"> at 12 years were significantly but modestly predicted by the risk factors</w:t>
      </w:r>
      <w:r w:rsidR="00DC23D6" w:rsidRPr="00DC23D6">
        <w:t>, with a small but significant</w:t>
      </w:r>
      <w:r w:rsidR="00042796" w:rsidRPr="00DC23D6">
        <w:t xml:space="preserve"> added predi</w:t>
      </w:r>
      <w:r w:rsidR="00012B99">
        <w:t xml:space="preserve">ction from EA3. </w:t>
      </w:r>
      <w:r w:rsidR="00E8002F">
        <w:t xml:space="preserve">Indices of diagnostic validity </w:t>
      </w:r>
      <w:r>
        <w:t xml:space="preserve">for poor outcomes, </w:t>
      </w:r>
      <w:r w:rsidR="00E8002F">
        <w:t>such as sensitivity and AUC statistics</w:t>
      </w:r>
      <w:r>
        <w:t>,</w:t>
      </w:r>
      <w:r w:rsidR="00E8002F">
        <w:t xml:space="preserve"> were poor in all cases. </w:t>
      </w:r>
    </w:p>
    <w:p w14:paraId="7487191B" w14:textId="5EBCCEF3" w:rsidR="00042796" w:rsidRDefault="00A0495C" w:rsidP="00042796">
      <w:pPr>
        <w:spacing w:line="480" w:lineRule="auto"/>
      </w:pPr>
      <w:r w:rsidRPr="00A0495C">
        <w:rPr>
          <w:u w:val="single"/>
        </w:rPr>
        <w:t>Conclusions</w:t>
      </w:r>
      <w:r>
        <w:t xml:space="preserve">: </w:t>
      </w:r>
      <w:r w:rsidR="00042796" w:rsidRPr="00042796">
        <w:t xml:space="preserve">We conclude that at present clinically useful prediction from </w:t>
      </w:r>
      <w:r w:rsidR="0073590D">
        <w:t xml:space="preserve">toddlerhood </w:t>
      </w:r>
      <w:r w:rsidR="00042796" w:rsidRPr="00042796">
        <w:t>remains an unattained goal.</w:t>
      </w:r>
    </w:p>
    <w:p w14:paraId="7DDB1D09" w14:textId="77777777" w:rsidR="00E0105E" w:rsidRDefault="00E0105E">
      <w:r>
        <w:br w:type="page"/>
      </w:r>
    </w:p>
    <w:p w14:paraId="59F5E8C4" w14:textId="7C4546A8" w:rsidR="007361A6" w:rsidRPr="007646B0" w:rsidRDefault="007361A6" w:rsidP="007361A6">
      <w:pPr>
        <w:spacing w:line="480" w:lineRule="auto"/>
        <w:jc w:val="center"/>
        <w:rPr>
          <w:b/>
        </w:rPr>
      </w:pPr>
      <w:r w:rsidRPr="007646B0">
        <w:rPr>
          <w:b/>
        </w:rPr>
        <w:lastRenderedPageBreak/>
        <w:t xml:space="preserve">How much does inclusion of a </w:t>
      </w:r>
      <w:r w:rsidR="007E4322">
        <w:rPr>
          <w:b/>
        </w:rPr>
        <w:t>genome-wide</w:t>
      </w:r>
      <w:r w:rsidRPr="007646B0">
        <w:rPr>
          <w:b/>
        </w:rPr>
        <w:t xml:space="preserve"> polygenic score improve </w:t>
      </w:r>
      <w:r>
        <w:rPr>
          <w:b/>
        </w:rPr>
        <w:t xml:space="preserve">early </w:t>
      </w:r>
      <w:r w:rsidRPr="007646B0">
        <w:rPr>
          <w:b/>
        </w:rPr>
        <w:t xml:space="preserve">prediction of risk </w:t>
      </w:r>
      <w:r w:rsidR="007E4322">
        <w:rPr>
          <w:b/>
        </w:rPr>
        <w:t>for later language and literacy impairments?</w:t>
      </w:r>
    </w:p>
    <w:p w14:paraId="3F803DAB" w14:textId="0C73BEAF" w:rsidR="00822326" w:rsidRPr="0079539D" w:rsidRDefault="00822326" w:rsidP="00822326">
      <w:pPr>
        <w:spacing w:line="480" w:lineRule="auto"/>
        <w:ind w:firstLine="720"/>
      </w:pPr>
      <w:r>
        <w:t xml:space="preserve">Impairments in the mastery and use of language and literacy skills have substantial and far-reaching impact on the lives of children and adults, extending beyond education to social relationships, mental health, and employment (Law, Rush, Schoon &amp; Parsons, 2009; Weismer, 2014).  On the plausible </w:t>
      </w:r>
      <w:r w:rsidR="00156BBE">
        <w:t xml:space="preserve">assumption </w:t>
      </w:r>
      <w:r>
        <w:t>(though difficult to rigorously evaluate) that intervention is more likely to be effective early than later, a high priority in recent research has been to develop measures which can accurately</w:t>
      </w:r>
      <w:r w:rsidRPr="0079539D">
        <w:t xml:space="preserve"> identify </w:t>
      </w:r>
      <w:r>
        <w:t xml:space="preserve">young </w:t>
      </w:r>
      <w:r w:rsidRPr="0079539D">
        <w:t>children who are at substantial risk for language and literacy difficulties</w:t>
      </w:r>
      <w:r>
        <w:t>. Such identification</w:t>
      </w:r>
      <w:r w:rsidRPr="0079539D">
        <w:t xml:space="preserve"> would have great benefit both for the children and for the educational and therapeutic institutions that serve them, by enabling the provision of services to the children who need them most, and as early as possible. </w:t>
      </w:r>
      <w:r>
        <w:t xml:space="preserve">On the whole, research has had only very limited success in this </w:t>
      </w:r>
      <w:r w:rsidR="00AC575D">
        <w:t>pursuit</w:t>
      </w:r>
      <w:r>
        <w:t xml:space="preserve">. One particularly important challenge is the </w:t>
      </w:r>
      <w:r w:rsidRPr="0079539D">
        <w:t>great variability in individual growth trajectories in the first decade of life</w:t>
      </w:r>
      <w:r w:rsidR="00515713">
        <w:t xml:space="preserve"> (Dale, McMillan, Hayiou-Thomas &amp; Plomin, 2014)</w:t>
      </w:r>
      <w:r>
        <w:t xml:space="preserve">. This variability necessitates long-term longitudinal studies which </w:t>
      </w:r>
      <w:r w:rsidRPr="0079539D">
        <w:t>explore prediction at least out to early adolescence</w:t>
      </w:r>
      <w:r>
        <w:t xml:space="preserve"> when abilities become relatively </w:t>
      </w:r>
      <w:r w:rsidR="0004073B">
        <w:t>stable (Hayiou-Thomas, Dale &amp; Plomin, 2014)</w:t>
      </w:r>
      <w:r w:rsidRPr="0079539D">
        <w:t xml:space="preserve">. </w:t>
      </w:r>
    </w:p>
    <w:p w14:paraId="35CA9639" w14:textId="4267B6B0" w:rsidR="00822326" w:rsidRPr="0079539D" w:rsidRDefault="00822326" w:rsidP="00822326">
      <w:pPr>
        <w:spacing w:line="480" w:lineRule="auto"/>
        <w:ind w:firstLine="720"/>
      </w:pPr>
      <w:r w:rsidRPr="0079539D">
        <w:t xml:space="preserve">An extensive body of research has documented prediction from the late preschool period to later language and literacy. A range of language abilities, including vocabulary, grammar, and speech, </w:t>
      </w:r>
      <w:r w:rsidR="00AC575D">
        <w:t>account for some of the variance</w:t>
      </w:r>
      <w:r w:rsidRPr="0079539D">
        <w:t>, but the most strongly support</w:t>
      </w:r>
      <w:r>
        <w:t>ed</w:t>
      </w:r>
      <w:r w:rsidRPr="0079539D">
        <w:t xml:space="preserve"> risk markers from this period are in the domain of emergent literacy, including phonological awareness and memory, letter knowledge, and rapid automatized naming</w:t>
      </w:r>
      <w:r>
        <w:t xml:space="preserve"> (</w:t>
      </w:r>
      <w:r w:rsidR="006F1B4E">
        <w:t>Duff &amp; Snowling, 2015; Marinus &amp; Castles, 2015</w:t>
      </w:r>
      <w:r>
        <w:t>)</w:t>
      </w:r>
      <w:r w:rsidRPr="0079539D">
        <w:t>. A family history of early language or literacy learning difficulties also contributes to prediction</w:t>
      </w:r>
      <w:r w:rsidR="00551ACD">
        <w:t xml:space="preserve"> (Snowling &amp; Melby-Lervag, 2016)</w:t>
      </w:r>
      <w:r w:rsidRPr="0079539D">
        <w:t xml:space="preserve">, along with some nonverbal abilities. Though not a </w:t>
      </w:r>
      <w:r w:rsidRPr="0079539D">
        <w:lastRenderedPageBreak/>
        <w:t>child-based measure, socioeconomic status (most often assessed for early childhood as maternal education) also has predictive significance</w:t>
      </w:r>
      <w:r w:rsidR="003B3B23">
        <w:t xml:space="preserve"> (Hoff, 2006)</w:t>
      </w:r>
      <w:r w:rsidRPr="0079539D">
        <w:t xml:space="preserve">. Although each of these risk factors contributes to prediction, </w:t>
      </w:r>
      <w:r w:rsidR="00CB5EB3">
        <w:t>their combined</w:t>
      </w:r>
      <w:r w:rsidRPr="0079539D">
        <w:t xml:space="preserve"> prediction is far from being sufficiently sensitive at an individual level (e.g., sensitivity, specificity) to be clinical useful.</w:t>
      </w:r>
      <w:r>
        <w:t xml:space="preserve"> For example, although Hayiou-Thomas et al. (under review) found </w:t>
      </w:r>
      <w:r w:rsidR="004753A0">
        <w:t>substantial o</w:t>
      </w:r>
      <w:r>
        <w:t xml:space="preserve">dds </w:t>
      </w:r>
      <w:r w:rsidR="009D7DFA">
        <w:t>r</w:t>
      </w:r>
      <w:r>
        <w:t xml:space="preserve">atios for low performance at age 12 based on </w:t>
      </w:r>
      <w:r w:rsidR="004753A0">
        <w:t xml:space="preserve">number of risk factors at </w:t>
      </w:r>
      <w:r>
        <w:t>age 4.5 year</w:t>
      </w:r>
      <w:r w:rsidR="004753A0">
        <w:t>s, compared to none,</w:t>
      </w:r>
      <w:r>
        <w:t xml:space="preserve"> in the range of 3.65 to 17.71 (depending on whether there were many risk factors compared to only a few), </w:t>
      </w:r>
      <w:r w:rsidR="004753A0">
        <w:t xml:space="preserve">showing a strong group prediction, </w:t>
      </w:r>
      <w:r>
        <w:t xml:space="preserve">the positive predictive values </w:t>
      </w:r>
      <w:r w:rsidR="004753A0">
        <w:t xml:space="preserve">for later delay </w:t>
      </w:r>
      <w:r>
        <w:t xml:space="preserve">for multiple risk factors </w:t>
      </w:r>
      <w:r w:rsidR="004753A0">
        <w:t xml:space="preserve">for individual children </w:t>
      </w:r>
      <w:r>
        <w:t>were in the range of .33-.55</w:t>
      </w:r>
      <w:r w:rsidR="004753A0">
        <w:t>, which is poor</w:t>
      </w:r>
      <w:r>
        <w:t xml:space="preserve">. </w:t>
      </w:r>
      <w:r w:rsidRPr="0079539D">
        <w:t xml:space="preserve"> </w:t>
      </w:r>
    </w:p>
    <w:p w14:paraId="37F1DF06" w14:textId="49E81EB0" w:rsidR="00822326" w:rsidRPr="0079539D" w:rsidRDefault="00822326" w:rsidP="00822326">
      <w:pPr>
        <w:spacing w:line="480" w:lineRule="auto"/>
        <w:ind w:firstLine="720"/>
      </w:pPr>
      <w:r w:rsidRPr="0079539D">
        <w:t xml:space="preserve">The most widely studied potential marker </w:t>
      </w:r>
      <w:r>
        <w:t xml:space="preserve">in toddlerhood </w:t>
      </w:r>
      <w:r w:rsidRPr="0079539D">
        <w:t>is late-talking: late emergence and/or late growth of early vocabulary and the emergence of grammar (Rescorla &amp; Dale, 2013). Although late talking (e.g., fewer than 50 words at 24 months, or lowest 10%) is associated with a higher rate of later language impairment, there is enormous variability. Half or more of all late talkers will move into the normal range by the end of the preschool period</w:t>
      </w:r>
      <w:r>
        <w:t>. though they may still have lower scores than matched controls (Rescorla, 2013)</w:t>
      </w:r>
      <w:r w:rsidRPr="0079539D">
        <w:t xml:space="preserve">. Dollaghan (2013) has provided a particularly comprehensive review and integration of </w:t>
      </w:r>
      <w:r>
        <w:t xml:space="preserve">14 studies which followed up </w:t>
      </w:r>
      <w:r w:rsidRPr="0079539D">
        <w:t xml:space="preserve">late-talkers, and demonstrated how poor the prediction is at an individual level. </w:t>
      </w:r>
      <w:r>
        <w:t xml:space="preserve">Notably, the pooled positive and negative likelihood ratios were just 2.04 and 0.66, respectively, not </w:t>
      </w:r>
      <w:r w:rsidR="00691DE9">
        <w:t>only</w:t>
      </w:r>
      <w:r>
        <w:t xml:space="preserve"> far from the 10 and .1 values often recommended as being clinical trustworthy, but not even reaching the </w:t>
      </w:r>
      <w:r w:rsidR="00195517">
        <w:t xml:space="preserve">criteria for </w:t>
      </w:r>
      <w:r w:rsidR="00691DE9">
        <w:t xml:space="preserve">a </w:t>
      </w:r>
      <w:r>
        <w:t xml:space="preserve">‘suggestive </w:t>
      </w:r>
      <w:r w:rsidR="00195517">
        <w:t>indication</w:t>
      </w:r>
      <w:r w:rsidR="005774CD">
        <w:t>’</w:t>
      </w:r>
      <w:r>
        <w:t xml:space="preserve"> of 3 and 0.3. </w:t>
      </w:r>
      <w:r w:rsidRPr="0079539D">
        <w:t xml:space="preserve">Some of the variables mentioned above cannot be measured below the age of 3 as they have not yet emerged, but the risk factors of family history and nonverbal abilities are potentially available at an early age, as is maternal education. These </w:t>
      </w:r>
      <w:r w:rsidRPr="0079539D">
        <w:lastRenderedPageBreak/>
        <w:t xml:space="preserve">factors have seldom been investigated together, but the available evidence (e.g., Dale et al., 2003) suggests that the prediction is poor. </w:t>
      </w:r>
    </w:p>
    <w:p w14:paraId="6F77B83B" w14:textId="572D0B41" w:rsidR="003836F6" w:rsidRPr="003836F6" w:rsidRDefault="003836F6" w:rsidP="0078522C">
      <w:pPr>
        <w:spacing w:line="480" w:lineRule="auto"/>
        <w:ind w:firstLine="720"/>
      </w:pPr>
      <w:r w:rsidRPr="003836F6">
        <w:rPr>
          <w:b/>
        </w:rPr>
        <w:t>Genome-wide polygenic scores (GPS) and EA3</w:t>
      </w:r>
    </w:p>
    <w:p w14:paraId="5EE39675" w14:textId="77777777" w:rsidR="003836F6" w:rsidRPr="003836F6" w:rsidRDefault="003836F6" w:rsidP="003836F6">
      <w:pPr>
        <w:spacing w:line="480" w:lineRule="auto"/>
        <w:ind w:firstLine="720"/>
      </w:pPr>
      <w:r w:rsidRPr="003836F6">
        <w:t>Although emergent literacy skills are not generally testable in toddlers, they are known to have significant genetic influence (Samuelsson et al., 2007). This suggests that a DNA-based measure might be valuable. In the present study, we examine whether inclusion of such a measure adds enough prediction to yield a clinically useful score in predicting language and literacy performance at age 12, both across the full range of performance and specifically with respect to placement in a low performance category.</w:t>
      </w:r>
    </w:p>
    <w:p w14:paraId="5C0FFD6A" w14:textId="1974504C" w:rsidR="003836F6" w:rsidRPr="003836F6" w:rsidRDefault="003836F6" w:rsidP="003836F6">
      <w:pPr>
        <w:spacing w:line="480" w:lineRule="auto"/>
        <w:ind w:firstLine="720"/>
      </w:pPr>
      <w:r w:rsidRPr="003836F6">
        <w:t xml:space="preserve">A relatively recent new technique for evaluating genetic influence on a trait is centered on the use of </w:t>
      </w:r>
      <w:r w:rsidRPr="003836F6">
        <w:rPr>
          <w:i/>
        </w:rPr>
        <w:t>genome-wide polygenic scores</w:t>
      </w:r>
      <w:r w:rsidRPr="003836F6">
        <w:t xml:space="preserve"> (GPS). A fundamental insight underlying this approach is the realization that although many academic, cognitive and language skills are substantially heritable (30-60% of the variance), this is the result of a very large number of genetic factors, each with very small influence. Even the largest associations account for less than 0.05% of the variance (Allegrini et al., 2019). An especially clear example of this is shown in a recent study which focused on six genes known from pedigree and/or molecular studies to be associated with language/literacy development and disorders: ATP2C2, CMIP, CNTNAP2, DCDC2, FOXP2, and KIAA0319, which</w:t>
      </w:r>
      <w:r w:rsidR="00B2714D">
        <w:t xml:space="preserve"> together</w:t>
      </w:r>
      <w:r w:rsidRPr="003836F6">
        <w:t xml:space="preserve"> included a total of 1,229 SNPs. Even when summed, these genetic variants accounted for only .18% of the variance in a measure of expressive language at age 8 (Newbury, Givson, Conti-Ramsden, Pickles, Durkin &amp; Toseeb, 2019). Thus, rather than searching for a few DNA units with a large effect, current research is directed toward identification of a much larger number of elements, in genome-wide association (GWA) studies. This has become feasible due to the construction of ‘SNP chips’, arrays that are </w:t>
      </w:r>
      <w:r w:rsidRPr="003836F6">
        <w:lastRenderedPageBreak/>
        <w:t xml:space="preserve">able to genotype (identify) inexpensively and quickly the most common type of inherited DNA differences, a difference in a single nucleotide base, called a single-nucleotide polymorphism (SNP). Such a scan typically produces around a million units of information for an individual’s DNA. Each of these units can be correlated with the trait of interest, but because of the extremely high number of such tests, and the low actual impact of any unit, the results for individual units are not reliable or directly interpretable. Instead, this information is used to select a set of elements with the highest correlation; typically hundreds or even thousands of SNPs are selected, and the summed. It is acknowledged that SNPs may be included in the sum which are not in fact related, and that relevant SNPs may be missed; it is the sum that is important. To demonstrate the reliability and validity of the sum, the GPS, the formula is first computed using a ‘training set’ of observations, and then validated by determining how well it predicts the trait in the ‘replication sample’. Once the GPS is confirmed in this way, the formula can be applied in new research studies. An important caveat for this approach is that it requires extremely large studies, both in number of subjects and number of DNA variants studied. This can be thought of as a problem of distinguishing signal from noise. </w:t>
      </w:r>
    </w:p>
    <w:p w14:paraId="6C79AF76" w14:textId="38622837" w:rsidR="003836F6" w:rsidRPr="003836F6" w:rsidRDefault="003836F6" w:rsidP="003836F6">
      <w:pPr>
        <w:spacing w:line="480" w:lineRule="auto"/>
        <w:ind w:firstLine="720"/>
      </w:pPr>
      <w:r w:rsidRPr="003836F6">
        <w:t>By far the most successful GPS thus far has been defined on the basis of the educational attainment of adults.  This is due in part to the fact that educational attainment</w:t>
      </w:r>
      <w:r w:rsidR="000E5D8A">
        <w:t>, usually indexed as total number of years of education,</w:t>
      </w:r>
      <w:r w:rsidRPr="003836F6">
        <w:t xml:space="preserve"> is obtained as a demographic marker in most GWA studies. Based on pooled data from many such studies, totaling 1.1 million individuals, a GPS for educational achievement accounted for 12% of the variance (Lee et al., 2018).  This GPS, named EA3 because it is the third version of the formula, also predicts educational achievement during the period of schooling</w:t>
      </w:r>
      <w:r w:rsidR="000E5D8A">
        <w:t>. Within the Twins Early Development Study (TEDS)</w:t>
      </w:r>
      <w:r w:rsidR="0078522C">
        <w:t>,</w:t>
      </w:r>
      <w:r w:rsidR="000E5D8A">
        <w:t xml:space="preserve"> from which the present sample is drawn, the proportion of variance </w:t>
      </w:r>
      <w:r w:rsidR="0001343F">
        <w:t xml:space="preserve">in educational achievement </w:t>
      </w:r>
      <w:r w:rsidR="000E5D8A">
        <w:t xml:space="preserve">predicted by </w:t>
      </w:r>
      <w:r w:rsidR="000E5D8A">
        <w:lastRenderedPageBreak/>
        <w:t>EA3 increases</w:t>
      </w:r>
      <w:r w:rsidRPr="003836F6">
        <w:t xml:space="preserve"> from 5% </w:t>
      </w:r>
      <w:r w:rsidR="0001343F">
        <w:t>at</w:t>
      </w:r>
      <w:r w:rsidRPr="003836F6">
        <w:t xml:space="preserve"> age 7 to </w:t>
      </w:r>
      <w:r w:rsidR="0001343F">
        <w:t>7</w:t>
      </w:r>
      <w:r w:rsidRPr="003836F6">
        <w:t xml:space="preserve">% at age 12 </w:t>
      </w:r>
      <w:r w:rsidR="000E5D8A">
        <w:t xml:space="preserve">(both of these are with respect to National Curriculum school grades) </w:t>
      </w:r>
      <w:r w:rsidRPr="003836F6">
        <w:t xml:space="preserve">to 14% at age 16 </w:t>
      </w:r>
      <w:r w:rsidR="000E5D8A">
        <w:t>for the end of compulsory education General Certificate of Second</w:t>
      </w:r>
      <w:r w:rsidR="005234CC">
        <w:t>ary</w:t>
      </w:r>
      <w:r w:rsidR="000E5D8A">
        <w:t xml:space="preserve"> Education examination </w:t>
      </w:r>
      <w:r w:rsidRPr="003836F6">
        <w:t xml:space="preserve">(Allegrini et al., 2019; von Stumm et al., </w:t>
      </w:r>
      <w:r w:rsidR="000E5D8A">
        <w:t xml:space="preserve"> in press</w:t>
      </w:r>
      <w:r w:rsidRPr="003836F6">
        <w:t xml:space="preserve">). </w:t>
      </w:r>
      <w:r w:rsidR="004D2DFF">
        <w:t xml:space="preserve">Within the same sample, Ayorech, Plomin and von Stumm (2019) utilized multinomial logistic regression to predict educational/occupational status at age 18 in terms of four broad categories: pursuing a university degree, taking a gap year, pursuing full-time employment or apprenticeship, or not </w:t>
      </w:r>
      <w:r w:rsidR="004628A9">
        <w:t xml:space="preserve">being </w:t>
      </w:r>
      <w:r w:rsidR="004D2DFF">
        <w:t>in education, employment or training</w:t>
      </w:r>
      <w:r w:rsidR="004628A9">
        <w:t xml:space="preserve"> (NEET)</w:t>
      </w:r>
      <w:r w:rsidR="004D2DFF">
        <w:t>. The prediction of category placement was estimated with an effect size of Nagelkerke r</w:t>
      </w:r>
      <w:r w:rsidR="004D2DFF" w:rsidRPr="00DA1574">
        <w:rPr>
          <w:vertAlign w:val="superscript"/>
        </w:rPr>
        <w:t xml:space="preserve">2 </w:t>
      </w:r>
      <w:r w:rsidR="004D2DFF">
        <w:t>of 10%.  Utilizing a previous version of the G</w:t>
      </w:r>
      <w:r w:rsidR="004628A9">
        <w:t>P</w:t>
      </w:r>
      <w:r w:rsidR="004D2DFF">
        <w:t xml:space="preserve">S </w:t>
      </w:r>
      <w:r w:rsidR="00A87CE8">
        <w:t xml:space="preserve">known as </w:t>
      </w:r>
      <w:r w:rsidR="004D2DFF">
        <w:t xml:space="preserve">EA2, Smith-Woolley, Ayorech, Dale, von Stumm &amp; Plomin (2018) obtained significant prediction of performance </w:t>
      </w:r>
      <w:r w:rsidR="009E3052">
        <w:t xml:space="preserve">for TEDS participants </w:t>
      </w:r>
      <w:r w:rsidR="004D2DFF">
        <w:t>on the university entrance examination (A-levels; 4% of the variance), university enrollment (dichotomous; 5% of the variance), university quality rating (UK league tables; 2%), and university achievement (possession and type of degree,</w:t>
      </w:r>
      <w:r w:rsidR="009E3052">
        <w:t xml:space="preserve"> e.g., first-class, </w:t>
      </w:r>
      <w:r w:rsidR="004D2DFF">
        <w:t xml:space="preserve"> </w:t>
      </w:r>
      <w:r w:rsidR="00A87CE8">
        <w:t>0</w:t>
      </w:r>
      <w:r w:rsidR="004D2DFF">
        <w:t xml:space="preserve">.7%). The last of these effect sizes is the lowest; this is likely because </w:t>
      </w:r>
      <w:r w:rsidR="009E3052">
        <w:t>of restricted range</w:t>
      </w:r>
      <w:r w:rsidR="005234CC">
        <w:t xml:space="preserve"> for students attending university</w:t>
      </w:r>
      <w:r w:rsidR="009E3052">
        <w:t xml:space="preserve">, and also because </w:t>
      </w:r>
      <w:r w:rsidR="004D2DFF">
        <w:t>both earning a degree and its type are not standardized across universities</w:t>
      </w:r>
      <w:r w:rsidR="009E3052">
        <w:t>, and thus not on the same scale.</w:t>
      </w:r>
    </w:p>
    <w:p w14:paraId="134D278C" w14:textId="297CBA15" w:rsidR="003836F6" w:rsidRPr="003836F6" w:rsidRDefault="003836F6" w:rsidP="003836F6">
      <w:pPr>
        <w:spacing w:line="480" w:lineRule="auto"/>
        <w:ind w:firstLine="720"/>
      </w:pPr>
      <w:r w:rsidRPr="003836F6">
        <w:t xml:space="preserve">There are two notable aspects of the success of EA3. The first is the evidence it provides of the need for very large samples. Earlier versions, EA1 and EA2, which were based on 125,000 and 294,000 subjects respectively, accounted for only 2% and 3% of the variance in educational attainment (Allegrini, Selzam, Rimfeld, von Stumm, Pingault &amp; Plomin, 2019). An additional 800,000 subjects were needed to improve the prediction from 3% to 12%. The second one is foreshadowed by the fact that EA3 actually predicts educational achievement at age 16 even more successfully than it predicts total educational attainment in adults, the outcome which was </w:t>
      </w:r>
      <w:r w:rsidRPr="003836F6">
        <w:lastRenderedPageBreak/>
        <w:t xml:space="preserve">used to develop the formula. Because there is high pleiotropy for genetic influence, that is, the effect of genetic units is widespread, not limited to a single trait, prediction of traits other than the target one may be very good. The influence of EA3 is considerably wider than this; in particular, it has been shown to predict </w:t>
      </w:r>
      <w:r w:rsidR="009E3052">
        <w:t xml:space="preserve">(again, in the TEDS sample) </w:t>
      </w:r>
      <w:r w:rsidRPr="003836F6">
        <w:t xml:space="preserve">9.9% of the variance in IQ at age 16 (Allegrini et al., 2019). GPS formulas do exist for other traits, such as reading and IQ, but they are based on far smaller sample sizes in the training set, generally below 10,000. Due to the overwhelming importance of sample size in defining the GPS, along with pleiotropic effects, cross-trait prediction </w:t>
      </w:r>
      <w:r w:rsidR="009E3052">
        <w:t xml:space="preserve">can be </w:t>
      </w:r>
      <w:r w:rsidRPr="003836F6">
        <w:t xml:space="preserve"> higher than within-trait prediction. For example, EA3 actually predicts IQ at age 16 better (9.9%) than an IQ-based GPS  does (6.7%</w:t>
      </w:r>
      <w:r w:rsidR="001C21B1">
        <w:t>; Allegrini et al., 2019</w:t>
      </w:r>
      <w:r w:rsidRPr="003836F6">
        <w:t xml:space="preserve">). Given the broad success of EA3, its clear cognitive connection to language and literacy, and the small size of GPS training sets for language and literacy variables, </w:t>
      </w:r>
      <w:r w:rsidR="009E3052">
        <w:t>we have chosen to examine the predictive contribution of EA3.</w:t>
      </w:r>
      <w:r w:rsidRPr="003836F6">
        <w:t xml:space="preserve">. </w:t>
      </w:r>
    </w:p>
    <w:p w14:paraId="4D15A829" w14:textId="52E10B87" w:rsidR="00802BF3" w:rsidRPr="00802BF3" w:rsidRDefault="00802BF3" w:rsidP="003E6019">
      <w:pPr>
        <w:spacing w:line="480" w:lineRule="auto"/>
      </w:pPr>
      <w:r>
        <w:rPr>
          <w:b/>
        </w:rPr>
        <w:t>The current study</w:t>
      </w:r>
    </w:p>
    <w:p w14:paraId="5A8757EF" w14:textId="1A4D6431" w:rsidR="00822326" w:rsidRPr="0079539D" w:rsidRDefault="00822326" w:rsidP="00822326">
      <w:pPr>
        <w:spacing w:line="480" w:lineRule="auto"/>
        <w:ind w:firstLine="720"/>
      </w:pPr>
      <w:r w:rsidRPr="0079539D">
        <w:t xml:space="preserve">In this paper, we evaluate the prediction from five risk factors </w:t>
      </w:r>
      <w:r>
        <w:t xml:space="preserve">discussed above, potentially available in the toddler period: family history, maternal education, expressive vocabulary, nonverbal abilities, and EA3, the </w:t>
      </w:r>
      <w:r w:rsidR="009D7DFA">
        <w:t>GPS</w:t>
      </w:r>
      <w:r>
        <w:t xml:space="preserve"> for educational attainment. We utilize two analytic approaches</w:t>
      </w:r>
      <w:r w:rsidR="00802BF3">
        <w:t>, one focused on the full range of predictor and outcome measures, and the first focused on a cumulative risk measure based on low scores on each measure</w:t>
      </w:r>
      <w:r>
        <w:t xml:space="preserve">. </w:t>
      </w:r>
      <w:r w:rsidRPr="0079539D">
        <w:t xml:space="preserve"> </w:t>
      </w:r>
      <w:r w:rsidR="00802BF3">
        <w:t xml:space="preserve"> We address the following research questions:</w:t>
      </w:r>
      <w:r w:rsidRPr="0079539D">
        <w:t xml:space="preserve"> </w:t>
      </w:r>
    </w:p>
    <w:p w14:paraId="7D179F5B" w14:textId="7E576ED4" w:rsidR="00DC57CF" w:rsidRDefault="002D41DE" w:rsidP="00042796">
      <w:pPr>
        <w:spacing w:line="480" w:lineRule="auto"/>
      </w:pPr>
      <w:r>
        <w:t xml:space="preserve">1. Using continuous measures representing the full distribution of risk and outcome measures, how well can receptive language, word decoding, and reading comprehension </w:t>
      </w:r>
      <w:r w:rsidR="00FE0CD7">
        <w:t xml:space="preserve"> at 12 years of age </w:t>
      </w:r>
      <w:r>
        <w:t xml:space="preserve">be predicted by </w:t>
      </w:r>
      <w:r w:rsidR="00D37DDB">
        <w:t xml:space="preserve">early expressive vocabulary and </w:t>
      </w:r>
      <w:r w:rsidRPr="002D41DE">
        <w:t>nonverbal ability, family history</w:t>
      </w:r>
      <w:r>
        <w:t xml:space="preserve"> of early </w:t>
      </w:r>
      <w:r>
        <w:lastRenderedPageBreak/>
        <w:t>language/literacy difficulties</w:t>
      </w:r>
      <w:r w:rsidRPr="002D41DE">
        <w:t xml:space="preserve">, mothers’ education, and </w:t>
      </w:r>
      <w:r>
        <w:t xml:space="preserve">a </w:t>
      </w:r>
      <w:r w:rsidR="004738C4">
        <w:t>genome-wide</w:t>
      </w:r>
      <w:r>
        <w:t xml:space="preserve"> polygenic score for educational attainment (</w:t>
      </w:r>
      <w:r w:rsidRPr="002D41DE">
        <w:t>EA3</w:t>
      </w:r>
      <w:r w:rsidR="006C26E2">
        <w:t xml:space="preserve">)? </w:t>
      </w:r>
    </w:p>
    <w:p w14:paraId="0E49745A" w14:textId="77777777" w:rsidR="002D41DE" w:rsidRDefault="00DC57CF" w:rsidP="00DC57CF">
      <w:pPr>
        <w:spacing w:line="480" w:lineRule="auto"/>
        <w:ind w:firstLine="720"/>
      </w:pPr>
      <w:r>
        <w:t xml:space="preserve">(a) </w:t>
      </w:r>
      <w:r w:rsidR="006C26E2">
        <w:t>Specifically, d</w:t>
      </w:r>
      <w:r w:rsidR="00D37DDB">
        <w:t>oes EA3</w:t>
      </w:r>
      <w:r w:rsidR="002D41DE">
        <w:t xml:space="preserve"> make an additional, unique contribution to the prediction?</w:t>
      </w:r>
    </w:p>
    <w:p w14:paraId="330151C6" w14:textId="77777777" w:rsidR="00DC57CF" w:rsidRDefault="00DC57CF" w:rsidP="00DC57CF">
      <w:pPr>
        <w:spacing w:line="480" w:lineRule="auto"/>
        <w:ind w:left="720"/>
      </w:pPr>
      <w:r>
        <w:t>(b) Conversely, do the other, nongenetic measures, make a contr</w:t>
      </w:r>
      <w:r w:rsidR="007864CA">
        <w:t>ibution to the prediction beyond</w:t>
      </w:r>
      <w:r>
        <w:t xml:space="preserve"> that of EA3? </w:t>
      </w:r>
    </w:p>
    <w:p w14:paraId="54AAF1CB" w14:textId="733F6BDE" w:rsidR="00DC57CF" w:rsidRDefault="00D37DDB" w:rsidP="00822326">
      <w:pPr>
        <w:spacing w:line="480" w:lineRule="auto"/>
      </w:pPr>
      <w:r>
        <w:t xml:space="preserve">2. Using </w:t>
      </w:r>
      <w:r w:rsidRPr="00D37DDB">
        <w:t>categorically d</w:t>
      </w:r>
      <w:r>
        <w:t>efined (lowest 10%</w:t>
      </w:r>
      <w:r w:rsidR="00F53C84">
        <w:t xml:space="preserve">; a </w:t>
      </w:r>
      <w:r w:rsidR="00822326">
        <w:t xml:space="preserve">frequent </w:t>
      </w:r>
      <w:r w:rsidR="00F53C84">
        <w:t>criterion in clinical work and research on disorders</w:t>
      </w:r>
      <w:r>
        <w:t xml:space="preserve">) measures for each </w:t>
      </w:r>
      <w:r w:rsidRPr="00D37DDB">
        <w:t>risk and outcome</w:t>
      </w:r>
      <w:r>
        <w:t xml:space="preserve"> measure, how well can </w:t>
      </w:r>
      <w:r w:rsidRPr="00D37DDB">
        <w:t xml:space="preserve">impairments at age 12 for receptive language, word decoding, and reading comprehension be predicted by </w:t>
      </w:r>
      <w:r w:rsidR="00FE0CD7">
        <w:t xml:space="preserve">categorically defined risk factors of </w:t>
      </w:r>
      <w:r>
        <w:t>early expressive vocabulary and</w:t>
      </w:r>
      <w:r w:rsidRPr="00D37DDB">
        <w:t xml:space="preserve"> nonverbal ability, family history of early language/literacy difficulties, mothers’ education, and a </w:t>
      </w:r>
      <w:r w:rsidR="004738C4">
        <w:t>genome-wide</w:t>
      </w:r>
      <w:r w:rsidRPr="00D37DDB">
        <w:t xml:space="preserve"> polygenic sc</w:t>
      </w:r>
      <w:r w:rsidR="00DC57CF" w:rsidRPr="00D37DDB">
        <w:t>ore for educat</w:t>
      </w:r>
      <w:r w:rsidR="00DC57CF">
        <w:t xml:space="preserve">ional attainment (EA3)?  </w:t>
      </w:r>
    </w:p>
    <w:p w14:paraId="3D0AE2EC" w14:textId="77777777" w:rsidR="00DC57CF" w:rsidRDefault="00DC57CF" w:rsidP="00DC57CF">
      <w:pPr>
        <w:spacing w:line="480" w:lineRule="auto"/>
        <w:ind w:firstLine="720"/>
      </w:pPr>
      <w:r>
        <w:t>(a) Specifically, does EA3 make an additional, unique contribution to the prediction?</w:t>
      </w:r>
    </w:p>
    <w:p w14:paraId="65B039F8" w14:textId="77777777" w:rsidR="002D41DE" w:rsidRDefault="00DC57CF" w:rsidP="00DC57CF">
      <w:pPr>
        <w:spacing w:line="480" w:lineRule="auto"/>
        <w:ind w:left="720"/>
      </w:pPr>
      <w:r>
        <w:t xml:space="preserve">(b) Conversely, do the other, nongenetic measures, make a contribution to the prediction beyond that of EA3? </w:t>
      </w:r>
    </w:p>
    <w:p w14:paraId="34ACCED0" w14:textId="66B204C4" w:rsidR="00D37DDB" w:rsidRDefault="00D37DDB" w:rsidP="00042796">
      <w:pPr>
        <w:spacing w:line="480" w:lineRule="auto"/>
      </w:pPr>
      <w:r>
        <w:t xml:space="preserve">3. For both questions above, is prediction from </w:t>
      </w:r>
      <w:r w:rsidR="00F77B52">
        <w:t xml:space="preserve">the risk factors assessed at </w:t>
      </w:r>
      <w:r w:rsidR="00FE0CD7">
        <w:t>3 years of age</w:t>
      </w:r>
      <w:r>
        <w:t xml:space="preserve"> superior to that from </w:t>
      </w:r>
      <w:r w:rsidR="00FE0CD7">
        <w:t xml:space="preserve">2 years of </w:t>
      </w:r>
      <w:r>
        <w:t>age?</w:t>
      </w:r>
      <w:r w:rsidR="00C86C03">
        <w:t xml:space="preserve"> Note that only expressive vocabulary and nonverbal ability change from 2 to 3</w:t>
      </w:r>
      <w:r w:rsidR="00FE0CD7">
        <w:t xml:space="preserve"> years of age</w:t>
      </w:r>
      <w:r w:rsidR="00C86C03">
        <w:t>.</w:t>
      </w:r>
    </w:p>
    <w:p w14:paraId="6486D4BB" w14:textId="77777777" w:rsidR="001A4AFA" w:rsidRDefault="001A4AFA" w:rsidP="001A4AFA">
      <w:pPr>
        <w:spacing w:line="480" w:lineRule="auto"/>
        <w:jc w:val="center"/>
        <w:rPr>
          <w:b/>
        </w:rPr>
      </w:pPr>
      <w:r w:rsidRPr="001A4AFA">
        <w:rPr>
          <w:b/>
        </w:rPr>
        <w:t>Method</w:t>
      </w:r>
    </w:p>
    <w:p w14:paraId="253226EF" w14:textId="41AAB280" w:rsidR="00BA3C79" w:rsidRPr="00BA3C79" w:rsidRDefault="00BA3C79" w:rsidP="00BA3C79">
      <w:pPr>
        <w:spacing w:line="480" w:lineRule="auto"/>
        <w:ind w:firstLine="720"/>
      </w:pPr>
      <w:r w:rsidRPr="00BA3C79">
        <w:rPr>
          <w:color w:val="222222"/>
          <w:shd w:val="clear" w:color="auto" w:fill="FFFFFF"/>
          <w:lang w:val="en-GB"/>
        </w:rPr>
        <w:t>Ethical approval for TEDS has been provided by the King’s College London Ethics Committee (reference: PNM/09/10–104)</w:t>
      </w:r>
      <w:r>
        <w:rPr>
          <w:color w:val="222222"/>
          <w:shd w:val="clear" w:color="auto" w:fill="FFFFFF"/>
          <w:lang w:val="en-GB"/>
        </w:rPr>
        <w:t>.</w:t>
      </w:r>
    </w:p>
    <w:p w14:paraId="239BFB9A" w14:textId="77777777" w:rsidR="001A4AFA" w:rsidRDefault="001A4AFA" w:rsidP="001A4AFA">
      <w:pPr>
        <w:spacing w:line="480" w:lineRule="auto"/>
      </w:pPr>
      <w:r>
        <w:rPr>
          <w:b/>
        </w:rPr>
        <w:t>Participants</w:t>
      </w:r>
    </w:p>
    <w:p w14:paraId="32100B7A" w14:textId="78E3B8B8" w:rsidR="001A4AFA" w:rsidRPr="00585A95" w:rsidRDefault="00086771" w:rsidP="00714B03">
      <w:pPr>
        <w:spacing w:line="480" w:lineRule="auto"/>
        <w:ind w:firstLine="720"/>
      </w:pPr>
      <w:r>
        <w:t>The present sample is drawn from the Twins Early Development Study</w:t>
      </w:r>
      <w:r w:rsidR="0077266E">
        <w:t xml:space="preserve"> </w:t>
      </w:r>
      <w:r>
        <w:t>(TEDS), a longitudinal twin st</w:t>
      </w:r>
      <w:r w:rsidR="004A171D">
        <w:t>udy that recruited more than 10</w:t>
      </w:r>
      <w:r>
        <w:t>,000 twin pairs born in</w:t>
      </w:r>
      <w:r w:rsidR="0077266E">
        <w:t xml:space="preserve"> </w:t>
      </w:r>
      <w:r>
        <w:t xml:space="preserve">England and Wales in </w:t>
      </w:r>
      <w:r>
        <w:lastRenderedPageBreak/>
        <w:t>1994 through 1996. The recruitment process and the sample</w:t>
      </w:r>
      <w:r w:rsidR="0077266E">
        <w:t xml:space="preserve"> </w:t>
      </w:r>
      <w:r>
        <w:t>are described in detail elsewhere (Haworth, Davis, &amp; Plomin, 2013</w:t>
      </w:r>
      <w:r w:rsidR="00341AA1">
        <w:t>; Rimfeld et al., in press</w:t>
      </w:r>
      <w:r>
        <w:t>). The TEDS</w:t>
      </w:r>
      <w:r w:rsidR="0077266E">
        <w:t xml:space="preserve"> </w:t>
      </w:r>
      <w:r>
        <w:t>sample was at its inception representative of the UK population in comparison with</w:t>
      </w:r>
      <w:r w:rsidR="0077266E">
        <w:t xml:space="preserve"> </w:t>
      </w:r>
      <w:r>
        <w:t xml:space="preserve">census data and despite some attrition </w:t>
      </w:r>
      <w:r w:rsidR="00BC01B7">
        <w:t>remained</w:t>
      </w:r>
      <w:r>
        <w:t xml:space="preserve"> considerably representative at age 12 </w:t>
      </w:r>
      <w:r w:rsidR="00F96607">
        <w:t xml:space="preserve">(and later) </w:t>
      </w:r>
      <w:r w:rsidR="00F96607" w:rsidRPr="00F96607">
        <w:t>with respect to ethnicity, maternal education and employment, and paternal employment (</w:t>
      </w:r>
      <w:r w:rsidR="00226A31">
        <w:t xml:space="preserve">Oliver &amp; Plomin, 2007; </w:t>
      </w:r>
      <w:r w:rsidR="00F96607" w:rsidRPr="00F96607">
        <w:t>Haworth, Davis &amp; Plomin, 2012).</w:t>
      </w:r>
      <w:r w:rsidR="00F96607">
        <w:t xml:space="preserve"> </w:t>
      </w:r>
      <w:r w:rsidR="005C4A7A">
        <w:t xml:space="preserve">For </w:t>
      </w:r>
      <w:r w:rsidR="002B451E">
        <w:t>1812</w:t>
      </w:r>
      <w:r>
        <w:t xml:space="preserve"> individuals of European ancestry from TEDS</w:t>
      </w:r>
      <w:r w:rsidR="005C4A7A">
        <w:t>,</w:t>
      </w:r>
      <w:r>
        <w:t xml:space="preserve"> </w:t>
      </w:r>
      <w:r w:rsidR="005C4A7A">
        <w:t xml:space="preserve">complete risk measures were available, including </w:t>
      </w:r>
      <w:r>
        <w:t xml:space="preserve">genotype data </w:t>
      </w:r>
      <w:r w:rsidR="00D73B65">
        <w:t>(</w:t>
      </w:r>
      <w:r w:rsidR="001219E1">
        <w:t xml:space="preserve">both twins from DZ </w:t>
      </w:r>
      <w:r w:rsidR="00EA70D7">
        <w:t xml:space="preserve">[i.e., fraternal] </w:t>
      </w:r>
      <w:r w:rsidR="001219E1">
        <w:t xml:space="preserve">pairs were included, as they differ genetically, but </w:t>
      </w:r>
      <w:r w:rsidR="009D578F">
        <w:t xml:space="preserve">only </w:t>
      </w:r>
      <w:r w:rsidR="00D73B65">
        <w:t>one twin</w:t>
      </w:r>
      <w:r w:rsidR="001219E1">
        <w:t xml:space="preserve"> </w:t>
      </w:r>
      <w:r w:rsidR="0068648B">
        <w:t xml:space="preserve">from each MZ </w:t>
      </w:r>
      <w:r w:rsidR="00EA70D7">
        <w:t xml:space="preserve">[i.e., identical] </w:t>
      </w:r>
      <w:r w:rsidR="0068648B">
        <w:t xml:space="preserve">pair </w:t>
      </w:r>
      <w:r w:rsidR="001219E1">
        <w:t>was included, chosen randomly</w:t>
      </w:r>
      <w:r w:rsidR="0068648B">
        <w:t xml:space="preserve"> </w:t>
      </w:r>
      <w:r w:rsidR="00D73B65">
        <w:t xml:space="preserve">) </w:t>
      </w:r>
      <w:r>
        <w:t xml:space="preserve">and information on </w:t>
      </w:r>
      <w:r w:rsidR="0077266E">
        <w:t>expressive vocabulary and nonverbal ability at age</w:t>
      </w:r>
      <w:r w:rsidR="00D73B65">
        <w:t>s</w:t>
      </w:r>
      <w:r w:rsidR="0077266E">
        <w:t xml:space="preserve"> 2 and 3, mother’s educational qualifications, and family history concerning early language/literacy difficulties</w:t>
      </w:r>
      <w:r w:rsidR="002B451E">
        <w:t>. For 1420 of these individuals</w:t>
      </w:r>
      <w:r w:rsidR="00661175">
        <w:t>, outcome measures for at least one of age 12 oral language, word decoding and reading comprehension</w:t>
      </w:r>
      <w:r w:rsidR="002B451E">
        <w:t xml:space="preserve"> were available</w:t>
      </w:r>
      <w:r>
        <w:t xml:space="preserve">. </w:t>
      </w:r>
      <w:r w:rsidR="007864CA">
        <w:t xml:space="preserve">The sample included 789 females and 631 males; etiologically, 568 twins were from MZ pairs, 429 from DZ same-sex pairs, and 423 from DZ opposite-sex pairs. </w:t>
      </w:r>
      <w:r w:rsidR="00D3307F">
        <w:t>Based on information provided at the time of recruitment, t</w:t>
      </w:r>
      <w:r>
        <w:t xml:space="preserve">he </w:t>
      </w:r>
      <w:r w:rsidR="00D3307F">
        <w:t xml:space="preserve">present </w:t>
      </w:r>
      <w:r>
        <w:t xml:space="preserve">analysis sample is </w:t>
      </w:r>
      <w:r w:rsidRPr="008E1513">
        <w:t>slightly</w:t>
      </w:r>
      <w:r w:rsidR="0077266E" w:rsidRPr="008E1513">
        <w:t xml:space="preserve"> </w:t>
      </w:r>
      <w:r w:rsidRPr="008E1513">
        <w:t xml:space="preserve">more advantaged </w:t>
      </w:r>
      <w:r w:rsidR="005518A8" w:rsidRPr="008E1513">
        <w:t>(</w:t>
      </w:r>
      <w:r w:rsidR="005518A8" w:rsidRPr="008E1513">
        <w:rPr>
          <w:i/>
        </w:rPr>
        <w:t>d</w:t>
      </w:r>
      <w:r w:rsidR="005518A8" w:rsidRPr="008E1513">
        <w:t xml:space="preserve"> = .22) </w:t>
      </w:r>
      <w:r w:rsidRPr="008E1513">
        <w:t xml:space="preserve">in terms of </w:t>
      </w:r>
      <w:r w:rsidR="0077266E" w:rsidRPr="008E1513">
        <w:t xml:space="preserve">mother’s educational qualifications </w:t>
      </w:r>
      <w:r w:rsidRPr="008E1513">
        <w:t xml:space="preserve">(mean = </w:t>
      </w:r>
      <w:r w:rsidR="005518A8" w:rsidRPr="008E1513">
        <w:t>4.06</w:t>
      </w:r>
      <w:r w:rsidRPr="008E1513">
        <w:t xml:space="preserve">, SD = </w:t>
      </w:r>
      <w:r w:rsidR="005518A8" w:rsidRPr="008E1513">
        <w:t>2.00</w:t>
      </w:r>
      <w:r w:rsidRPr="008E1513">
        <w:t>) than the full TEDS sample</w:t>
      </w:r>
      <w:r w:rsidR="0077266E" w:rsidRPr="008E1513">
        <w:t xml:space="preserve"> </w:t>
      </w:r>
      <w:r w:rsidRPr="008E1513">
        <w:t xml:space="preserve">(mean = </w:t>
      </w:r>
      <w:r w:rsidR="005518A8" w:rsidRPr="008E1513">
        <w:t>3.63</w:t>
      </w:r>
      <w:r w:rsidRPr="008E1513">
        <w:t xml:space="preserve">, SD = </w:t>
      </w:r>
      <w:r w:rsidR="005518A8" w:rsidRPr="008E1513">
        <w:t>1.96</w:t>
      </w:r>
      <w:r w:rsidRPr="008E1513">
        <w:t>).</w:t>
      </w:r>
      <w:r>
        <w:t xml:space="preserve"> </w:t>
      </w:r>
    </w:p>
    <w:p w14:paraId="2C951A91" w14:textId="77777777" w:rsidR="00F96607" w:rsidRPr="00F96607" w:rsidRDefault="00585A95" w:rsidP="001A4AFA">
      <w:pPr>
        <w:spacing w:line="480" w:lineRule="auto"/>
        <w:rPr>
          <w:b/>
        </w:rPr>
      </w:pPr>
      <w:r>
        <w:rPr>
          <w:b/>
        </w:rPr>
        <w:t>Risk Factor Measures</w:t>
      </w:r>
    </w:p>
    <w:p w14:paraId="6F28FEF2" w14:textId="7BC847C3" w:rsidR="00D23AF9" w:rsidRDefault="00D23AF9" w:rsidP="00EB5E28">
      <w:pPr>
        <w:spacing w:line="480" w:lineRule="auto"/>
      </w:pPr>
      <w:r>
        <w:tab/>
      </w:r>
      <w:r>
        <w:rPr>
          <w:b/>
        </w:rPr>
        <w:t>Parent-reported expressive vocabular</w:t>
      </w:r>
      <w:r w:rsidR="00786D6A">
        <w:rPr>
          <w:b/>
        </w:rPr>
        <w:t>y</w:t>
      </w:r>
      <w:r w:rsidR="00EB5E28">
        <w:t xml:space="preserve">. The parent-reported expressive vocabulary measures at 2 and 3 were </w:t>
      </w:r>
      <w:r w:rsidR="0006570C">
        <w:t xml:space="preserve">shortform </w:t>
      </w:r>
      <w:r w:rsidR="00EB5E28">
        <w:t xml:space="preserve">adaptations of the vocabulary portion of the MacArthur-Bates Communicative Development Inventory: Words and Sentences (CDI:WS; </w:t>
      </w:r>
      <w:r w:rsidR="0006570C">
        <w:t>Fenson, Marchman, Thal, Dale, Reznick &amp; Bates, 2007</w:t>
      </w:r>
      <w:r w:rsidR="00EB5E28">
        <w:t xml:space="preserve">). It is comprised of a list of words from which parents are asked to check those that they have heard their child say. The score is the total </w:t>
      </w:r>
      <w:r w:rsidR="00EB5E28">
        <w:lastRenderedPageBreak/>
        <w:t>number of words checked. The 100 words on the 2-year version were selected (Fenson et al., 2000) to give good prediction of the total score from the longer list on the MBCDI . The list of words was then “anglicized” for appropriate spelling in a United Kingdom setting. The 3-year vocabulary measure was developed in accordance with similar design principles</w:t>
      </w:r>
      <w:r w:rsidR="00D73B65">
        <w:t xml:space="preserve">, replacing about half the words in order to be more appropriate for older children, </w:t>
      </w:r>
      <w:r w:rsidR="00EB5E28">
        <w:t>based on literature review and pilot testing.</w:t>
      </w:r>
      <w:r w:rsidR="00DB097F">
        <w:t xml:space="preserve"> Additional information about these measures is provided in Dale, Price, Bishop and Plomin (2003).</w:t>
      </w:r>
    </w:p>
    <w:p w14:paraId="12C974B1" w14:textId="27A15907" w:rsidR="00330AC8" w:rsidRDefault="00786D6A" w:rsidP="00D73B65">
      <w:pPr>
        <w:spacing w:line="480" w:lineRule="auto"/>
        <w:ind w:firstLine="720"/>
      </w:pPr>
      <w:r w:rsidRPr="00786D6A">
        <w:rPr>
          <w:b/>
        </w:rPr>
        <w:t>Parent-reported nonverbal ability</w:t>
      </w:r>
      <w:r>
        <w:t xml:space="preserve">. </w:t>
      </w:r>
      <w:r w:rsidR="00330AC8">
        <w:t xml:space="preserve">The Parent Report of Children’s Abilities (PARCA; Oliver et al., 2002; Saudino et al., 1998) </w:t>
      </w:r>
      <w:r w:rsidR="003E1771">
        <w:t xml:space="preserve">was developed within the TEDS project. It </w:t>
      </w:r>
      <w:r w:rsidR="00330AC8">
        <w:t>consists of both parent-report questions and parent-administered items (e.g., copying shapes, imitating actions). Because the aim of the present study was to include measures that were relatively easily available, we included only information provi</w:t>
      </w:r>
      <w:r w:rsidR="00D73B65">
        <w:t>ded in the parent-report portion of the instrument.</w:t>
      </w:r>
      <w:r w:rsidR="003E1771">
        <w:t xml:space="preserve"> At age 2, the PARCA consists of 26 questions assessing quantitative skills, spatial abilities, symbolic play, planning and organizing, adaptive behaviors and memory. At age 3, there are 22 questions assessing </w:t>
      </w:r>
      <w:r w:rsidR="00920185">
        <w:t xml:space="preserve">similar domains, extending also to reasoning and number. </w:t>
      </w:r>
      <w:r w:rsidR="008A303A">
        <w:t xml:space="preserve">Items included modified items from existing parent questionnaires as well as original items written specifically for the PARCA. Questions were phrased in terms of specific activities, and parents were asked to indicate if they had seen their child perform the activity, as research indicates that parents are most accurate in this recognition format. </w:t>
      </w:r>
      <w:r w:rsidR="003E1771">
        <w:t xml:space="preserve">A sample question at age 2 is ‘Can your child put a simple piece, such as a square or an animal, into the correct place on a puzzle board’; an example at age 3 is </w:t>
      </w:r>
      <w:r w:rsidR="008A303A">
        <w:t xml:space="preserve">‘Does your child draw simple pictures that other people can recognize, such as a person, house, or car?’ </w:t>
      </w:r>
    </w:p>
    <w:p w14:paraId="558E57A2" w14:textId="77777777" w:rsidR="00BC1AA6" w:rsidRDefault="00D23AF9" w:rsidP="00BC1AA6">
      <w:pPr>
        <w:spacing w:line="480" w:lineRule="auto"/>
      </w:pPr>
      <w:r>
        <w:lastRenderedPageBreak/>
        <w:tab/>
      </w:r>
      <w:r>
        <w:rPr>
          <w:b/>
        </w:rPr>
        <w:t>Mother’s educational qualifications</w:t>
      </w:r>
      <w:r w:rsidR="00BC1AA6">
        <w:t>. Mothers’ highest educational achievement was rated on an 8 point scale, as in Dale et al. (2003) and other TEDS publications. On this scale, 1 =</w:t>
      </w:r>
    </w:p>
    <w:p w14:paraId="50C4B792" w14:textId="77777777" w:rsidR="00D23AF9" w:rsidRPr="00D23AF9" w:rsidRDefault="00BC1AA6" w:rsidP="00BC1AA6">
      <w:pPr>
        <w:spacing w:line="480" w:lineRule="auto"/>
      </w:pPr>
      <w:r>
        <w:t>no qualifications, 2 = below standard for a pass on the school-leaving examination, 3 = O-levels (passing score on school-leaving examination), 4 = A-levels (age 18 exam, generally required for university entrance), 5 and 6 = tertiary vocational qualifications, 7 = an undergraduate degree, and 8 = a postgraduate degree.</w:t>
      </w:r>
    </w:p>
    <w:p w14:paraId="25C32E16" w14:textId="05DC33BC" w:rsidR="00D37DDB" w:rsidRDefault="00BC01B7" w:rsidP="00042796">
      <w:pPr>
        <w:spacing w:line="480" w:lineRule="auto"/>
      </w:pPr>
      <w:r>
        <w:tab/>
      </w:r>
      <w:r w:rsidRPr="00BC01B7">
        <w:rPr>
          <w:b/>
        </w:rPr>
        <w:t>Family history</w:t>
      </w:r>
      <w:r>
        <w:t xml:space="preserve">. </w:t>
      </w:r>
      <w:r w:rsidRPr="00BC01B7">
        <w:t>When children were 9, parents provided information about family history. If any first-degree relative was reported as having either early language or reading difficulty, we classified this as a positive family history</w:t>
      </w:r>
      <w:r w:rsidR="00E55799">
        <w:t>, i.e., family history = 1.</w:t>
      </w:r>
    </w:p>
    <w:p w14:paraId="17D514D6" w14:textId="62BF16DE" w:rsidR="006A47F9" w:rsidRDefault="006A47F9" w:rsidP="00EB1981">
      <w:pPr>
        <w:spacing w:line="480" w:lineRule="auto"/>
      </w:pPr>
      <w:r>
        <w:tab/>
      </w:r>
      <w:r w:rsidR="0010567A">
        <w:rPr>
          <w:b/>
        </w:rPr>
        <w:t xml:space="preserve">Genome-wide </w:t>
      </w:r>
      <w:r w:rsidRPr="006A47F9">
        <w:rPr>
          <w:b/>
        </w:rPr>
        <w:t>polygenic score EA3</w:t>
      </w:r>
      <w:r>
        <w:t>. Saliva and buccal cheek swab samples were collected</w:t>
      </w:r>
      <w:r w:rsidR="00EB1981">
        <w:t xml:space="preserve"> by mail</w:t>
      </w:r>
      <w:r>
        <w:t xml:space="preserve">, </w:t>
      </w:r>
      <w:r w:rsidR="00166F9B">
        <w:t xml:space="preserve">and </w:t>
      </w:r>
      <w:r>
        <w:t>DNA was extracted and genotyped and molecular analysis used for these same individuals to compute genome-wide polygenic scores (GPS) based on the latest genome-wide association (GWA) study for years of education</w:t>
      </w:r>
      <w:r w:rsidR="00F5565F">
        <w:t xml:space="preserve"> (N = 766,345)</w:t>
      </w:r>
      <w:r>
        <w:t>, called</w:t>
      </w:r>
      <w:r w:rsidR="00F5565F">
        <w:t xml:space="preserve"> </w:t>
      </w:r>
      <w:r>
        <w:t>educational attainment EA3</w:t>
      </w:r>
      <w:r w:rsidR="00FA56C6">
        <w:t xml:space="preserve">, as it is the third </w:t>
      </w:r>
      <w:r w:rsidR="00E97058">
        <w:t xml:space="preserve">and largest </w:t>
      </w:r>
      <w:r w:rsidR="00FA56C6">
        <w:t xml:space="preserve">version of the </w:t>
      </w:r>
      <w:r w:rsidR="00E97058">
        <w:t>study</w:t>
      </w:r>
      <w:r>
        <w:t xml:space="preserve"> (Lee et al., 2018). </w:t>
      </w:r>
      <w:r w:rsidR="00B75A2E">
        <w:t xml:space="preserve">(This sample is smaller than the full Lee et al. sample of 1.1 million, due to the fact that data contributed to their sample by 23andme are not </w:t>
      </w:r>
      <w:r w:rsidR="00976069">
        <w:t>publically available</w:t>
      </w:r>
      <w:r w:rsidR="00B75A2E">
        <w:t xml:space="preserve">.) </w:t>
      </w:r>
      <w:r w:rsidR="00E97058">
        <w:t>Beta weights for the prediction of each SNP to educational attainment were drawn from EA3 and then applied to genotypes for each</w:t>
      </w:r>
      <w:r w:rsidR="00B75A2E">
        <w:t xml:space="preserve"> </w:t>
      </w:r>
      <w:r w:rsidR="00E97058">
        <w:t xml:space="preserve">TEDS participant, utilizing a </w:t>
      </w:r>
      <w:r w:rsidR="00DB3688">
        <w:t xml:space="preserve">Bayesian approach </w:t>
      </w:r>
      <w:r w:rsidR="00E97058">
        <w:t xml:space="preserve">(LDpred; Vilhjalmsson et al., 2015) </w:t>
      </w:r>
      <w:r w:rsidR="00DB3688">
        <w:t>that applies shrinkage to</w:t>
      </w:r>
      <w:r w:rsidR="00E97058">
        <w:t xml:space="preserve"> individual SNP weights to improve prediction.  Additional information about this computation is provided in Supplementary Method S1, and in </w:t>
      </w:r>
      <w:r w:rsidR="00EB1981">
        <w:t xml:space="preserve"> Selzam et al. (2019).</w:t>
      </w:r>
    </w:p>
    <w:p w14:paraId="648D0FF6" w14:textId="3D576236" w:rsidR="001F20C8" w:rsidRPr="006454CA" w:rsidRDefault="001F20C8" w:rsidP="006A47F9">
      <w:pPr>
        <w:spacing w:line="480" w:lineRule="auto"/>
      </w:pPr>
      <w:r>
        <w:tab/>
      </w:r>
      <w:r w:rsidR="003C756A" w:rsidRPr="003C756A">
        <w:rPr>
          <w:b/>
        </w:rPr>
        <w:t>Categorical and</w:t>
      </w:r>
      <w:r w:rsidR="003C756A">
        <w:t xml:space="preserve"> </w:t>
      </w:r>
      <w:r w:rsidR="003C756A">
        <w:rPr>
          <w:b/>
        </w:rPr>
        <w:t>c</w:t>
      </w:r>
      <w:r w:rsidRPr="001F20C8">
        <w:rPr>
          <w:b/>
        </w:rPr>
        <w:t>umulative risk measures</w:t>
      </w:r>
      <w:r>
        <w:t xml:space="preserve">. </w:t>
      </w:r>
      <w:r w:rsidRPr="001F20C8">
        <w:t xml:space="preserve">For categorical analyses, a criterion for dichotomous cutoff was defined as the </w:t>
      </w:r>
      <w:r w:rsidR="00932B08">
        <w:t xml:space="preserve">value on the </w:t>
      </w:r>
      <w:r>
        <w:t xml:space="preserve">continuous </w:t>
      </w:r>
      <w:r w:rsidRPr="001F20C8">
        <w:t xml:space="preserve">measure </w:t>
      </w:r>
      <w:r>
        <w:t>which would capture a</w:t>
      </w:r>
      <w:r w:rsidRPr="001F20C8">
        <w:t>s close as possible to the lowest 10%.</w:t>
      </w:r>
      <w:r>
        <w:t xml:space="preserve"> Scores below this level w</w:t>
      </w:r>
      <w:r w:rsidR="00E55799">
        <w:t>ere</w:t>
      </w:r>
      <w:r>
        <w:t xml:space="preserve"> scored as 1; scores above it </w:t>
      </w:r>
      <w:r>
        <w:lastRenderedPageBreak/>
        <w:t xml:space="preserve">were scored as 0. </w:t>
      </w:r>
      <w:r w:rsidR="00932B08">
        <w:t xml:space="preserve">Family history was inherently categorical. </w:t>
      </w:r>
      <w:r>
        <w:t>In addition to the individual risk measures, cumulative risk measure</w:t>
      </w:r>
      <w:r w:rsidR="00610949">
        <w:t xml:space="preserve">s at ages 2 and 3, </w:t>
      </w:r>
      <w:r>
        <w:t xml:space="preserve"> ranging from 0 to 5</w:t>
      </w:r>
      <w:r w:rsidR="00610949">
        <w:t>,</w:t>
      </w:r>
      <w:r>
        <w:t xml:space="preserve"> w</w:t>
      </w:r>
      <w:r w:rsidR="00610949">
        <w:t>ere</w:t>
      </w:r>
      <w:r>
        <w:t xml:space="preserve"> computed as the </w:t>
      </w:r>
      <w:r w:rsidR="001B5B1C">
        <w:t xml:space="preserve">total </w:t>
      </w:r>
      <w:r>
        <w:t>number of risk variables for which the score was 1.</w:t>
      </w:r>
      <w:r w:rsidR="006454CA">
        <w:t xml:space="preserve"> </w:t>
      </w:r>
      <w:r w:rsidR="001B5B1C">
        <w:t>This measure was used to predict the continuous outcome measures at 12 as well as low outcome at 12.</w:t>
      </w:r>
    </w:p>
    <w:p w14:paraId="12AA2F61" w14:textId="77777777" w:rsidR="00F96607" w:rsidRPr="00F96607" w:rsidRDefault="00F96607" w:rsidP="00F96607">
      <w:pPr>
        <w:spacing w:line="480" w:lineRule="auto"/>
        <w:rPr>
          <w:b/>
        </w:rPr>
      </w:pPr>
      <w:r w:rsidRPr="00F96607">
        <w:rPr>
          <w:b/>
        </w:rPr>
        <w:t>Outcome measures at 12</w:t>
      </w:r>
      <w:r w:rsidR="00585A95">
        <w:rPr>
          <w:b/>
        </w:rPr>
        <w:t xml:space="preserve"> years</w:t>
      </w:r>
      <w:r w:rsidRPr="00F96607">
        <w:rPr>
          <w:b/>
        </w:rPr>
        <w:t xml:space="preserve"> </w:t>
      </w:r>
    </w:p>
    <w:p w14:paraId="25E85C01" w14:textId="4E82F7C2" w:rsidR="00F96607" w:rsidRPr="00F96607" w:rsidRDefault="00F96607" w:rsidP="00F96607">
      <w:pPr>
        <w:spacing w:line="480" w:lineRule="auto"/>
        <w:ind w:firstLine="720"/>
      </w:pPr>
      <w:r w:rsidRPr="00F96607">
        <w:rPr>
          <w:b/>
        </w:rPr>
        <w:t>Language Composite</w:t>
      </w:r>
      <w:r>
        <w:t>.</w:t>
      </w:r>
      <w:r w:rsidRPr="00F96607">
        <w:t xml:space="preserve"> Receptive language was assessed at 12 using a battery of audio-streamed, web-administered measures indexing vocabulary (WISC-III-PI, Kaplan et al., 1999), syntax (Listening Grammar, Test of Adolescent &amp; Adult Language-3, Hammill et al., 1994), non-literal semantics, and understanding of inferences (Test of Language Competence-Level 2, Wiig et al., 1989). Previous analysis showed substantial phenotypic and genetic overlap among these four measures (</w:t>
      </w:r>
      <w:r w:rsidR="00BE2A21">
        <w:t>Dale, Harlaar, Hayiou-Thomas &amp; Plomin</w:t>
      </w:r>
      <w:r w:rsidRPr="00F96607">
        <w:t xml:space="preserve">, 2010). </w:t>
      </w:r>
      <w:r w:rsidR="00D73B65">
        <w:t>A</w:t>
      </w:r>
      <w:r w:rsidR="00D61A7C">
        <w:t xml:space="preserve"> composite </w:t>
      </w:r>
      <w:r w:rsidR="00D73B65">
        <w:t xml:space="preserve">score </w:t>
      </w:r>
      <w:r w:rsidR="00D61A7C">
        <w:t>was formed by averaging the standardized scores for each measure.</w:t>
      </w:r>
      <w:r w:rsidR="001B5B1C">
        <w:t xml:space="preserve"> (All four measures were required to be available, and a similar requirement held for the other two composites.)</w:t>
      </w:r>
    </w:p>
    <w:p w14:paraId="5E1E5BF1" w14:textId="77777777" w:rsidR="00F96607" w:rsidRPr="00F96607" w:rsidRDefault="00197A8B" w:rsidP="00F96607">
      <w:pPr>
        <w:spacing w:line="480" w:lineRule="auto"/>
        <w:ind w:firstLine="720"/>
      </w:pPr>
      <w:r>
        <w:rPr>
          <w:b/>
        </w:rPr>
        <w:t>Word Decoding</w:t>
      </w:r>
      <w:r w:rsidR="00F96607" w:rsidRPr="00F96607">
        <w:rPr>
          <w:b/>
        </w:rPr>
        <w:t xml:space="preserve"> Composite</w:t>
      </w:r>
      <w:r w:rsidR="00F96607">
        <w:t>.</w:t>
      </w:r>
      <w:r w:rsidR="00F96607" w:rsidRPr="00F96607">
        <w:t xml:space="preserve"> The Test of Word Reading Efficiency, Form B (Torgesen, Wagner, &amp; Rashotte, 1999) was included in a test booklet sent to families by mail (one test booklet for each twin), and administered to each twin separately by telephone. In addition, children completed an online adaptation of the Woodcock-Johnson III Reading Fluency test (W-J III; Woodcock et al., 2001). These </w:t>
      </w:r>
      <w:r w:rsidR="00D73B65">
        <w:t>three</w:t>
      </w:r>
      <w:r w:rsidR="00F96607" w:rsidRPr="00F96607">
        <w:t xml:space="preserve"> measures were combined </w:t>
      </w:r>
      <w:r w:rsidR="00D73B65">
        <w:t xml:space="preserve">into a </w:t>
      </w:r>
      <w:r w:rsidR="00D61A7C" w:rsidRPr="00D61A7C">
        <w:t>composite by averaging the standardized scores for each measure.</w:t>
      </w:r>
    </w:p>
    <w:p w14:paraId="4DBA14A0" w14:textId="77777777" w:rsidR="002D41DE" w:rsidRDefault="00F96607" w:rsidP="00F96607">
      <w:pPr>
        <w:spacing w:line="480" w:lineRule="auto"/>
        <w:ind w:firstLine="720"/>
      </w:pPr>
      <w:r w:rsidRPr="00F96607">
        <w:rPr>
          <w:b/>
        </w:rPr>
        <w:t>Reading Comprehension Composite</w:t>
      </w:r>
      <w:r>
        <w:t>.</w:t>
      </w:r>
      <w:r w:rsidRPr="00F96607">
        <w:t xml:space="preserve"> Sentence-level reading comprehension was assessed using a web-based version of the Reading Comprehension subtest of the Peabody Individual Achievement Test (PIAT; Markwardt et al., 1997), in which children read a sentence and chose the matching picture from a set of four.  In addition, children completed a web version </w:t>
      </w:r>
      <w:r w:rsidRPr="00F96607">
        <w:lastRenderedPageBreak/>
        <w:t xml:space="preserve">of the GOAL Formative Assessment in Literacy for Key Stage III, which includes a wide range of literal and inferential comprehension questions based on a set of stimulus sentences and short paragraphs.  These two measures were combined </w:t>
      </w:r>
      <w:r w:rsidR="00B63674">
        <w:t xml:space="preserve">into a </w:t>
      </w:r>
      <w:r w:rsidR="00D61A7C" w:rsidRPr="00D61A7C">
        <w:t>composite by averaging the standardized scores for each measure.</w:t>
      </w:r>
    </w:p>
    <w:p w14:paraId="50034D88" w14:textId="29C24016" w:rsidR="006E24FE" w:rsidRDefault="006E24FE" w:rsidP="003E6019">
      <w:pPr>
        <w:spacing w:line="480" w:lineRule="auto"/>
      </w:pPr>
      <w:r>
        <w:rPr>
          <w:b/>
        </w:rPr>
        <w:t>Analysis</w:t>
      </w:r>
    </w:p>
    <w:p w14:paraId="1C215221" w14:textId="4927694D" w:rsidR="006E24FE" w:rsidRPr="006E24FE" w:rsidRDefault="006E24FE" w:rsidP="003E6019">
      <w:pPr>
        <w:spacing w:line="480" w:lineRule="auto"/>
      </w:pPr>
      <w:r>
        <w:tab/>
        <w:t>Because patterns of prediction may vary between the full range of measures and performance at the low end, two sets of analysis were conducted. In the first, both predictors (other than family history, which is inherently categorical) and outcomes were treated as continuous, full-range measures in multiple regression analyses. In the second, predictors and outcomes were treated as dichotomous variables with cutoffs defining risk or low outcome. A cumulative risk score was computed across the five measures and related to outcome. Diagnostic validity was computed as sensitivity, specificity, Positive Predictive Value (PPV) and Negative Predictive Value (NPV) based on matching the predicted incidence of low outcome as closely as possible to the actual incidence. In addition, as a measure of diagnositic validity independent of cutoff, ROC analyses were used to determine the Area under the Curve(AUC).</w:t>
      </w:r>
    </w:p>
    <w:p w14:paraId="76B6236D" w14:textId="77777777" w:rsidR="00B467B6" w:rsidRPr="00B467B6" w:rsidRDefault="00B467B6" w:rsidP="00B467B6">
      <w:pPr>
        <w:spacing w:line="480" w:lineRule="auto"/>
        <w:jc w:val="center"/>
        <w:rPr>
          <w:b/>
        </w:rPr>
      </w:pPr>
      <w:r w:rsidRPr="00B467B6">
        <w:rPr>
          <w:b/>
        </w:rPr>
        <w:t>Results</w:t>
      </w:r>
    </w:p>
    <w:p w14:paraId="4479FC9E" w14:textId="77777777" w:rsidR="00B467B6" w:rsidRDefault="00B467B6" w:rsidP="00B467B6">
      <w:pPr>
        <w:spacing w:line="480" w:lineRule="auto"/>
      </w:pPr>
      <w:r>
        <w:rPr>
          <w:b/>
        </w:rPr>
        <w:t>Descriptive information</w:t>
      </w:r>
    </w:p>
    <w:p w14:paraId="16DD0228" w14:textId="3BB4F4CB" w:rsidR="00B467B6" w:rsidRDefault="00B467B6" w:rsidP="00714B03">
      <w:pPr>
        <w:spacing w:line="480" w:lineRule="auto"/>
        <w:ind w:firstLine="720"/>
      </w:pPr>
      <w:r>
        <w:t>Table 1 provides descriptive information for each of the risk and outcome measures</w:t>
      </w:r>
      <w:r w:rsidR="008840EB">
        <w:t xml:space="preserve"> </w:t>
      </w:r>
      <w:r>
        <w:t>for the full sample and by gender.</w:t>
      </w:r>
      <w:r w:rsidR="00412FE8">
        <w:t xml:space="preserve"> </w:t>
      </w:r>
      <w:r w:rsidR="00811849">
        <w:t xml:space="preserve">It also includes the percentage of children who exhibited risk as defined above for each of the predictor and </w:t>
      </w:r>
      <w:r w:rsidR="004B276E">
        <w:t xml:space="preserve">low performance on each of the </w:t>
      </w:r>
      <w:r w:rsidR="00811849">
        <w:t xml:space="preserve">outcome measures. </w:t>
      </w:r>
      <w:r w:rsidR="00412FE8">
        <w:t>With respect to predictor variables</w:t>
      </w:r>
      <w:r w:rsidR="004B276E">
        <w:t xml:space="preserve"> analyzed categorically</w:t>
      </w:r>
      <w:r w:rsidR="00412FE8">
        <w:t xml:space="preserve">, males were more likely than females to be at risk with respect to expressive vocabulary </w:t>
      </w:r>
      <w:r w:rsidR="004B276E">
        <w:t xml:space="preserve">at 3 and </w:t>
      </w:r>
      <w:r w:rsidR="00D8768C">
        <w:t xml:space="preserve">to </w:t>
      </w:r>
      <w:r w:rsidR="004B276E">
        <w:t xml:space="preserve">EA3, </w:t>
      </w:r>
      <w:r w:rsidR="00412FE8">
        <w:t xml:space="preserve">and </w:t>
      </w:r>
      <w:r w:rsidR="004B276E">
        <w:t>consequently</w:t>
      </w:r>
      <w:r w:rsidR="00412FE8">
        <w:t xml:space="preserve"> higher cumulative risk at age 2</w:t>
      </w:r>
      <w:r w:rsidR="004B276E">
        <w:t>.</w:t>
      </w:r>
      <w:r w:rsidR="00412FE8">
        <w:t xml:space="preserve"> With respect to outcome variables, </w:t>
      </w:r>
      <w:r w:rsidR="004B276E">
        <w:t xml:space="preserve">the only gender difference was that </w:t>
      </w:r>
      <w:r w:rsidR="00412FE8">
        <w:lastRenderedPageBreak/>
        <w:t xml:space="preserve">males were more likely than females to be scoring low with respect to </w:t>
      </w:r>
      <w:r w:rsidR="004B276E">
        <w:t>reading comprehension</w:t>
      </w:r>
      <w:r w:rsidR="00620452">
        <w:t xml:space="preserve"> at 12. </w:t>
      </w:r>
      <w:r w:rsidR="00D8768C">
        <w:t>As there were few gender differences</w:t>
      </w:r>
      <w:r w:rsidR="0093009A">
        <w:t xml:space="preserve"> overall</w:t>
      </w:r>
      <w:r w:rsidR="00D8768C">
        <w:t xml:space="preserve"> and they were small, gender was not treated as a distinct risk factor.</w:t>
      </w:r>
    </w:p>
    <w:p w14:paraId="37A87A52" w14:textId="77777777" w:rsidR="003F6CE0" w:rsidRDefault="00E70265" w:rsidP="003F6CE0">
      <w:pPr>
        <w:spacing w:line="480" w:lineRule="auto"/>
        <w:rPr>
          <w:b/>
        </w:rPr>
      </w:pPr>
      <w:r w:rsidRPr="00E70265">
        <w:rPr>
          <w:b/>
        </w:rPr>
        <w:t>Predictive analyses for continuous, full-distribution measures</w:t>
      </w:r>
    </w:p>
    <w:p w14:paraId="556961B2" w14:textId="247C1418" w:rsidR="003F6CE0" w:rsidRDefault="003F6CE0" w:rsidP="00714B03">
      <w:pPr>
        <w:spacing w:line="480" w:lineRule="auto"/>
        <w:ind w:firstLine="720"/>
      </w:pPr>
      <w:r>
        <w:t xml:space="preserve">Multiple regression predictions using all predictive and outcome measures in continuous mode (other than family history), produced modest predictions, as shown in Table 2. </w:t>
      </w:r>
      <w:r w:rsidR="00FA349E">
        <w:t xml:space="preserve">In the initial regressions, all five risk factors </w:t>
      </w:r>
      <w:r w:rsidR="00D97DE7">
        <w:t>were observed to contribute</w:t>
      </w:r>
      <w:r w:rsidR="00FA349E">
        <w:t xml:space="preserve"> significantly to the prediction of all three outcomes, except that Family History did not contribute unique variance for 12 year receptive language in either the 2 year or 3 year analyses. </w:t>
      </w:r>
      <w:r w:rsidR="00147EAA">
        <w:t xml:space="preserve">The R-square values for the total prediction (numeric columns 2 and 5) are systematically higher for prediction from age 3 than from 2. </w:t>
      </w:r>
      <w:r>
        <w:t>The table also includes the unique contribution made by EA3 when entered last</w:t>
      </w:r>
      <w:r w:rsidR="00620452">
        <w:t>, and the unique combined contribution of the other four variables when entered after EA3.</w:t>
      </w:r>
      <w:r w:rsidR="00FA349E">
        <w:t xml:space="preserve"> I</w:t>
      </w:r>
      <w:r>
        <w:t>n each case</w:t>
      </w:r>
      <w:r w:rsidR="00FA349E">
        <w:t>, the variab</w:t>
      </w:r>
      <w:r w:rsidR="00D8768C">
        <w:t>le or variables added last made</w:t>
      </w:r>
      <w:r w:rsidR="00FA349E">
        <w:t xml:space="preserve"> a significant contribution.  </w:t>
      </w:r>
    </w:p>
    <w:p w14:paraId="46D5D590" w14:textId="47A429E9" w:rsidR="00C8739A" w:rsidRDefault="00C8739A" w:rsidP="00714B03">
      <w:pPr>
        <w:spacing w:line="480" w:lineRule="auto"/>
        <w:ind w:firstLine="720"/>
      </w:pPr>
      <w:r>
        <w:t>Although the</w:t>
      </w:r>
      <w:r w:rsidR="00714B03">
        <w:t>se</w:t>
      </w:r>
      <w:r>
        <w:t xml:space="preserve"> correlations are modest, </w:t>
      </w:r>
      <w:r w:rsidR="00714B03">
        <w:t xml:space="preserve">the </w:t>
      </w:r>
      <w:r>
        <w:t>prediction</w:t>
      </w:r>
      <w:r w:rsidR="00D64509">
        <w:t>s are not trivial</w:t>
      </w:r>
      <w:r>
        <w:t>. This is illustrated in Figure 1</w:t>
      </w:r>
      <w:r w:rsidR="008277AD">
        <w:t xml:space="preserve">. (Standard errors are not presented in this and the following figure due to lack of </w:t>
      </w:r>
      <w:r w:rsidR="00555BF8">
        <w:t xml:space="preserve">visual </w:t>
      </w:r>
      <w:r w:rsidR="008277AD">
        <w:t>clarity</w:t>
      </w:r>
      <w:r w:rsidR="00555BF8">
        <w:t xml:space="preserve"> that would result due to closeness of the lines</w:t>
      </w:r>
      <w:r>
        <w:t>.</w:t>
      </w:r>
      <w:r w:rsidR="008277AD">
        <w:t xml:space="preserve"> That information is provided in Supplementary Table T1.)</w:t>
      </w:r>
      <w:r>
        <w:t xml:space="preserve"> Here the results of the regression analysis (somewhat different for each measure) are used to compute predicted scores at outcome; those predictions are then categorized into quintiles, and the actual mean scores at outcome are computed. I</w:t>
      </w:r>
      <w:r w:rsidR="00545C73">
        <w:t>t</w:t>
      </w:r>
      <w:r>
        <w:t xml:space="preserve"> can be seen that the top and bottom quintiles according to prediction are separated by approximately .8 of a standard deviation. On a standardized test, this would correspond to approximately 12 points.</w:t>
      </w:r>
    </w:p>
    <w:p w14:paraId="11FAFD2A" w14:textId="64CEE855" w:rsidR="009A0392" w:rsidRDefault="009A0392" w:rsidP="00714B03">
      <w:pPr>
        <w:spacing w:line="480" w:lineRule="auto"/>
        <w:ind w:firstLine="720"/>
      </w:pPr>
      <w:r>
        <w:t>&lt;&lt; Figure 1 about here &gt;&gt;</w:t>
      </w:r>
    </w:p>
    <w:p w14:paraId="146EBE5F" w14:textId="77777777" w:rsidR="00466C6E" w:rsidRPr="00466C6E" w:rsidRDefault="00466C6E" w:rsidP="003F6CE0">
      <w:pPr>
        <w:spacing w:line="480" w:lineRule="auto"/>
        <w:rPr>
          <w:b/>
        </w:rPr>
      </w:pPr>
      <w:r w:rsidRPr="00466C6E">
        <w:rPr>
          <w:b/>
        </w:rPr>
        <w:t>Categorical risk factors and cumulative risk analyses</w:t>
      </w:r>
    </w:p>
    <w:p w14:paraId="7789F9CE" w14:textId="5DE03911" w:rsidR="00466C6E" w:rsidRDefault="00DD77D2" w:rsidP="00714B03">
      <w:pPr>
        <w:spacing w:line="480" w:lineRule="auto"/>
        <w:ind w:firstLine="720"/>
      </w:pPr>
      <w:r>
        <w:lastRenderedPageBreak/>
        <w:t>No participant was observed to have all five risk factors at ag</w:t>
      </w:r>
      <w:r w:rsidR="008840EB">
        <w:t>e</w:t>
      </w:r>
      <w:r>
        <w:t xml:space="preserve"> 2, and only two</w:t>
      </w:r>
      <w:r w:rsidR="00466C6E">
        <w:t xml:space="preserve"> participant</w:t>
      </w:r>
      <w:r>
        <w:t>s</w:t>
      </w:r>
      <w:r w:rsidR="00466C6E">
        <w:t xml:space="preserve"> w</w:t>
      </w:r>
      <w:r>
        <w:t>ere</w:t>
      </w:r>
      <w:r w:rsidR="00466C6E">
        <w:t xml:space="preserve"> observed to have</w:t>
      </w:r>
      <w:r w:rsidR="00C55E9B">
        <w:t xml:space="preserve"> all five risk factors</w:t>
      </w:r>
      <w:r>
        <w:t xml:space="preserve"> at age 3</w:t>
      </w:r>
      <w:r w:rsidR="00C55E9B">
        <w:t>, and therefore</w:t>
      </w:r>
      <w:r w:rsidR="00466C6E">
        <w:t xml:space="preserve"> that value for cumulative risk was omitted from the figures</w:t>
      </w:r>
      <w:r w:rsidR="00D0593F">
        <w:t xml:space="preserve"> which follow</w:t>
      </w:r>
      <w:r w:rsidR="00466C6E">
        <w:t xml:space="preserve">. </w:t>
      </w:r>
      <w:r w:rsidR="00D0593F">
        <w:t xml:space="preserve">As shown in Supplementary </w:t>
      </w:r>
      <w:r w:rsidR="00466C6E">
        <w:t xml:space="preserve">Figure </w:t>
      </w:r>
      <w:r w:rsidR="00D0593F">
        <w:t>S1, approximately half of the children had no risk factors, one-third had one, 13% had two, 2.7% had three, and .8% had four.</w:t>
      </w:r>
      <w:r w:rsidR="00466C6E">
        <w:t xml:space="preserve"> </w:t>
      </w:r>
      <w:r w:rsidR="00D0593F">
        <w:t>The</w:t>
      </w:r>
      <w:r w:rsidR="00466C6E">
        <w:t xml:space="preserve"> distribution</w:t>
      </w:r>
      <w:r w:rsidR="00F40B1A">
        <w:t>s</w:t>
      </w:r>
      <w:r w:rsidR="00466C6E">
        <w:t xml:space="preserve"> of risk factors at ages 2 and 3 are very similar, as expected, given that only vocabulary and cognition can change between the two ages.</w:t>
      </w:r>
      <w:r w:rsidR="007D6F39">
        <w:t xml:space="preserve"> </w:t>
      </w:r>
      <w:r w:rsidR="007D6F39" w:rsidRPr="007D6F39">
        <w:t xml:space="preserve">The two cumulative risk measures were correlated at </w:t>
      </w:r>
      <w:r w:rsidR="007D6F39" w:rsidRPr="007D6F39">
        <w:rPr>
          <w:i/>
        </w:rPr>
        <w:t>r</w:t>
      </w:r>
      <w:r w:rsidR="00DC7DAE">
        <w:t xml:space="preserve"> = .806</w:t>
      </w:r>
      <w:r w:rsidR="000F64AC">
        <w:t xml:space="preserve"> (</w:t>
      </w:r>
      <w:r w:rsidR="000F64AC">
        <w:rPr>
          <w:i/>
        </w:rPr>
        <w:t>kappa</w:t>
      </w:r>
      <w:r w:rsidR="000F64AC">
        <w:t xml:space="preserve"> = .63 if risk total is considered as a categorical measure)</w:t>
      </w:r>
      <w:r w:rsidR="007D6F39" w:rsidRPr="007D6F39">
        <w:t>.</w:t>
      </w:r>
      <w:r w:rsidR="00ED3327">
        <w:t xml:space="preserve"> Correlations among the 5 individual risk factors are pr</w:t>
      </w:r>
      <w:r w:rsidR="008277AD">
        <w:t>ovided in Supplementary Table S2</w:t>
      </w:r>
      <w:r w:rsidR="00ED3327">
        <w:t xml:space="preserve">. </w:t>
      </w:r>
      <w:r w:rsidR="005D3090">
        <w:t>Most pairwise phi coefficients were significant;  low EA3 was the exception, in that it was not related to any child variable at either age, only to low maternal education.</w:t>
      </w:r>
    </w:p>
    <w:p w14:paraId="53D68BC3" w14:textId="77777777" w:rsidR="00AB3500" w:rsidRDefault="0052423D" w:rsidP="00AB3500">
      <w:pPr>
        <w:spacing w:line="480" w:lineRule="auto"/>
        <w:ind w:firstLine="720"/>
      </w:pPr>
      <w:r w:rsidRPr="009E74E4">
        <w:t xml:space="preserve">The </w:t>
      </w:r>
      <w:r w:rsidR="00466C6E" w:rsidRPr="009E74E4">
        <w:t xml:space="preserve">relation between each of the 5 risk factors and </w:t>
      </w:r>
      <w:r w:rsidRPr="009E74E4">
        <w:t xml:space="preserve">low performance on </w:t>
      </w:r>
      <w:r w:rsidR="00466C6E" w:rsidRPr="009E74E4">
        <w:t>each outcome measure, as indexed by phi coefficients</w:t>
      </w:r>
      <w:r w:rsidR="00C64E3E">
        <w:t xml:space="preserve"> (Pearson coefficients for binary variables)</w:t>
      </w:r>
      <w:r w:rsidR="006D4731" w:rsidRPr="009E74E4">
        <w:t xml:space="preserve">, was significant, though modest, </w:t>
      </w:r>
      <w:r w:rsidRPr="009E74E4">
        <w:t>in every case</w:t>
      </w:r>
      <w:r w:rsidR="006D4731" w:rsidRPr="009E74E4">
        <w:t xml:space="preserve"> other than nonverbal delay predicting reading comprehension</w:t>
      </w:r>
      <w:r w:rsidRPr="009E74E4">
        <w:t>, as shown in Supplementary Figure S</w:t>
      </w:r>
      <w:r w:rsidR="0091052D">
        <w:t>2</w:t>
      </w:r>
      <w:r w:rsidR="008840EB" w:rsidRPr="009E74E4">
        <w:t xml:space="preserve">. </w:t>
      </w:r>
      <w:r w:rsidR="006D4731" w:rsidRPr="009E74E4">
        <w:t xml:space="preserve">In general, </w:t>
      </w:r>
      <w:r w:rsidR="0024459D" w:rsidRPr="009E74E4">
        <w:t xml:space="preserve">age 12 receptive language is more predictable </w:t>
      </w:r>
      <w:r w:rsidR="006D4731" w:rsidRPr="009E74E4">
        <w:t xml:space="preserve">(measured by phi) </w:t>
      </w:r>
      <w:r w:rsidR="0024459D" w:rsidRPr="009E74E4">
        <w:t>than word decoding or reading comprehension</w:t>
      </w:r>
      <w:r w:rsidR="006D4731" w:rsidRPr="009E74E4">
        <w:t>,</w:t>
      </w:r>
      <w:r w:rsidR="006D4731">
        <w:t xml:space="preserve"> </w:t>
      </w:r>
      <w:r w:rsidR="00AB3500">
        <w:t xml:space="preserve"> though the differences are small</w:t>
      </w:r>
      <w:r w:rsidR="00944CD7">
        <w:t>.</w:t>
      </w:r>
      <w:r w:rsidR="00AB3500">
        <w:t xml:space="preserve"> </w:t>
      </w:r>
    </w:p>
    <w:p w14:paraId="7C8C9204" w14:textId="70B81936" w:rsidR="00944CD7" w:rsidRDefault="00944CD7" w:rsidP="00AB3500">
      <w:pPr>
        <w:spacing w:line="480" w:lineRule="auto"/>
        <w:ind w:firstLine="720"/>
      </w:pPr>
      <w:r>
        <w:t>The relation of cumulative risk at 2 and 3 to low performance on each of the outcome meas</w:t>
      </w:r>
      <w:r w:rsidR="002D7F2A">
        <w:t xml:space="preserve">ures is illustrated in Figures </w:t>
      </w:r>
      <w:r w:rsidR="00237585">
        <w:t>2</w:t>
      </w:r>
      <w:r w:rsidR="002D7F2A">
        <w:t xml:space="preserve">a and </w:t>
      </w:r>
      <w:r w:rsidR="00237585">
        <w:t>2</w:t>
      </w:r>
      <w:r>
        <w:t xml:space="preserve">b. The </w:t>
      </w:r>
      <w:r w:rsidR="00551317">
        <w:t xml:space="preserve">relation is </w:t>
      </w:r>
      <w:r w:rsidR="00830296">
        <w:t xml:space="preserve">generally </w:t>
      </w:r>
      <w:r w:rsidR="00DA254E">
        <w:t xml:space="preserve">monotonic </w:t>
      </w:r>
      <w:r>
        <w:t>and is approximately equal for all three outcomes</w:t>
      </w:r>
      <w:r w:rsidR="0011606B">
        <w:t xml:space="preserve">. Spearman correlations between </w:t>
      </w:r>
      <w:r w:rsidR="00337E19">
        <w:t xml:space="preserve">number of risk conditions </w:t>
      </w:r>
      <w:r w:rsidR="0011606B">
        <w:t xml:space="preserve">at ages 2 and 3 </w:t>
      </w:r>
      <w:r w:rsidR="00337E19">
        <w:t xml:space="preserve">and poor outcomes </w:t>
      </w:r>
      <w:r w:rsidR="0011606B">
        <w:t>are shown in Table 3, along with comparable correlations when low EA3 is not included</w:t>
      </w:r>
      <w:r w:rsidR="004B0C2F">
        <w:t xml:space="preserve"> in the cumulative risk measure</w:t>
      </w:r>
      <w:r w:rsidR="0011606B">
        <w:t>.</w:t>
      </w:r>
      <w:r>
        <w:t xml:space="preserve"> </w:t>
      </w:r>
      <w:r w:rsidR="009030D1">
        <w:t xml:space="preserve">Although the correlations are consistently higher for the measure with EA3, </w:t>
      </w:r>
      <w:r w:rsidR="00337E19">
        <w:t>the diff</w:t>
      </w:r>
      <w:r w:rsidR="00E0734C">
        <w:t xml:space="preserve">erences are small, and are </w:t>
      </w:r>
      <w:r w:rsidR="00E0734C">
        <w:lastRenderedPageBreak/>
        <w:t xml:space="preserve">significant only for receptive language, </w:t>
      </w:r>
      <w:r w:rsidR="00DE644C" w:rsidRPr="00D81904">
        <w:t xml:space="preserve">using </w:t>
      </w:r>
      <w:r w:rsidR="00C471AC">
        <w:t>Steiger’s formulae (</w:t>
      </w:r>
      <w:r w:rsidR="00D81904" w:rsidRPr="00D81904">
        <w:t>1980)</w:t>
      </w:r>
      <w:r w:rsidR="009030D1" w:rsidRPr="00D81904">
        <w:t xml:space="preserve">. </w:t>
      </w:r>
      <w:r w:rsidR="00523DF6" w:rsidRPr="00D81904">
        <w:t xml:space="preserve">There is </w:t>
      </w:r>
      <w:r w:rsidR="00D81904" w:rsidRPr="00D81904">
        <w:t xml:space="preserve">little evidence for </w:t>
      </w:r>
      <w:r w:rsidR="00523DF6" w:rsidRPr="00D81904">
        <w:t>the predictions from age</w:t>
      </w:r>
      <w:r w:rsidR="00D81904" w:rsidRPr="00D81904">
        <w:t xml:space="preserve"> 3 to be higher than from age 2;</w:t>
      </w:r>
      <w:r w:rsidR="00523DF6" w:rsidRPr="00D81904">
        <w:t xml:space="preserve"> </w:t>
      </w:r>
      <w:r w:rsidR="003C278E">
        <w:t>the differences are inconsistent in dir</w:t>
      </w:r>
      <w:r w:rsidR="00925F8A">
        <w:t>e</w:t>
      </w:r>
      <w:r w:rsidR="003C278E">
        <w:t xml:space="preserve">ction and </w:t>
      </w:r>
      <w:r w:rsidR="00523DF6" w:rsidRPr="00D81904">
        <w:t>none are significant</w:t>
      </w:r>
      <w:r w:rsidR="00364112" w:rsidRPr="00D81904">
        <w:t xml:space="preserve"> (all </w:t>
      </w:r>
      <w:r w:rsidR="00364112" w:rsidRPr="00D81904">
        <w:rPr>
          <w:i/>
        </w:rPr>
        <w:t>p</w:t>
      </w:r>
      <w:r w:rsidR="00D16ECE">
        <w:t xml:space="preserve"> &gt; .3</w:t>
      </w:r>
      <w:r w:rsidR="00364112" w:rsidRPr="00D81904">
        <w:t>)</w:t>
      </w:r>
      <w:r w:rsidR="00523DF6" w:rsidRPr="00D81904">
        <w:t>.</w:t>
      </w:r>
    </w:p>
    <w:p w14:paraId="70B3E7EE" w14:textId="40D59A9C" w:rsidR="009A0392" w:rsidRPr="00C55E9B" w:rsidRDefault="009A0392" w:rsidP="00AB3500">
      <w:pPr>
        <w:spacing w:line="480" w:lineRule="auto"/>
        <w:ind w:firstLine="720"/>
        <w:rPr>
          <w:i/>
        </w:rPr>
      </w:pPr>
      <w:r>
        <w:t>&lt;&lt; Figures 2a &amp; 2b about here &gt;&gt;</w:t>
      </w:r>
    </w:p>
    <w:p w14:paraId="37CA8BC2" w14:textId="3ACDA2B7" w:rsidR="003E59A1" w:rsidRDefault="00944CD7" w:rsidP="007E2C18">
      <w:pPr>
        <w:spacing w:line="480" w:lineRule="auto"/>
        <w:ind w:firstLine="720"/>
      </w:pPr>
      <w:r>
        <w:t xml:space="preserve">The central analyses for research question 2 concern predictions for individual children. </w:t>
      </w:r>
      <w:r w:rsidR="003E59A1">
        <w:t xml:space="preserve">This requires a criterion for low score on the cumulative risk measure. For each outcome, approximately 10% are classified as low performers. </w:t>
      </w:r>
      <w:r w:rsidR="00F05A6A">
        <w:t xml:space="preserve">At both ages, </w:t>
      </w:r>
      <w:r w:rsidR="003E59A1">
        <w:t xml:space="preserve"> a cutoff of </w:t>
      </w:r>
      <w:r w:rsidR="00DA254E">
        <w:t>greater than or equal to 2</w:t>
      </w:r>
      <w:r w:rsidR="006B5596">
        <w:t xml:space="preserve"> captures 16.</w:t>
      </w:r>
      <w:r w:rsidR="00F05A6A">
        <w:t>5</w:t>
      </w:r>
      <w:r w:rsidR="003E59A1">
        <w:t>%</w:t>
      </w:r>
      <w:r w:rsidR="00DA254E">
        <w:t xml:space="preserve"> of the sample</w:t>
      </w:r>
      <w:r w:rsidR="009620F2">
        <w:t>. These are the closest it is possible to get to 10%.</w:t>
      </w:r>
      <w:r w:rsidR="00203AA7">
        <w:t xml:space="preserve"> Table 4 summarizes the results of analyses based on this classification. </w:t>
      </w:r>
    </w:p>
    <w:p w14:paraId="70605609" w14:textId="51580DA9" w:rsidR="003E59A1" w:rsidRDefault="00137E35" w:rsidP="00137E35">
      <w:pPr>
        <w:spacing w:line="480" w:lineRule="auto"/>
      </w:pPr>
      <w:r w:rsidRPr="00856555">
        <w:t>As can be seen</w:t>
      </w:r>
      <w:r w:rsidR="003E59A1" w:rsidRPr="00856555">
        <w:t xml:space="preserve">, </w:t>
      </w:r>
      <w:r w:rsidR="00F76CE8" w:rsidRPr="00856555">
        <w:t xml:space="preserve">the </w:t>
      </w:r>
      <w:r w:rsidR="0010567A">
        <w:t>o</w:t>
      </w:r>
      <w:r w:rsidR="00F76CE8" w:rsidRPr="00856555">
        <w:t xml:space="preserve">dds </w:t>
      </w:r>
      <w:r w:rsidR="0010567A">
        <w:t>r</w:t>
      </w:r>
      <w:r w:rsidR="00F76CE8" w:rsidRPr="00856555">
        <w:t xml:space="preserve">atios are all significantly greater than 1.0 for risk factors above the proposed cutoff of 2, but only modestly so, and </w:t>
      </w:r>
      <w:r w:rsidR="003E59A1" w:rsidRPr="00856555">
        <w:t xml:space="preserve">the prediction is </w:t>
      </w:r>
      <w:r w:rsidR="00F76CE8" w:rsidRPr="00856555">
        <w:t>ver</w:t>
      </w:r>
      <w:r w:rsidR="00264967" w:rsidRPr="00856555">
        <w:t>y</w:t>
      </w:r>
      <w:r w:rsidR="003E59A1" w:rsidRPr="00856555">
        <w:t xml:space="preserve"> poor with respect to sensitivity</w:t>
      </w:r>
      <w:r w:rsidR="00264967" w:rsidRPr="00856555">
        <w:t xml:space="preserve"> and P</w:t>
      </w:r>
      <w:r w:rsidR="00A13C90">
        <w:t xml:space="preserve">ositive </w:t>
      </w:r>
      <w:r w:rsidR="00264967" w:rsidRPr="00856555">
        <w:t>P</w:t>
      </w:r>
      <w:r w:rsidR="00A13C90">
        <w:t xml:space="preserve">redictive </w:t>
      </w:r>
      <w:r w:rsidR="00264967" w:rsidRPr="00856555">
        <w:t>V</w:t>
      </w:r>
      <w:r w:rsidR="00A13C90">
        <w:t>alue</w:t>
      </w:r>
      <w:r w:rsidR="00F76CE8" w:rsidRPr="00856555">
        <w:t>.</w:t>
      </w:r>
      <w:r w:rsidR="00856555">
        <w:t xml:space="preserve"> As a more comprehensive evaluation of the validity of prediction, not tied to any specific cutoff of risk, s</w:t>
      </w:r>
      <w:r w:rsidR="00280BD3">
        <w:t xml:space="preserve">ix </w:t>
      </w:r>
      <w:r>
        <w:t>ROC analyses</w:t>
      </w:r>
      <w:r w:rsidR="00DF4876">
        <w:t xml:space="preserve"> were conducted</w:t>
      </w:r>
      <w:r w:rsidR="00280BD3">
        <w:t xml:space="preserve"> (2 cumulative risk predictors x 3 outcomes)</w:t>
      </w:r>
      <w:r w:rsidR="00DF4876">
        <w:t xml:space="preserve">. These analyses </w:t>
      </w:r>
      <w:r>
        <w:t>assess the validity of a classification measure across all possible settings of the criterion</w:t>
      </w:r>
      <w:r w:rsidR="00DF4876">
        <w:t xml:space="preserve"> by plotting sensitivity against specificity for each possible predictor cutoff. A sample ROC is shown in Figure </w:t>
      </w:r>
      <w:r w:rsidR="009A0392">
        <w:t>3</w:t>
      </w:r>
      <w:r w:rsidR="00DF4876">
        <w:t>, and all 6 are included</w:t>
      </w:r>
      <w:r>
        <w:t xml:space="preserve"> </w:t>
      </w:r>
      <w:r w:rsidR="00F05A6A">
        <w:t>as Supplementary Figures 3 to 8.</w:t>
      </w:r>
      <w:r>
        <w:t xml:space="preserve"> The Area under the Curve </w:t>
      </w:r>
      <w:r w:rsidR="006C3DDD">
        <w:t>(A</w:t>
      </w:r>
      <w:r w:rsidR="00555BF8">
        <w:t>U</w:t>
      </w:r>
      <w:r w:rsidR="006C3DDD">
        <w:t xml:space="preserve">C) </w:t>
      </w:r>
      <w:r w:rsidR="00DF4876">
        <w:t xml:space="preserve">statistic is a measure of the extent to which that curve diverges from the diagonal, which indicates chance performance. </w:t>
      </w:r>
      <w:r w:rsidR="00337E19">
        <w:t>Thus it is a comprehensive assessm</w:t>
      </w:r>
      <w:r w:rsidR="000D4E6B">
        <w:t xml:space="preserve">ent of the potential </w:t>
      </w:r>
      <w:r w:rsidR="00AF630E">
        <w:t xml:space="preserve">diagnostic </w:t>
      </w:r>
      <w:r w:rsidR="00337E19">
        <w:t>validity</w:t>
      </w:r>
      <w:r w:rsidR="00AF630E">
        <w:t>, and hence utility,</w:t>
      </w:r>
      <w:r w:rsidR="00337E19">
        <w:t xml:space="preserve"> of a measure. </w:t>
      </w:r>
      <w:r w:rsidR="00DF4876">
        <w:t>For cumulative risk at 2 and rece</w:t>
      </w:r>
      <w:r w:rsidR="008D1BFC">
        <w:t>ptive language at 12, A</w:t>
      </w:r>
      <w:r w:rsidR="00555BF8">
        <w:t>U</w:t>
      </w:r>
      <w:r w:rsidR="008D1BFC">
        <w:t>C = .658</w:t>
      </w:r>
      <w:r w:rsidR="00DF4876">
        <w:t xml:space="preserve">.  </w:t>
      </w:r>
      <w:r w:rsidR="00E36AA5">
        <w:t>A</w:t>
      </w:r>
      <w:r w:rsidR="00555BF8">
        <w:t>U</w:t>
      </w:r>
      <w:r w:rsidR="00E36AA5">
        <w:t>C</w:t>
      </w:r>
      <w:r w:rsidR="008D1BFC">
        <w:t xml:space="preserve"> values for the entire set of </w:t>
      </w:r>
      <w:r w:rsidR="00DF4876">
        <w:t xml:space="preserve">six predictions </w:t>
      </w:r>
      <w:r w:rsidR="000056F9">
        <w:t>range from .615 to .671</w:t>
      </w:r>
      <w:r w:rsidR="008D1BFC">
        <w:t>, which would be considered poor</w:t>
      </w:r>
      <w:r w:rsidR="00D52B2F">
        <w:t xml:space="preserve"> (Caspi et al., 2016). It has been suggested that A</w:t>
      </w:r>
      <w:r w:rsidR="00555BF8">
        <w:t>U</w:t>
      </w:r>
      <w:r w:rsidR="00D52B2F">
        <w:t xml:space="preserve">C values need to be approximately .8 or better to demonstrate </w:t>
      </w:r>
      <w:r w:rsidR="00D52B2F" w:rsidRPr="00D52B2F">
        <w:t>adequate discrimination for consideration in deci</w:t>
      </w:r>
      <w:r w:rsidR="00D52B2F">
        <w:t>sion-making about intervention.</w:t>
      </w:r>
    </w:p>
    <w:p w14:paraId="5D9923F8" w14:textId="12570F32" w:rsidR="009A0392" w:rsidRDefault="009A0392" w:rsidP="00137E35">
      <w:pPr>
        <w:spacing w:line="480" w:lineRule="auto"/>
      </w:pPr>
      <w:r>
        <w:lastRenderedPageBreak/>
        <w:tab/>
        <w:t>&lt;&lt; Figure 3 about here &gt;&gt;</w:t>
      </w:r>
    </w:p>
    <w:p w14:paraId="111523AD" w14:textId="77777777" w:rsidR="00164ECE" w:rsidRDefault="00164ECE" w:rsidP="003E59A1"/>
    <w:p w14:paraId="73066256" w14:textId="77777777" w:rsidR="00164ECE" w:rsidRDefault="00164ECE" w:rsidP="00164ECE">
      <w:pPr>
        <w:spacing w:line="480" w:lineRule="auto"/>
        <w:jc w:val="center"/>
        <w:rPr>
          <w:b/>
        </w:rPr>
      </w:pPr>
      <w:r w:rsidRPr="00164ECE">
        <w:rPr>
          <w:b/>
        </w:rPr>
        <w:t>Discussion</w:t>
      </w:r>
    </w:p>
    <w:p w14:paraId="56F769D0" w14:textId="419E7A9E" w:rsidR="003E59A1" w:rsidRDefault="00D95680" w:rsidP="007E2C18">
      <w:pPr>
        <w:spacing w:line="480" w:lineRule="auto"/>
        <w:ind w:firstLine="720"/>
      </w:pPr>
      <w:r w:rsidRPr="00E36AA5">
        <w:t>For the</w:t>
      </w:r>
      <w:r w:rsidR="009D6CE8" w:rsidRPr="00E36AA5">
        <w:t xml:space="preserve"> continuous, full-distribution measures (Research question 1)</w:t>
      </w:r>
      <w:r w:rsidRPr="00E36AA5">
        <w:t xml:space="preserve">, the </w:t>
      </w:r>
      <w:r w:rsidR="00F77B52">
        <w:t xml:space="preserve">genome-wide </w:t>
      </w:r>
      <w:r w:rsidRPr="00E36AA5">
        <w:t>polygenic score EA3 did significantly improve prediction, but only very modes</w:t>
      </w:r>
      <w:r w:rsidR="009A2893">
        <w:t xml:space="preserve">tly, and even with it included, </w:t>
      </w:r>
      <w:r w:rsidRPr="00E36AA5">
        <w:t xml:space="preserve">prediction was poor. </w:t>
      </w:r>
      <w:r w:rsidR="00E36AA5">
        <w:t xml:space="preserve">The other four measures contributed an even larger amount of unique prediction. </w:t>
      </w:r>
      <w:r w:rsidRPr="00E36AA5">
        <w:t xml:space="preserve">For the </w:t>
      </w:r>
      <w:r w:rsidR="009D6CE8" w:rsidRPr="00E36AA5">
        <w:t>categorical measures of risk factors and language/literacy outcomes</w:t>
      </w:r>
      <w:r w:rsidRPr="00E36AA5">
        <w:t xml:space="preserve"> (Research question 2)</w:t>
      </w:r>
      <w:r w:rsidR="009D6CE8" w:rsidRPr="00E36AA5">
        <w:t xml:space="preserve">, the </w:t>
      </w:r>
      <w:r w:rsidRPr="00E36AA5">
        <w:t xml:space="preserve">predictions </w:t>
      </w:r>
      <w:r w:rsidR="00D83644">
        <w:t xml:space="preserve">were </w:t>
      </w:r>
      <w:r w:rsidRPr="00E36AA5">
        <w:t>significantly better with EA3 included</w:t>
      </w:r>
      <w:r w:rsidR="00E36AA5">
        <w:t>, but only for the receptive language measure</w:t>
      </w:r>
      <w:r w:rsidRPr="00E36AA5">
        <w:t>.</w:t>
      </w:r>
      <w:r w:rsidR="009D6CE8" w:rsidRPr="00E36AA5">
        <w:t xml:space="preserve"> Waiting until age 3 </w:t>
      </w:r>
      <w:r w:rsidR="00BD3666" w:rsidRPr="00E36AA5">
        <w:t xml:space="preserve">(Research question 3) </w:t>
      </w:r>
      <w:r w:rsidR="00EC2ED8">
        <w:t>slightly improved prediction of the continuous outcome measures, but not the prediction of poor outcomes.</w:t>
      </w:r>
      <w:r w:rsidR="009D6CE8">
        <w:t xml:space="preserve"> </w:t>
      </w:r>
      <w:r w:rsidR="00A13C90">
        <w:t xml:space="preserve"> Overall, sensitivity, Positive Predictive Value, odds ratios and AUC statistics all demonstrated predictions far from clinically useful. </w:t>
      </w:r>
    </w:p>
    <w:p w14:paraId="4BC3B5E6" w14:textId="396D2DE8" w:rsidR="00EB3279" w:rsidRDefault="009D6CE8" w:rsidP="007E2C18">
      <w:pPr>
        <w:spacing w:line="480" w:lineRule="auto"/>
        <w:ind w:firstLine="720"/>
      </w:pPr>
      <w:r>
        <w:t xml:space="preserve">Given the relative success of EA3 in predicting educational attainment, why are these results so poor? </w:t>
      </w:r>
      <w:r w:rsidR="00441435">
        <w:t xml:space="preserve"> There are several possibilities, not mutually exclusive. </w:t>
      </w:r>
      <w:r w:rsidR="006E7073">
        <w:t>First</w:t>
      </w:r>
      <w:r w:rsidR="00C7046A">
        <w:t xml:space="preserve">, </w:t>
      </w:r>
      <w:r w:rsidR="006E7073">
        <w:t>EA3 was developed for educational attainment in the broad sense, in contrast to the focus on language and literacy outcomes in this study. E</w:t>
      </w:r>
      <w:r w:rsidR="00C7046A">
        <w:t xml:space="preserve">ducational attainment </w:t>
      </w:r>
      <w:r w:rsidR="006E7073">
        <w:t xml:space="preserve">(and success along the way) </w:t>
      </w:r>
      <w:r w:rsidR="00C7046A">
        <w:t xml:space="preserve">reflects a wide range of </w:t>
      </w:r>
      <w:r w:rsidR="006E7073">
        <w:t>abilities and characteristics that extend beyond language and literacy</w:t>
      </w:r>
      <w:r w:rsidR="001F3357">
        <w:t>.</w:t>
      </w:r>
      <w:r w:rsidR="006E7073">
        <w:t xml:space="preserve"> </w:t>
      </w:r>
      <w:r w:rsidR="001F3357">
        <w:t xml:space="preserve">Notably, Krapohl et al. found that a substantial portion of the heritability of educational achievement was </w:t>
      </w:r>
      <w:r w:rsidR="00D95680">
        <w:t>shared with</w:t>
      </w:r>
      <w:r w:rsidR="001F3357">
        <w:t xml:space="preserve"> genetic influence on personality (a composite including conscientiousness</w:t>
      </w:r>
      <w:r w:rsidR="00C7046A">
        <w:t>)</w:t>
      </w:r>
      <w:r w:rsidR="001F3357">
        <w:t>, behavior problems, and educational self-efficacy</w:t>
      </w:r>
      <w:r w:rsidR="00C7046A">
        <w:t xml:space="preserve">.  </w:t>
      </w:r>
      <w:r w:rsidR="008A6B1C">
        <w:t xml:space="preserve">The success of EA3 may reflect individual differences in these broader characteristics, and thus </w:t>
      </w:r>
      <w:r w:rsidR="00C7046A">
        <w:t xml:space="preserve">language and literacy </w:t>
      </w:r>
      <w:r w:rsidR="008A6B1C">
        <w:t xml:space="preserve">abilities and </w:t>
      </w:r>
      <w:r w:rsidR="00C7046A">
        <w:t>difficulties may constitute only a very small part of the story</w:t>
      </w:r>
      <w:r w:rsidR="008A6B1C">
        <w:t>.</w:t>
      </w:r>
      <w:r w:rsidR="00C7046A">
        <w:t xml:space="preserve"> </w:t>
      </w:r>
      <w:r w:rsidR="008A6B1C">
        <w:t>We note that research is in progress to develop a language-specific GPS, but there is not yet a sufficient sample to yield a GPS score with good predictive validity.</w:t>
      </w:r>
      <w:r w:rsidR="00C7046A">
        <w:t xml:space="preserve"> </w:t>
      </w:r>
    </w:p>
    <w:p w14:paraId="2B5A2BDD" w14:textId="09E918B9" w:rsidR="00441435" w:rsidRDefault="005B32BA" w:rsidP="007E2C18">
      <w:pPr>
        <w:spacing w:line="480" w:lineRule="auto"/>
        <w:ind w:firstLine="720"/>
      </w:pPr>
      <w:r>
        <w:lastRenderedPageBreak/>
        <w:t xml:space="preserve">Second, </w:t>
      </w:r>
      <w:r w:rsidR="00441435">
        <w:t xml:space="preserve">research documenting the predictive power of EA3 has typically examined that variable either in isolation as a predictor or without the extensive demographic and early childhood measures available here. In the present case, we hypothesize that some of the predictive power of EA3 </w:t>
      </w:r>
      <w:r w:rsidR="00C07915">
        <w:t>may be</w:t>
      </w:r>
      <w:r w:rsidR="00441435">
        <w:t xml:space="preserve"> pre-empted by those other measures which are themselves predicted by EA3</w:t>
      </w:r>
      <w:r w:rsidR="00C07915">
        <w:t xml:space="preserve">. As shown in </w:t>
      </w:r>
      <w:r>
        <w:t>Supplementary Table S</w:t>
      </w:r>
      <w:r w:rsidR="008120D6">
        <w:t>2</w:t>
      </w:r>
      <w:r w:rsidR="00C07915">
        <w:t>, EA3 is correlated in this sample with maternal education, consistent with the finding of Wertz et al. (2018) that</w:t>
      </w:r>
      <w:r>
        <w:t xml:space="preserve"> c</w:t>
      </w:r>
      <w:r w:rsidR="00441435">
        <w:t xml:space="preserve">hildren’s EA3 is correlated with their mother’s EA3 and actual educational attainment. </w:t>
      </w:r>
    </w:p>
    <w:p w14:paraId="4E663757" w14:textId="566DD01C" w:rsidR="00891489" w:rsidRDefault="00891489" w:rsidP="00DA1574">
      <w:pPr>
        <w:spacing w:line="480" w:lineRule="auto"/>
      </w:pPr>
      <w:r>
        <w:tab/>
        <w:t>A third factor which may reduce prediction stems from the use of twins in th</w:t>
      </w:r>
      <w:r w:rsidR="00B5596E">
        <w:t>e present</w:t>
      </w:r>
      <w:r>
        <w:t xml:space="preserve"> research. Early language development in twins is typically slower than for singletons, though the ‘twin effect’ is reduced or absent by the early school years</w:t>
      </w:r>
      <w:r w:rsidR="006A53BC">
        <w:t xml:space="preserve"> (Thorpe, 2006)</w:t>
      </w:r>
      <w:r>
        <w:t xml:space="preserve">. Likely causes of delay include prenatal and perinatal factors which are known to impact language development and are at elevated risk in twins, including gestational diabetes, prolonged time to spontaneous respiration, and fetal growth restriction (Taylor et al., 2018), as well as </w:t>
      </w:r>
      <w:r w:rsidR="005F5544">
        <w:t>twin effects on parental language input and interaction</w:t>
      </w:r>
      <w:r w:rsidR="006A53BC">
        <w:t xml:space="preserve"> (Thorpe, 2006)</w:t>
      </w:r>
      <w:r w:rsidR="005F5544">
        <w:t xml:space="preserve">. </w:t>
      </w:r>
      <w:r w:rsidR="006A53BC">
        <w:t>Valid</w:t>
      </w:r>
      <w:r w:rsidR="00E02EB4">
        <w:t xml:space="preserve"> research on the twin effect and its developmental course requires the use of measures which have been normed in the general, i.e., singleton population</w:t>
      </w:r>
      <w:r w:rsidR="00B5596E">
        <w:t xml:space="preserve"> (</w:t>
      </w:r>
      <w:r w:rsidR="006A53BC">
        <w:t xml:space="preserve">Rice, Zubrick, Taylor, Hoffman &amp; Gayan, 2018; </w:t>
      </w:r>
      <w:r w:rsidR="00B5596E">
        <w:t>Rice, Taylor, Zubrick, Hoffman and Earnest, in press)</w:t>
      </w:r>
      <w:r w:rsidR="00E02EB4">
        <w:t>, and this is often not possible for twin studies and other large-sample designs, where, as in the present study, a relative criterion of low performance within the available sample was used. This methodological difference</w:t>
      </w:r>
      <w:r w:rsidR="00F12F25">
        <w:t xml:space="preserve">, population-based versus sample-specific, </w:t>
      </w:r>
      <w:r w:rsidR="00E02EB4">
        <w:t xml:space="preserve"> has implications for categorizing children either as </w:t>
      </w:r>
      <w:r w:rsidR="00F12F25">
        <w:t xml:space="preserve">normally developing, </w:t>
      </w:r>
      <w:r w:rsidR="00E02EB4">
        <w:t>late talkers or recovered to the normal range. Recently, Rice</w:t>
      </w:r>
      <w:r w:rsidR="00B5596E">
        <w:t xml:space="preserve"> et al.</w:t>
      </w:r>
      <w:r w:rsidR="00E02EB4">
        <w:t xml:space="preserve"> </w:t>
      </w:r>
      <w:r w:rsidR="00B5596E">
        <w:t>(</w:t>
      </w:r>
      <w:r w:rsidR="00010132">
        <w:t xml:space="preserve">2014; 2018; </w:t>
      </w:r>
      <w:r w:rsidR="00B5596E">
        <w:t xml:space="preserve">in press) </w:t>
      </w:r>
      <w:r w:rsidR="00E02EB4">
        <w:t>have studied the twin effect in a large and representative Western Australian population with standardized measures</w:t>
      </w:r>
      <w:r w:rsidR="00010132">
        <w:t>, from the ages of 2 to 6 years</w:t>
      </w:r>
      <w:r w:rsidR="00E02EB4">
        <w:t xml:space="preserve">. The twin </w:t>
      </w:r>
      <w:r w:rsidR="00B5596E">
        <w:t>effect</w:t>
      </w:r>
      <w:r w:rsidR="00E02EB4">
        <w:t xml:space="preserve"> was </w:t>
      </w:r>
      <w:r w:rsidR="00C41163">
        <w:t xml:space="preserve">evident at age 2 and continued to be </w:t>
      </w:r>
      <w:r w:rsidR="00C41163">
        <w:lastRenderedPageBreak/>
        <w:t xml:space="preserve">substantial at age 4, but had largely resolved by the age of 6, when considering continuous measures of language performance (Rice et al., 2018). </w:t>
      </w:r>
      <w:r w:rsidR="0095370D">
        <w:t>Similarly, when using a categorical cutoff of -1 SD to identify language impairment, the proportion of children meeting this criterion was reduced from 36% at age 4 to 28% at age 6, again suggesting that the twinning effect diminishes between these two ages, although the rate of language impairment was still substantially higher than the 8% expected in a general population (Rice et al., in press)</w:t>
      </w:r>
      <w:r w:rsidR="00E02EB4">
        <w:t xml:space="preserve">. </w:t>
      </w:r>
      <w:r w:rsidR="00B10801">
        <w:t xml:space="preserve">The findings of the Western Australia project taken together suggest a period of particularly dynamic and variable change in language development between the ages of 4 and 6 that is specific to twins. </w:t>
      </w:r>
      <w:r w:rsidR="001227F4">
        <w:t xml:space="preserve">Moreover, the twinning effect seems to be more marked for MZ than DZ twins, adding further variability in twin samples such as ours, which include both MZ and DZ twins. </w:t>
      </w:r>
      <w:r w:rsidR="003057AD">
        <w:t>Consequently, the long-range prediction of outcomes from early childhood is likely to be weaker in twin samples compared to the general population, whether focusing on the classification of language impairments or on continuous measures across the whole range of ability.</w:t>
      </w:r>
    </w:p>
    <w:p w14:paraId="02DFFDA3" w14:textId="57DD2CBF" w:rsidR="009C6C17" w:rsidRDefault="00E02EB4" w:rsidP="00EC761C">
      <w:pPr>
        <w:spacing w:line="480" w:lineRule="auto"/>
        <w:ind w:firstLine="720"/>
      </w:pPr>
      <w:r>
        <w:t>Fourth</w:t>
      </w:r>
      <w:r w:rsidR="00D95680">
        <w:t xml:space="preserve">, the considerations above </w:t>
      </w:r>
      <w:r>
        <w:t xml:space="preserve">primarily </w:t>
      </w:r>
      <w:r w:rsidR="0087763F">
        <w:t>focus on EA3, but the other risk factors have their own limitations. There is much evidence</w:t>
      </w:r>
      <w:r w:rsidR="00D95680">
        <w:t>, for example,</w:t>
      </w:r>
      <w:r w:rsidR="0087763F">
        <w:t xml:space="preserve"> that early language and non</w:t>
      </w:r>
      <w:r w:rsidR="00D95680">
        <w:t xml:space="preserve">verbal behavior are so variable, even when they are reliable at any given point, </w:t>
      </w:r>
      <w:r w:rsidR="0087763F">
        <w:t xml:space="preserve">that there is little prediction from them.  The validity of family history information is limited by memory and by little understanding of the nature of variability in the general population. Mothers’ education is correlated, but far from perfectly, with actual interaction patterns. </w:t>
      </w:r>
      <w:r w:rsidR="00774C1A">
        <w:t>We also acknowledge that</w:t>
      </w:r>
      <w:r w:rsidR="00F84FE2">
        <w:t xml:space="preserve"> </w:t>
      </w:r>
      <w:r w:rsidR="00F84FE2" w:rsidRPr="00F84FE2">
        <w:t>our measures did not include an assessment of receptive vocabulary. Psyridou,  Eklund,  Poikkeus &amp; Torppa (2018)</w:t>
      </w:r>
      <w:r w:rsidR="00F84FE2">
        <w:t xml:space="preserve"> examined the reading outcomes of children through age 16 as related to vocabulary assessments at 2-2.5 years. They found the combination of family risk, expressive, </w:t>
      </w:r>
      <w:r w:rsidR="00F84FE2">
        <w:lastRenderedPageBreak/>
        <w:t xml:space="preserve">and receptive vocabulary had the largest negative impact on reading, whereas late talkers without receptive vocabulary difficulties tended to become typical readers. </w:t>
      </w:r>
    </w:p>
    <w:p w14:paraId="2A87B1A7" w14:textId="19F08251" w:rsidR="00611292" w:rsidRDefault="009C6C17" w:rsidP="007E2C18">
      <w:pPr>
        <w:spacing w:line="480" w:lineRule="auto"/>
        <w:ind w:firstLine="720"/>
      </w:pPr>
      <w:r>
        <w:t>R</w:t>
      </w:r>
      <w:r w:rsidR="0066469A">
        <w:t>esearch question 3 focu</w:t>
      </w:r>
      <w:r w:rsidR="00A916A0">
        <w:t xml:space="preserve">sed on the comparison of </w:t>
      </w:r>
      <w:r w:rsidR="00611292">
        <w:t xml:space="preserve">prediction from age 2 versus age 3. </w:t>
      </w:r>
      <w:r w:rsidR="00DF7BAA">
        <w:t xml:space="preserve">(Note that only vocabulary and nonverbal cognition can change from 2 to 3.) </w:t>
      </w:r>
      <w:r w:rsidR="00063579">
        <w:t>Although t</w:t>
      </w:r>
      <w:r w:rsidR="00611292">
        <w:t>he full-range predictions reported in Table 2</w:t>
      </w:r>
      <w:r w:rsidR="00063579">
        <w:t xml:space="preserve">, both for overall prediction and for the contribution of EA3, </w:t>
      </w:r>
      <w:r w:rsidR="00611292">
        <w:t xml:space="preserve"> </w:t>
      </w:r>
      <w:r w:rsidR="00583524">
        <w:t xml:space="preserve">do show a significant </w:t>
      </w:r>
      <w:r w:rsidR="009572CA">
        <w:t>improvement</w:t>
      </w:r>
      <w:r w:rsidR="00583524">
        <w:t xml:space="preserve"> from age 2 to age 3, </w:t>
      </w:r>
      <w:r w:rsidR="00063579">
        <w:t>the changes are very small (&lt; 3% and &lt;1% of the variance, respectively)</w:t>
      </w:r>
      <w:r w:rsidR="00611292">
        <w:t xml:space="preserve"> </w:t>
      </w:r>
      <w:r w:rsidR="000922FE">
        <w:t xml:space="preserve">with little practical significance. The analyses focused on </w:t>
      </w:r>
      <w:r w:rsidR="00611292">
        <w:t xml:space="preserve">risk factors and low outcomes </w:t>
      </w:r>
      <w:r w:rsidR="000922FE">
        <w:t xml:space="preserve">(correlations in Table 3 and Odds Ratios in Table 4) </w:t>
      </w:r>
      <w:r w:rsidR="0066469A">
        <w:t>do not</w:t>
      </w:r>
      <w:r w:rsidR="009B58E4">
        <w:t xml:space="preserve"> identify any significant change, despite some trend for age 3 values to be higher</w:t>
      </w:r>
      <w:r w:rsidR="0066469A">
        <w:t xml:space="preserve">. </w:t>
      </w:r>
      <w:r w:rsidR="00184E83">
        <w:t>The latter finding is interesting because it is inconsistent with what might be expected</w:t>
      </w:r>
      <w:r w:rsidR="00DF7BAA">
        <w:t xml:space="preserve"> on the basis of genetic contribution, </w:t>
      </w:r>
      <w:r w:rsidR="00184E83">
        <w:t>namely</w:t>
      </w:r>
      <w:r w:rsidR="00DF7BAA">
        <w:t xml:space="preserve">, </w:t>
      </w:r>
      <w:r w:rsidR="00184E83">
        <w:t xml:space="preserve">that </w:t>
      </w:r>
      <w:r w:rsidR="00DF7BAA">
        <w:t xml:space="preserve">stability should increase as genetic endowment comes to play a larger role, perhaps due to lessened family environment effects as children spend more time outside the home. Between 2 and 3, </w:t>
      </w:r>
      <w:r w:rsidR="00C45760">
        <w:t>the herita</w:t>
      </w:r>
      <w:r w:rsidR="00184E83">
        <w:t xml:space="preserve">bility of late talking </w:t>
      </w:r>
      <w:r w:rsidR="00EC761C">
        <w:t xml:space="preserve">(lowest 10% on vocabulary) </w:t>
      </w:r>
      <w:r w:rsidR="00184E83">
        <w:t xml:space="preserve">in the larger TEDS sample </w:t>
      </w:r>
      <w:r w:rsidR="00DF7BAA">
        <w:t>has been estimated to increase from</w:t>
      </w:r>
      <w:r w:rsidR="00C45760">
        <w:t xml:space="preserve"> .28</w:t>
      </w:r>
      <w:r w:rsidR="00DF7BAA">
        <w:t xml:space="preserve"> at age 2 to</w:t>
      </w:r>
      <w:r w:rsidR="00C45760">
        <w:t xml:space="preserve"> .49 at age 3</w:t>
      </w:r>
      <w:r w:rsidR="00DF7BAA">
        <w:t xml:space="preserve"> (Dale &amp; Hayiou-Thomas, 2013). </w:t>
      </w:r>
      <w:r w:rsidR="00C45760">
        <w:t xml:space="preserve"> </w:t>
      </w:r>
      <w:r w:rsidR="0032769B">
        <w:t>In any case, a practical implication of these results is that waiting until age 3 does not substantially improve prediction.</w:t>
      </w:r>
    </w:p>
    <w:p w14:paraId="0FCE31B9" w14:textId="77777777" w:rsidR="009C3321" w:rsidRPr="003E6019" w:rsidRDefault="009C3321" w:rsidP="009C3321">
      <w:pPr>
        <w:spacing w:line="480" w:lineRule="auto"/>
        <w:rPr>
          <w:b/>
        </w:rPr>
      </w:pPr>
      <w:r w:rsidRPr="003E6019">
        <w:rPr>
          <w:b/>
        </w:rPr>
        <w:t>Limitations and future directions</w:t>
      </w:r>
    </w:p>
    <w:p w14:paraId="74563975" w14:textId="745F3DB3" w:rsidR="009C3321" w:rsidRDefault="009C3321" w:rsidP="009C3321">
      <w:pPr>
        <w:spacing w:line="480" w:lineRule="auto"/>
      </w:pPr>
      <w:r>
        <w:tab/>
        <w:t xml:space="preserve">One limitation of the present findings is that they are based on a relatively small sample, due to the need </w:t>
      </w:r>
      <w:r w:rsidR="00611292">
        <w:t>for complete genetic and family information, along with complete age 2 and 3 vocabulary nonverbal cognition measures</w:t>
      </w:r>
      <w:r>
        <w:t xml:space="preserve">, and at least one of the three outcomes measures. Although these criteria identified 1420 children, generous for full-range correlational analysis, only 106 to 133 children were classified as showing low performance on each measure at age 12. Replications of this general approach would be highly valuable. </w:t>
      </w:r>
    </w:p>
    <w:p w14:paraId="2AE720A3" w14:textId="77777777" w:rsidR="009C3321" w:rsidRDefault="009C3321" w:rsidP="009C3321">
      <w:pPr>
        <w:spacing w:line="480" w:lineRule="auto"/>
      </w:pPr>
      <w:r>
        <w:lastRenderedPageBreak/>
        <w:tab/>
        <w:t xml:space="preserve">The use of a GPS based on educational attainment, necessitated by the need for large sample size in developing the measure, might also be seen as a limitation, though we have argued above that this may not be as important as it seems, given pleiotropy and the close relation of language/literacy and educational success. Certainly it should be a high priority to develop a GPS based on literacy with a large dataset, but that is likely to be far off. On the whole, behavior genetic research is limited less now by the cost and effort required to obtain molecular data than it is by the availability of quality phenotype measurement in large samples. </w:t>
      </w:r>
    </w:p>
    <w:p w14:paraId="1FEE0002" w14:textId="7B8B3EEB" w:rsidR="00F84FE2" w:rsidRDefault="009C3321" w:rsidP="003E6019">
      <w:pPr>
        <w:spacing w:line="480" w:lineRule="auto"/>
      </w:pPr>
      <w:r>
        <w:tab/>
        <w:t xml:space="preserve">Another limitation is the use of vocabulary only as the early language measure. </w:t>
      </w:r>
      <w:r w:rsidR="00D95680">
        <w:t xml:space="preserve"> Leonard (2013) has suggested that reduced vocabulary, while often present in children who will manifest language/literacy difficulties later, is not a necessary or core feature of the condition. He suggests that grammatical difficulties are more central, and valid measures of morphosyntax are not possible until grammatical development is more advanced. Measures of tense and agreement appear to be especially relevant, at least for children learning English.</w:t>
      </w:r>
      <w:r w:rsidR="002B46E8">
        <w:t xml:space="preserve"> </w:t>
      </w:r>
      <w:r w:rsidR="00D95680">
        <w:t xml:space="preserve"> </w:t>
      </w:r>
      <w:r w:rsidR="00C90458">
        <w:t>Dale et al. (2003) did include a CDI-type measure of early grammatical development, which focused primarily on combinatorial abilities, but they found it did not contribute significantly to prediction.</w:t>
      </w:r>
    </w:p>
    <w:p w14:paraId="7AA765A3" w14:textId="08831FD3" w:rsidR="00B95065" w:rsidRDefault="002B46E8" w:rsidP="007E2C18">
      <w:pPr>
        <w:spacing w:line="480" w:lineRule="auto"/>
        <w:ind w:firstLine="720"/>
      </w:pPr>
      <w:r>
        <w:t xml:space="preserve">Taken together, these issues suggest that may simply not be </w:t>
      </w:r>
      <w:r w:rsidR="0087763F">
        <w:t>possible to predict from early childhood to later language/literacy development from the kinds of measures</w:t>
      </w:r>
      <w:r w:rsidR="00062281">
        <w:t xml:space="preserve"> that were included in the current study</w:t>
      </w:r>
      <w:r w:rsidR="0087763F">
        <w:t xml:space="preserve">. </w:t>
      </w:r>
      <w:r>
        <w:t>A promising alternative approach is to change focus from measures of knowledge, such as vocabulary, to process-oriented measures.</w:t>
      </w:r>
      <w:r w:rsidR="008A5490">
        <w:t xml:space="preserve"> Fernald and Marchman (2012), for example, have found that efficiency in identifying referents of familiar words, assessed by reaction time and accuracy in looking at a target picture from a presented pair, provides some differentiation between late-talking toddlers at 18 months who will ‘bloom’ by 30 months from those who will not. Although sensitivity </w:t>
      </w:r>
      <w:r w:rsidR="008E5276">
        <w:t xml:space="preserve">(55-61%) </w:t>
      </w:r>
      <w:r w:rsidR="008A5490">
        <w:t xml:space="preserve">and PPV </w:t>
      </w:r>
      <w:r w:rsidR="008E5276">
        <w:t xml:space="preserve">(52-66%) </w:t>
      </w:r>
      <w:r w:rsidR="008A5490">
        <w:t xml:space="preserve">were not yet in the clinical </w:t>
      </w:r>
      <w:r w:rsidR="008A5490">
        <w:lastRenderedPageBreak/>
        <w:t>range, they were better than in the present study.</w:t>
      </w:r>
      <w:r>
        <w:t xml:space="preserve"> </w:t>
      </w:r>
      <w:r w:rsidR="008A5490">
        <w:t xml:space="preserve">In its present form, the looking-while-listening task is not feasible on a large scale, but technical improvements can be expected. </w:t>
      </w:r>
    </w:p>
    <w:p w14:paraId="05CA7C4C" w14:textId="2B29F2C5" w:rsidR="002E442C" w:rsidRDefault="00B95065" w:rsidP="007E2C18">
      <w:pPr>
        <w:spacing w:line="480" w:lineRule="auto"/>
        <w:ind w:firstLine="720"/>
      </w:pPr>
      <w:r>
        <w:t xml:space="preserve">Our results overall are consistent with previous research which has found that it is difficult to predict long-range language and literacy outcomes from toddlerhood; and although the EA3 genome-wide polygenic score adds a little predictive power, it is not sufficient to be clinically useful. </w:t>
      </w:r>
    </w:p>
    <w:p w14:paraId="228A6498" w14:textId="3241EE17" w:rsidR="00CB2E8B" w:rsidRDefault="00CB2E8B" w:rsidP="00CB2E8B">
      <w:pPr>
        <w:spacing w:line="480" w:lineRule="auto"/>
        <w:jc w:val="center"/>
      </w:pPr>
      <w:r>
        <w:rPr>
          <w:b/>
        </w:rPr>
        <w:t>Acknowledgements</w:t>
      </w:r>
    </w:p>
    <w:p w14:paraId="11B99AFA" w14:textId="559A8C23" w:rsidR="00CB3FA3" w:rsidRDefault="00CB3FA3" w:rsidP="00CB3FA3">
      <w:pPr>
        <w:spacing w:line="480" w:lineRule="auto"/>
        <w:ind w:firstLine="720"/>
      </w:pPr>
      <w:r>
        <w:t>TEDS is supported by a program grant to Robert Plomin from the UK Medical Research Council (MR/M021475/1), with additional support from the US National Institutes of Health (AG046938). The research leading to these results has also received funding from the European Research Council under the European Union's Seventh Framework Programme (FP7/2007-2013)/ grant agreement n° 602768.</w:t>
      </w:r>
      <w:r w:rsidR="00970C14">
        <w:t xml:space="preserve"> </w:t>
      </w:r>
      <w:r w:rsidR="001C21B1">
        <w:t>SvS is supported by a Jacobs Fellowship (2017-2019).</w:t>
      </w:r>
    </w:p>
    <w:p w14:paraId="187B24EA" w14:textId="5C9C3067" w:rsidR="00CB3FA3" w:rsidRDefault="00CB3FA3" w:rsidP="00CB3FA3">
      <w:pPr>
        <w:spacing w:line="480" w:lineRule="auto"/>
        <w:ind w:firstLine="720"/>
      </w:pPr>
      <w:r>
        <w:t>We are grateful for the continuing participation of TEDS twins and their families which has made this research possible.</w:t>
      </w:r>
    </w:p>
    <w:p w14:paraId="4C8EC0F3" w14:textId="3034EDA1" w:rsidR="00BA3C79" w:rsidRPr="00BA3C79" w:rsidRDefault="00BA3C79" w:rsidP="00CB3FA3">
      <w:pPr>
        <w:spacing w:line="480" w:lineRule="auto"/>
        <w:ind w:firstLine="720"/>
      </w:pPr>
      <w:r w:rsidRPr="00BA3C79">
        <w:rPr>
          <w:lang w:val="en-GB"/>
        </w:rPr>
        <w:t xml:space="preserve">Data used for this submission may be made available on request to the Twins Early Development Study (TEDS), through their data access mechanism </w:t>
      </w:r>
      <w:r>
        <w:rPr>
          <w:lang w:val="en-GB"/>
        </w:rPr>
        <w:t>(</w:t>
      </w:r>
      <w:r w:rsidRPr="00BA3C79">
        <w:rPr>
          <w:lang w:val="en-GB"/>
        </w:rPr>
        <w:t>see </w:t>
      </w:r>
      <w:hyperlink r:id="rId9" w:history="1">
        <w:r w:rsidRPr="00BA3C79">
          <w:rPr>
            <w:rStyle w:val="Hyperlink"/>
            <w:color w:val="0070C0"/>
            <w:lang w:val="en-GB"/>
          </w:rPr>
          <w:t>www.teds.ac.uk/researchers/teds-data-access-policy</w:t>
        </w:r>
      </w:hyperlink>
      <w:r w:rsidRPr="00BA3C79">
        <w:rPr>
          <w:lang w:val="en-GB"/>
        </w:rPr>
        <w:t>). We will then consider requests for sharing data for</w:t>
      </w:r>
      <w:r>
        <w:rPr>
          <w:lang w:val="en-GB"/>
        </w:rPr>
        <w:t xml:space="preserve"> appropriate research purposes.</w:t>
      </w:r>
    </w:p>
    <w:p w14:paraId="349E3191" w14:textId="77777777" w:rsidR="00D42F45" w:rsidRDefault="00D42F45" w:rsidP="00E64241">
      <w:pPr>
        <w:spacing w:line="480" w:lineRule="auto"/>
        <w:ind w:firstLine="720"/>
      </w:pPr>
    </w:p>
    <w:p w14:paraId="14B771FA" w14:textId="77777777" w:rsidR="00CB3FA3" w:rsidRDefault="00CB3FA3" w:rsidP="00CB3FA3">
      <w:pPr>
        <w:rPr>
          <w:rFonts w:ascii="Calibri" w:hAnsi="Calibri"/>
          <w:sz w:val="22"/>
          <w:szCs w:val="22"/>
          <w:lang w:val="en-GB"/>
        </w:rPr>
      </w:pPr>
    </w:p>
    <w:p w14:paraId="2657BE26" w14:textId="77777777" w:rsidR="00CB2E8B" w:rsidRPr="00CB2E8B" w:rsidRDefault="00CB2E8B" w:rsidP="00CB2E8B">
      <w:pPr>
        <w:spacing w:line="480" w:lineRule="auto"/>
      </w:pPr>
    </w:p>
    <w:p w14:paraId="03534C2F" w14:textId="2D9E47AB" w:rsidR="00B95065" w:rsidRDefault="00B95065">
      <w:r>
        <w:br w:type="page"/>
      </w:r>
    </w:p>
    <w:p w14:paraId="2C30457D" w14:textId="77777777" w:rsidR="00B95065" w:rsidRDefault="00B95065" w:rsidP="007E2C18">
      <w:pPr>
        <w:spacing w:line="480" w:lineRule="auto"/>
        <w:ind w:firstLine="720"/>
      </w:pPr>
    </w:p>
    <w:p w14:paraId="154E82D2" w14:textId="1EFCE3F2" w:rsidR="00944CD7" w:rsidRPr="00126915" w:rsidRDefault="00992CF6" w:rsidP="008A5490">
      <w:pPr>
        <w:spacing w:line="480" w:lineRule="auto"/>
        <w:jc w:val="center"/>
      </w:pPr>
      <w:r w:rsidRPr="00992CF6">
        <w:rPr>
          <w:b/>
        </w:rPr>
        <w:t>References</w:t>
      </w:r>
      <w:r w:rsidR="00126915">
        <w:t xml:space="preserve"> </w:t>
      </w:r>
    </w:p>
    <w:p w14:paraId="4E0E0B4E" w14:textId="25E75AF7" w:rsidR="00195517" w:rsidRDefault="00195517" w:rsidP="008A5490">
      <w:pPr>
        <w:spacing w:line="480" w:lineRule="auto"/>
        <w:ind w:left="720" w:hanging="720"/>
        <w:rPr>
          <w:rFonts w:eastAsia="Calibri"/>
        </w:rPr>
      </w:pPr>
      <w:r>
        <w:rPr>
          <w:rFonts w:eastAsia="Calibri"/>
        </w:rPr>
        <w:t xml:space="preserve">Allegrini, A. G., Selzam, S., Rimfeld, K., von Stumm, S., Pingault, J. B., &amp; Plomin, R. (2019). Genomic prediction of cognitive traits in childhood and adolescence. </w:t>
      </w:r>
      <w:r>
        <w:rPr>
          <w:rFonts w:eastAsia="Calibri"/>
          <w:i/>
        </w:rPr>
        <w:t>Molecular Psychiatry</w:t>
      </w:r>
      <w:r>
        <w:rPr>
          <w:rFonts w:eastAsia="Calibri"/>
        </w:rPr>
        <w:t xml:space="preserve">, </w:t>
      </w:r>
      <w:r>
        <w:rPr>
          <w:rFonts w:eastAsia="Calibri"/>
          <w:i/>
        </w:rPr>
        <w:t>24</w:t>
      </w:r>
      <w:r>
        <w:rPr>
          <w:rFonts w:eastAsia="Calibri"/>
        </w:rPr>
        <w:t>, 819-827.</w:t>
      </w:r>
    </w:p>
    <w:p w14:paraId="37997D70" w14:textId="07113845" w:rsidR="00D379C1" w:rsidRPr="00D379C1" w:rsidRDefault="00D379C1" w:rsidP="008A5490">
      <w:pPr>
        <w:spacing w:line="480" w:lineRule="auto"/>
        <w:ind w:left="720" w:hanging="720"/>
        <w:rPr>
          <w:rFonts w:eastAsia="Calibri"/>
        </w:rPr>
      </w:pPr>
      <w:r>
        <w:rPr>
          <w:rFonts w:eastAsia="Calibri"/>
        </w:rPr>
        <w:t xml:space="preserve">Ayorech, Z., Plomin, R., &amp; von Stumm, S. (2019). Using DNA to predict educational trajectories in early adulthood. </w:t>
      </w:r>
      <w:r>
        <w:rPr>
          <w:rFonts w:eastAsia="Calibri"/>
          <w:i/>
          <w:iCs/>
        </w:rPr>
        <w:t>Developmental Psychology, 55</w:t>
      </w:r>
      <w:r>
        <w:rPr>
          <w:rFonts w:eastAsia="Calibri"/>
        </w:rPr>
        <w:t>, 1088-1095.</w:t>
      </w:r>
    </w:p>
    <w:p w14:paraId="35932BE5" w14:textId="5D684F97" w:rsidR="00FB3AFD" w:rsidRPr="008D76A1" w:rsidRDefault="00FB3AFD" w:rsidP="008A5490">
      <w:pPr>
        <w:spacing w:line="480" w:lineRule="auto"/>
        <w:ind w:left="720" w:hanging="720"/>
        <w:rPr>
          <w:rFonts w:eastAsia="Calibri"/>
        </w:rPr>
      </w:pPr>
      <w:r>
        <w:rPr>
          <w:rFonts w:eastAsia="Calibri"/>
        </w:rPr>
        <w:t>Caspi, A.</w:t>
      </w:r>
      <w:r w:rsidR="008D76A1">
        <w:rPr>
          <w:rFonts w:eastAsia="Calibri"/>
        </w:rPr>
        <w:t xml:space="preserve">, Houts, R. M., Belsky, D. W., Harrington, H., Hogan, S., … Moffitt, T. E. (2016). Childhood forecasting of a small segment of the population with large economic burden. </w:t>
      </w:r>
      <w:r w:rsidR="008D76A1">
        <w:rPr>
          <w:rFonts w:eastAsia="Calibri"/>
          <w:i/>
        </w:rPr>
        <w:t>Nature Human Behaviour, 1</w:t>
      </w:r>
      <w:r w:rsidR="00D96F9D">
        <w:rPr>
          <w:rFonts w:eastAsia="Calibri"/>
          <w:i/>
        </w:rPr>
        <w:t>:0005</w:t>
      </w:r>
      <w:r w:rsidR="008D76A1">
        <w:rPr>
          <w:rFonts w:eastAsia="Calibri"/>
        </w:rPr>
        <w:t>.</w:t>
      </w:r>
    </w:p>
    <w:p w14:paraId="7FFD6C0E" w14:textId="77777777" w:rsidR="00685E69" w:rsidRDefault="00685E69" w:rsidP="008A5490">
      <w:pPr>
        <w:spacing w:line="480" w:lineRule="auto"/>
        <w:ind w:left="720" w:hanging="720"/>
        <w:rPr>
          <w:rFonts w:eastAsia="Calibri"/>
        </w:rPr>
      </w:pPr>
      <w:r w:rsidRPr="00685E69">
        <w:rPr>
          <w:rFonts w:eastAsia="Calibri"/>
        </w:rPr>
        <w:t xml:space="preserve">Dale, P.S., Harlaar, N., Hayiou-Thomas, M.E. &amp; Plomin, R. (2010). The etiology of diverse receptive language skills at 12. </w:t>
      </w:r>
      <w:r w:rsidRPr="00685E69">
        <w:rPr>
          <w:rFonts w:eastAsia="Calibri"/>
          <w:i/>
        </w:rPr>
        <w:t>Journal of Speech, Language &amp; Hearing Research, 53,</w:t>
      </w:r>
      <w:r w:rsidRPr="00685E69">
        <w:rPr>
          <w:rFonts w:eastAsia="Calibri"/>
        </w:rPr>
        <w:t xml:space="preserve"> 982-992.</w:t>
      </w:r>
    </w:p>
    <w:p w14:paraId="26A5160E" w14:textId="3B44249A" w:rsidR="00337E82" w:rsidRPr="00337E82" w:rsidRDefault="00337E82" w:rsidP="008A5490">
      <w:pPr>
        <w:spacing w:line="480" w:lineRule="auto"/>
        <w:ind w:left="720" w:hanging="720"/>
        <w:rPr>
          <w:rFonts w:eastAsia="Calibri"/>
        </w:rPr>
      </w:pPr>
      <w:r>
        <w:rPr>
          <w:rFonts w:eastAsia="Calibri"/>
        </w:rPr>
        <w:t xml:space="preserve">Dale, P. S., &amp; Hayiou-Thomas, M. E. (2013).  Outcomes for Late Talkers: A twin study. In L. A. Rescorla &amp; P. S. Dale, Eds., </w:t>
      </w:r>
      <w:r>
        <w:rPr>
          <w:rFonts w:eastAsia="Calibri"/>
          <w:i/>
        </w:rPr>
        <w:t>Late Talkers: Language development, interventions, and outcomes</w:t>
      </w:r>
      <w:r>
        <w:rPr>
          <w:rFonts w:eastAsia="Calibri"/>
        </w:rPr>
        <w:t xml:space="preserve"> (pp. 241-257).  Baltimore: Brookes Publishing. </w:t>
      </w:r>
    </w:p>
    <w:p w14:paraId="1A84374D" w14:textId="5A4ABB6C" w:rsidR="00515713" w:rsidRPr="00515713" w:rsidRDefault="00515713" w:rsidP="00515713">
      <w:pPr>
        <w:spacing w:line="480" w:lineRule="auto"/>
        <w:ind w:left="720" w:hanging="720"/>
        <w:rPr>
          <w:rFonts w:eastAsia="Calibri"/>
        </w:rPr>
      </w:pPr>
      <w:r>
        <w:rPr>
          <w:rFonts w:eastAsia="Calibri"/>
        </w:rPr>
        <w:t>Dale, P. S., McMillan, A. J., Hayiou-Thomas, M. E., &amp; Plomin, R</w:t>
      </w:r>
      <w:r w:rsidRPr="00515713">
        <w:rPr>
          <w:rFonts w:eastAsia="Calibri"/>
        </w:rPr>
        <w:t xml:space="preserve">. (2014). Illusory recovery: Are recovered children with early language delay at continuing elevated risk? </w:t>
      </w:r>
      <w:r w:rsidRPr="00515713">
        <w:rPr>
          <w:rFonts w:eastAsia="Calibri"/>
          <w:i/>
        </w:rPr>
        <w:t>American Journal of Speech-Language Pathology</w:t>
      </w:r>
      <w:r w:rsidRPr="00515713">
        <w:rPr>
          <w:rFonts w:eastAsia="Calibri"/>
        </w:rPr>
        <w:t xml:space="preserve">, </w:t>
      </w:r>
      <w:r w:rsidRPr="00515713">
        <w:rPr>
          <w:rFonts w:eastAsia="Calibri"/>
          <w:i/>
        </w:rPr>
        <w:t>23</w:t>
      </w:r>
      <w:r w:rsidRPr="00515713">
        <w:rPr>
          <w:rFonts w:eastAsia="Calibri"/>
        </w:rPr>
        <w:t>, 437-447.</w:t>
      </w:r>
    </w:p>
    <w:p w14:paraId="38275703" w14:textId="77777777" w:rsidR="00685E69" w:rsidRDefault="00685E69" w:rsidP="00685E69">
      <w:pPr>
        <w:spacing w:line="480" w:lineRule="auto"/>
        <w:ind w:left="720" w:hanging="720"/>
        <w:rPr>
          <w:rFonts w:eastAsia="Calibri"/>
          <w:iCs/>
        </w:rPr>
      </w:pPr>
      <w:r w:rsidRPr="00685E69">
        <w:rPr>
          <w:rFonts w:eastAsia="Calibri"/>
          <w:iCs/>
        </w:rPr>
        <w:t xml:space="preserve">Dale, P.S., Price, T.S., Bishop, D.V.M. &amp; Plomin, R. (2003). Outcomes of early language delay: I. Predicting persistent and transient language difficulties at 3 and 4 years. </w:t>
      </w:r>
      <w:r w:rsidRPr="00685E69">
        <w:rPr>
          <w:rFonts w:eastAsia="Calibri"/>
          <w:i/>
          <w:iCs/>
        </w:rPr>
        <w:t>Journal of Speech, Language, and Hearing Research</w:t>
      </w:r>
      <w:r w:rsidRPr="00685E69">
        <w:rPr>
          <w:rFonts w:eastAsia="Calibri"/>
          <w:iCs/>
        </w:rPr>
        <w:t xml:space="preserve">, </w:t>
      </w:r>
      <w:r w:rsidRPr="00685E69">
        <w:rPr>
          <w:rFonts w:eastAsia="Calibri"/>
          <w:i/>
          <w:iCs/>
        </w:rPr>
        <w:t>46,</w:t>
      </w:r>
      <w:r w:rsidRPr="00685E69">
        <w:rPr>
          <w:rFonts w:eastAsia="Calibri"/>
          <w:iCs/>
        </w:rPr>
        <w:t xml:space="preserve"> 544-560.</w:t>
      </w:r>
    </w:p>
    <w:p w14:paraId="5841E6BB" w14:textId="3AA85475" w:rsidR="00685E69" w:rsidRDefault="00685E69" w:rsidP="00685E69">
      <w:pPr>
        <w:spacing w:line="480" w:lineRule="auto"/>
        <w:ind w:left="720" w:hanging="720"/>
        <w:rPr>
          <w:rFonts w:eastAsia="Calibri"/>
        </w:rPr>
      </w:pPr>
      <w:r w:rsidRPr="00685E69">
        <w:rPr>
          <w:rFonts w:eastAsia="Calibri"/>
        </w:rPr>
        <w:lastRenderedPageBreak/>
        <w:t xml:space="preserve">Dollaghan, C.  (2013). Late talker as a clinical category: A critical evaluation. In L. A. Rescorla &amp; P. S. Dale (Eds.), </w:t>
      </w:r>
      <w:r w:rsidRPr="00685E69">
        <w:rPr>
          <w:rFonts w:eastAsia="Calibri"/>
          <w:i/>
        </w:rPr>
        <w:t>Late talkers: Language development, interventions and outcomes</w:t>
      </w:r>
      <w:r w:rsidRPr="00685E69">
        <w:rPr>
          <w:rFonts w:eastAsia="Calibri"/>
        </w:rPr>
        <w:t xml:space="preserve"> (pp. 91-112). Baltimore: Paul H. Brookes.</w:t>
      </w:r>
    </w:p>
    <w:p w14:paraId="74F92505" w14:textId="77777777" w:rsidR="00D379C1" w:rsidRPr="00086987" w:rsidRDefault="00D379C1" w:rsidP="00D379C1">
      <w:pPr>
        <w:spacing w:line="480" w:lineRule="auto"/>
        <w:ind w:left="720" w:hanging="720"/>
        <w:rPr>
          <w:rFonts w:eastAsia="Calibri"/>
          <w:iCs/>
        </w:rPr>
      </w:pPr>
      <w:r>
        <w:rPr>
          <w:rFonts w:eastAsia="Calibri"/>
          <w:iCs/>
        </w:rPr>
        <w:t xml:space="preserve">Duff, F. J., &amp; Snowling, M. J. (2015). Reading disorders. In E. L. Bavin &amp; L. R. Naigles (Eds.), </w:t>
      </w:r>
      <w:r>
        <w:rPr>
          <w:rFonts w:eastAsia="Calibri"/>
          <w:i/>
          <w:iCs/>
        </w:rPr>
        <w:t>The Cambridge handbook of child language (2</w:t>
      </w:r>
      <w:r w:rsidRPr="00D30653">
        <w:rPr>
          <w:rFonts w:eastAsia="Calibri"/>
          <w:i/>
          <w:iCs/>
          <w:vertAlign w:val="superscript"/>
        </w:rPr>
        <w:t>nd</w:t>
      </w:r>
      <w:r>
        <w:rPr>
          <w:rFonts w:eastAsia="Calibri"/>
          <w:i/>
          <w:iCs/>
        </w:rPr>
        <w:t xml:space="preserve"> ed.), </w:t>
      </w:r>
      <w:r w:rsidRPr="002979C6">
        <w:rPr>
          <w:rFonts w:eastAsia="Calibri"/>
          <w:iCs/>
        </w:rPr>
        <w:t>681-702</w:t>
      </w:r>
      <w:r>
        <w:rPr>
          <w:rFonts w:eastAsia="Calibri"/>
          <w:i/>
          <w:iCs/>
        </w:rPr>
        <w:t>.</w:t>
      </w:r>
      <w:r>
        <w:rPr>
          <w:rFonts w:eastAsia="Calibri"/>
          <w:iCs/>
        </w:rPr>
        <w:t xml:space="preserve"> Cambridge: CUP.</w:t>
      </w:r>
    </w:p>
    <w:p w14:paraId="514C2B3D" w14:textId="150E287B" w:rsidR="003A460B" w:rsidRDefault="003A460B" w:rsidP="00685E69">
      <w:pPr>
        <w:spacing w:line="480" w:lineRule="auto"/>
        <w:ind w:left="720" w:hanging="720"/>
        <w:rPr>
          <w:rFonts w:eastAsia="Calibri"/>
        </w:rPr>
      </w:pPr>
      <w:r>
        <w:rPr>
          <w:rFonts w:eastAsia="Calibri"/>
        </w:rPr>
        <w:t xml:space="preserve">Fenson, L., Marchman, V. A., Thal, D. J., Dale, P. S., Reznick, J. S., &amp; Bates, E. (2007). </w:t>
      </w:r>
      <w:r>
        <w:rPr>
          <w:rFonts w:eastAsia="Calibri"/>
          <w:i/>
        </w:rPr>
        <w:t>MacArthur-Bates Communicative Development Inventories: User’s Guide and Technical Manual, 2</w:t>
      </w:r>
      <w:r w:rsidRPr="003E6019">
        <w:rPr>
          <w:rFonts w:eastAsia="Calibri"/>
          <w:i/>
          <w:vertAlign w:val="superscript"/>
        </w:rPr>
        <w:t>nd</w:t>
      </w:r>
      <w:r>
        <w:rPr>
          <w:rFonts w:eastAsia="Calibri"/>
          <w:i/>
        </w:rPr>
        <w:t xml:space="preserve"> Ed.</w:t>
      </w:r>
      <w:r>
        <w:rPr>
          <w:rFonts w:eastAsia="Calibri"/>
        </w:rPr>
        <w:t xml:space="preserve"> Baltimore: Brookes Publishing.</w:t>
      </w:r>
    </w:p>
    <w:p w14:paraId="5B33AD4E" w14:textId="35298B00" w:rsidR="00D379C1" w:rsidRPr="00D379C1" w:rsidRDefault="00D379C1" w:rsidP="00685E69">
      <w:pPr>
        <w:spacing w:line="480" w:lineRule="auto"/>
        <w:ind w:left="720" w:hanging="720"/>
        <w:rPr>
          <w:rFonts w:eastAsia="Calibri"/>
        </w:rPr>
      </w:pPr>
      <w:r>
        <w:rPr>
          <w:rFonts w:eastAsia="Calibri"/>
        </w:rPr>
        <w:t xml:space="preserve">Fenson, L., Pethick, S., Renda, C., Cox, J., Dale, P. S., &amp; Reznick, J.S. (2000). Short-form versions of the MacArthur Communicative Development Inventories. </w:t>
      </w:r>
      <w:r>
        <w:rPr>
          <w:rFonts w:eastAsia="Calibri"/>
          <w:i/>
          <w:iCs/>
        </w:rPr>
        <w:t>Applied Psycholinguistics, 21</w:t>
      </w:r>
      <w:r>
        <w:rPr>
          <w:rFonts w:eastAsia="Calibri"/>
        </w:rPr>
        <w:t>, 95-115.</w:t>
      </w:r>
    </w:p>
    <w:p w14:paraId="733D6933" w14:textId="15C65864" w:rsidR="00BF00E1" w:rsidRDefault="00BF00E1" w:rsidP="00685E69">
      <w:pPr>
        <w:spacing w:line="480" w:lineRule="auto"/>
        <w:ind w:left="720" w:hanging="720"/>
        <w:rPr>
          <w:rFonts w:eastAsia="Calibri"/>
        </w:rPr>
      </w:pPr>
      <w:r>
        <w:rPr>
          <w:rFonts w:eastAsia="Calibri"/>
        </w:rPr>
        <w:t>Fern</w:t>
      </w:r>
      <w:r w:rsidR="00030ACD">
        <w:rPr>
          <w:rFonts w:eastAsia="Calibri"/>
        </w:rPr>
        <w:t>ald, A., &amp; Marchman, V. A. (2012</w:t>
      </w:r>
      <w:r>
        <w:rPr>
          <w:rFonts w:eastAsia="Calibri"/>
        </w:rPr>
        <w:t xml:space="preserve">). Individual differences in lexical processing at 18 months predict vocabulary growth in typically developing and late-talking toddlers. </w:t>
      </w:r>
      <w:r>
        <w:rPr>
          <w:rFonts w:eastAsia="Calibri"/>
          <w:i/>
        </w:rPr>
        <w:t>Child Development</w:t>
      </w:r>
      <w:r w:rsidR="00030ACD">
        <w:rPr>
          <w:rFonts w:eastAsia="Calibri"/>
        </w:rPr>
        <w:t>, 83, 203-222.</w:t>
      </w:r>
    </w:p>
    <w:p w14:paraId="7539C28D" w14:textId="35956BB9" w:rsidR="00D379C1" w:rsidRDefault="00D379C1" w:rsidP="00685E69">
      <w:pPr>
        <w:spacing w:line="480" w:lineRule="auto"/>
        <w:ind w:left="720" w:hanging="720"/>
        <w:rPr>
          <w:rFonts w:eastAsia="Calibri"/>
        </w:rPr>
      </w:pPr>
      <w:r>
        <w:rPr>
          <w:rFonts w:eastAsia="Calibri"/>
        </w:rPr>
        <w:t xml:space="preserve">GOAL. (2002). </w:t>
      </w:r>
      <w:r>
        <w:rPr>
          <w:rFonts w:eastAsia="Calibri"/>
          <w:i/>
          <w:iCs/>
        </w:rPr>
        <w:t>GOAL Formative Assessment: Key Sta</w:t>
      </w:r>
      <w:r w:rsidR="0046507B">
        <w:rPr>
          <w:rFonts w:eastAsia="Calibri"/>
          <w:i/>
          <w:iCs/>
        </w:rPr>
        <w:t>g</w:t>
      </w:r>
      <w:r>
        <w:rPr>
          <w:rFonts w:eastAsia="Calibri"/>
          <w:i/>
          <w:iCs/>
        </w:rPr>
        <w:t>e 3</w:t>
      </w:r>
      <w:r>
        <w:rPr>
          <w:rFonts w:eastAsia="Calibri"/>
        </w:rPr>
        <w:t>. Hodder &amp; Stoughton.</w:t>
      </w:r>
    </w:p>
    <w:p w14:paraId="40525BDE" w14:textId="11704BED" w:rsidR="006A7577" w:rsidRDefault="006A7577" w:rsidP="00685E69">
      <w:pPr>
        <w:spacing w:line="480" w:lineRule="auto"/>
        <w:ind w:left="720" w:hanging="720"/>
        <w:rPr>
          <w:rFonts w:eastAsia="Calibri"/>
        </w:rPr>
      </w:pPr>
      <w:r>
        <w:rPr>
          <w:rFonts w:eastAsia="Calibri"/>
        </w:rPr>
        <w:t xml:space="preserve">Hammill, D. D., Brown, V. L., Larsen, S. C., &amp; Wiederholt, J. L. (1994). </w:t>
      </w:r>
      <w:r>
        <w:rPr>
          <w:rFonts w:eastAsia="Calibri"/>
          <w:i/>
          <w:iCs/>
        </w:rPr>
        <w:t>Test of Adolescent and Adult Language (TOAL-3)</w:t>
      </w:r>
      <w:r>
        <w:rPr>
          <w:rFonts w:eastAsia="Calibri"/>
        </w:rPr>
        <w:t>. Pro-Ed.</w:t>
      </w:r>
    </w:p>
    <w:p w14:paraId="1C1D6BB6" w14:textId="45E9974D" w:rsidR="006A7577" w:rsidRPr="006A7577" w:rsidRDefault="006A7577" w:rsidP="00685E69">
      <w:pPr>
        <w:spacing w:line="480" w:lineRule="auto"/>
        <w:ind w:left="720" w:hanging="720"/>
        <w:rPr>
          <w:rFonts w:eastAsia="Calibri"/>
        </w:rPr>
      </w:pPr>
      <w:r>
        <w:rPr>
          <w:rFonts w:eastAsia="Calibri"/>
        </w:rPr>
        <w:t xml:space="preserve">Haworth, C. M. A., Davis. O. S. P., &amp; Plomin, R. (2013).  Twins Early Development Study (TEDS): A genetically sensitive investigation of cognitive and behavioral development from childhood to young adulthood. </w:t>
      </w:r>
      <w:r>
        <w:rPr>
          <w:rFonts w:eastAsia="Calibri"/>
          <w:i/>
          <w:iCs/>
        </w:rPr>
        <w:t>Twin Research and Human Genetics, 16</w:t>
      </w:r>
      <w:r>
        <w:rPr>
          <w:rFonts w:eastAsia="Calibri"/>
        </w:rPr>
        <w:t>, 117-125.</w:t>
      </w:r>
    </w:p>
    <w:p w14:paraId="59127D8B" w14:textId="6A4A16E3" w:rsidR="005879D8" w:rsidRPr="005879D8" w:rsidRDefault="005879D8" w:rsidP="005879D8">
      <w:pPr>
        <w:spacing w:line="480" w:lineRule="auto"/>
        <w:ind w:left="720" w:hanging="720"/>
        <w:rPr>
          <w:rFonts w:eastAsia="Calibri"/>
        </w:rPr>
      </w:pPr>
      <w:r>
        <w:rPr>
          <w:rFonts w:eastAsia="Calibri"/>
        </w:rPr>
        <w:t>Hayiou-Thomas, M. E., Dale, P. S., &amp; Plomin, R</w:t>
      </w:r>
      <w:r w:rsidRPr="005879D8">
        <w:rPr>
          <w:rFonts w:eastAsia="Calibri"/>
        </w:rPr>
        <w:t xml:space="preserve">. (2014). Language impairment from 4 to 12 years: Prediction and etiology. </w:t>
      </w:r>
      <w:r w:rsidRPr="005879D8">
        <w:rPr>
          <w:rFonts w:eastAsia="Calibri"/>
          <w:i/>
        </w:rPr>
        <w:t>Journal of Speech, Language, and Hearing Research</w:t>
      </w:r>
      <w:r w:rsidRPr="005879D8">
        <w:rPr>
          <w:rFonts w:eastAsia="Calibri"/>
        </w:rPr>
        <w:t xml:space="preserve">, </w:t>
      </w:r>
      <w:r w:rsidRPr="005879D8">
        <w:rPr>
          <w:rFonts w:eastAsia="Calibri"/>
          <w:i/>
        </w:rPr>
        <w:t>57</w:t>
      </w:r>
      <w:r w:rsidRPr="005879D8">
        <w:rPr>
          <w:rFonts w:eastAsia="Calibri"/>
        </w:rPr>
        <w:t>, 850-861.</w:t>
      </w:r>
    </w:p>
    <w:p w14:paraId="15F9BE7E" w14:textId="5D3E8030" w:rsidR="007A0DA2" w:rsidRDefault="007A0DA2" w:rsidP="00685E69">
      <w:pPr>
        <w:spacing w:line="480" w:lineRule="auto"/>
        <w:ind w:left="720" w:hanging="720"/>
        <w:rPr>
          <w:rFonts w:eastAsia="Calibri"/>
        </w:rPr>
      </w:pPr>
      <w:r w:rsidRPr="007A0DA2">
        <w:rPr>
          <w:rFonts w:eastAsia="Calibri"/>
        </w:rPr>
        <w:lastRenderedPageBreak/>
        <w:t>Hayiou-Thomas, M</w:t>
      </w:r>
      <w:r>
        <w:rPr>
          <w:rFonts w:eastAsia="Calibri"/>
        </w:rPr>
        <w:t>.</w:t>
      </w:r>
      <w:r w:rsidRPr="007A0DA2">
        <w:rPr>
          <w:rFonts w:eastAsia="Calibri"/>
        </w:rPr>
        <w:t xml:space="preserve"> E., Smith-Woolley, E</w:t>
      </w:r>
      <w:r>
        <w:rPr>
          <w:rFonts w:eastAsia="Calibri"/>
        </w:rPr>
        <w:t xml:space="preserve">. </w:t>
      </w:r>
      <w:r w:rsidRPr="007A0DA2">
        <w:rPr>
          <w:rFonts w:eastAsia="Calibri"/>
        </w:rPr>
        <w:t xml:space="preserve"> &amp; Dale, P</w:t>
      </w:r>
      <w:r>
        <w:rPr>
          <w:rFonts w:eastAsia="Calibri"/>
        </w:rPr>
        <w:t>.</w:t>
      </w:r>
      <w:r w:rsidRPr="007A0DA2">
        <w:rPr>
          <w:rFonts w:eastAsia="Calibri"/>
        </w:rPr>
        <w:t xml:space="preserve"> S. (</w:t>
      </w:r>
      <w:r w:rsidR="006A7577">
        <w:rPr>
          <w:rFonts w:eastAsia="Calibri"/>
        </w:rPr>
        <w:t>under review</w:t>
      </w:r>
      <w:r w:rsidRPr="007A0DA2">
        <w:rPr>
          <w:rFonts w:eastAsia="Calibri"/>
        </w:rPr>
        <w:t>). Breadth versus depth: Cumulative risk model and continuous measure prediction of poor language and reading outcomes at 12.</w:t>
      </w:r>
    </w:p>
    <w:p w14:paraId="0AA3E099" w14:textId="54BDED3A" w:rsidR="003B3B23" w:rsidRDefault="003B3B23" w:rsidP="00685E69">
      <w:pPr>
        <w:spacing w:line="480" w:lineRule="auto"/>
        <w:ind w:left="720" w:hanging="720"/>
        <w:rPr>
          <w:rFonts w:eastAsia="Calibri"/>
        </w:rPr>
      </w:pPr>
      <w:r>
        <w:rPr>
          <w:rFonts w:eastAsia="Calibri"/>
        </w:rPr>
        <w:t xml:space="preserve">Hoff, E. (2006). How social contexts support and shapre language development. </w:t>
      </w:r>
      <w:r>
        <w:rPr>
          <w:rFonts w:eastAsia="Calibri"/>
          <w:i/>
        </w:rPr>
        <w:t>Developmental Review, 26</w:t>
      </w:r>
      <w:r>
        <w:rPr>
          <w:rFonts w:eastAsia="Calibri"/>
        </w:rPr>
        <w:t>, 55-88.</w:t>
      </w:r>
    </w:p>
    <w:p w14:paraId="1542B7FE" w14:textId="2CE9320F" w:rsidR="00C37FF9" w:rsidRPr="00C37FF9" w:rsidRDefault="00C37FF9" w:rsidP="00685E69">
      <w:pPr>
        <w:spacing w:line="480" w:lineRule="auto"/>
        <w:ind w:left="720" w:hanging="720"/>
        <w:rPr>
          <w:rFonts w:eastAsia="Calibri"/>
        </w:rPr>
      </w:pPr>
      <w:r>
        <w:rPr>
          <w:rFonts w:eastAsia="Calibri"/>
        </w:rPr>
        <w:t xml:space="preserve">Kaplan, E., Fein, D., Kramer, J., Delis, D., &amp; Morris, R. (1999). </w:t>
      </w:r>
      <w:r>
        <w:rPr>
          <w:rFonts w:eastAsia="Calibri"/>
          <w:i/>
          <w:iCs/>
        </w:rPr>
        <w:t>The Wechsler Intelligence Scale for Children – Third Edition as a Process Instrument (WISC-III-PI)</w:t>
      </w:r>
      <w:r>
        <w:rPr>
          <w:rFonts w:eastAsia="Calibri"/>
        </w:rPr>
        <w:t xml:space="preserve">. Psychological Corp. </w:t>
      </w:r>
    </w:p>
    <w:p w14:paraId="290DB015" w14:textId="77777777" w:rsidR="00CD76EA" w:rsidRDefault="00CD76EA"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sidRPr="007A0DA2">
        <w:rPr>
          <w:rFonts w:eastAsiaTheme="minorEastAsia"/>
          <w:color w:val="000000"/>
        </w:rPr>
        <w:t xml:space="preserve">Krapohl, Eva, Rimfeld, Kaili, Shakeshaft, Nicholas G., Trzaskowski, Maciej, McMillan, Andrew, Pingault, Jean-Baptiste, Asbury, Kathryn, Harlaar, Nicole, Kovas, Yulia, Dale, Philip S., &amp; Plomin, Robert. (2014). The high heritability of educational achievement reflects many genetically influenced traits, not just intelligence. </w:t>
      </w:r>
      <w:r w:rsidRPr="007A0DA2">
        <w:rPr>
          <w:rFonts w:eastAsiaTheme="minorEastAsia"/>
          <w:i/>
          <w:color w:val="000000"/>
        </w:rPr>
        <w:t>Proceedings of the National Academy of Sciences</w:t>
      </w:r>
      <w:r w:rsidRPr="007A0DA2">
        <w:rPr>
          <w:rFonts w:eastAsiaTheme="minorEastAsia"/>
          <w:color w:val="000000"/>
        </w:rPr>
        <w:t xml:space="preserve">, </w:t>
      </w:r>
      <w:r w:rsidRPr="007A0DA2">
        <w:rPr>
          <w:rFonts w:eastAsiaTheme="minorEastAsia"/>
          <w:i/>
          <w:color w:val="000000"/>
        </w:rPr>
        <w:t>111</w:t>
      </w:r>
      <w:r w:rsidRPr="007A0DA2">
        <w:rPr>
          <w:rFonts w:eastAsiaTheme="minorEastAsia"/>
          <w:color w:val="000000"/>
        </w:rPr>
        <w:t>, 15273-15278.</w:t>
      </w:r>
    </w:p>
    <w:p w14:paraId="2DFC16BB" w14:textId="256C1921" w:rsidR="00455EDF" w:rsidRDefault="00455EDF" w:rsidP="00455E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lang w:val="en-GB"/>
        </w:rPr>
      </w:pPr>
      <w:r w:rsidRPr="00455EDF">
        <w:rPr>
          <w:rFonts w:eastAsiaTheme="minorEastAsia"/>
          <w:color w:val="000000"/>
          <w:lang w:val="en-GB"/>
        </w:rPr>
        <w:t>Law, J., Rush, R., Schoon, I., &amp; Parsons, S. (2009). Modeling developmental language difficulties from school entry into adulthood: Literacy, mental health, and employment outcomes. </w:t>
      </w:r>
      <w:r w:rsidRPr="00455EDF">
        <w:rPr>
          <w:rFonts w:eastAsiaTheme="minorEastAsia"/>
          <w:i/>
          <w:iCs/>
          <w:color w:val="000000"/>
          <w:lang w:val="en-GB"/>
        </w:rPr>
        <w:t>Journal of Speech, Language, and Hearing Research</w:t>
      </w:r>
      <w:r w:rsidRPr="00455EDF">
        <w:rPr>
          <w:rFonts w:eastAsiaTheme="minorEastAsia"/>
          <w:color w:val="000000"/>
          <w:lang w:val="en-GB"/>
        </w:rPr>
        <w:t>, </w:t>
      </w:r>
      <w:r w:rsidRPr="00455EDF">
        <w:rPr>
          <w:rFonts w:eastAsiaTheme="minorEastAsia"/>
          <w:i/>
          <w:iCs/>
          <w:color w:val="000000"/>
          <w:lang w:val="en-GB"/>
        </w:rPr>
        <w:t>52</w:t>
      </w:r>
      <w:r w:rsidRPr="00455EDF">
        <w:rPr>
          <w:rFonts w:eastAsiaTheme="minorEastAsia"/>
          <w:color w:val="000000"/>
          <w:lang w:val="en-GB"/>
        </w:rPr>
        <w:t>, 1401-1416.</w:t>
      </w:r>
    </w:p>
    <w:p w14:paraId="2BB4A2A0" w14:textId="093232CF" w:rsidR="00AF69DA" w:rsidRDefault="00AF69DA" w:rsidP="00455E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lang w:val="en-GB"/>
        </w:rPr>
      </w:pPr>
      <w:r>
        <w:rPr>
          <w:rFonts w:eastAsiaTheme="minorEastAsia"/>
          <w:color w:val="000000"/>
          <w:lang w:val="en-GB"/>
        </w:rPr>
        <w:t xml:space="preserve">Lee, J. J., Wedow, R., Okbay, A., Kong, E., Maghazian, O., Zacher, M., et al. (2018). Gene discovery and polygenic prediction from a genome-wide association study of educational attainment in 1.1 million individuals. </w:t>
      </w:r>
      <w:r>
        <w:rPr>
          <w:rFonts w:eastAsiaTheme="minorEastAsia"/>
          <w:i/>
          <w:color w:val="000000"/>
          <w:lang w:val="en-GB"/>
        </w:rPr>
        <w:t>Nature Genetics, 50</w:t>
      </w:r>
      <w:r>
        <w:rPr>
          <w:rFonts w:eastAsiaTheme="minorEastAsia"/>
          <w:color w:val="000000"/>
          <w:lang w:val="en-GB"/>
        </w:rPr>
        <w:t>, 1112-1121.</w:t>
      </w:r>
    </w:p>
    <w:p w14:paraId="4A71040A" w14:textId="77777777" w:rsidR="00C37FF9" w:rsidRDefault="00C37FF9" w:rsidP="00C37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sidRPr="007A0DA2">
        <w:rPr>
          <w:rFonts w:eastAsiaTheme="minorEastAsia"/>
          <w:color w:val="000000"/>
        </w:rPr>
        <w:t xml:space="preserve">Leonard, L. (2013). Alternative routes to language impairment. In L. A. Rescorla &amp; P. S. Dale, (Eds.), </w:t>
      </w:r>
      <w:r w:rsidRPr="003E6019">
        <w:rPr>
          <w:rFonts w:eastAsiaTheme="minorEastAsia"/>
          <w:i/>
          <w:color w:val="000000"/>
        </w:rPr>
        <w:t>Late talkers: Language development, interventions, and outcomes</w:t>
      </w:r>
      <w:r w:rsidRPr="007A0DA2">
        <w:rPr>
          <w:rFonts w:eastAsiaTheme="minorEastAsia"/>
          <w:color w:val="000000"/>
        </w:rPr>
        <w:t xml:space="preserve"> (pp.363-376). Baltimore: Paul H. Brookes. </w:t>
      </w:r>
    </w:p>
    <w:p w14:paraId="5A99F175" w14:textId="3F0AF56A" w:rsidR="00455EDF" w:rsidRPr="00455EDF" w:rsidRDefault="00455EDF"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Pr>
          <w:rFonts w:eastAsiaTheme="minorEastAsia"/>
          <w:color w:val="000000"/>
        </w:rPr>
        <w:t xml:space="preserve">Leonard, L. (2014). </w:t>
      </w:r>
      <w:r>
        <w:rPr>
          <w:rFonts w:eastAsiaTheme="minorEastAsia"/>
          <w:i/>
          <w:color w:val="000000"/>
        </w:rPr>
        <w:t>Children with Specific Language Impairment, 2</w:t>
      </w:r>
      <w:r w:rsidRPr="00BD00F5">
        <w:rPr>
          <w:rFonts w:eastAsiaTheme="minorEastAsia"/>
          <w:i/>
          <w:color w:val="000000"/>
          <w:vertAlign w:val="superscript"/>
        </w:rPr>
        <w:t>nd</w:t>
      </w:r>
      <w:r>
        <w:rPr>
          <w:rFonts w:eastAsiaTheme="minorEastAsia"/>
          <w:i/>
          <w:color w:val="000000"/>
        </w:rPr>
        <w:t xml:space="preserve"> Ed.</w:t>
      </w:r>
      <w:r>
        <w:rPr>
          <w:rFonts w:eastAsiaTheme="minorEastAsia"/>
          <w:color w:val="000000"/>
        </w:rPr>
        <w:t xml:space="preserve"> Cambridge, MA: MIT Press.</w:t>
      </w:r>
    </w:p>
    <w:p w14:paraId="7461FE12" w14:textId="0E6270A8" w:rsidR="002979C6" w:rsidRDefault="002979C6"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iCs/>
          <w:color w:val="000000"/>
        </w:rPr>
      </w:pPr>
      <w:r>
        <w:rPr>
          <w:rFonts w:eastAsiaTheme="minorEastAsia"/>
          <w:color w:val="000000"/>
        </w:rPr>
        <w:lastRenderedPageBreak/>
        <w:t xml:space="preserve">Marinus, E., &amp; Castles, A. (2015). Precursors to reading: Phonological awareness and letter knowledge. </w:t>
      </w:r>
      <w:r w:rsidRPr="002979C6">
        <w:rPr>
          <w:rFonts w:eastAsiaTheme="minorEastAsia"/>
          <w:iCs/>
          <w:color w:val="000000"/>
        </w:rPr>
        <w:t xml:space="preserve">In E. L. Bavin &amp; L. R. Naigles (Eds.), </w:t>
      </w:r>
      <w:r w:rsidRPr="002979C6">
        <w:rPr>
          <w:rFonts w:eastAsiaTheme="minorEastAsia"/>
          <w:i/>
          <w:iCs/>
          <w:color w:val="000000"/>
        </w:rPr>
        <w:t>The Cambridge handbook of child language (2</w:t>
      </w:r>
      <w:r w:rsidRPr="002979C6">
        <w:rPr>
          <w:rFonts w:eastAsiaTheme="minorEastAsia"/>
          <w:i/>
          <w:iCs/>
          <w:color w:val="000000"/>
          <w:vertAlign w:val="superscript"/>
        </w:rPr>
        <w:t>nd</w:t>
      </w:r>
      <w:r w:rsidRPr="002979C6">
        <w:rPr>
          <w:rFonts w:eastAsiaTheme="minorEastAsia"/>
          <w:i/>
          <w:iCs/>
          <w:color w:val="000000"/>
        </w:rPr>
        <w:t xml:space="preserve"> ed.),</w:t>
      </w:r>
      <w:r w:rsidRPr="002979C6">
        <w:rPr>
          <w:rFonts w:eastAsiaTheme="minorEastAsia"/>
          <w:iCs/>
          <w:color w:val="000000"/>
        </w:rPr>
        <w:t>661-680</w:t>
      </w:r>
      <w:r>
        <w:rPr>
          <w:rFonts w:eastAsiaTheme="minorEastAsia"/>
          <w:i/>
          <w:iCs/>
          <w:color w:val="000000"/>
        </w:rPr>
        <w:t>.</w:t>
      </w:r>
      <w:r w:rsidR="00086987">
        <w:rPr>
          <w:rFonts w:eastAsiaTheme="minorEastAsia"/>
          <w:iCs/>
          <w:color w:val="000000"/>
        </w:rPr>
        <w:t xml:space="preserve"> Cambridge: CUP.</w:t>
      </w:r>
    </w:p>
    <w:p w14:paraId="7188929A" w14:textId="05B92104" w:rsidR="00C37FF9" w:rsidRPr="00C37FF9" w:rsidRDefault="00C37FF9" w:rsidP="00C37F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iCs/>
          <w:color w:val="000000"/>
        </w:rPr>
      </w:pPr>
      <w:r>
        <w:rPr>
          <w:rFonts w:eastAsiaTheme="minorEastAsia"/>
          <w:iCs/>
          <w:color w:val="000000"/>
        </w:rPr>
        <w:t xml:space="preserve">Markwardt, F. C., Jr. (1997). </w:t>
      </w:r>
      <w:r>
        <w:rPr>
          <w:rFonts w:eastAsiaTheme="minorEastAsia"/>
          <w:i/>
          <w:color w:val="000000"/>
        </w:rPr>
        <w:t>Peabody Individual Achievement Test-Revised-Normative Update</w:t>
      </w:r>
      <w:r>
        <w:rPr>
          <w:rFonts w:eastAsiaTheme="minorEastAsia"/>
          <w:iCs/>
          <w:color w:val="000000"/>
        </w:rPr>
        <w:t>. Pearson Assessments.</w:t>
      </w:r>
    </w:p>
    <w:p w14:paraId="20D6B77B" w14:textId="427ED267" w:rsidR="001A623F" w:rsidRPr="001A623F" w:rsidRDefault="001A623F"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iCs/>
          <w:color w:val="000000"/>
        </w:rPr>
      </w:pPr>
      <w:r>
        <w:rPr>
          <w:rFonts w:eastAsiaTheme="minorEastAsia"/>
          <w:iCs/>
          <w:color w:val="000000"/>
        </w:rPr>
        <w:t xml:space="preserve">Newbury, D. F., Gibson, J. L., Conti-Ramsden, G., Pickles, A., Durkin, K., &amp; Toseeb, U. (2019). Using polygenic profiles to predict variation in language and psychosocial outcomes in early and middle childhood. </w:t>
      </w:r>
      <w:r>
        <w:rPr>
          <w:rFonts w:eastAsiaTheme="minorEastAsia"/>
          <w:i/>
          <w:iCs/>
          <w:color w:val="000000"/>
        </w:rPr>
        <w:t>Journal of Speech, Language, and Hearing Research, 62</w:t>
      </w:r>
      <w:r>
        <w:rPr>
          <w:rFonts w:eastAsiaTheme="minorEastAsia"/>
          <w:iCs/>
          <w:color w:val="000000"/>
        </w:rPr>
        <w:t>, 3381-3396.</w:t>
      </w:r>
    </w:p>
    <w:p w14:paraId="58455E69" w14:textId="4EF7B4CB" w:rsidR="00904DD6" w:rsidRDefault="00904DD6"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iCs/>
          <w:color w:val="000000"/>
        </w:rPr>
      </w:pPr>
      <w:r>
        <w:rPr>
          <w:rFonts w:eastAsiaTheme="minorEastAsia"/>
          <w:iCs/>
          <w:color w:val="000000"/>
        </w:rPr>
        <w:t>Oliver, B., Dale, P. S., Saudino, K. J., Petrill, S. A., Pike, A., &amp; Plomin, R. (2002)</w:t>
      </w:r>
      <w:r w:rsidR="005B1809">
        <w:rPr>
          <w:rFonts w:eastAsiaTheme="minorEastAsia"/>
          <w:iCs/>
          <w:color w:val="000000"/>
        </w:rPr>
        <w:t xml:space="preserve">. The validity of a parent-based assessment of cognitive abilities in Three-year olds. </w:t>
      </w:r>
      <w:r w:rsidR="005B1809">
        <w:rPr>
          <w:rFonts w:eastAsiaTheme="minorEastAsia"/>
          <w:i/>
          <w:iCs/>
          <w:color w:val="000000"/>
        </w:rPr>
        <w:t>Early Child Development and Care</w:t>
      </w:r>
      <w:r w:rsidR="005B1809">
        <w:rPr>
          <w:rFonts w:eastAsiaTheme="minorEastAsia"/>
          <w:iCs/>
          <w:color w:val="000000"/>
        </w:rPr>
        <w:t xml:space="preserve">, </w:t>
      </w:r>
      <w:r w:rsidR="005B1809">
        <w:rPr>
          <w:rFonts w:eastAsiaTheme="minorEastAsia"/>
          <w:i/>
          <w:iCs/>
          <w:color w:val="000000"/>
        </w:rPr>
        <w:t>172</w:t>
      </w:r>
      <w:r w:rsidR="005B1809">
        <w:rPr>
          <w:rFonts w:eastAsiaTheme="minorEastAsia"/>
          <w:iCs/>
          <w:color w:val="000000"/>
        </w:rPr>
        <w:t>, 337-348.</w:t>
      </w:r>
    </w:p>
    <w:p w14:paraId="0FDFA8D7" w14:textId="00C96702" w:rsidR="00C37FF9" w:rsidRPr="00C37FF9" w:rsidRDefault="00C37FF9"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iCs/>
          <w:color w:val="000000"/>
        </w:rPr>
      </w:pPr>
      <w:r>
        <w:rPr>
          <w:rFonts w:eastAsiaTheme="minorEastAsia"/>
          <w:iCs/>
          <w:color w:val="000000"/>
        </w:rPr>
        <w:t xml:space="preserve">Oliver, B., &amp; Plomin, R. (2007). Twins’ Early Development Study (TEDS): A multivariate, longitudinal genetic investigation of language, cognition and behavior problems from childhood through adolescence. </w:t>
      </w:r>
      <w:r>
        <w:rPr>
          <w:rFonts w:eastAsiaTheme="minorEastAsia"/>
          <w:i/>
          <w:color w:val="000000"/>
        </w:rPr>
        <w:t>Twin Research and Human Genetics, 10</w:t>
      </w:r>
      <w:r>
        <w:rPr>
          <w:rFonts w:eastAsiaTheme="minorEastAsia"/>
          <w:iCs/>
          <w:color w:val="000000"/>
        </w:rPr>
        <w:t>, 96-105.</w:t>
      </w:r>
    </w:p>
    <w:p w14:paraId="050FDCAF" w14:textId="7740CD2C" w:rsidR="009A2893" w:rsidRDefault="009A2893"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iCs/>
          <w:color w:val="000000"/>
        </w:rPr>
      </w:pPr>
      <w:r>
        <w:rPr>
          <w:rFonts w:eastAsiaTheme="minorEastAsia"/>
          <w:iCs/>
          <w:color w:val="000000"/>
        </w:rPr>
        <w:t>Plomin, R., &amp; von Stumm, S. (2018). The new genetics of intellige</w:t>
      </w:r>
      <w:r w:rsidR="000238D0">
        <w:rPr>
          <w:rFonts w:eastAsiaTheme="minorEastAsia"/>
          <w:iCs/>
          <w:color w:val="000000"/>
        </w:rPr>
        <w:t xml:space="preserve">nce. </w:t>
      </w:r>
      <w:r w:rsidR="000E1865">
        <w:rPr>
          <w:rFonts w:eastAsiaTheme="minorEastAsia"/>
          <w:i/>
          <w:iCs/>
          <w:color w:val="000000"/>
        </w:rPr>
        <w:t>Nature Reviews Genetics, 19</w:t>
      </w:r>
      <w:r w:rsidR="000E1865">
        <w:rPr>
          <w:rFonts w:eastAsiaTheme="minorEastAsia"/>
          <w:iCs/>
          <w:color w:val="000000"/>
        </w:rPr>
        <w:t>, 148-159.</w:t>
      </w:r>
    </w:p>
    <w:p w14:paraId="57A5C6F0" w14:textId="498172FF" w:rsidR="008A1048" w:rsidRDefault="008A1048"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iCs/>
          <w:color w:val="000000"/>
        </w:rPr>
      </w:pPr>
      <w:r>
        <w:rPr>
          <w:rFonts w:eastAsiaTheme="minorEastAsia"/>
          <w:iCs/>
          <w:color w:val="000000"/>
        </w:rPr>
        <w:t xml:space="preserve">Psyridou, M., Eklund, K., Poikkeus, A.-M., &amp; Torppa, M. (2018). Reading outcomes of children with delayed early vocabulary: A follow-up from age 2-16. </w:t>
      </w:r>
      <w:r>
        <w:rPr>
          <w:rFonts w:eastAsiaTheme="minorEastAsia"/>
          <w:i/>
          <w:iCs/>
          <w:color w:val="000000"/>
        </w:rPr>
        <w:t>Research in Developmental Disabilities, 78</w:t>
      </w:r>
      <w:r>
        <w:rPr>
          <w:rFonts w:eastAsiaTheme="minorEastAsia"/>
          <w:iCs/>
          <w:color w:val="000000"/>
        </w:rPr>
        <w:t>, 114-124.</w:t>
      </w:r>
    </w:p>
    <w:p w14:paraId="2CC4914A" w14:textId="295FBCAD" w:rsidR="009E40DE" w:rsidRDefault="00195517"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Pr>
          <w:rFonts w:eastAsiaTheme="minorEastAsia"/>
          <w:color w:val="000000"/>
        </w:rPr>
        <w:t xml:space="preserve">Rescorla, L. A. (2013). Late-talking toddlers: A 15-year followup. </w:t>
      </w:r>
      <w:r w:rsidRPr="007A0DA2">
        <w:rPr>
          <w:rFonts w:eastAsiaTheme="minorEastAsia"/>
          <w:color w:val="000000"/>
        </w:rPr>
        <w:t>In L. A. Rescorla &amp; P. S. Dale, (Eds.), Late talkers: Language development, interventions, and outcomes (pp.</w:t>
      </w:r>
      <w:r>
        <w:rPr>
          <w:rFonts w:eastAsiaTheme="minorEastAsia"/>
          <w:color w:val="000000"/>
        </w:rPr>
        <w:t xml:space="preserve"> 219-239</w:t>
      </w:r>
      <w:r w:rsidRPr="007A0DA2">
        <w:rPr>
          <w:rFonts w:eastAsiaTheme="minorEastAsia"/>
          <w:color w:val="000000"/>
        </w:rPr>
        <w:t xml:space="preserve">). Baltimore: Paul H. Brookes. </w:t>
      </w:r>
    </w:p>
    <w:p w14:paraId="060954EC" w14:textId="1B9DB866" w:rsidR="00C37FF9" w:rsidRDefault="00C37FF9" w:rsidP="00A4000D">
      <w:pPr>
        <w:pStyle w:val="EndNoteBibliography"/>
        <w:spacing w:line="480" w:lineRule="auto"/>
        <w:ind w:left="720" w:hanging="720"/>
        <w:rPr>
          <w:rFonts w:ascii="Times New Roman" w:hAnsi="Times New Roman" w:cs="Times New Roman"/>
          <w:szCs w:val="24"/>
        </w:rPr>
      </w:pPr>
      <w:r>
        <w:rPr>
          <w:rFonts w:ascii="Times New Roman" w:hAnsi="Times New Roman" w:cs="Times New Roman"/>
          <w:szCs w:val="24"/>
        </w:rPr>
        <w:lastRenderedPageBreak/>
        <w:t xml:space="preserve">Rescorla, L. A., &amp; Dale, P. S. (2013). </w:t>
      </w:r>
      <w:r>
        <w:rPr>
          <w:rFonts w:ascii="Times New Roman" w:hAnsi="Times New Roman" w:cs="Times New Roman"/>
          <w:i/>
          <w:iCs/>
          <w:szCs w:val="24"/>
        </w:rPr>
        <w:t>Late talkers: Language development, interventions, and outcomes</w:t>
      </w:r>
      <w:r>
        <w:rPr>
          <w:rFonts w:ascii="Times New Roman" w:hAnsi="Times New Roman" w:cs="Times New Roman"/>
          <w:szCs w:val="24"/>
        </w:rPr>
        <w:t>. Brookes.</w:t>
      </w:r>
    </w:p>
    <w:p w14:paraId="69C4847B" w14:textId="37ED6A7B" w:rsidR="00DB6102" w:rsidRDefault="00C37FF9" w:rsidP="00DB61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Pr>
          <w:rFonts w:eastAsiaTheme="minorEastAsia"/>
          <w:color w:val="000000"/>
        </w:rPr>
        <w:t>Rice, M. L., Taylor, C.L., Zubrick, S. R., Hoffman, L., &amp; Earnest, K. K. (</w:t>
      </w:r>
      <w:r w:rsidR="00DB6102">
        <w:rPr>
          <w:rFonts w:eastAsiaTheme="minorEastAsia"/>
          <w:color w:val="000000"/>
        </w:rPr>
        <w:t>2020</w:t>
      </w:r>
      <w:r>
        <w:rPr>
          <w:rFonts w:eastAsiaTheme="minorEastAsia"/>
          <w:color w:val="000000"/>
        </w:rPr>
        <w:t xml:space="preserve">). </w:t>
      </w:r>
      <w:r w:rsidRPr="00DA1574">
        <w:rPr>
          <w:rFonts w:eastAsiaTheme="minorEastAsia"/>
          <w:bCs/>
          <w:color w:val="000000"/>
        </w:rPr>
        <w:t xml:space="preserve">Heritability of Specific Language Impairment (SLI) and Non-specific Language Impairment (NLI) at </w:t>
      </w:r>
      <w:r w:rsidR="00DB6102">
        <w:rPr>
          <w:rFonts w:eastAsiaTheme="minorEastAsia"/>
          <w:bCs/>
          <w:color w:val="000000"/>
        </w:rPr>
        <w:t>a</w:t>
      </w:r>
      <w:r w:rsidRPr="00DA1574">
        <w:rPr>
          <w:rFonts w:eastAsiaTheme="minorEastAsia"/>
          <w:bCs/>
          <w:color w:val="000000"/>
        </w:rPr>
        <w:t xml:space="preserve">ges 4 and 6 years across </w:t>
      </w:r>
      <w:r w:rsidR="00DB6102">
        <w:rPr>
          <w:rFonts w:eastAsiaTheme="minorEastAsia"/>
          <w:bCs/>
          <w:color w:val="000000"/>
        </w:rPr>
        <w:t>p</w:t>
      </w:r>
      <w:r w:rsidRPr="00DA1574">
        <w:rPr>
          <w:rFonts w:eastAsiaTheme="minorEastAsia"/>
          <w:bCs/>
          <w:color w:val="000000"/>
        </w:rPr>
        <w:t xml:space="preserve">henotypes of </w:t>
      </w:r>
      <w:r w:rsidR="00DB6102">
        <w:rPr>
          <w:rFonts w:eastAsiaTheme="minorEastAsia"/>
          <w:bCs/>
          <w:color w:val="000000"/>
        </w:rPr>
        <w:t>s</w:t>
      </w:r>
      <w:r w:rsidRPr="00DA1574">
        <w:rPr>
          <w:rFonts w:eastAsiaTheme="minorEastAsia"/>
          <w:bCs/>
          <w:color w:val="000000"/>
        </w:rPr>
        <w:t xml:space="preserve">peech, </w:t>
      </w:r>
      <w:r w:rsidR="00DB6102">
        <w:rPr>
          <w:rFonts w:eastAsiaTheme="minorEastAsia"/>
          <w:bCs/>
          <w:color w:val="000000"/>
        </w:rPr>
        <w:t>l</w:t>
      </w:r>
      <w:r w:rsidRPr="00DA1574">
        <w:rPr>
          <w:rFonts w:eastAsiaTheme="minorEastAsia"/>
          <w:bCs/>
          <w:color w:val="000000"/>
        </w:rPr>
        <w:t>anguage</w:t>
      </w:r>
      <w:r w:rsidR="00DB6102">
        <w:rPr>
          <w:rFonts w:eastAsiaTheme="minorEastAsia"/>
          <w:bCs/>
          <w:color w:val="000000"/>
        </w:rPr>
        <w:t xml:space="preserve">, and nonverbal cognition. </w:t>
      </w:r>
      <w:r w:rsidR="00DB6102">
        <w:rPr>
          <w:rFonts w:eastAsiaTheme="minorEastAsia"/>
          <w:bCs/>
          <w:i/>
          <w:iCs/>
          <w:color w:val="000000"/>
        </w:rPr>
        <w:t>Journal of Speech-Language-Hearing Research, 63</w:t>
      </w:r>
      <w:r w:rsidR="00DB6102">
        <w:rPr>
          <w:rFonts w:eastAsiaTheme="minorEastAsia"/>
          <w:bCs/>
          <w:color w:val="000000"/>
        </w:rPr>
        <w:t>, 793-813.</w:t>
      </w:r>
      <w:r w:rsidR="00DB6102">
        <w:rPr>
          <w:rFonts w:eastAsiaTheme="minorEastAsia"/>
          <w:bCs/>
          <w:i/>
          <w:iCs/>
          <w:color w:val="000000"/>
        </w:rPr>
        <w:t xml:space="preserve"> </w:t>
      </w:r>
    </w:p>
    <w:p w14:paraId="23FB8EDF" w14:textId="64FE2CCB" w:rsidR="00A4000D" w:rsidRPr="00463E3A" w:rsidRDefault="00A4000D" w:rsidP="00A4000D">
      <w:pPr>
        <w:pStyle w:val="EndNoteBibliography"/>
        <w:spacing w:line="480" w:lineRule="auto"/>
        <w:ind w:left="720" w:hanging="720"/>
        <w:rPr>
          <w:rFonts w:ascii="Times New Roman" w:hAnsi="Times New Roman" w:cs="Times New Roman"/>
          <w:szCs w:val="24"/>
        </w:rPr>
      </w:pPr>
      <w:r w:rsidRPr="00463E3A">
        <w:rPr>
          <w:rFonts w:ascii="Times New Roman" w:hAnsi="Times New Roman" w:cs="Times New Roman"/>
          <w:szCs w:val="24"/>
        </w:rPr>
        <w:t xml:space="preserve">Rice, M. L., Zubrick, S. R., Taylor, C. L., Gayán, J., &amp; Bontempo, D. E. (2014). Late language emergence in 24 month twins:  Heritable and increased risk for twins. </w:t>
      </w:r>
      <w:r w:rsidRPr="00463E3A">
        <w:rPr>
          <w:rFonts w:ascii="Times New Roman" w:hAnsi="Times New Roman" w:cs="Times New Roman"/>
          <w:i/>
          <w:szCs w:val="24"/>
        </w:rPr>
        <w:t>Journal of  Speech, Language, and Hearing Research, 57</w:t>
      </w:r>
      <w:r w:rsidRPr="00463E3A">
        <w:rPr>
          <w:rFonts w:ascii="Times New Roman" w:hAnsi="Times New Roman" w:cs="Times New Roman"/>
          <w:szCs w:val="24"/>
        </w:rPr>
        <w:t xml:space="preserve">, 917-928. </w:t>
      </w:r>
      <w:r w:rsidR="00FC4E15">
        <w:rPr>
          <w:rFonts w:ascii="Times New Roman" w:hAnsi="Times New Roman" w:cs="Times New Roman"/>
          <w:szCs w:val="24"/>
        </w:rPr>
        <w:t>https://doi.org/</w:t>
      </w:r>
      <w:r w:rsidRPr="00463E3A">
        <w:rPr>
          <w:rFonts w:ascii="Times New Roman" w:hAnsi="Times New Roman" w:cs="Times New Roman"/>
          <w:szCs w:val="24"/>
        </w:rPr>
        <w:t>10.1044/1092-4388(2013/12-0350).</w:t>
      </w:r>
    </w:p>
    <w:p w14:paraId="04A4D1F0" w14:textId="51B9BDA6" w:rsidR="00A4000D" w:rsidRPr="00463E3A" w:rsidRDefault="00A4000D" w:rsidP="00A4000D">
      <w:pPr>
        <w:pStyle w:val="EndNoteBibliography"/>
        <w:spacing w:line="480" w:lineRule="auto"/>
        <w:ind w:left="720" w:hanging="720"/>
        <w:rPr>
          <w:rFonts w:ascii="Times New Roman" w:hAnsi="Times New Roman" w:cs="Times New Roman"/>
          <w:szCs w:val="24"/>
        </w:rPr>
      </w:pPr>
      <w:r w:rsidRPr="00463E3A">
        <w:rPr>
          <w:rFonts w:ascii="Times New Roman" w:hAnsi="Times New Roman" w:cs="Times New Roman"/>
          <w:szCs w:val="24"/>
        </w:rPr>
        <w:t xml:space="preserve">Rice, M. L., Zubrick, S. R., Taylor, C. L., Hoffman, L., &amp; Gayan, J. (2018). Longitudinal study of language and speech of twins at 4 and 6 years:  Twinning effects decrease; zygosity effects disappear; and heritability increases. </w:t>
      </w:r>
      <w:r w:rsidRPr="00463E3A">
        <w:rPr>
          <w:rFonts w:ascii="Times New Roman" w:hAnsi="Times New Roman" w:cs="Times New Roman"/>
          <w:i/>
          <w:szCs w:val="24"/>
        </w:rPr>
        <w:t>Journal of Speech, Language, and Hearing Research, 61</w:t>
      </w:r>
      <w:r w:rsidRPr="00463E3A">
        <w:rPr>
          <w:rFonts w:ascii="Times New Roman" w:hAnsi="Times New Roman" w:cs="Times New Roman"/>
          <w:szCs w:val="24"/>
        </w:rPr>
        <w:t xml:space="preserve">, 79-83. </w:t>
      </w:r>
      <w:r w:rsidR="00FC4E15">
        <w:rPr>
          <w:rFonts w:ascii="Times New Roman" w:hAnsi="Times New Roman" w:cs="Times New Roman"/>
          <w:szCs w:val="24"/>
        </w:rPr>
        <w:t>https://doi.org/</w:t>
      </w:r>
      <w:r w:rsidRPr="00463E3A">
        <w:rPr>
          <w:rFonts w:ascii="Times New Roman" w:hAnsi="Times New Roman" w:cs="Times New Roman"/>
          <w:szCs w:val="24"/>
        </w:rPr>
        <w:t>10.1044/2017_JSLHR-L-16_0366</w:t>
      </w:r>
    </w:p>
    <w:p w14:paraId="2E2E969D" w14:textId="0C0681A1" w:rsidR="00341AA1" w:rsidRDefault="00341AA1"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Pr>
          <w:rFonts w:eastAsiaTheme="minorEastAsia"/>
          <w:color w:val="000000"/>
        </w:rPr>
        <w:t xml:space="preserve">Rimfeld, K., Malanchini, M., Spargo, T., Speckernell, G., Selzam, S., McMillan, A., Dale, P. S., Eley, T. C., &amp; Plomin, R. (in press). Twins Early Development Study: A geneticalliy sensitive investigation into behavioural and cognitive development from infancy to emerging adulthood. </w:t>
      </w:r>
      <w:r w:rsidR="0034576F">
        <w:rPr>
          <w:rFonts w:eastAsiaTheme="minorEastAsia"/>
          <w:i/>
          <w:color w:val="000000"/>
        </w:rPr>
        <w:t>Twin Research and Human Genetics</w:t>
      </w:r>
      <w:r w:rsidR="0034576F">
        <w:rPr>
          <w:rFonts w:eastAsiaTheme="minorEastAsia"/>
          <w:color w:val="000000"/>
        </w:rPr>
        <w:t xml:space="preserve">. </w:t>
      </w:r>
    </w:p>
    <w:p w14:paraId="308570E6" w14:textId="1B2E740E" w:rsidR="005E3B28" w:rsidRDefault="005E3B28"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Pr>
          <w:rFonts w:eastAsiaTheme="minorEastAsia"/>
          <w:color w:val="000000"/>
        </w:rPr>
        <w:t xml:space="preserve">Samuelsson, S., Olson, R., Wadswork, S., Corley, R., DeFries, J. C., Willcutt, E., … Byrne, B. (2007). Genetic and environmental influences on prereading skills and early reading and spelling development in the United States, Australia, and Scandinavia. </w:t>
      </w:r>
      <w:r>
        <w:rPr>
          <w:rFonts w:eastAsiaTheme="minorEastAsia"/>
          <w:i/>
          <w:color w:val="000000"/>
        </w:rPr>
        <w:t>Reading and Writing, 20</w:t>
      </w:r>
      <w:r>
        <w:rPr>
          <w:rFonts w:eastAsiaTheme="minorEastAsia"/>
          <w:color w:val="000000"/>
        </w:rPr>
        <w:t>, 51-75.</w:t>
      </w:r>
    </w:p>
    <w:p w14:paraId="21400D1C" w14:textId="6E474849" w:rsidR="00625A51" w:rsidRPr="00625A51" w:rsidRDefault="00625A51"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Pr>
          <w:rFonts w:eastAsiaTheme="minorEastAsia"/>
          <w:color w:val="000000"/>
        </w:rPr>
        <w:t xml:space="preserve">Saudino, K. J., Dale, P.S., Oliver, B., Petrill, S. A., Richardson, V., Rutter, M., Simonoff, E., </w:t>
      </w:r>
      <w:r>
        <w:rPr>
          <w:rFonts w:eastAsiaTheme="minorEastAsia"/>
          <w:color w:val="000000"/>
        </w:rPr>
        <w:lastRenderedPageBreak/>
        <w:t xml:space="preserve">Stevenson, J., &amp; Plomin, R. (1998). The validity of parent-based assessment of the cognitive abilities of 2-year-olds. </w:t>
      </w:r>
      <w:r>
        <w:rPr>
          <w:rFonts w:eastAsiaTheme="minorEastAsia"/>
          <w:i/>
          <w:color w:val="000000"/>
        </w:rPr>
        <w:t>British Journal of Developmental Psychology, 16</w:t>
      </w:r>
      <w:r>
        <w:rPr>
          <w:rFonts w:eastAsiaTheme="minorEastAsia"/>
          <w:color w:val="000000"/>
        </w:rPr>
        <w:t>, 349-363.</w:t>
      </w:r>
    </w:p>
    <w:p w14:paraId="69052D03" w14:textId="5E96BBE0" w:rsidR="00BD00F5" w:rsidRDefault="00BD00F5"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Pr>
          <w:rFonts w:eastAsiaTheme="minorEastAsia"/>
          <w:color w:val="000000"/>
        </w:rPr>
        <w:t xml:space="preserve">Selzam, S., Ritchie, S. J., Pingault, J-B., Reynolds, C. A., O’Reilly, P. F., &amp; Plomin, R. (2019). Comparing within- and between-family polygenic score prediction. </w:t>
      </w:r>
      <w:r>
        <w:rPr>
          <w:rFonts w:eastAsiaTheme="minorEastAsia"/>
          <w:i/>
          <w:color w:val="000000"/>
        </w:rPr>
        <w:t>American Journal of Human Genetics, 105</w:t>
      </w:r>
      <w:r>
        <w:rPr>
          <w:rFonts w:eastAsiaTheme="minorEastAsia"/>
          <w:color w:val="000000"/>
        </w:rPr>
        <w:t>, 351-363.</w:t>
      </w:r>
    </w:p>
    <w:p w14:paraId="2F82CBB3" w14:textId="51C48F36" w:rsidR="006D5CB0" w:rsidRPr="00BB6F52" w:rsidRDefault="006D5CB0"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Pr>
          <w:rFonts w:eastAsiaTheme="minorEastAsia"/>
          <w:color w:val="000000"/>
        </w:rPr>
        <w:t>Snowling</w:t>
      </w:r>
      <w:r w:rsidR="00BB6F52">
        <w:rPr>
          <w:rFonts w:eastAsiaTheme="minorEastAsia"/>
          <w:color w:val="000000"/>
        </w:rPr>
        <w:t xml:space="preserve">, M. J., &amp; Melby-Lervag, M. (2016). Oral language deficits in familial dyslexia: A meta-analysis and review. </w:t>
      </w:r>
      <w:r w:rsidR="00BB6F52">
        <w:rPr>
          <w:rFonts w:eastAsiaTheme="minorEastAsia"/>
          <w:i/>
          <w:color w:val="000000"/>
        </w:rPr>
        <w:t>Psychological Bulletin, 142</w:t>
      </w:r>
      <w:r w:rsidR="00BB6F52">
        <w:rPr>
          <w:rFonts w:eastAsiaTheme="minorEastAsia"/>
          <w:color w:val="000000"/>
        </w:rPr>
        <w:t>, 498-545.</w:t>
      </w:r>
    </w:p>
    <w:p w14:paraId="4F5A5C38" w14:textId="2526A172" w:rsidR="007A0DA2" w:rsidRDefault="00A12F12" w:rsidP="00CF1D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sidRPr="00A12F12">
        <w:rPr>
          <w:rFonts w:eastAsiaTheme="minorEastAsia"/>
          <w:color w:val="000000"/>
        </w:rPr>
        <w:t xml:space="preserve">Steiger, J. H. (1980). Tests for comparing elements of a correlation matrix. </w:t>
      </w:r>
      <w:r w:rsidRPr="00A12F12">
        <w:rPr>
          <w:rFonts w:eastAsiaTheme="minorEastAsia"/>
          <w:i/>
          <w:color w:val="000000"/>
        </w:rPr>
        <w:t>Psychological Bulletin, 87</w:t>
      </w:r>
      <w:r w:rsidRPr="00A12F12">
        <w:rPr>
          <w:rFonts w:eastAsiaTheme="minorEastAsia"/>
          <w:color w:val="000000"/>
        </w:rPr>
        <w:t>, 245-251.</w:t>
      </w:r>
    </w:p>
    <w:p w14:paraId="0F70865C" w14:textId="32038CF6" w:rsidR="001213B8" w:rsidRPr="00DA1574" w:rsidRDefault="001213B8" w:rsidP="001213B8">
      <w:pPr>
        <w:pStyle w:val="EndNoteBibliography"/>
        <w:spacing w:line="480" w:lineRule="auto"/>
        <w:ind w:left="720" w:hanging="720"/>
        <w:rPr>
          <w:rFonts w:ascii="Times New Roman" w:hAnsi="Times New Roman" w:cs="Times New Roman"/>
          <w:szCs w:val="22"/>
        </w:rPr>
      </w:pPr>
      <w:r w:rsidRPr="00DA1574">
        <w:rPr>
          <w:rFonts w:ascii="Times New Roman" w:hAnsi="Times New Roman" w:cs="Times New Roman"/>
        </w:rPr>
        <w:t xml:space="preserve">Taylor, C. L., Rice, M. L., Christensen, D., Blair, E., &amp; Zubrick, S. R. (2018). Prenatal and perinatal risks for late language emergence in a population-level sample of twins at age 2. </w:t>
      </w:r>
      <w:r w:rsidRPr="00DA1574">
        <w:rPr>
          <w:rFonts w:ascii="Times New Roman" w:hAnsi="Times New Roman" w:cs="Times New Roman"/>
          <w:i/>
        </w:rPr>
        <w:t>BMC Pediatrics, 18:41</w:t>
      </w:r>
      <w:r w:rsidRPr="00DA1574">
        <w:rPr>
          <w:rFonts w:ascii="Times New Roman" w:hAnsi="Times New Roman" w:cs="Times New Roman"/>
        </w:rPr>
        <w:t>. https://doi.org/10.1186/s12887-018-1035-9</w:t>
      </w:r>
    </w:p>
    <w:p w14:paraId="40BFA6C5" w14:textId="2A1ABE76" w:rsidR="00FC71B1" w:rsidRDefault="001213B8" w:rsidP="00FC7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sidRPr="0036319F">
        <w:t xml:space="preserve">Thorpe, K. (2006). Twin children's language development. </w:t>
      </w:r>
      <w:r w:rsidRPr="0036319F">
        <w:rPr>
          <w:i/>
        </w:rPr>
        <w:t>Early Human Development, 82</w:t>
      </w:r>
      <w:r w:rsidRPr="00DA1574">
        <w:t xml:space="preserve">, 387-395. </w:t>
      </w:r>
      <w:r w:rsidR="00FC71B1">
        <w:rPr>
          <w:rFonts w:eastAsiaTheme="minorEastAsia"/>
          <w:color w:val="000000"/>
        </w:rPr>
        <w:t xml:space="preserve">Weismer, S. E. (2014). Specific language impairment. In L. Cummings (Ed.), </w:t>
      </w:r>
      <w:r w:rsidR="00FC71B1">
        <w:rPr>
          <w:rFonts w:eastAsiaTheme="minorEastAsia"/>
          <w:i/>
          <w:color w:val="000000"/>
        </w:rPr>
        <w:t>The Cambridge handbook of communication disorders</w:t>
      </w:r>
      <w:r w:rsidR="00FC71B1">
        <w:rPr>
          <w:rFonts w:eastAsiaTheme="minorEastAsia"/>
          <w:color w:val="000000"/>
        </w:rPr>
        <w:t>, pp. 73-87. Cambridge: CUP.</w:t>
      </w:r>
    </w:p>
    <w:p w14:paraId="5F097D2C" w14:textId="3F4B26B2" w:rsidR="00DB6102" w:rsidRDefault="00DB6102" w:rsidP="00FC7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Pr>
          <w:rFonts w:eastAsiaTheme="minorEastAsia"/>
          <w:color w:val="000000"/>
        </w:rPr>
        <w:t xml:space="preserve">Torgesen, J. K., Wagner, R. K., &amp; Rashotte, C. A. (1999). </w:t>
      </w:r>
      <w:r>
        <w:rPr>
          <w:rFonts w:eastAsiaTheme="minorEastAsia"/>
          <w:i/>
          <w:iCs/>
          <w:color w:val="000000"/>
        </w:rPr>
        <w:t>Test of Word Reading Efficiency</w:t>
      </w:r>
      <w:r>
        <w:rPr>
          <w:rFonts w:eastAsiaTheme="minorEastAsia"/>
          <w:color w:val="000000"/>
        </w:rPr>
        <w:t>. Pro-Ed.</w:t>
      </w:r>
    </w:p>
    <w:p w14:paraId="41184C43" w14:textId="3FD1C140" w:rsidR="00AF6248" w:rsidRPr="00C309FC" w:rsidRDefault="00AF6248" w:rsidP="00FC7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Pr>
          <w:rFonts w:eastAsiaTheme="minorEastAsia"/>
          <w:color w:val="000000"/>
        </w:rPr>
        <w:t>Vilhjálmsson, B. J., Yang, J., Finuca</w:t>
      </w:r>
      <w:r w:rsidR="00C309FC">
        <w:rPr>
          <w:rFonts w:eastAsiaTheme="minorEastAsia"/>
          <w:color w:val="000000"/>
        </w:rPr>
        <w:t>n</w:t>
      </w:r>
      <w:r>
        <w:rPr>
          <w:rFonts w:eastAsiaTheme="minorEastAsia"/>
          <w:color w:val="000000"/>
        </w:rPr>
        <w:t>e, H. K., Gusev, A., Lindstr</w:t>
      </w:r>
      <w:r w:rsidR="00C309FC">
        <w:rPr>
          <w:rFonts w:eastAsiaTheme="minorEastAsia"/>
          <w:color w:val="000000"/>
        </w:rPr>
        <w:t xml:space="preserve">öm, S., Ripke, S., … Price, A. L. (2015). Modeling linkage disequilibrium increases accuracy of polygenic risk scores. </w:t>
      </w:r>
      <w:r w:rsidR="00C309FC">
        <w:rPr>
          <w:rFonts w:eastAsiaTheme="minorEastAsia"/>
          <w:i/>
          <w:iCs/>
          <w:color w:val="000000"/>
        </w:rPr>
        <w:t>The American Journal of Human Genetics, 97</w:t>
      </w:r>
      <w:r w:rsidR="00C309FC">
        <w:rPr>
          <w:rFonts w:eastAsiaTheme="minorEastAsia"/>
          <w:color w:val="000000"/>
        </w:rPr>
        <w:t>, 576-592.</w:t>
      </w:r>
    </w:p>
    <w:p w14:paraId="2FABC270" w14:textId="03AFFA64" w:rsidR="00DB6102" w:rsidRDefault="00DB6102" w:rsidP="00FC7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Pr>
          <w:rFonts w:eastAsiaTheme="minorEastAsia"/>
          <w:color w:val="000000"/>
        </w:rPr>
        <w:t xml:space="preserve">von Stumm, S., Smith-Woolley, E., Ayorech, Z., McMillan, A., Rimfeld, K., Dale, P. S., &amp; Plomin, R. (in press). Predicting educational achievement from genomic measures and </w:t>
      </w:r>
      <w:r>
        <w:rPr>
          <w:rFonts w:eastAsiaTheme="minorEastAsia"/>
          <w:color w:val="000000"/>
        </w:rPr>
        <w:lastRenderedPageBreak/>
        <w:t xml:space="preserve">socioeconomic status. </w:t>
      </w:r>
      <w:r>
        <w:rPr>
          <w:rFonts w:eastAsiaTheme="minorEastAsia"/>
          <w:i/>
          <w:iCs/>
          <w:color w:val="000000"/>
        </w:rPr>
        <w:t>Developmental Science</w:t>
      </w:r>
      <w:r>
        <w:rPr>
          <w:rFonts w:eastAsiaTheme="minorEastAsia"/>
          <w:color w:val="000000"/>
        </w:rPr>
        <w:t xml:space="preserve">. </w:t>
      </w:r>
    </w:p>
    <w:p w14:paraId="11258DF2" w14:textId="5A8A3DE5" w:rsidR="003F2FA8" w:rsidRPr="003F2FA8" w:rsidRDefault="003F2FA8" w:rsidP="00FC7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Pr>
          <w:rFonts w:eastAsiaTheme="minorEastAsia"/>
          <w:color w:val="000000"/>
        </w:rPr>
        <w:t xml:space="preserve">Weismer, S. E. (2014). Specific language impairment. In L. Cummings (Ed.), </w:t>
      </w:r>
      <w:r>
        <w:rPr>
          <w:rFonts w:eastAsiaTheme="minorEastAsia"/>
          <w:i/>
          <w:iCs/>
          <w:color w:val="000000"/>
        </w:rPr>
        <w:t>The Cambridge handbook of communication disorders</w:t>
      </w:r>
      <w:r>
        <w:rPr>
          <w:rFonts w:eastAsiaTheme="minorEastAsia"/>
          <w:color w:val="000000"/>
        </w:rPr>
        <w:t xml:space="preserve"> (pp. 73-87). Cambridge University Press.</w:t>
      </w:r>
    </w:p>
    <w:p w14:paraId="5890AEAD" w14:textId="6E6F76AE" w:rsidR="007A0DA2" w:rsidRDefault="007D31D8" w:rsidP="00FC7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Pr>
          <w:rFonts w:eastAsiaTheme="minorEastAsia"/>
          <w:color w:val="000000"/>
        </w:rPr>
        <w:t xml:space="preserve">Wertz, J., Moffitt, T. E., Agnew-Blais, J., Arseneault, L., Belsky, D.W., … Caspi, A. (2018). Using DNA from mothers and children to study parental investment in children’s educational attainment. </w:t>
      </w:r>
      <w:hyperlink r:id="rId10" w:history="1">
        <w:r w:rsidR="003F2FA8" w:rsidRPr="00F61382">
          <w:rPr>
            <w:rStyle w:val="Hyperlink"/>
            <w:rFonts w:eastAsiaTheme="minorEastAsia"/>
          </w:rPr>
          <w:t>https://www.biorxiv.org/content/10.1101/489781v1</w:t>
        </w:r>
      </w:hyperlink>
      <w:r>
        <w:rPr>
          <w:rFonts w:eastAsiaTheme="minorEastAsia"/>
          <w:color w:val="000000"/>
        </w:rPr>
        <w:t>.</w:t>
      </w:r>
    </w:p>
    <w:p w14:paraId="2658EF3B" w14:textId="11BCF5D0" w:rsidR="003F2FA8" w:rsidRDefault="003F2FA8" w:rsidP="00FC7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Theme="minorEastAsia"/>
          <w:color w:val="000000"/>
        </w:rPr>
      </w:pPr>
      <w:r>
        <w:rPr>
          <w:rFonts w:eastAsiaTheme="minorEastAsia"/>
          <w:color w:val="000000"/>
        </w:rPr>
        <w:t xml:space="preserve">Wiig, E. H., Secord, W., &amp; Sabers, D. (1989). </w:t>
      </w:r>
      <w:r>
        <w:rPr>
          <w:rFonts w:eastAsiaTheme="minorEastAsia"/>
          <w:i/>
          <w:iCs/>
          <w:color w:val="000000"/>
        </w:rPr>
        <w:t>Test of Language Competence-Expanded Edition</w:t>
      </w:r>
      <w:r>
        <w:rPr>
          <w:rFonts w:eastAsiaTheme="minorEastAsia"/>
          <w:color w:val="000000"/>
        </w:rPr>
        <w:t xml:space="preserve">. Psychological Corporation. </w:t>
      </w:r>
    </w:p>
    <w:p w14:paraId="192EE729" w14:textId="7284E0B3" w:rsidR="003F2FA8" w:rsidRPr="003616DF" w:rsidRDefault="003616DF" w:rsidP="00FC7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720" w:hanging="720"/>
        <w:rPr>
          <w:rFonts w:eastAsia="Calibri"/>
          <w:shd w:val="clear" w:color="auto" w:fill="FFFFFF"/>
        </w:rPr>
      </w:pPr>
      <w:r>
        <w:rPr>
          <w:rFonts w:eastAsiaTheme="minorEastAsia"/>
          <w:color w:val="000000"/>
        </w:rPr>
        <w:t xml:space="preserve">Woodcock, R. W., McGrew, K. S., &amp; Mather, N. (2001). </w:t>
      </w:r>
      <w:r>
        <w:rPr>
          <w:rFonts w:eastAsiaTheme="minorEastAsia"/>
          <w:i/>
          <w:iCs/>
          <w:color w:val="000000"/>
        </w:rPr>
        <w:t>Woocock-Johnson III Tests of Achievement</w:t>
      </w:r>
      <w:r>
        <w:rPr>
          <w:rFonts w:eastAsiaTheme="minorEastAsia"/>
          <w:color w:val="000000"/>
        </w:rPr>
        <w:t xml:space="preserve">. Riverside. </w:t>
      </w:r>
    </w:p>
    <w:p w14:paraId="418A16FD" w14:textId="77777777" w:rsidR="00CF1DEE" w:rsidRPr="00CD76EA" w:rsidRDefault="00CF1DEE" w:rsidP="00CD76EA">
      <w:pPr>
        <w:spacing w:line="480" w:lineRule="auto"/>
        <w:ind w:left="720" w:hanging="720"/>
        <w:rPr>
          <w:rFonts w:eastAsia="Calibri"/>
          <w:shd w:val="clear" w:color="auto" w:fill="FFFFFF"/>
        </w:rPr>
      </w:pPr>
    </w:p>
    <w:p w14:paraId="3A21F7B8" w14:textId="77777777" w:rsidR="007F6605" w:rsidRDefault="007F6605">
      <w:r>
        <w:br w:type="page"/>
      </w:r>
    </w:p>
    <w:p w14:paraId="7E3B01B7" w14:textId="77777777" w:rsidR="007F6605" w:rsidRDefault="007F6605" w:rsidP="003E6019">
      <w:pPr>
        <w:jc w:val="center"/>
      </w:pPr>
      <w:r>
        <w:rPr>
          <w:b/>
        </w:rPr>
        <w:lastRenderedPageBreak/>
        <w:t>Figure Legends</w:t>
      </w:r>
    </w:p>
    <w:p w14:paraId="35460CD9" w14:textId="77777777" w:rsidR="007F6605" w:rsidRDefault="007F6605" w:rsidP="003E6019">
      <w:pPr>
        <w:spacing w:line="480" w:lineRule="auto"/>
        <w:jc w:val="center"/>
      </w:pPr>
    </w:p>
    <w:p w14:paraId="3687FD9D" w14:textId="77777777" w:rsidR="007F6605" w:rsidRDefault="007F6605" w:rsidP="003E6019">
      <w:pPr>
        <w:spacing w:line="480" w:lineRule="auto"/>
      </w:pPr>
      <w:r>
        <w:rPr>
          <w:i/>
        </w:rPr>
        <w:t>Figure 1</w:t>
      </w:r>
      <w:r>
        <w:t>. Mean outcomes by predicted quintile from multiple regression.</w:t>
      </w:r>
    </w:p>
    <w:p w14:paraId="74F4D8FA" w14:textId="331B4353" w:rsidR="007F6605" w:rsidRDefault="007F6605" w:rsidP="003E6019">
      <w:pPr>
        <w:spacing w:line="480" w:lineRule="auto"/>
      </w:pPr>
      <w:r>
        <w:rPr>
          <w:i/>
        </w:rPr>
        <w:t xml:space="preserve">Figure 2a. </w:t>
      </w:r>
      <w:r w:rsidRPr="003E6019">
        <w:t>Risk factors a</w:t>
      </w:r>
      <w:r>
        <w:t>t</w:t>
      </w:r>
      <w:r w:rsidRPr="003E6019">
        <w:t xml:space="preserve"> 2 and % low outcomes at 12. </w:t>
      </w:r>
    </w:p>
    <w:p w14:paraId="716A89B4" w14:textId="77777777" w:rsidR="007F6605" w:rsidRDefault="007F6605" w:rsidP="003E6019">
      <w:pPr>
        <w:spacing w:line="480" w:lineRule="auto"/>
      </w:pPr>
      <w:r>
        <w:rPr>
          <w:i/>
        </w:rPr>
        <w:t>Figure 2b</w:t>
      </w:r>
      <w:r>
        <w:t xml:space="preserve">. Risk factors at 3 and % low outcomes at 12. </w:t>
      </w:r>
    </w:p>
    <w:p w14:paraId="0FB9D431" w14:textId="2266BB48" w:rsidR="00E7482D" w:rsidRDefault="007F6605" w:rsidP="003E6019">
      <w:pPr>
        <w:spacing w:line="480" w:lineRule="auto"/>
      </w:pPr>
      <w:r>
        <w:rPr>
          <w:i/>
        </w:rPr>
        <w:t>Figure 3</w:t>
      </w:r>
      <w:r>
        <w:t xml:space="preserve">. ROC curve plotting sensitivity versus specificity for cumulative risk measure at 2 and low receptive language at 3. </w:t>
      </w:r>
      <w:r w:rsidR="00E7482D">
        <w:br w:type="page"/>
      </w:r>
    </w:p>
    <w:p w14:paraId="69A0B037" w14:textId="2A04A850" w:rsidR="007C48EB" w:rsidRDefault="007C48EB" w:rsidP="007C48EB">
      <w:pPr>
        <w:spacing w:line="480" w:lineRule="auto"/>
      </w:pPr>
      <w:r>
        <w:lastRenderedPageBreak/>
        <w:t>Table 1</w:t>
      </w:r>
    </w:p>
    <w:p w14:paraId="549512AF" w14:textId="77777777" w:rsidR="007C48EB" w:rsidRDefault="007C48EB" w:rsidP="007C48EB">
      <w:pPr>
        <w:spacing w:line="480" w:lineRule="auto"/>
      </w:pPr>
      <w:r>
        <w:rPr>
          <w:i/>
        </w:rPr>
        <w:t xml:space="preserve">Means (SDs) for </w:t>
      </w:r>
      <w:r w:rsidR="00B32116">
        <w:rPr>
          <w:i/>
        </w:rPr>
        <w:t xml:space="preserve">continuous </w:t>
      </w:r>
      <w:r>
        <w:rPr>
          <w:i/>
        </w:rPr>
        <w:t>risk and outcome measures for total sample and by sex</w:t>
      </w:r>
      <w:r w:rsidR="00B32116">
        <w:rPr>
          <w:i/>
        </w:rPr>
        <w:t>, and percentage meeting criteria for low score for each measure</w:t>
      </w:r>
    </w:p>
    <w:tbl>
      <w:tblPr>
        <w:tblStyle w:val="TableList3"/>
        <w:tblW w:w="0" w:type="auto"/>
        <w:tblLook w:val="04A0" w:firstRow="1" w:lastRow="0" w:firstColumn="1" w:lastColumn="0" w:noHBand="0" w:noVBand="1"/>
      </w:tblPr>
      <w:tblGrid>
        <w:gridCol w:w="2178"/>
        <w:gridCol w:w="2160"/>
        <w:gridCol w:w="2520"/>
        <w:gridCol w:w="2340"/>
      </w:tblGrid>
      <w:tr w:rsidR="00D31825" w14:paraId="5010F7E2" w14:textId="77777777" w:rsidTr="002239DC">
        <w:trPr>
          <w:cnfStyle w:val="100000000000" w:firstRow="1" w:lastRow="0" w:firstColumn="0" w:lastColumn="0" w:oddVBand="0" w:evenVBand="0" w:oddHBand="0" w:evenHBand="0" w:firstRowFirstColumn="0" w:firstRowLastColumn="0" w:lastRowFirstColumn="0" w:lastRowLastColumn="0"/>
        </w:trPr>
        <w:tc>
          <w:tcPr>
            <w:tcW w:w="2178" w:type="dxa"/>
          </w:tcPr>
          <w:p w14:paraId="75FAA235" w14:textId="77777777" w:rsidR="00D31825" w:rsidRPr="002239DC" w:rsidRDefault="00D31825" w:rsidP="007C48EB">
            <w:pPr>
              <w:spacing w:line="480" w:lineRule="auto"/>
              <w:rPr>
                <w:b w:val="0"/>
                <w:color w:val="000000" w:themeColor="text1"/>
              </w:rPr>
            </w:pPr>
            <w:r w:rsidRPr="002239DC">
              <w:rPr>
                <w:color w:val="000000" w:themeColor="text1"/>
              </w:rPr>
              <w:t>Measure</w:t>
            </w:r>
          </w:p>
        </w:tc>
        <w:tc>
          <w:tcPr>
            <w:tcW w:w="2160" w:type="dxa"/>
          </w:tcPr>
          <w:p w14:paraId="2B2DB4E8" w14:textId="77777777" w:rsidR="00D31825" w:rsidRPr="002239DC" w:rsidRDefault="00D31825" w:rsidP="007C48EB">
            <w:pPr>
              <w:spacing w:line="480" w:lineRule="auto"/>
              <w:rPr>
                <w:b w:val="0"/>
                <w:color w:val="000000" w:themeColor="text1"/>
              </w:rPr>
            </w:pPr>
            <w:r w:rsidRPr="002239DC">
              <w:rPr>
                <w:color w:val="000000" w:themeColor="text1"/>
              </w:rPr>
              <w:t>Total sample</w:t>
            </w:r>
          </w:p>
          <w:p w14:paraId="1381E041" w14:textId="77777777" w:rsidR="00B32116" w:rsidRPr="002239DC" w:rsidRDefault="00B32116" w:rsidP="007C48EB">
            <w:pPr>
              <w:spacing w:line="480" w:lineRule="auto"/>
              <w:rPr>
                <w:b w:val="0"/>
                <w:color w:val="000000" w:themeColor="text1"/>
              </w:rPr>
            </w:pPr>
            <w:r w:rsidRPr="002239DC">
              <w:rPr>
                <w:color w:val="000000" w:themeColor="text1"/>
              </w:rPr>
              <w:t xml:space="preserve">M (SD)   </w:t>
            </w:r>
            <w:r w:rsidR="00553FB3" w:rsidRPr="002239DC">
              <w:rPr>
                <w:color w:val="000000" w:themeColor="text1"/>
              </w:rPr>
              <w:t xml:space="preserve"> </w:t>
            </w:r>
            <w:r w:rsidR="00FB775C" w:rsidRPr="002239DC">
              <w:rPr>
                <w:color w:val="000000" w:themeColor="text1"/>
              </w:rPr>
              <w:t xml:space="preserve">   </w:t>
            </w:r>
            <w:r w:rsidRPr="002239DC">
              <w:rPr>
                <w:color w:val="000000" w:themeColor="text1"/>
              </w:rPr>
              <w:t>%</w:t>
            </w:r>
            <w:r w:rsidR="00553FB3" w:rsidRPr="002239DC">
              <w:rPr>
                <w:color w:val="000000" w:themeColor="text1"/>
              </w:rPr>
              <w:t xml:space="preserve"> low</w:t>
            </w:r>
          </w:p>
        </w:tc>
        <w:tc>
          <w:tcPr>
            <w:tcW w:w="2520" w:type="dxa"/>
          </w:tcPr>
          <w:p w14:paraId="7884EB63" w14:textId="77777777" w:rsidR="00D31825" w:rsidRPr="002239DC" w:rsidRDefault="00DE02A1" w:rsidP="007C48EB">
            <w:pPr>
              <w:spacing w:line="480" w:lineRule="auto"/>
              <w:rPr>
                <w:b w:val="0"/>
                <w:color w:val="000000" w:themeColor="text1"/>
              </w:rPr>
            </w:pPr>
            <w:r w:rsidRPr="002239DC">
              <w:rPr>
                <w:color w:val="000000" w:themeColor="text1"/>
              </w:rPr>
              <w:t>Fem</w:t>
            </w:r>
            <w:r w:rsidR="00D31825" w:rsidRPr="002239DC">
              <w:rPr>
                <w:color w:val="000000" w:themeColor="text1"/>
              </w:rPr>
              <w:t>ales</w:t>
            </w:r>
          </w:p>
          <w:p w14:paraId="1E4723A3" w14:textId="77777777" w:rsidR="00B32116" w:rsidRPr="002239DC" w:rsidRDefault="00B32116" w:rsidP="007C48EB">
            <w:pPr>
              <w:spacing w:line="480" w:lineRule="auto"/>
              <w:rPr>
                <w:b w:val="0"/>
                <w:color w:val="000000" w:themeColor="text1"/>
              </w:rPr>
            </w:pPr>
            <w:r w:rsidRPr="002239DC">
              <w:rPr>
                <w:color w:val="000000" w:themeColor="text1"/>
              </w:rPr>
              <w:t xml:space="preserve">M (SD)   </w:t>
            </w:r>
            <w:r w:rsidR="00553FB3" w:rsidRPr="002239DC">
              <w:rPr>
                <w:color w:val="000000" w:themeColor="text1"/>
              </w:rPr>
              <w:t xml:space="preserve"> </w:t>
            </w:r>
            <w:r w:rsidR="00FB775C" w:rsidRPr="002239DC">
              <w:rPr>
                <w:color w:val="000000" w:themeColor="text1"/>
              </w:rPr>
              <w:t xml:space="preserve">        </w:t>
            </w:r>
            <w:r w:rsidRPr="002239DC">
              <w:rPr>
                <w:color w:val="000000" w:themeColor="text1"/>
              </w:rPr>
              <w:t>%</w:t>
            </w:r>
            <w:r w:rsidR="00553FB3" w:rsidRPr="002239DC">
              <w:rPr>
                <w:color w:val="000000" w:themeColor="text1"/>
              </w:rPr>
              <w:t xml:space="preserve"> low</w:t>
            </w:r>
          </w:p>
        </w:tc>
        <w:tc>
          <w:tcPr>
            <w:tcW w:w="2340" w:type="dxa"/>
          </w:tcPr>
          <w:p w14:paraId="2A2EE2A2" w14:textId="77777777" w:rsidR="00D31825" w:rsidRPr="002239DC" w:rsidRDefault="00DE02A1" w:rsidP="007C48EB">
            <w:pPr>
              <w:spacing w:line="480" w:lineRule="auto"/>
              <w:rPr>
                <w:b w:val="0"/>
                <w:color w:val="000000" w:themeColor="text1"/>
              </w:rPr>
            </w:pPr>
            <w:r w:rsidRPr="002239DC">
              <w:rPr>
                <w:color w:val="000000" w:themeColor="text1"/>
              </w:rPr>
              <w:t>M</w:t>
            </w:r>
            <w:r w:rsidR="00D31825" w:rsidRPr="002239DC">
              <w:rPr>
                <w:color w:val="000000" w:themeColor="text1"/>
              </w:rPr>
              <w:t>ales</w:t>
            </w:r>
          </w:p>
          <w:p w14:paraId="63B92017" w14:textId="77777777" w:rsidR="00B32116" w:rsidRPr="002239DC" w:rsidRDefault="00B32116" w:rsidP="007C48EB">
            <w:pPr>
              <w:spacing w:line="480" w:lineRule="auto"/>
              <w:rPr>
                <w:b w:val="0"/>
                <w:color w:val="000000" w:themeColor="text1"/>
              </w:rPr>
            </w:pPr>
            <w:r w:rsidRPr="002239DC">
              <w:rPr>
                <w:color w:val="000000" w:themeColor="text1"/>
              </w:rPr>
              <w:t xml:space="preserve">M (SD)  </w:t>
            </w:r>
            <w:r w:rsidR="00553FB3" w:rsidRPr="002239DC">
              <w:rPr>
                <w:color w:val="000000" w:themeColor="text1"/>
              </w:rPr>
              <w:t xml:space="preserve"> </w:t>
            </w:r>
            <w:r w:rsidRPr="002239DC">
              <w:rPr>
                <w:color w:val="000000" w:themeColor="text1"/>
              </w:rPr>
              <w:t xml:space="preserve"> </w:t>
            </w:r>
            <w:r w:rsidR="00FB775C" w:rsidRPr="002239DC">
              <w:rPr>
                <w:color w:val="000000" w:themeColor="text1"/>
              </w:rPr>
              <w:t xml:space="preserve">    </w:t>
            </w:r>
            <w:r w:rsidRPr="002239DC">
              <w:rPr>
                <w:color w:val="000000" w:themeColor="text1"/>
              </w:rPr>
              <w:t>%</w:t>
            </w:r>
            <w:r w:rsidR="00553FB3" w:rsidRPr="002239DC">
              <w:rPr>
                <w:color w:val="000000" w:themeColor="text1"/>
              </w:rPr>
              <w:t xml:space="preserve"> low</w:t>
            </w:r>
          </w:p>
        </w:tc>
      </w:tr>
      <w:tr w:rsidR="00D31825" w14:paraId="44C81CB3" w14:textId="77777777" w:rsidTr="002239DC">
        <w:tc>
          <w:tcPr>
            <w:tcW w:w="2178" w:type="dxa"/>
          </w:tcPr>
          <w:p w14:paraId="360277A9" w14:textId="77777777" w:rsidR="00D31825" w:rsidRDefault="00D31825" w:rsidP="007C48EB">
            <w:pPr>
              <w:spacing w:line="480" w:lineRule="auto"/>
            </w:pPr>
            <w:r>
              <w:t>Vocabulary-2</w:t>
            </w:r>
          </w:p>
        </w:tc>
        <w:tc>
          <w:tcPr>
            <w:tcW w:w="2160" w:type="dxa"/>
          </w:tcPr>
          <w:p w14:paraId="17B57114" w14:textId="77777777" w:rsidR="00D31825" w:rsidRPr="002239DC" w:rsidRDefault="00DE02A1" w:rsidP="007C48EB">
            <w:pPr>
              <w:spacing w:line="480" w:lineRule="auto"/>
            </w:pPr>
            <w:r w:rsidRPr="002239DC">
              <w:t>49.7 (24.7)</w:t>
            </w:r>
            <w:r w:rsidR="00D21002" w:rsidRPr="002239DC">
              <w:t xml:space="preserve">   </w:t>
            </w:r>
            <w:r w:rsidR="00F04BA8" w:rsidRPr="002239DC">
              <w:t xml:space="preserve">  </w:t>
            </w:r>
            <w:r w:rsidR="00D21002" w:rsidRPr="002239DC">
              <w:t>10.5</w:t>
            </w:r>
          </w:p>
        </w:tc>
        <w:tc>
          <w:tcPr>
            <w:tcW w:w="2520" w:type="dxa"/>
          </w:tcPr>
          <w:p w14:paraId="26BFC836" w14:textId="77777777" w:rsidR="00D31825" w:rsidRPr="002239DC" w:rsidRDefault="00B51FDA" w:rsidP="007C48EB">
            <w:pPr>
              <w:spacing w:line="480" w:lineRule="auto"/>
            </w:pPr>
            <w:r w:rsidRPr="002239DC">
              <w:t>52.7 (24.3)</w:t>
            </w:r>
            <w:r w:rsidR="006153E9" w:rsidRPr="002239DC">
              <w:t xml:space="preserve"> </w:t>
            </w:r>
            <w:r w:rsidR="00D21002" w:rsidRPr="002239DC">
              <w:t xml:space="preserve">  </w:t>
            </w:r>
            <w:r w:rsidR="006153E9" w:rsidRPr="002239DC">
              <w:t xml:space="preserve">   </w:t>
            </w:r>
            <w:r w:rsidR="00D21002" w:rsidRPr="002239DC">
              <w:t xml:space="preserve">   </w:t>
            </w:r>
            <w:r w:rsidR="00F04BA8" w:rsidRPr="002239DC">
              <w:t xml:space="preserve"> </w:t>
            </w:r>
            <w:r w:rsidR="00D21002" w:rsidRPr="002239DC">
              <w:t>7.4</w:t>
            </w:r>
          </w:p>
        </w:tc>
        <w:tc>
          <w:tcPr>
            <w:tcW w:w="2340" w:type="dxa"/>
          </w:tcPr>
          <w:p w14:paraId="07FE64D0" w14:textId="27F9BF86" w:rsidR="00D31825" w:rsidRDefault="00B51FDA" w:rsidP="007C48EB">
            <w:pPr>
              <w:spacing w:line="480" w:lineRule="auto"/>
              <w:rPr>
                <w:b/>
              </w:rPr>
            </w:pPr>
            <w:r w:rsidRPr="003E6019">
              <w:rPr>
                <w:b/>
              </w:rPr>
              <w:t>45.9 (24.7)</w:t>
            </w:r>
            <w:r w:rsidR="00D21002" w:rsidRPr="003E6019">
              <w:rPr>
                <w:b/>
              </w:rPr>
              <w:t xml:space="preserve">  14.4</w:t>
            </w:r>
          </w:p>
          <w:p w14:paraId="26707F15" w14:textId="715D812B" w:rsidR="00466D22" w:rsidRPr="00466D22" w:rsidRDefault="00466D22" w:rsidP="007C48EB">
            <w:pPr>
              <w:spacing w:line="480" w:lineRule="auto"/>
            </w:pPr>
            <w:r>
              <w:t>&lt;.001              &lt;.001</w:t>
            </w:r>
          </w:p>
        </w:tc>
      </w:tr>
      <w:tr w:rsidR="00D31825" w14:paraId="22C4BE2D" w14:textId="77777777" w:rsidTr="002239DC">
        <w:tc>
          <w:tcPr>
            <w:tcW w:w="2178" w:type="dxa"/>
          </w:tcPr>
          <w:p w14:paraId="4C01D139" w14:textId="77777777" w:rsidR="00D31825" w:rsidRDefault="00D31825" w:rsidP="007C48EB">
            <w:pPr>
              <w:spacing w:line="480" w:lineRule="auto"/>
            </w:pPr>
            <w:r>
              <w:t>Vocabulary-3</w:t>
            </w:r>
          </w:p>
        </w:tc>
        <w:tc>
          <w:tcPr>
            <w:tcW w:w="2160" w:type="dxa"/>
          </w:tcPr>
          <w:p w14:paraId="7CC45B82" w14:textId="77777777" w:rsidR="00D31825" w:rsidRPr="002239DC" w:rsidRDefault="00DE02A1" w:rsidP="007C48EB">
            <w:pPr>
              <w:spacing w:line="480" w:lineRule="auto"/>
            </w:pPr>
            <w:r w:rsidRPr="002239DC">
              <w:t>65.2 (23.9)</w:t>
            </w:r>
            <w:r w:rsidR="00D21002" w:rsidRPr="002239DC">
              <w:t xml:space="preserve">   </w:t>
            </w:r>
            <w:r w:rsidR="00F04BA8" w:rsidRPr="002239DC">
              <w:t xml:space="preserve">  </w:t>
            </w:r>
            <w:r w:rsidR="00D21002" w:rsidRPr="002239DC">
              <w:t>10.0</w:t>
            </w:r>
          </w:p>
        </w:tc>
        <w:tc>
          <w:tcPr>
            <w:tcW w:w="2520" w:type="dxa"/>
          </w:tcPr>
          <w:p w14:paraId="13F78855" w14:textId="77777777" w:rsidR="00D31825" w:rsidRPr="002239DC" w:rsidRDefault="00B51FDA" w:rsidP="007C48EB">
            <w:pPr>
              <w:spacing w:line="480" w:lineRule="auto"/>
            </w:pPr>
            <w:r w:rsidRPr="002239DC">
              <w:t>66.1 (23.2)</w:t>
            </w:r>
            <w:r w:rsidR="00D21002" w:rsidRPr="002239DC">
              <w:t xml:space="preserve">          </w:t>
            </w:r>
            <w:r w:rsidR="00F04BA8" w:rsidRPr="002239DC">
              <w:t xml:space="preserve"> </w:t>
            </w:r>
            <w:r w:rsidR="00D21002" w:rsidRPr="002239DC">
              <w:t>8.7</w:t>
            </w:r>
          </w:p>
        </w:tc>
        <w:tc>
          <w:tcPr>
            <w:tcW w:w="2340" w:type="dxa"/>
          </w:tcPr>
          <w:p w14:paraId="1A35F355" w14:textId="33353ECA" w:rsidR="00D31825" w:rsidRPr="002239DC" w:rsidRDefault="00B51FDA" w:rsidP="007C48EB">
            <w:pPr>
              <w:spacing w:line="480" w:lineRule="auto"/>
            </w:pPr>
            <w:r w:rsidRPr="002239DC">
              <w:t>64.0 (24.6)</w:t>
            </w:r>
            <w:r w:rsidR="00D21002" w:rsidRPr="002239DC">
              <w:t xml:space="preserve">     </w:t>
            </w:r>
            <w:r w:rsidR="00F04BA8" w:rsidRPr="002239DC">
              <w:t xml:space="preserve"> </w:t>
            </w:r>
            <w:r w:rsidR="00D21002" w:rsidRPr="002239DC">
              <w:t>11.6</w:t>
            </w:r>
          </w:p>
        </w:tc>
      </w:tr>
      <w:tr w:rsidR="00D31825" w14:paraId="7B5450BC" w14:textId="77777777" w:rsidTr="002239DC">
        <w:tc>
          <w:tcPr>
            <w:tcW w:w="2178" w:type="dxa"/>
          </w:tcPr>
          <w:p w14:paraId="70C083F6" w14:textId="77777777" w:rsidR="00D31825" w:rsidRDefault="00D31825" w:rsidP="00324954">
            <w:pPr>
              <w:spacing w:line="480" w:lineRule="auto"/>
            </w:pPr>
            <w:r>
              <w:t>NV cognition-2</w:t>
            </w:r>
          </w:p>
        </w:tc>
        <w:tc>
          <w:tcPr>
            <w:tcW w:w="2160" w:type="dxa"/>
          </w:tcPr>
          <w:p w14:paraId="24935660" w14:textId="125D35A9" w:rsidR="00D31825" w:rsidRPr="002239DC" w:rsidRDefault="00DE02A1" w:rsidP="007C48EB">
            <w:pPr>
              <w:spacing w:line="480" w:lineRule="auto"/>
            </w:pPr>
            <w:r w:rsidRPr="002239DC">
              <w:t>18.4 (3.2)</w:t>
            </w:r>
            <w:r w:rsidR="00BC6897" w:rsidRPr="002239DC">
              <w:t xml:space="preserve">    </w:t>
            </w:r>
            <w:r w:rsidR="00F04BA8" w:rsidRPr="002239DC">
              <w:t xml:space="preserve">  </w:t>
            </w:r>
            <w:r w:rsidR="001629A3">
              <w:t xml:space="preserve"> </w:t>
            </w:r>
            <w:r w:rsidR="00BC6897" w:rsidRPr="002239DC">
              <w:t>1</w:t>
            </w:r>
            <w:r w:rsidR="001629A3">
              <w:t>1.8</w:t>
            </w:r>
          </w:p>
        </w:tc>
        <w:tc>
          <w:tcPr>
            <w:tcW w:w="2520" w:type="dxa"/>
          </w:tcPr>
          <w:p w14:paraId="43656AD4" w14:textId="77777777" w:rsidR="00D31825" w:rsidRPr="002239DC" w:rsidRDefault="006153E9" w:rsidP="000A647F">
            <w:pPr>
              <w:spacing w:line="480" w:lineRule="auto"/>
            </w:pPr>
            <w:r w:rsidRPr="002239DC">
              <w:t xml:space="preserve">18.6 (3.2)  </w:t>
            </w:r>
            <w:r w:rsidR="00BC6897" w:rsidRPr="002239DC">
              <w:t xml:space="preserve">    </w:t>
            </w:r>
            <w:r w:rsidR="000A647F" w:rsidRPr="002239DC">
              <w:t xml:space="preserve"> </w:t>
            </w:r>
            <w:r w:rsidR="00F04BA8" w:rsidRPr="002239DC">
              <w:t xml:space="preserve">   </w:t>
            </w:r>
            <w:r w:rsidR="000A647F" w:rsidRPr="002239DC">
              <w:t>10.1</w:t>
            </w:r>
          </w:p>
        </w:tc>
        <w:tc>
          <w:tcPr>
            <w:tcW w:w="2340" w:type="dxa"/>
          </w:tcPr>
          <w:p w14:paraId="2B313ECA" w14:textId="1CB68D52" w:rsidR="00D31825" w:rsidRDefault="0098203A" w:rsidP="006153E9">
            <w:pPr>
              <w:spacing w:line="480" w:lineRule="auto"/>
              <w:rPr>
                <w:b/>
              </w:rPr>
            </w:pPr>
            <w:r w:rsidRPr="003E6019">
              <w:rPr>
                <w:b/>
              </w:rPr>
              <w:t>18.1 (3.1)</w:t>
            </w:r>
            <w:r w:rsidR="00BC6897" w:rsidRPr="002239DC">
              <w:t xml:space="preserve">  </w:t>
            </w:r>
            <w:r w:rsidR="00F04BA8" w:rsidRPr="002239DC">
              <w:t xml:space="preserve">  </w:t>
            </w:r>
            <w:r w:rsidR="000A647F" w:rsidRPr="003E6019">
              <w:rPr>
                <w:b/>
              </w:rPr>
              <w:t>13.9</w:t>
            </w:r>
          </w:p>
          <w:p w14:paraId="24C02B92" w14:textId="72B40FA1" w:rsidR="00466D22" w:rsidRPr="00466D22" w:rsidRDefault="003118AB" w:rsidP="006153E9">
            <w:pPr>
              <w:spacing w:line="480" w:lineRule="auto"/>
            </w:pPr>
            <w:r w:rsidRPr="003118AB">
              <w:t>.0</w:t>
            </w:r>
            <w:r>
              <w:t>01</w:t>
            </w:r>
            <w:r w:rsidRPr="003118AB">
              <w:t xml:space="preserve">                .0</w:t>
            </w:r>
            <w:r w:rsidR="00466D22" w:rsidRPr="003E6019">
              <w:t>2</w:t>
            </w:r>
            <w:r>
              <w:t>7</w:t>
            </w:r>
          </w:p>
        </w:tc>
      </w:tr>
      <w:tr w:rsidR="00D31825" w14:paraId="21ECED9D" w14:textId="77777777" w:rsidTr="002239DC">
        <w:tc>
          <w:tcPr>
            <w:tcW w:w="2178" w:type="dxa"/>
          </w:tcPr>
          <w:p w14:paraId="6CAA2E2F" w14:textId="77777777" w:rsidR="00D31825" w:rsidRDefault="00D31825" w:rsidP="007C48EB">
            <w:pPr>
              <w:spacing w:line="480" w:lineRule="auto"/>
            </w:pPr>
            <w:r>
              <w:t>NV cognition-3</w:t>
            </w:r>
          </w:p>
        </w:tc>
        <w:tc>
          <w:tcPr>
            <w:tcW w:w="2160" w:type="dxa"/>
          </w:tcPr>
          <w:p w14:paraId="57BAC4DF" w14:textId="1F86D319" w:rsidR="00D31825" w:rsidRPr="002239DC" w:rsidRDefault="00DE02A1" w:rsidP="007C48EB">
            <w:pPr>
              <w:spacing w:line="480" w:lineRule="auto"/>
            </w:pPr>
            <w:r w:rsidRPr="002239DC">
              <w:t>14.1 (3.0)</w:t>
            </w:r>
            <w:r w:rsidR="001629A3">
              <w:t xml:space="preserve">       12.2</w:t>
            </w:r>
          </w:p>
        </w:tc>
        <w:tc>
          <w:tcPr>
            <w:tcW w:w="2520" w:type="dxa"/>
          </w:tcPr>
          <w:p w14:paraId="331F8C55" w14:textId="77777777" w:rsidR="00D31825" w:rsidRPr="002239DC" w:rsidRDefault="0098203A" w:rsidP="007C48EB">
            <w:pPr>
              <w:spacing w:line="480" w:lineRule="auto"/>
            </w:pPr>
            <w:r w:rsidRPr="002239DC">
              <w:t>14.4 (3.0)</w:t>
            </w:r>
            <w:r w:rsidR="000A647F" w:rsidRPr="002239DC">
              <w:t xml:space="preserve">  </w:t>
            </w:r>
            <w:r w:rsidR="006153E9" w:rsidRPr="002239DC">
              <w:t xml:space="preserve">   </w:t>
            </w:r>
            <w:r w:rsidR="000A647F" w:rsidRPr="002239DC">
              <w:t xml:space="preserve">    </w:t>
            </w:r>
            <w:r w:rsidR="00F04BA8" w:rsidRPr="002239DC">
              <w:t xml:space="preserve">   </w:t>
            </w:r>
            <w:r w:rsidR="000A647F" w:rsidRPr="002239DC">
              <w:t>9.5</w:t>
            </w:r>
          </w:p>
        </w:tc>
        <w:tc>
          <w:tcPr>
            <w:tcW w:w="2340" w:type="dxa"/>
          </w:tcPr>
          <w:p w14:paraId="3F04D533" w14:textId="225856A3" w:rsidR="00466D22" w:rsidRDefault="0098203A" w:rsidP="006153E9">
            <w:pPr>
              <w:spacing w:line="480" w:lineRule="auto"/>
            </w:pPr>
            <w:r w:rsidRPr="003E6019">
              <w:rPr>
                <w:b/>
              </w:rPr>
              <w:t>13.7 (3.1)</w:t>
            </w:r>
            <w:r w:rsidR="000A647F" w:rsidRPr="003E6019">
              <w:rPr>
                <w:b/>
              </w:rPr>
              <w:t xml:space="preserve">  </w:t>
            </w:r>
            <w:r w:rsidR="00F04BA8" w:rsidRPr="003E6019">
              <w:rPr>
                <w:b/>
              </w:rPr>
              <w:t xml:space="preserve">  </w:t>
            </w:r>
            <w:r w:rsidR="000A647F" w:rsidRPr="003E6019">
              <w:rPr>
                <w:b/>
              </w:rPr>
              <w:t>15.5</w:t>
            </w:r>
          </w:p>
          <w:p w14:paraId="5C57733E" w14:textId="3773CBBC" w:rsidR="00466D22" w:rsidRPr="00466D22" w:rsidRDefault="00466D22" w:rsidP="006153E9">
            <w:pPr>
              <w:spacing w:line="480" w:lineRule="auto"/>
            </w:pPr>
            <w:r>
              <w:t>&lt;.001              &lt;.001</w:t>
            </w:r>
          </w:p>
        </w:tc>
      </w:tr>
      <w:tr w:rsidR="00D31825" w14:paraId="54BBFD4B" w14:textId="77777777" w:rsidTr="002239DC">
        <w:tc>
          <w:tcPr>
            <w:tcW w:w="2178" w:type="dxa"/>
          </w:tcPr>
          <w:p w14:paraId="19645C94" w14:textId="77777777" w:rsidR="00D31825" w:rsidRDefault="00D31825" w:rsidP="00324954">
            <w:pPr>
              <w:spacing w:line="480" w:lineRule="auto"/>
            </w:pPr>
            <w:r>
              <w:t>Mother’s educ</w:t>
            </w:r>
            <w:r w:rsidR="00D8208E">
              <w:t>ation</w:t>
            </w:r>
          </w:p>
        </w:tc>
        <w:tc>
          <w:tcPr>
            <w:tcW w:w="2160" w:type="dxa"/>
          </w:tcPr>
          <w:p w14:paraId="3A406A9D" w14:textId="1CE04420" w:rsidR="00D31825" w:rsidRPr="002239DC" w:rsidRDefault="00DE02A1" w:rsidP="007C48EB">
            <w:pPr>
              <w:spacing w:line="480" w:lineRule="auto"/>
            </w:pPr>
            <w:r w:rsidRPr="002239DC">
              <w:t>4.1 (2.0)</w:t>
            </w:r>
            <w:r w:rsidR="001629A3">
              <w:t xml:space="preserve">         16.8</w:t>
            </w:r>
          </w:p>
        </w:tc>
        <w:tc>
          <w:tcPr>
            <w:tcW w:w="2520" w:type="dxa"/>
          </w:tcPr>
          <w:p w14:paraId="5446E280" w14:textId="2A9A30D2" w:rsidR="00D31825" w:rsidRPr="002239DC" w:rsidRDefault="00B51FDA" w:rsidP="001629A3">
            <w:pPr>
              <w:spacing w:line="480" w:lineRule="auto"/>
            </w:pPr>
            <w:r w:rsidRPr="002239DC">
              <w:t>4.</w:t>
            </w:r>
            <w:r w:rsidR="001629A3">
              <w:t>1</w:t>
            </w:r>
            <w:r w:rsidRPr="002239DC">
              <w:t xml:space="preserve"> (2.0)</w:t>
            </w:r>
            <w:r w:rsidR="00D21002" w:rsidRPr="002239DC">
              <w:t xml:space="preserve">      </w:t>
            </w:r>
            <w:r w:rsidR="000A647F" w:rsidRPr="002239DC">
              <w:t xml:space="preserve">  </w:t>
            </w:r>
            <w:r w:rsidR="00F04BA8" w:rsidRPr="002239DC">
              <w:t xml:space="preserve">  </w:t>
            </w:r>
            <w:r w:rsidR="000A647F" w:rsidRPr="002239DC">
              <w:t xml:space="preserve"> </w:t>
            </w:r>
            <w:r w:rsidR="00D21002" w:rsidRPr="002239DC">
              <w:t>17.9</w:t>
            </w:r>
          </w:p>
        </w:tc>
        <w:tc>
          <w:tcPr>
            <w:tcW w:w="2340" w:type="dxa"/>
          </w:tcPr>
          <w:p w14:paraId="3E6C1DB2" w14:textId="77777777" w:rsidR="00D31825" w:rsidRPr="002239DC" w:rsidRDefault="00B51FDA" w:rsidP="007C48EB">
            <w:pPr>
              <w:spacing w:line="480" w:lineRule="auto"/>
            </w:pPr>
            <w:r w:rsidRPr="002239DC">
              <w:t>4.07 (2.0)</w:t>
            </w:r>
            <w:r w:rsidR="00D21002" w:rsidRPr="002239DC">
              <w:t xml:space="preserve">     </w:t>
            </w:r>
            <w:r w:rsidR="000A647F" w:rsidRPr="002239DC">
              <w:t xml:space="preserve"> </w:t>
            </w:r>
            <w:r w:rsidR="00F04BA8" w:rsidRPr="002239DC">
              <w:t xml:space="preserve">  </w:t>
            </w:r>
            <w:r w:rsidR="00D21002" w:rsidRPr="002239DC">
              <w:t>15.4</w:t>
            </w:r>
          </w:p>
        </w:tc>
      </w:tr>
      <w:tr w:rsidR="00D31825" w14:paraId="7C758929" w14:textId="77777777" w:rsidTr="002239DC">
        <w:tc>
          <w:tcPr>
            <w:tcW w:w="2178" w:type="dxa"/>
          </w:tcPr>
          <w:p w14:paraId="4AF118F6" w14:textId="77777777" w:rsidR="00D31825" w:rsidRDefault="00D31825" w:rsidP="00FD577F">
            <w:pPr>
              <w:spacing w:line="480" w:lineRule="auto"/>
            </w:pPr>
            <w:r>
              <w:t xml:space="preserve">Family History </w:t>
            </w:r>
          </w:p>
        </w:tc>
        <w:tc>
          <w:tcPr>
            <w:tcW w:w="2160" w:type="dxa"/>
          </w:tcPr>
          <w:p w14:paraId="1E5772BB" w14:textId="77777777" w:rsidR="00D31825" w:rsidRPr="002239DC" w:rsidRDefault="000D55B9" w:rsidP="000D55B9">
            <w:pPr>
              <w:spacing w:line="480" w:lineRule="auto"/>
            </w:pPr>
            <w:r w:rsidRPr="002239DC">
              <w:t xml:space="preserve">----       </w:t>
            </w:r>
            <w:r w:rsidR="000A647F" w:rsidRPr="002239DC">
              <w:t xml:space="preserve">      </w:t>
            </w:r>
            <w:r w:rsidR="00F04BA8" w:rsidRPr="002239DC">
              <w:t xml:space="preserve">   </w:t>
            </w:r>
            <w:r w:rsidR="00FB775C" w:rsidRPr="002239DC">
              <w:t xml:space="preserve"> </w:t>
            </w:r>
            <w:r w:rsidR="00DE02A1" w:rsidRPr="002239DC">
              <w:t>20.5</w:t>
            </w:r>
          </w:p>
        </w:tc>
        <w:tc>
          <w:tcPr>
            <w:tcW w:w="2520" w:type="dxa"/>
          </w:tcPr>
          <w:p w14:paraId="1BD92FDA" w14:textId="77777777" w:rsidR="00D31825" w:rsidRPr="002239DC" w:rsidRDefault="000D55B9" w:rsidP="000D55B9">
            <w:pPr>
              <w:spacing w:line="480" w:lineRule="auto"/>
            </w:pPr>
            <w:r w:rsidRPr="002239DC">
              <w:t xml:space="preserve">----      </w:t>
            </w:r>
            <w:r w:rsidR="000A647F" w:rsidRPr="002239DC">
              <w:t xml:space="preserve">    </w:t>
            </w:r>
            <w:r w:rsidRPr="002239DC">
              <w:t xml:space="preserve"> </w:t>
            </w:r>
            <w:r w:rsidR="000A647F" w:rsidRPr="002239DC">
              <w:t xml:space="preserve">       </w:t>
            </w:r>
            <w:r w:rsidR="00F04BA8" w:rsidRPr="002239DC">
              <w:t xml:space="preserve">   </w:t>
            </w:r>
            <w:r w:rsidR="00A12865" w:rsidRPr="002239DC">
              <w:t>19.8</w:t>
            </w:r>
          </w:p>
        </w:tc>
        <w:tc>
          <w:tcPr>
            <w:tcW w:w="2340" w:type="dxa"/>
          </w:tcPr>
          <w:p w14:paraId="760D6F58" w14:textId="77777777" w:rsidR="00D31825" w:rsidRPr="002239DC" w:rsidRDefault="000D55B9" w:rsidP="007C48EB">
            <w:pPr>
              <w:spacing w:line="480" w:lineRule="auto"/>
            </w:pPr>
            <w:r w:rsidRPr="002239DC">
              <w:t>----</w:t>
            </w:r>
            <w:r w:rsidR="00A12865" w:rsidRPr="002239DC">
              <w:t xml:space="preserve"> </w:t>
            </w:r>
            <w:r w:rsidRPr="002239DC">
              <w:t xml:space="preserve">     </w:t>
            </w:r>
            <w:r w:rsidR="000A647F" w:rsidRPr="002239DC">
              <w:t xml:space="preserve">    </w:t>
            </w:r>
            <w:r w:rsidRPr="002239DC">
              <w:t xml:space="preserve"> </w:t>
            </w:r>
            <w:r w:rsidR="000A647F" w:rsidRPr="002239DC">
              <w:t xml:space="preserve">    </w:t>
            </w:r>
            <w:r w:rsidR="00F04BA8" w:rsidRPr="002239DC">
              <w:t xml:space="preserve">   </w:t>
            </w:r>
            <w:r w:rsidR="00D21002" w:rsidRPr="002239DC">
              <w:t>21.4</w:t>
            </w:r>
          </w:p>
        </w:tc>
      </w:tr>
      <w:tr w:rsidR="00D31825" w14:paraId="604A8491" w14:textId="77777777" w:rsidTr="002239DC">
        <w:tc>
          <w:tcPr>
            <w:tcW w:w="2178" w:type="dxa"/>
          </w:tcPr>
          <w:p w14:paraId="441BF663" w14:textId="5A0CDA79" w:rsidR="00D31825" w:rsidRDefault="00D31825" w:rsidP="007C48EB">
            <w:pPr>
              <w:spacing w:line="480" w:lineRule="auto"/>
            </w:pPr>
            <w:r>
              <w:t>EA3</w:t>
            </w:r>
            <w:r w:rsidR="00A01747" w:rsidRPr="00A01747">
              <w:rPr>
                <w:vertAlign w:val="superscript"/>
              </w:rPr>
              <w:t>a</w:t>
            </w:r>
            <w:r w:rsidR="00A01747">
              <w:t xml:space="preserve"> </w:t>
            </w:r>
          </w:p>
        </w:tc>
        <w:tc>
          <w:tcPr>
            <w:tcW w:w="2160" w:type="dxa"/>
          </w:tcPr>
          <w:p w14:paraId="7FC7FD9E" w14:textId="70FDBA8E" w:rsidR="00D31825" w:rsidRPr="002239DC" w:rsidRDefault="001629A3" w:rsidP="007C48EB">
            <w:pPr>
              <w:spacing w:line="480" w:lineRule="auto"/>
            </w:pPr>
            <w:r>
              <w:t>.091 (1.025)   10.0</w:t>
            </w:r>
          </w:p>
        </w:tc>
        <w:tc>
          <w:tcPr>
            <w:tcW w:w="2520" w:type="dxa"/>
          </w:tcPr>
          <w:p w14:paraId="36598571" w14:textId="15BBDE43" w:rsidR="00D31825" w:rsidRPr="002239DC" w:rsidRDefault="001629A3" w:rsidP="001629A3">
            <w:pPr>
              <w:spacing w:line="480" w:lineRule="auto"/>
            </w:pPr>
            <w:r>
              <w:t>.053 (.997)</w:t>
            </w:r>
            <w:r w:rsidR="000A647F" w:rsidRPr="002239DC">
              <w:t xml:space="preserve">       </w:t>
            </w:r>
            <w:r w:rsidR="00F04BA8" w:rsidRPr="002239DC">
              <w:t xml:space="preserve"> </w:t>
            </w:r>
            <w:r>
              <w:t xml:space="preserve">  </w:t>
            </w:r>
            <w:r w:rsidR="000A647F" w:rsidRPr="002239DC">
              <w:t>9.</w:t>
            </w:r>
            <w:r>
              <w:t>5</w:t>
            </w:r>
            <w:r w:rsidR="000A647F" w:rsidRPr="002239DC">
              <w:t>*</w:t>
            </w:r>
          </w:p>
        </w:tc>
        <w:tc>
          <w:tcPr>
            <w:tcW w:w="2340" w:type="dxa"/>
          </w:tcPr>
          <w:p w14:paraId="23612162" w14:textId="4CED57AE" w:rsidR="00D31825" w:rsidRPr="002239DC" w:rsidRDefault="001629A3" w:rsidP="001629A3">
            <w:pPr>
              <w:spacing w:line="480" w:lineRule="auto"/>
            </w:pPr>
            <w:r>
              <w:t>.138 (1.058)    10.6</w:t>
            </w:r>
          </w:p>
        </w:tc>
      </w:tr>
      <w:tr w:rsidR="00D31825" w14:paraId="3CE6DEF5" w14:textId="77777777" w:rsidTr="002239DC">
        <w:tc>
          <w:tcPr>
            <w:tcW w:w="2178" w:type="dxa"/>
          </w:tcPr>
          <w:p w14:paraId="25CC91F5" w14:textId="77777777" w:rsidR="00D31825" w:rsidRDefault="00D31825" w:rsidP="003B3D1A">
            <w:pPr>
              <w:spacing w:line="480" w:lineRule="auto"/>
            </w:pPr>
            <w:r>
              <w:t>Cum</w:t>
            </w:r>
            <w:r w:rsidR="00D8208E">
              <w:t>ulative</w:t>
            </w:r>
            <w:r>
              <w:t xml:space="preserve"> risk-2</w:t>
            </w:r>
          </w:p>
        </w:tc>
        <w:tc>
          <w:tcPr>
            <w:tcW w:w="2160" w:type="dxa"/>
          </w:tcPr>
          <w:p w14:paraId="34083155" w14:textId="258303CD" w:rsidR="00D31825" w:rsidRPr="002239DC" w:rsidRDefault="00DD0866" w:rsidP="007C48EB">
            <w:pPr>
              <w:spacing w:line="480" w:lineRule="auto"/>
            </w:pPr>
            <w:r>
              <w:t>.696 (.85</w:t>
            </w:r>
            <w:r w:rsidR="0093009A" w:rsidRPr="002239DC">
              <w:t xml:space="preserve">) </w:t>
            </w:r>
            <w:r>
              <w:t xml:space="preserve">  </w:t>
            </w:r>
            <w:r w:rsidR="0093009A" w:rsidRPr="002239DC">
              <w:t xml:space="preserve">    </w:t>
            </w:r>
            <w:r w:rsidR="00A57B05" w:rsidRPr="002239DC">
              <w:t>16.4</w:t>
            </w:r>
          </w:p>
        </w:tc>
        <w:tc>
          <w:tcPr>
            <w:tcW w:w="2520" w:type="dxa"/>
          </w:tcPr>
          <w:p w14:paraId="39594EBD" w14:textId="38F6B420" w:rsidR="00D31825" w:rsidRPr="002239DC" w:rsidRDefault="00DD0866" w:rsidP="007C48EB">
            <w:pPr>
              <w:spacing w:line="480" w:lineRule="auto"/>
            </w:pPr>
            <w:r>
              <w:t>.646 (.83</w:t>
            </w:r>
            <w:r w:rsidR="00D21002" w:rsidRPr="002239DC">
              <w:t>)</w:t>
            </w:r>
            <w:r w:rsidR="00174B7D" w:rsidRPr="002239DC">
              <w:t xml:space="preserve">   </w:t>
            </w:r>
            <w:r w:rsidR="0093009A" w:rsidRPr="002239DC">
              <w:t xml:space="preserve">    </w:t>
            </w:r>
            <w:r w:rsidR="00414890" w:rsidRPr="002239DC">
              <w:t xml:space="preserve"> </w:t>
            </w:r>
            <w:r>
              <w:t xml:space="preserve">  </w:t>
            </w:r>
            <w:r w:rsidR="00414890" w:rsidRPr="002239DC">
              <w:t>15.0</w:t>
            </w:r>
          </w:p>
        </w:tc>
        <w:tc>
          <w:tcPr>
            <w:tcW w:w="2340" w:type="dxa"/>
          </w:tcPr>
          <w:p w14:paraId="59856E20" w14:textId="32006882" w:rsidR="00D31825" w:rsidRDefault="00DD0866" w:rsidP="00174B7D">
            <w:pPr>
              <w:spacing w:line="480" w:lineRule="auto"/>
            </w:pPr>
            <w:r w:rsidRPr="003E6019">
              <w:rPr>
                <w:b/>
              </w:rPr>
              <w:t>.758 (.87</w:t>
            </w:r>
            <w:r w:rsidR="00D21002" w:rsidRPr="003E6019">
              <w:rPr>
                <w:b/>
              </w:rPr>
              <w:t>)</w:t>
            </w:r>
            <w:r w:rsidR="0093009A" w:rsidRPr="003E6019">
              <w:rPr>
                <w:b/>
              </w:rPr>
              <w:t xml:space="preserve"> </w:t>
            </w:r>
            <w:r w:rsidRPr="003E6019">
              <w:rPr>
                <w:b/>
              </w:rPr>
              <w:t xml:space="preserve"> </w:t>
            </w:r>
            <w:r w:rsidR="0093009A" w:rsidRPr="003E6019">
              <w:rPr>
                <w:b/>
              </w:rPr>
              <w:t xml:space="preserve"> </w:t>
            </w:r>
            <w:r w:rsidR="00414890" w:rsidRPr="003E6019">
              <w:rPr>
                <w:b/>
              </w:rPr>
              <w:t xml:space="preserve"> </w:t>
            </w:r>
            <w:r w:rsidR="00414890" w:rsidRPr="003118AB">
              <w:t>18.</w:t>
            </w:r>
            <w:r w:rsidR="003C41A9" w:rsidRPr="003118AB">
              <w:t>1</w:t>
            </w:r>
          </w:p>
          <w:p w14:paraId="322E7FBA" w14:textId="5B7459BE" w:rsidR="00A3304B" w:rsidRPr="00A3304B" w:rsidRDefault="00A3304B" w:rsidP="00174B7D">
            <w:pPr>
              <w:spacing w:line="480" w:lineRule="auto"/>
            </w:pPr>
            <w:r>
              <w:t>.015</w:t>
            </w:r>
          </w:p>
        </w:tc>
      </w:tr>
      <w:tr w:rsidR="00D31825" w14:paraId="60F9C91B" w14:textId="77777777" w:rsidTr="002239DC">
        <w:tc>
          <w:tcPr>
            <w:tcW w:w="2178" w:type="dxa"/>
          </w:tcPr>
          <w:p w14:paraId="0004356C" w14:textId="77777777" w:rsidR="00D31825" w:rsidRDefault="00D31825" w:rsidP="003B3D1A">
            <w:pPr>
              <w:spacing w:line="480" w:lineRule="auto"/>
            </w:pPr>
            <w:r>
              <w:t>Cum</w:t>
            </w:r>
            <w:r w:rsidR="00D8208E">
              <w:t>ulative</w:t>
            </w:r>
            <w:r>
              <w:t xml:space="preserve"> risk-3</w:t>
            </w:r>
          </w:p>
        </w:tc>
        <w:tc>
          <w:tcPr>
            <w:tcW w:w="2160" w:type="dxa"/>
          </w:tcPr>
          <w:p w14:paraId="3C823099" w14:textId="6064800E" w:rsidR="00D31825" w:rsidRPr="002239DC" w:rsidRDefault="00D20859" w:rsidP="007C48EB">
            <w:pPr>
              <w:spacing w:line="480" w:lineRule="auto"/>
            </w:pPr>
            <w:r>
              <w:t>.694 (.87</w:t>
            </w:r>
            <w:r w:rsidR="0093009A" w:rsidRPr="002239DC">
              <w:t xml:space="preserve">)     </w:t>
            </w:r>
            <w:r>
              <w:t xml:space="preserve">  </w:t>
            </w:r>
            <w:r w:rsidR="00A57B05" w:rsidRPr="002239DC">
              <w:t>16.4</w:t>
            </w:r>
          </w:p>
        </w:tc>
        <w:tc>
          <w:tcPr>
            <w:tcW w:w="2520" w:type="dxa"/>
          </w:tcPr>
          <w:p w14:paraId="698F388B" w14:textId="0A918E94" w:rsidR="00D31825" w:rsidRPr="002239DC" w:rsidRDefault="00D20859" w:rsidP="007C48EB">
            <w:pPr>
              <w:spacing w:line="480" w:lineRule="auto"/>
            </w:pPr>
            <w:r>
              <w:t>.654 (.84</w:t>
            </w:r>
            <w:r w:rsidR="00D21002" w:rsidRPr="002239DC">
              <w:t>)</w:t>
            </w:r>
            <w:r w:rsidR="0093009A" w:rsidRPr="002239DC">
              <w:t xml:space="preserve">        </w:t>
            </w:r>
            <w:r>
              <w:t xml:space="preserve"> </w:t>
            </w:r>
            <w:r w:rsidR="00414890" w:rsidRPr="002239DC">
              <w:t xml:space="preserve"> 16.</w:t>
            </w:r>
            <w:r w:rsidR="003C41A9" w:rsidRPr="002239DC">
              <w:t>0</w:t>
            </w:r>
          </w:p>
        </w:tc>
        <w:tc>
          <w:tcPr>
            <w:tcW w:w="2340" w:type="dxa"/>
          </w:tcPr>
          <w:p w14:paraId="367927D4" w14:textId="61AE04B4" w:rsidR="00A3304B" w:rsidRPr="003118AB" w:rsidRDefault="00D20859" w:rsidP="007C48EB">
            <w:pPr>
              <w:spacing w:line="480" w:lineRule="auto"/>
            </w:pPr>
            <w:r w:rsidRPr="003118AB">
              <w:t>.745 (.90</w:t>
            </w:r>
            <w:r w:rsidR="00D21002" w:rsidRPr="003118AB">
              <w:t>)</w:t>
            </w:r>
            <w:r w:rsidR="0093009A" w:rsidRPr="003118AB">
              <w:t xml:space="preserve"> </w:t>
            </w:r>
            <w:r w:rsidRPr="003118AB">
              <w:t xml:space="preserve">  </w:t>
            </w:r>
            <w:r w:rsidR="0093009A" w:rsidRPr="003118AB">
              <w:t xml:space="preserve">    </w:t>
            </w:r>
            <w:r w:rsidR="00414890" w:rsidRPr="003118AB">
              <w:t xml:space="preserve"> 17.</w:t>
            </w:r>
            <w:r w:rsidR="003C41A9" w:rsidRPr="003118AB">
              <w:t>3</w:t>
            </w:r>
          </w:p>
        </w:tc>
      </w:tr>
      <w:tr w:rsidR="00D31825" w14:paraId="0EB9CB6E" w14:textId="77777777" w:rsidTr="002239DC">
        <w:tc>
          <w:tcPr>
            <w:tcW w:w="2178" w:type="dxa"/>
          </w:tcPr>
          <w:p w14:paraId="69A4E985" w14:textId="3A262DF2" w:rsidR="00A01747" w:rsidRDefault="00D31825" w:rsidP="003B3D1A">
            <w:pPr>
              <w:spacing w:line="480" w:lineRule="auto"/>
            </w:pPr>
            <w:r>
              <w:t>Recep</w:t>
            </w:r>
            <w:r w:rsidR="00D8208E">
              <w:t>tive</w:t>
            </w:r>
            <w:r>
              <w:t xml:space="preserve"> lang-12</w:t>
            </w:r>
            <w:r w:rsidR="00A01747" w:rsidRPr="00A01747">
              <w:rPr>
                <w:vertAlign w:val="superscript"/>
              </w:rPr>
              <w:t>a</w:t>
            </w:r>
          </w:p>
        </w:tc>
        <w:tc>
          <w:tcPr>
            <w:tcW w:w="2160" w:type="dxa"/>
          </w:tcPr>
          <w:p w14:paraId="769F95EA" w14:textId="79BC2E55" w:rsidR="00D31825" w:rsidRPr="002239DC" w:rsidRDefault="00CF28A5" w:rsidP="00130DE2">
            <w:pPr>
              <w:spacing w:line="480" w:lineRule="auto"/>
            </w:pPr>
            <w:r w:rsidRPr="002239DC">
              <w:t>.01</w:t>
            </w:r>
            <w:r w:rsidR="00130DE2" w:rsidRPr="002239DC">
              <w:t>4</w:t>
            </w:r>
            <w:r w:rsidRPr="002239DC">
              <w:t xml:space="preserve"> (.73)   </w:t>
            </w:r>
            <w:r w:rsidR="00A70BD5">
              <w:t xml:space="preserve">   </w:t>
            </w:r>
            <w:r w:rsidRPr="002239DC">
              <w:t xml:space="preserve"> </w:t>
            </w:r>
            <w:r w:rsidR="00FB775C" w:rsidRPr="002239DC">
              <w:t xml:space="preserve">  </w:t>
            </w:r>
            <w:r w:rsidR="00130DE2" w:rsidRPr="002239DC">
              <w:t>9.9</w:t>
            </w:r>
            <w:r w:rsidRPr="002239DC">
              <w:t xml:space="preserve">      </w:t>
            </w:r>
          </w:p>
        </w:tc>
        <w:tc>
          <w:tcPr>
            <w:tcW w:w="2520" w:type="dxa"/>
          </w:tcPr>
          <w:p w14:paraId="634722D9" w14:textId="6923A816" w:rsidR="00D31825" w:rsidRPr="002239DC" w:rsidRDefault="00A70BD5" w:rsidP="007C48EB">
            <w:pPr>
              <w:spacing w:line="480" w:lineRule="auto"/>
            </w:pPr>
            <w:r>
              <w:t xml:space="preserve"> .031 (.75</w:t>
            </w:r>
            <w:r w:rsidR="00CF28A5" w:rsidRPr="002239DC">
              <w:t>)</w:t>
            </w:r>
            <w:r w:rsidR="000A647F" w:rsidRPr="002239DC">
              <w:t xml:space="preserve"> </w:t>
            </w:r>
            <w:r>
              <w:t xml:space="preserve">  </w:t>
            </w:r>
            <w:r w:rsidR="000A647F" w:rsidRPr="002239DC">
              <w:t xml:space="preserve"> </w:t>
            </w:r>
            <w:r w:rsidR="00CF28A5" w:rsidRPr="002239DC">
              <w:t xml:space="preserve">     10.0</w:t>
            </w:r>
            <w:r w:rsidR="000A647F" w:rsidRPr="002239DC">
              <w:t xml:space="preserve">                  </w:t>
            </w:r>
            <w:r w:rsidR="00F04BA8" w:rsidRPr="002239DC">
              <w:t xml:space="preserve">  </w:t>
            </w:r>
          </w:p>
        </w:tc>
        <w:tc>
          <w:tcPr>
            <w:tcW w:w="2340" w:type="dxa"/>
          </w:tcPr>
          <w:p w14:paraId="3B10CDF4" w14:textId="091EF719" w:rsidR="00D31825" w:rsidRPr="002239DC" w:rsidRDefault="000A647F" w:rsidP="00CF28A5">
            <w:pPr>
              <w:spacing w:line="480" w:lineRule="auto"/>
            </w:pPr>
            <w:r w:rsidRPr="002239DC">
              <w:t xml:space="preserve"> </w:t>
            </w:r>
            <w:r w:rsidR="00B2573C">
              <w:t>-.008 (.72</w:t>
            </w:r>
            <w:r w:rsidR="00CF28A5" w:rsidRPr="002239DC">
              <w:t xml:space="preserve">)   </w:t>
            </w:r>
            <w:r w:rsidR="00B2573C">
              <w:t xml:space="preserve">  </w:t>
            </w:r>
            <w:r w:rsidR="00CF28A5" w:rsidRPr="002239DC">
              <w:t xml:space="preserve">  9.9               </w:t>
            </w:r>
          </w:p>
        </w:tc>
      </w:tr>
      <w:tr w:rsidR="00D31825" w14:paraId="12E4DCDB" w14:textId="77777777" w:rsidTr="002239DC">
        <w:tc>
          <w:tcPr>
            <w:tcW w:w="2178" w:type="dxa"/>
          </w:tcPr>
          <w:p w14:paraId="08BE00DF" w14:textId="65BD7C85" w:rsidR="00D31825" w:rsidRDefault="00D31825" w:rsidP="007C48EB">
            <w:pPr>
              <w:spacing w:line="480" w:lineRule="auto"/>
            </w:pPr>
            <w:r>
              <w:t>Decoding-12</w:t>
            </w:r>
            <w:r w:rsidR="00A01747" w:rsidRPr="00A01747">
              <w:rPr>
                <w:vertAlign w:val="superscript"/>
              </w:rPr>
              <w:t>a</w:t>
            </w:r>
          </w:p>
        </w:tc>
        <w:tc>
          <w:tcPr>
            <w:tcW w:w="2160" w:type="dxa"/>
          </w:tcPr>
          <w:p w14:paraId="7C34308B" w14:textId="1B140A65" w:rsidR="00D31825" w:rsidRPr="002239DC" w:rsidRDefault="00CF28A5" w:rsidP="00130DE2">
            <w:pPr>
              <w:spacing w:line="480" w:lineRule="auto"/>
            </w:pPr>
            <w:r w:rsidRPr="002239DC">
              <w:t>.00</w:t>
            </w:r>
            <w:r w:rsidR="00A70BD5">
              <w:t>2 (.86</w:t>
            </w:r>
            <w:r w:rsidRPr="002239DC">
              <w:t xml:space="preserve">)  </w:t>
            </w:r>
            <w:r w:rsidR="00130DE2" w:rsidRPr="002239DC">
              <w:t xml:space="preserve"> </w:t>
            </w:r>
            <w:r w:rsidR="00A70BD5">
              <w:t xml:space="preserve">  </w:t>
            </w:r>
            <w:r w:rsidR="00130DE2" w:rsidRPr="002239DC">
              <w:t xml:space="preserve"> </w:t>
            </w:r>
            <w:r w:rsidR="00A70BD5">
              <w:t xml:space="preserve"> </w:t>
            </w:r>
            <w:r w:rsidR="00130DE2" w:rsidRPr="002239DC">
              <w:t>10.0</w:t>
            </w:r>
            <w:r w:rsidRPr="002239DC">
              <w:t xml:space="preserve">       </w:t>
            </w:r>
          </w:p>
        </w:tc>
        <w:tc>
          <w:tcPr>
            <w:tcW w:w="2520" w:type="dxa"/>
          </w:tcPr>
          <w:p w14:paraId="793733E9" w14:textId="34FEA3A4" w:rsidR="00D31825" w:rsidRPr="002239DC" w:rsidRDefault="000A647F" w:rsidP="00CF28A5">
            <w:pPr>
              <w:spacing w:line="480" w:lineRule="auto"/>
            </w:pPr>
            <w:r w:rsidRPr="002239DC">
              <w:t xml:space="preserve"> </w:t>
            </w:r>
            <w:r w:rsidR="00A70BD5">
              <w:t>.021 (.84</w:t>
            </w:r>
            <w:r w:rsidR="00CF28A5" w:rsidRPr="002239DC">
              <w:t>)</w:t>
            </w:r>
            <w:r w:rsidRPr="002239DC">
              <w:t xml:space="preserve"> </w:t>
            </w:r>
            <w:r w:rsidR="00CF28A5" w:rsidRPr="002239DC">
              <w:t xml:space="preserve"> </w:t>
            </w:r>
            <w:r w:rsidR="00A70BD5">
              <w:t xml:space="preserve">   </w:t>
            </w:r>
            <w:r w:rsidR="00CF28A5" w:rsidRPr="002239DC">
              <w:t xml:space="preserve">      9.5</w:t>
            </w:r>
            <w:r w:rsidRPr="002239DC">
              <w:t xml:space="preserve">                         </w:t>
            </w:r>
            <w:r w:rsidR="00F04BA8" w:rsidRPr="002239DC">
              <w:t xml:space="preserve">  </w:t>
            </w:r>
          </w:p>
        </w:tc>
        <w:tc>
          <w:tcPr>
            <w:tcW w:w="2340" w:type="dxa"/>
          </w:tcPr>
          <w:p w14:paraId="55CF75BE" w14:textId="03FA2791" w:rsidR="00D31825" w:rsidRPr="002239DC" w:rsidRDefault="00B2573C" w:rsidP="00CF28A5">
            <w:pPr>
              <w:spacing w:line="480" w:lineRule="auto"/>
            </w:pPr>
            <w:r>
              <w:t xml:space="preserve"> -.024 (.88</w:t>
            </w:r>
            <w:r w:rsidR="00CF28A5" w:rsidRPr="002239DC">
              <w:t xml:space="preserve">) </w:t>
            </w:r>
            <w:r>
              <w:t xml:space="preserve">  </w:t>
            </w:r>
            <w:r w:rsidR="00CF28A5" w:rsidRPr="002239DC">
              <w:t xml:space="preserve">  10.6</w:t>
            </w:r>
            <w:r w:rsidR="000A647F" w:rsidRPr="002239DC">
              <w:t xml:space="preserve">                  </w:t>
            </w:r>
            <w:r w:rsidR="00F04BA8" w:rsidRPr="002239DC">
              <w:t xml:space="preserve">  </w:t>
            </w:r>
          </w:p>
        </w:tc>
      </w:tr>
      <w:tr w:rsidR="00D31825" w14:paraId="62362B44" w14:textId="77777777" w:rsidTr="002239DC">
        <w:tc>
          <w:tcPr>
            <w:tcW w:w="2178" w:type="dxa"/>
          </w:tcPr>
          <w:p w14:paraId="70F9876F" w14:textId="315EF1D4" w:rsidR="00D31825" w:rsidRDefault="00D31825" w:rsidP="003B3D1A">
            <w:pPr>
              <w:spacing w:line="480" w:lineRule="auto"/>
            </w:pPr>
            <w:r>
              <w:t>Read</w:t>
            </w:r>
            <w:r w:rsidR="00D8208E">
              <w:t>ing</w:t>
            </w:r>
            <w:r>
              <w:t xml:space="preserve"> comp-12</w:t>
            </w:r>
            <w:r w:rsidR="00A01747" w:rsidRPr="00A01747">
              <w:rPr>
                <w:vertAlign w:val="superscript"/>
              </w:rPr>
              <w:t>a</w:t>
            </w:r>
          </w:p>
        </w:tc>
        <w:tc>
          <w:tcPr>
            <w:tcW w:w="2160" w:type="dxa"/>
          </w:tcPr>
          <w:p w14:paraId="2FCDB146" w14:textId="6ADF722C" w:rsidR="00D31825" w:rsidRPr="002239DC" w:rsidRDefault="00A70BD5" w:rsidP="007C48EB">
            <w:pPr>
              <w:spacing w:line="480" w:lineRule="auto"/>
            </w:pPr>
            <w:r>
              <w:t>.009 (.89</w:t>
            </w:r>
            <w:r w:rsidR="00CF28A5" w:rsidRPr="002239DC">
              <w:t xml:space="preserve">)    </w:t>
            </w:r>
            <w:r>
              <w:t xml:space="preserve"> </w:t>
            </w:r>
            <w:r w:rsidR="00CF28A5" w:rsidRPr="002239DC">
              <w:t xml:space="preserve"> </w:t>
            </w:r>
            <w:r>
              <w:t xml:space="preserve"> </w:t>
            </w:r>
            <w:r w:rsidR="00CF28A5" w:rsidRPr="002239DC">
              <w:t xml:space="preserve">  9.9</w:t>
            </w:r>
            <w:r w:rsidR="00C83FDB" w:rsidRPr="002239DC">
              <w:t xml:space="preserve">                       </w:t>
            </w:r>
          </w:p>
        </w:tc>
        <w:tc>
          <w:tcPr>
            <w:tcW w:w="2520" w:type="dxa"/>
          </w:tcPr>
          <w:p w14:paraId="01169F54" w14:textId="031AE957" w:rsidR="00D31825" w:rsidRPr="002239DC" w:rsidRDefault="00A70BD5" w:rsidP="00CF28A5">
            <w:pPr>
              <w:spacing w:line="480" w:lineRule="auto"/>
            </w:pPr>
            <w:r>
              <w:t>-.011 (.87</w:t>
            </w:r>
            <w:r w:rsidR="00CF28A5" w:rsidRPr="002239DC">
              <w:t xml:space="preserve">) </w:t>
            </w:r>
            <w:r>
              <w:t xml:space="preserve">   </w:t>
            </w:r>
            <w:r w:rsidR="00CF28A5" w:rsidRPr="002239DC">
              <w:t xml:space="preserve">      </w:t>
            </w:r>
            <w:r w:rsidR="00174B7D" w:rsidRPr="002239DC">
              <w:t>9.4</w:t>
            </w:r>
            <w:r w:rsidR="000A647F" w:rsidRPr="002239DC">
              <w:t xml:space="preserve">                       </w:t>
            </w:r>
            <w:r w:rsidR="00F04BA8" w:rsidRPr="002239DC">
              <w:t xml:space="preserve">  </w:t>
            </w:r>
          </w:p>
        </w:tc>
        <w:tc>
          <w:tcPr>
            <w:tcW w:w="2340" w:type="dxa"/>
          </w:tcPr>
          <w:p w14:paraId="5BEB0546" w14:textId="2ECCA2F8" w:rsidR="00D31825" w:rsidRPr="002239DC" w:rsidRDefault="002E6CA6" w:rsidP="002E6CA6">
            <w:pPr>
              <w:spacing w:line="480" w:lineRule="auto"/>
            </w:pPr>
            <w:r w:rsidRPr="002239DC">
              <w:t xml:space="preserve"> </w:t>
            </w:r>
            <w:r w:rsidR="000A647F" w:rsidRPr="002239DC">
              <w:t xml:space="preserve"> </w:t>
            </w:r>
            <w:r w:rsidR="00B2573C">
              <w:t>.033 (.91</w:t>
            </w:r>
            <w:r w:rsidRPr="002239DC">
              <w:t xml:space="preserve">)  </w:t>
            </w:r>
            <w:r w:rsidR="00B2573C">
              <w:t xml:space="preserve">  </w:t>
            </w:r>
            <w:r w:rsidRPr="002239DC">
              <w:t xml:space="preserve"> 10.6</w:t>
            </w:r>
            <w:r w:rsidR="00174B7D" w:rsidRPr="002239DC">
              <w:t>*</w:t>
            </w:r>
            <w:r w:rsidR="000A647F" w:rsidRPr="002239DC">
              <w:t xml:space="preserve">               </w:t>
            </w:r>
            <w:r w:rsidR="00F04BA8" w:rsidRPr="002239DC">
              <w:t xml:space="preserve">  </w:t>
            </w:r>
            <w:r w:rsidR="000A647F" w:rsidRPr="002239DC">
              <w:t xml:space="preserve"> </w:t>
            </w:r>
          </w:p>
        </w:tc>
      </w:tr>
    </w:tbl>
    <w:p w14:paraId="5326B707" w14:textId="77777777" w:rsidR="00FE5A10" w:rsidRDefault="00FE5A10" w:rsidP="007C48EB">
      <w:pPr>
        <w:spacing w:line="480" w:lineRule="auto"/>
      </w:pPr>
    </w:p>
    <w:p w14:paraId="760B59EE" w14:textId="21CA47D5" w:rsidR="004B6528" w:rsidRPr="004B6528" w:rsidRDefault="004B6528" w:rsidP="007C48EB">
      <w:pPr>
        <w:spacing w:line="480" w:lineRule="auto"/>
      </w:pPr>
      <w:r>
        <w:rPr>
          <w:i/>
        </w:rPr>
        <w:lastRenderedPageBreak/>
        <w:t>Note:</w:t>
      </w:r>
      <w:r>
        <w:t xml:space="preserve"> Scores for gender scoring significantly higher risk score </w:t>
      </w:r>
      <w:r w:rsidR="00640C79">
        <w:t xml:space="preserve">(lower vocabulary, nonverbal cognition, or mother’s education; higher Family History) </w:t>
      </w:r>
      <w:r>
        <w:t xml:space="preserve">or </w:t>
      </w:r>
      <w:r w:rsidR="00EE2066">
        <w:t xml:space="preserve">higher </w:t>
      </w:r>
      <w:r>
        <w:t>outcome are bolded, and p-value is included underneath.</w:t>
      </w:r>
    </w:p>
    <w:p w14:paraId="227020FE" w14:textId="67C1A77F" w:rsidR="00A01747" w:rsidRDefault="00A01747" w:rsidP="007C48EB">
      <w:pPr>
        <w:spacing w:line="480" w:lineRule="auto"/>
      </w:pPr>
      <w:r w:rsidRPr="00A01747">
        <w:rPr>
          <w:vertAlign w:val="superscript"/>
        </w:rPr>
        <w:t>a</w:t>
      </w:r>
      <w:r>
        <w:t xml:space="preserve"> z-score; M may not = 0 and SD</w:t>
      </w:r>
      <w:r w:rsidR="00D83B70">
        <w:t xml:space="preserve"> may not = 1</w:t>
      </w:r>
      <w:r>
        <w:t>, as standardization is on a larger sample.</w:t>
      </w:r>
      <w:r w:rsidR="00EB2D02">
        <w:t xml:space="preserve"> Similarly, % low may not = 10%.</w:t>
      </w:r>
    </w:p>
    <w:p w14:paraId="6992BE54" w14:textId="77777777" w:rsidR="00D31B0C" w:rsidRDefault="00D31B0C" w:rsidP="00FE5A10">
      <w:pPr>
        <w:spacing w:line="480" w:lineRule="auto"/>
      </w:pPr>
    </w:p>
    <w:p w14:paraId="3D9C87D0" w14:textId="77777777" w:rsidR="00D31B0C" w:rsidRDefault="00D31B0C" w:rsidP="00FE5A10">
      <w:pPr>
        <w:spacing w:line="480" w:lineRule="auto"/>
        <w:sectPr w:rsidR="00D31B0C" w:rsidSect="00CB1A13">
          <w:headerReference w:type="default" r:id="rId11"/>
          <w:pgSz w:w="12240" w:h="15840"/>
          <w:pgMar w:top="1440" w:right="1440" w:bottom="1440" w:left="1440" w:header="720" w:footer="720" w:gutter="0"/>
          <w:cols w:space="720"/>
          <w:docGrid w:linePitch="360"/>
        </w:sectPr>
      </w:pPr>
    </w:p>
    <w:p w14:paraId="39131499" w14:textId="77777777" w:rsidR="00011612" w:rsidRDefault="002B46A6" w:rsidP="003F6CE0">
      <w:pPr>
        <w:spacing w:line="480" w:lineRule="auto"/>
      </w:pPr>
      <w:r>
        <w:lastRenderedPageBreak/>
        <w:t>Table 2</w:t>
      </w:r>
    </w:p>
    <w:p w14:paraId="2C0A09D9" w14:textId="77777777" w:rsidR="002B46A6" w:rsidRPr="002B46A6" w:rsidRDefault="002B46A6" w:rsidP="003F6CE0">
      <w:pPr>
        <w:spacing w:line="480" w:lineRule="auto"/>
        <w:rPr>
          <w:i/>
        </w:rPr>
      </w:pPr>
      <w:r>
        <w:rPr>
          <w:i/>
        </w:rPr>
        <w:t xml:space="preserve">Multiple regression analyses predicting 12 year outcomes from five </w:t>
      </w:r>
      <w:r w:rsidR="00C83FDB">
        <w:rPr>
          <w:i/>
        </w:rPr>
        <w:t xml:space="preserve">continuous </w:t>
      </w:r>
      <w:r>
        <w:rPr>
          <w:i/>
        </w:rPr>
        <w:t>risk variables at age 2 and at age 3</w:t>
      </w:r>
    </w:p>
    <w:p w14:paraId="1828A2A0" w14:textId="77777777" w:rsidR="003F6CE0" w:rsidRDefault="003F6CE0" w:rsidP="003F6CE0"/>
    <w:tbl>
      <w:tblPr>
        <w:tblStyle w:val="TableClassic1"/>
        <w:tblW w:w="0" w:type="auto"/>
        <w:tblLayout w:type="fixed"/>
        <w:tblLook w:val="0620" w:firstRow="1" w:lastRow="0" w:firstColumn="0" w:lastColumn="0" w:noHBand="1" w:noVBand="1"/>
      </w:tblPr>
      <w:tblGrid>
        <w:gridCol w:w="1749"/>
        <w:gridCol w:w="1059"/>
        <w:gridCol w:w="1440"/>
        <w:gridCol w:w="1396"/>
        <w:gridCol w:w="1313"/>
        <w:gridCol w:w="1313"/>
        <w:gridCol w:w="1278"/>
        <w:gridCol w:w="1278"/>
      </w:tblGrid>
      <w:tr w:rsidR="00D31B0C" w14:paraId="3A833101" w14:textId="77777777" w:rsidTr="002F4010">
        <w:trPr>
          <w:cnfStyle w:val="100000000000" w:firstRow="1" w:lastRow="0" w:firstColumn="0" w:lastColumn="0" w:oddVBand="0" w:evenVBand="0" w:oddHBand="0" w:evenHBand="0" w:firstRowFirstColumn="0" w:firstRowLastColumn="0" w:lastRowFirstColumn="0" w:lastRowLastColumn="0"/>
        </w:trPr>
        <w:tc>
          <w:tcPr>
            <w:tcW w:w="1749" w:type="dxa"/>
            <w:vAlign w:val="center"/>
          </w:tcPr>
          <w:p w14:paraId="69F390F7" w14:textId="77777777" w:rsidR="00D31B0C" w:rsidRPr="007425A3" w:rsidRDefault="00D31B0C" w:rsidP="002F4010">
            <w:pPr>
              <w:rPr>
                <w:b/>
                <w:i w:val="0"/>
              </w:rPr>
            </w:pPr>
            <w:r w:rsidRPr="007425A3">
              <w:rPr>
                <w:b/>
                <w:i w:val="0"/>
              </w:rPr>
              <w:t>Outcome</w:t>
            </w:r>
            <w:r>
              <w:rPr>
                <w:b/>
                <w:i w:val="0"/>
              </w:rPr>
              <w:t xml:space="preserve"> measure</w:t>
            </w:r>
          </w:p>
        </w:tc>
        <w:tc>
          <w:tcPr>
            <w:tcW w:w="1059" w:type="dxa"/>
            <w:vAlign w:val="center"/>
          </w:tcPr>
          <w:p w14:paraId="400D4074" w14:textId="77777777" w:rsidR="00D31B0C" w:rsidRPr="007425A3" w:rsidRDefault="00D31B0C" w:rsidP="00127801">
            <w:pPr>
              <w:jc w:val="center"/>
              <w:rPr>
                <w:b/>
              </w:rPr>
            </w:pPr>
            <w:r>
              <w:rPr>
                <w:b/>
              </w:rPr>
              <w:t>n</w:t>
            </w:r>
          </w:p>
        </w:tc>
        <w:tc>
          <w:tcPr>
            <w:tcW w:w="1440" w:type="dxa"/>
            <w:vAlign w:val="center"/>
          </w:tcPr>
          <w:p w14:paraId="576E6B1F" w14:textId="77777777" w:rsidR="00D31B0C" w:rsidRPr="007425A3" w:rsidRDefault="00D31B0C" w:rsidP="002F4010">
            <w:pPr>
              <w:rPr>
                <w:b/>
                <w:i w:val="0"/>
              </w:rPr>
            </w:pPr>
            <w:r w:rsidRPr="007425A3">
              <w:rPr>
                <w:b/>
                <w:i w:val="0"/>
              </w:rPr>
              <w:t>R2 for prediction from age 2</w:t>
            </w:r>
          </w:p>
        </w:tc>
        <w:tc>
          <w:tcPr>
            <w:tcW w:w="1396" w:type="dxa"/>
            <w:vAlign w:val="center"/>
          </w:tcPr>
          <w:p w14:paraId="42105AF4" w14:textId="0C7EEF38" w:rsidR="00D31B0C" w:rsidRPr="008D76D5" w:rsidRDefault="001428EE" w:rsidP="001428EE">
            <w:pPr>
              <w:rPr>
                <w:b/>
                <w:i w:val="0"/>
              </w:rPr>
            </w:pPr>
            <w:r>
              <w:rPr>
                <w:b/>
                <w:i w:val="0"/>
              </w:rPr>
              <w:t>R2 u</w:t>
            </w:r>
            <w:r w:rsidR="00D31B0C">
              <w:rPr>
                <w:b/>
                <w:i w:val="0"/>
              </w:rPr>
              <w:t>nique prediction from EA3</w:t>
            </w:r>
          </w:p>
        </w:tc>
        <w:tc>
          <w:tcPr>
            <w:tcW w:w="1313" w:type="dxa"/>
          </w:tcPr>
          <w:p w14:paraId="087E228D" w14:textId="4262DFB2" w:rsidR="00D31B0C" w:rsidRPr="00F9364E" w:rsidRDefault="001428EE" w:rsidP="000A647F">
            <w:pPr>
              <w:rPr>
                <w:b/>
                <w:i w:val="0"/>
              </w:rPr>
            </w:pPr>
            <w:r>
              <w:rPr>
                <w:b/>
                <w:i w:val="0"/>
              </w:rPr>
              <w:t>R2 u</w:t>
            </w:r>
            <w:r w:rsidR="00D31B0C">
              <w:rPr>
                <w:b/>
                <w:i w:val="0"/>
              </w:rPr>
              <w:t>nique prediction from</w:t>
            </w:r>
            <w:r w:rsidR="000A647F">
              <w:rPr>
                <w:b/>
                <w:i w:val="0"/>
              </w:rPr>
              <w:t xml:space="preserve"> 4 vars</w:t>
            </w:r>
            <w:r w:rsidR="000A647F" w:rsidRPr="000A647F">
              <w:rPr>
                <w:b/>
                <w:i w:val="0"/>
                <w:vertAlign w:val="superscript"/>
              </w:rPr>
              <w:t>a</w:t>
            </w:r>
            <w:r w:rsidR="00F9364E">
              <w:rPr>
                <w:b/>
                <w:i w:val="0"/>
              </w:rPr>
              <w:t xml:space="preserve"> at 2</w:t>
            </w:r>
          </w:p>
        </w:tc>
        <w:tc>
          <w:tcPr>
            <w:tcW w:w="1313" w:type="dxa"/>
            <w:vAlign w:val="center"/>
          </w:tcPr>
          <w:p w14:paraId="6A0041E1" w14:textId="77777777" w:rsidR="00D31B0C" w:rsidRPr="007425A3" w:rsidRDefault="00D31B0C" w:rsidP="002F4010">
            <w:pPr>
              <w:rPr>
                <w:b/>
                <w:i w:val="0"/>
              </w:rPr>
            </w:pPr>
            <w:r w:rsidRPr="007425A3">
              <w:rPr>
                <w:b/>
                <w:i w:val="0"/>
              </w:rPr>
              <w:t>R2 for prediction from age 3</w:t>
            </w:r>
          </w:p>
        </w:tc>
        <w:tc>
          <w:tcPr>
            <w:tcW w:w="1278" w:type="dxa"/>
            <w:vAlign w:val="center"/>
          </w:tcPr>
          <w:p w14:paraId="26EC3998" w14:textId="55702DDD" w:rsidR="00D31B0C" w:rsidRPr="008D76D5" w:rsidRDefault="001428EE" w:rsidP="002F4010">
            <w:pPr>
              <w:rPr>
                <w:b/>
                <w:i w:val="0"/>
              </w:rPr>
            </w:pPr>
            <w:r>
              <w:rPr>
                <w:b/>
                <w:i w:val="0"/>
              </w:rPr>
              <w:t>R2 u</w:t>
            </w:r>
            <w:r w:rsidR="00D31B0C" w:rsidRPr="008D76D5">
              <w:rPr>
                <w:b/>
                <w:i w:val="0"/>
              </w:rPr>
              <w:t>nique prediction from EA3</w:t>
            </w:r>
          </w:p>
        </w:tc>
        <w:tc>
          <w:tcPr>
            <w:tcW w:w="1278" w:type="dxa"/>
          </w:tcPr>
          <w:p w14:paraId="4F6A426D" w14:textId="466E0F78" w:rsidR="00D31B0C" w:rsidRPr="00F9364E" w:rsidRDefault="001428EE" w:rsidP="000A647F">
            <w:pPr>
              <w:rPr>
                <w:b/>
                <w:i w:val="0"/>
              </w:rPr>
            </w:pPr>
            <w:r>
              <w:rPr>
                <w:b/>
                <w:i w:val="0"/>
              </w:rPr>
              <w:t>R2 u</w:t>
            </w:r>
            <w:r w:rsidR="00D31B0C">
              <w:rPr>
                <w:b/>
                <w:i w:val="0"/>
              </w:rPr>
              <w:t xml:space="preserve">nique prediction from </w:t>
            </w:r>
            <w:r w:rsidR="000A647F">
              <w:rPr>
                <w:b/>
                <w:i w:val="0"/>
              </w:rPr>
              <w:t xml:space="preserve">4 </w:t>
            </w:r>
            <w:r w:rsidR="00D31B0C">
              <w:rPr>
                <w:b/>
                <w:i w:val="0"/>
              </w:rPr>
              <w:t>vars</w:t>
            </w:r>
            <w:r w:rsidR="000A647F" w:rsidRPr="000A647F">
              <w:rPr>
                <w:b/>
                <w:i w:val="0"/>
                <w:vertAlign w:val="superscript"/>
              </w:rPr>
              <w:t>a</w:t>
            </w:r>
            <w:r w:rsidR="00F9364E">
              <w:rPr>
                <w:b/>
                <w:i w:val="0"/>
              </w:rPr>
              <w:t xml:space="preserve"> at 3</w:t>
            </w:r>
          </w:p>
        </w:tc>
      </w:tr>
      <w:tr w:rsidR="00D31B0C" w14:paraId="124BBC62" w14:textId="77777777" w:rsidTr="00666C18">
        <w:tc>
          <w:tcPr>
            <w:tcW w:w="1749" w:type="dxa"/>
            <w:vAlign w:val="center"/>
          </w:tcPr>
          <w:p w14:paraId="55FBD24C" w14:textId="77777777" w:rsidR="00D31B0C" w:rsidRDefault="00D31B0C" w:rsidP="002F4010">
            <w:pPr>
              <w:spacing w:line="360" w:lineRule="auto"/>
            </w:pPr>
            <w:r>
              <w:t>12yr Language</w:t>
            </w:r>
          </w:p>
        </w:tc>
        <w:tc>
          <w:tcPr>
            <w:tcW w:w="1059" w:type="dxa"/>
            <w:vAlign w:val="center"/>
          </w:tcPr>
          <w:p w14:paraId="38BF8CC5" w14:textId="77777777" w:rsidR="00D31B0C" w:rsidRDefault="00C60DCA" w:rsidP="00666C18">
            <w:pPr>
              <w:spacing w:line="360" w:lineRule="auto"/>
              <w:jc w:val="center"/>
            </w:pPr>
            <w:r>
              <w:t>1077</w:t>
            </w:r>
          </w:p>
        </w:tc>
        <w:tc>
          <w:tcPr>
            <w:tcW w:w="1440" w:type="dxa"/>
            <w:vAlign w:val="center"/>
          </w:tcPr>
          <w:p w14:paraId="27882F45" w14:textId="77777777" w:rsidR="00D31B0C" w:rsidRDefault="00D31B0C" w:rsidP="00CE3FB1">
            <w:pPr>
              <w:spacing w:line="360" w:lineRule="auto"/>
              <w:jc w:val="center"/>
            </w:pPr>
            <w:r>
              <w:t>.1</w:t>
            </w:r>
            <w:r w:rsidR="00E33F95">
              <w:t>40</w:t>
            </w:r>
          </w:p>
        </w:tc>
        <w:tc>
          <w:tcPr>
            <w:tcW w:w="1396" w:type="dxa"/>
            <w:vAlign w:val="center"/>
          </w:tcPr>
          <w:p w14:paraId="2E8A2B68" w14:textId="77777777" w:rsidR="00D31B0C" w:rsidRDefault="00D31B0C" w:rsidP="00CE3FB1">
            <w:pPr>
              <w:spacing w:line="360" w:lineRule="auto"/>
              <w:jc w:val="center"/>
            </w:pPr>
            <w:r>
              <w:t>.02</w:t>
            </w:r>
            <w:r w:rsidR="00E33F95">
              <w:t>3</w:t>
            </w:r>
          </w:p>
        </w:tc>
        <w:tc>
          <w:tcPr>
            <w:tcW w:w="1313" w:type="dxa"/>
          </w:tcPr>
          <w:p w14:paraId="05AFF73F" w14:textId="77777777" w:rsidR="00D31B0C" w:rsidRDefault="00B75CA5" w:rsidP="00CE3FB1">
            <w:pPr>
              <w:spacing w:line="360" w:lineRule="auto"/>
              <w:jc w:val="center"/>
            </w:pPr>
            <w:r>
              <w:t>.067</w:t>
            </w:r>
          </w:p>
        </w:tc>
        <w:tc>
          <w:tcPr>
            <w:tcW w:w="1313" w:type="dxa"/>
            <w:vAlign w:val="center"/>
          </w:tcPr>
          <w:p w14:paraId="4AACE3C8" w14:textId="77777777" w:rsidR="00D31B0C" w:rsidRDefault="00D31B0C" w:rsidP="00CE3FB1">
            <w:pPr>
              <w:spacing w:line="360" w:lineRule="auto"/>
              <w:jc w:val="center"/>
            </w:pPr>
            <w:r>
              <w:t>.1</w:t>
            </w:r>
            <w:r w:rsidR="00E33F95">
              <w:t>68</w:t>
            </w:r>
          </w:p>
        </w:tc>
        <w:tc>
          <w:tcPr>
            <w:tcW w:w="1278" w:type="dxa"/>
            <w:vAlign w:val="center"/>
          </w:tcPr>
          <w:p w14:paraId="65AB5CD3" w14:textId="77777777" w:rsidR="00D31B0C" w:rsidRDefault="00D31B0C" w:rsidP="00CE3FB1">
            <w:pPr>
              <w:spacing w:line="360" w:lineRule="auto"/>
              <w:jc w:val="center"/>
            </w:pPr>
            <w:r>
              <w:t>.0</w:t>
            </w:r>
            <w:r w:rsidR="00E33F95">
              <w:t>33</w:t>
            </w:r>
          </w:p>
        </w:tc>
        <w:tc>
          <w:tcPr>
            <w:tcW w:w="1278" w:type="dxa"/>
          </w:tcPr>
          <w:p w14:paraId="7A14FD70" w14:textId="77777777" w:rsidR="00D31B0C" w:rsidRDefault="00666C18" w:rsidP="00CE3FB1">
            <w:pPr>
              <w:spacing w:line="360" w:lineRule="auto"/>
              <w:jc w:val="center"/>
            </w:pPr>
            <w:r>
              <w:t>.069</w:t>
            </w:r>
          </w:p>
        </w:tc>
      </w:tr>
      <w:tr w:rsidR="00D31B0C" w14:paraId="0D39C9AC" w14:textId="77777777" w:rsidTr="00666C18">
        <w:tc>
          <w:tcPr>
            <w:tcW w:w="1749" w:type="dxa"/>
            <w:vAlign w:val="center"/>
          </w:tcPr>
          <w:p w14:paraId="7E86B777" w14:textId="77777777" w:rsidR="00D31B0C" w:rsidRDefault="00D31B0C" w:rsidP="002F4010">
            <w:pPr>
              <w:spacing w:line="360" w:lineRule="auto"/>
            </w:pPr>
            <w:r>
              <w:t>12yr Decoding</w:t>
            </w:r>
          </w:p>
        </w:tc>
        <w:tc>
          <w:tcPr>
            <w:tcW w:w="1059" w:type="dxa"/>
            <w:vAlign w:val="center"/>
          </w:tcPr>
          <w:p w14:paraId="11395575" w14:textId="77777777" w:rsidR="00D31B0C" w:rsidRDefault="0084758E" w:rsidP="00666C18">
            <w:pPr>
              <w:spacing w:line="360" w:lineRule="auto"/>
              <w:jc w:val="center"/>
            </w:pPr>
            <w:r>
              <w:t>1163</w:t>
            </w:r>
          </w:p>
        </w:tc>
        <w:tc>
          <w:tcPr>
            <w:tcW w:w="1440" w:type="dxa"/>
            <w:vAlign w:val="center"/>
          </w:tcPr>
          <w:p w14:paraId="5F901B7B" w14:textId="77777777" w:rsidR="00D31B0C" w:rsidRDefault="00D31B0C" w:rsidP="00CE3FB1">
            <w:pPr>
              <w:spacing w:line="360" w:lineRule="auto"/>
              <w:jc w:val="center"/>
            </w:pPr>
            <w:r>
              <w:t>.1</w:t>
            </w:r>
            <w:r w:rsidR="00E33F95">
              <w:t>18</w:t>
            </w:r>
          </w:p>
        </w:tc>
        <w:tc>
          <w:tcPr>
            <w:tcW w:w="1396" w:type="dxa"/>
            <w:vAlign w:val="center"/>
          </w:tcPr>
          <w:p w14:paraId="367B1D71" w14:textId="77777777" w:rsidR="00D31B0C" w:rsidRDefault="00D31B0C" w:rsidP="00CE3FB1">
            <w:pPr>
              <w:spacing w:line="360" w:lineRule="auto"/>
              <w:jc w:val="center"/>
            </w:pPr>
            <w:r>
              <w:t>.0</w:t>
            </w:r>
            <w:r w:rsidR="00E33F95">
              <w:t>20</w:t>
            </w:r>
          </w:p>
        </w:tc>
        <w:tc>
          <w:tcPr>
            <w:tcW w:w="1313" w:type="dxa"/>
          </w:tcPr>
          <w:p w14:paraId="2C255723" w14:textId="77777777" w:rsidR="00D31B0C" w:rsidRDefault="00B75CA5" w:rsidP="00CE3FB1">
            <w:pPr>
              <w:spacing w:line="360" w:lineRule="auto"/>
              <w:jc w:val="center"/>
            </w:pPr>
            <w:r>
              <w:t>.057</w:t>
            </w:r>
          </w:p>
        </w:tc>
        <w:tc>
          <w:tcPr>
            <w:tcW w:w="1313" w:type="dxa"/>
            <w:vAlign w:val="center"/>
          </w:tcPr>
          <w:p w14:paraId="2F8CA073" w14:textId="77777777" w:rsidR="00D31B0C" w:rsidRDefault="00D31B0C" w:rsidP="00CE3FB1">
            <w:pPr>
              <w:spacing w:line="360" w:lineRule="auto"/>
              <w:jc w:val="center"/>
            </w:pPr>
            <w:r>
              <w:t>.13</w:t>
            </w:r>
            <w:r w:rsidR="00E33F95">
              <w:t>4</w:t>
            </w:r>
          </w:p>
        </w:tc>
        <w:tc>
          <w:tcPr>
            <w:tcW w:w="1278" w:type="dxa"/>
            <w:vAlign w:val="center"/>
          </w:tcPr>
          <w:p w14:paraId="40F4213C" w14:textId="77777777" w:rsidR="00D31B0C" w:rsidRDefault="00E33F95" w:rsidP="00CE3FB1">
            <w:pPr>
              <w:spacing w:line="360" w:lineRule="auto"/>
              <w:jc w:val="center"/>
            </w:pPr>
            <w:r>
              <w:t>.029</w:t>
            </w:r>
          </w:p>
        </w:tc>
        <w:tc>
          <w:tcPr>
            <w:tcW w:w="1278" w:type="dxa"/>
          </w:tcPr>
          <w:p w14:paraId="70ABE33F" w14:textId="77777777" w:rsidR="00D31B0C" w:rsidRDefault="00666C18" w:rsidP="00CE3FB1">
            <w:pPr>
              <w:spacing w:line="360" w:lineRule="auto"/>
              <w:jc w:val="center"/>
            </w:pPr>
            <w:r>
              <w:t>.054</w:t>
            </w:r>
          </w:p>
        </w:tc>
      </w:tr>
      <w:tr w:rsidR="00D31B0C" w14:paraId="59C8B252" w14:textId="77777777" w:rsidTr="00666C18">
        <w:tc>
          <w:tcPr>
            <w:tcW w:w="1749" w:type="dxa"/>
            <w:vAlign w:val="center"/>
          </w:tcPr>
          <w:p w14:paraId="7CFA809B" w14:textId="77777777" w:rsidR="00D31B0C" w:rsidRDefault="00D31B0C" w:rsidP="002F4010">
            <w:pPr>
              <w:spacing w:line="360" w:lineRule="auto"/>
            </w:pPr>
            <w:r>
              <w:t>12yr Reading Comprehension</w:t>
            </w:r>
          </w:p>
        </w:tc>
        <w:tc>
          <w:tcPr>
            <w:tcW w:w="1059" w:type="dxa"/>
            <w:vAlign w:val="center"/>
          </w:tcPr>
          <w:p w14:paraId="3124B232" w14:textId="77777777" w:rsidR="00D31B0C" w:rsidRDefault="00860079" w:rsidP="00666C18">
            <w:pPr>
              <w:spacing w:line="360" w:lineRule="auto"/>
              <w:jc w:val="center"/>
            </w:pPr>
            <w:r>
              <w:t>1338</w:t>
            </w:r>
          </w:p>
        </w:tc>
        <w:tc>
          <w:tcPr>
            <w:tcW w:w="1440" w:type="dxa"/>
            <w:vAlign w:val="center"/>
          </w:tcPr>
          <w:p w14:paraId="67D4F39D" w14:textId="77777777" w:rsidR="00D31B0C" w:rsidRDefault="00D31B0C" w:rsidP="00666C18">
            <w:pPr>
              <w:spacing w:line="360" w:lineRule="auto"/>
              <w:jc w:val="center"/>
            </w:pPr>
            <w:r>
              <w:t>.13</w:t>
            </w:r>
            <w:r w:rsidR="00E33F95">
              <w:t>2</w:t>
            </w:r>
          </w:p>
        </w:tc>
        <w:tc>
          <w:tcPr>
            <w:tcW w:w="1396" w:type="dxa"/>
            <w:vAlign w:val="center"/>
          </w:tcPr>
          <w:p w14:paraId="6F92CADD" w14:textId="77777777" w:rsidR="00D31B0C" w:rsidRDefault="00D31B0C" w:rsidP="00666C18">
            <w:pPr>
              <w:spacing w:line="360" w:lineRule="auto"/>
              <w:jc w:val="center"/>
            </w:pPr>
            <w:r>
              <w:t>.0</w:t>
            </w:r>
            <w:r w:rsidR="00E33F95">
              <w:t>33</w:t>
            </w:r>
          </w:p>
        </w:tc>
        <w:tc>
          <w:tcPr>
            <w:tcW w:w="1313" w:type="dxa"/>
            <w:vAlign w:val="center"/>
          </w:tcPr>
          <w:p w14:paraId="6D7D71A6" w14:textId="77777777" w:rsidR="00D31B0C" w:rsidRDefault="00B75CA5" w:rsidP="00666C18">
            <w:pPr>
              <w:spacing w:line="360" w:lineRule="auto"/>
              <w:jc w:val="center"/>
            </w:pPr>
            <w:r>
              <w:t>.049</w:t>
            </w:r>
          </w:p>
        </w:tc>
        <w:tc>
          <w:tcPr>
            <w:tcW w:w="1313" w:type="dxa"/>
            <w:vAlign w:val="center"/>
          </w:tcPr>
          <w:p w14:paraId="007DE6C5" w14:textId="77777777" w:rsidR="00D31B0C" w:rsidRDefault="00D31B0C" w:rsidP="00666C18">
            <w:pPr>
              <w:spacing w:line="360" w:lineRule="auto"/>
              <w:jc w:val="center"/>
            </w:pPr>
            <w:r>
              <w:t>.143</w:t>
            </w:r>
          </w:p>
        </w:tc>
        <w:tc>
          <w:tcPr>
            <w:tcW w:w="1278" w:type="dxa"/>
            <w:vAlign w:val="center"/>
          </w:tcPr>
          <w:p w14:paraId="790AB19C" w14:textId="77777777" w:rsidR="00D31B0C" w:rsidRDefault="00D31B0C" w:rsidP="00666C18">
            <w:pPr>
              <w:spacing w:line="360" w:lineRule="auto"/>
              <w:jc w:val="center"/>
            </w:pPr>
            <w:r>
              <w:t>.03</w:t>
            </w:r>
            <w:r w:rsidR="00E33F95">
              <w:t>3</w:t>
            </w:r>
          </w:p>
        </w:tc>
        <w:tc>
          <w:tcPr>
            <w:tcW w:w="1278" w:type="dxa"/>
            <w:vAlign w:val="center"/>
          </w:tcPr>
          <w:p w14:paraId="2A4CA7A8" w14:textId="77777777" w:rsidR="00D31B0C" w:rsidRDefault="00666C18" w:rsidP="00666C18">
            <w:pPr>
              <w:spacing w:line="360" w:lineRule="auto"/>
              <w:jc w:val="center"/>
            </w:pPr>
            <w:r>
              <w:t>.057</w:t>
            </w:r>
          </w:p>
        </w:tc>
      </w:tr>
    </w:tbl>
    <w:p w14:paraId="036DC8E9" w14:textId="77777777" w:rsidR="003F6CE0" w:rsidRDefault="003F6CE0" w:rsidP="00412FE8">
      <w:pPr>
        <w:spacing w:line="480" w:lineRule="auto"/>
      </w:pPr>
    </w:p>
    <w:p w14:paraId="23348527" w14:textId="0499B632" w:rsidR="00F11139" w:rsidRPr="006A0659" w:rsidRDefault="00F11139" w:rsidP="00F11139">
      <w:pPr>
        <w:spacing w:line="480" w:lineRule="auto"/>
      </w:pPr>
      <w:r>
        <w:rPr>
          <w:i/>
        </w:rPr>
        <w:t xml:space="preserve">Note: </w:t>
      </w:r>
      <w:r>
        <w:t xml:space="preserve">all variance contributions are significant at </w:t>
      </w:r>
      <w:r>
        <w:rPr>
          <w:i/>
        </w:rPr>
        <w:t>p</w:t>
      </w:r>
      <w:r>
        <w:t xml:space="preserve"> &lt; .01</w:t>
      </w:r>
    </w:p>
    <w:p w14:paraId="25C1534F" w14:textId="4B4DCCC0" w:rsidR="00D31B0C" w:rsidRDefault="000A647F">
      <w:r w:rsidRPr="000A647F">
        <w:rPr>
          <w:vertAlign w:val="superscript"/>
        </w:rPr>
        <w:t>a</w:t>
      </w:r>
      <w:r>
        <w:t xml:space="preserve"> Family History, Mother’s education, Expressive Vocabulary, Nonverbal skills</w:t>
      </w:r>
      <w:r w:rsidR="00DA4FE8">
        <w:t>; note that only Expressive Vocabulary and Nonverbal skills can change between 2 and 3.</w:t>
      </w:r>
    </w:p>
    <w:p w14:paraId="04A5CE2D" w14:textId="77777777" w:rsidR="000A647F" w:rsidRDefault="000A647F"/>
    <w:p w14:paraId="67E34AF8" w14:textId="77777777" w:rsidR="00D31B0C" w:rsidRDefault="00D31B0C"/>
    <w:p w14:paraId="15BFF5E5" w14:textId="77777777" w:rsidR="00D31B0C" w:rsidRDefault="00D31B0C"/>
    <w:p w14:paraId="004917F4" w14:textId="77777777" w:rsidR="00D31B0C" w:rsidRDefault="00D31B0C"/>
    <w:p w14:paraId="0F28A33E" w14:textId="77777777" w:rsidR="00D31B0C" w:rsidRDefault="00D31B0C"/>
    <w:p w14:paraId="250B2C76" w14:textId="77777777" w:rsidR="00D31B0C" w:rsidRDefault="00D31B0C"/>
    <w:p w14:paraId="38B56FC9" w14:textId="77777777" w:rsidR="00D31B0C" w:rsidRDefault="00D31B0C"/>
    <w:p w14:paraId="238E3190" w14:textId="77777777" w:rsidR="00D31B0C" w:rsidRDefault="00D31B0C"/>
    <w:p w14:paraId="211015FD" w14:textId="77777777" w:rsidR="00D31B0C" w:rsidRDefault="00D31B0C"/>
    <w:p w14:paraId="012858FD" w14:textId="77777777" w:rsidR="00D31B0C" w:rsidRDefault="00D31B0C">
      <w:pPr>
        <w:sectPr w:rsidR="00D31B0C" w:rsidSect="00D31B0C">
          <w:pgSz w:w="15840" w:h="12240" w:orient="landscape"/>
          <w:pgMar w:top="1440" w:right="1440" w:bottom="1440" w:left="1440" w:header="720" w:footer="720" w:gutter="0"/>
          <w:cols w:space="720"/>
          <w:docGrid w:linePitch="360"/>
        </w:sectPr>
      </w:pPr>
    </w:p>
    <w:p w14:paraId="03EA9FBB" w14:textId="77777777" w:rsidR="0011606B" w:rsidRDefault="0011606B"/>
    <w:p w14:paraId="5AFE76CA" w14:textId="77777777" w:rsidR="00E70265" w:rsidRDefault="0011606B" w:rsidP="00412FE8">
      <w:pPr>
        <w:spacing w:line="480" w:lineRule="auto"/>
      </w:pPr>
      <w:r>
        <w:t>Table 3</w:t>
      </w:r>
    </w:p>
    <w:p w14:paraId="6F200F03" w14:textId="77777777" w:rsidR="0011606B" w:rsidRPr="0011606B" w:rsidRDefault="0011606B" w:rsidP="00412FE8">
      <w:pPr>
        <w:spacing w:line="480" w:lineRule="auto"/>
        <w:rPr>
          <w:i/>
        </w:rPr>
      </w:pPr>
      <w:r w:rsidRPr="0011606B">
        <w:rPr>
          <w:i/>
        </w:rPr>
        <w:t>Spearman correlations between number of risk factors and poor outcome</w:t>
      </w:r>
    </w:p>
    <w:tbl>
      <w:tblPr>
        <w:tblStyle w:val="TableList3"/>
        <w:tblW w:w="0" w:type="auto"/>
        <w:tblLook w:val="04A0" w:firstRow="1" w:lastRow="0" w:firstColumn="1" w:lastColumn="0" w:noHBand="0" w:noVBand="1"/>
      </w:tblPr>
      <w:tblGrid>
        <w:gridCol w:w="2506"/>
        <w:gridCol w:w="2222"/>
        <w:gridCol w:w="1957"/>
        <w:gridCol w:w="2675"/>
      </w:tblGrid>
      <w:tr w:rsidR="0011606B" w14:paraId="3A0CB623" w14:textId="77777777" w:rsidTr="00A36601">
        <w:trPr>
          <w:cnfStyle w:val="100000000000" w:firstRow="1" w:lastRow="0" w:firstColumn="0" w:lastColumn="0" w:oddVBand="0" w:evenVBand="0" w:oddHBand="0" w:evenHBand="0" w:firstRowFirstColumn="0" w:firstRowLastColumn="0" w:lastRowFirstColumn="0" w:lastRowLastColumn="0"/>
        </w:trPr>
        <w:tc>
          <w:tcPr>
            <w:tcW w:w="2538" w:type="dxa"/>
          </w:tcPr>
          <w:p w14:paraId="0D1C9D93" w14:textId="77777777" w:rsidR="0011606B" w:rsidRDefault="0011606B" w:rsidP="00412FE8">
            <w:pPr>
              <w:spacing w:line="480" w:lineRule="auto"/>
              <w:rPr>
                <w:color w:val="000000" w:themeColor="text1"/>
              </w:rPr>
            </w:pPr>
            <w:r w:rsidRPr="002239DC">
              <w:rPr>
                <w:color w:val="000000" w:themeColor="text1"/>
              </w:rPr>
              <w:t>Predictor</w:t>
            </w:r>
          </w:p>
          <w:p w14:paraId="3BECC8B2" w14:textId="35E49B17" w:rsidR="00A36601" w:rsidRPr="002239DC" w:rsidRDefault="00A36601" w:rsidP="00412FE8">
            <w:pPr>
              <w:spacing w:line="480" w:lineRule="auto"/>
              <w:rPr>
                <w:b w:val="0"/>
                <w:color w:val="000000" w:themeColor="text1"/>
              </w:rPr>
            </w:pPr>
            <w:r>
              <w:rPr>
                <w:b w:val="0"/>
                <w:color w:val="000000" w:themeColor="text1"/>
              </w:rPr>
              <w:t>(cumulative risk score)</w:t>
            </w:r>
          </w:p>
        </w:tc>
        <w:tc>
          <w:tcPr>
            <w:tcW w:w="2250" w:type="dxa"/>
          </w:tcPr>
          <w:p w14:paraId="05DC3001" w14:textId="77777777" w:rsidR="00252DB3" w:rsidRPr="002239DC" w:rsidRDefault="0011606B" w:rsidP="004B2405">
            <w:pPr>
              <w:spacing w:line="480" w:lineRule="auto"/>
              <w:jc w:val="center"/>
              <w:rPr>
                <w:b w:val="0"/>
                <w:color w:val="000000" w:themeColor="text1"/>
              </w:rPr>
            </w:pPr>
            <w:r w:rsidRPr="002239DC">
              <w:rPr>
                <w:color w:val="000000" w:themeColor="text1"/>
              </w:rPr>
              <w:t>Receptive language</w:t>
            </w:r>
          </w:p>
          <w:p w14:paraId="6B2A59F2" w14:textId="77777777" w:rsidR="0011606B" w:rsidRPr="002239DC" w:rsidRDefault="006B5319" w:rsidP="004B2405">
            <w:pPr>
              <w:spacing w:line="480" w:lineRule="auto"/>
              <w:jc w:val="center"/>
              <w:rPr>
                <w:b w:val="0"/>
                <w:color w:val="000000" w:themeColor="text1"/>
              </w:rPr>
            </w:pPr>
            <w:r w:rsidRPr="002239DC">
              <w:rPr>
                <w:color w:val="000000" w:themeColor="text1"/>
              </w:rPr>
              <w:t>(n</w:t>
            </w:r>
            <w:r w:rsidR="004B2405" w:rsidRPr="002239DC">
              <w:rPr>
                <w:color w:val="000000" w:themeColor="text1"/>
              </w:rPr>
              <w:t xml:space="preserve"> = 1077</w:t>
            </w:r>
            <w:r w:rsidRPr="002239DC">
              <w:rPr>
                <w:color w:val="000000" w:themeColor="text1"/>
              </w:rPr>
              <w:t>)</w:t>
            </w:r>
          </w:p>
        </w:tc>
        <w:tc>
          <w:tcPr>
            <w:tcW w:w="1980" w:type="dxa"/>
          </w:tcPr>
          <w:p w14:paraId="52C992F9" w14:textId="77777777" w:rsidR="006B5319" w:rsidRPr="002239DC" w:rsidRDefault="0011606B" w:rsidP="004B2405">
            <w:pPr>
              <w:spacing w:line="480" w:lineRule="auto"/>
              <w:jc w:val="center"/>
              <w:rPr>
                <w:b w:val="0"/>
                <w:color w:val="000000" w:themeColor="text1"/>
              </w:rPr>
            </w:pPr>
            <w:r w:rsidRPr="002239DC">
              <w:rPr>
                <w:color w:val="000000" w:themeColor="text1"/>
              </w:rPr>
              <w:t>Word decoding</w:t>
            </w:r>
          </w:p>
          <w:p w14:paraId="1A183041" w14:textId="77777777" w:rsidR="0011606B" w:rsidRPr="002239DC" w:rsidRDefault="006B5319" w:rsidP="004B2405">
            <w:pPr>
              <w:spacing w:line="480" w:lineRule="auto"/>
              <w:jc w:val="center"/>
              <w:rPr>
                <w:b w:val="0"/>
                <w:color w:val="000000" w:themeColor="text1"/>
              </w:rPr>
            </w:pPr>
            <w:r w:rsidRPr="002239DC">
              <w:rPr>
                <w:color w:val="000000" w:themeColor="text1"/>
              </w:rPr>
              <w:t>(n</w:t>
            </w:r>
            <w:r w:rsidR="004B2405" w:rsidRPr="002239DC">
              <w:rPr>
                <w:color w:val="000000" w:themeColor="text1"/>
              </w:rPr>
              <w:t xml:space="preserve"> = 1163</w:t>
            </w:r>
            <w:r w:rsidRPr="002239DC">
              <w:rPr>
                <w:color w:val="000000" w:themeColor="text1"/>
              </w:rPr>
              <w:t>)</w:t>
            </w:r>
          </w:p>
        </w:tc>
        <w:tc>
          <w:tcPr>
            <w:tcW w:w="2700" w:type="dxa"/>
          </w:tcPr>
          <w:p w14:paraId="2CFFE044" w14:textId="77777777" w:rsidR="0011606B" w:rsidRPr="002239DC" w:rsidRDefault="0011606B" w:rsidP="004B2405">
            <w:pPr>
              <w:spacing w:line="480" w:lineRule="auto"/>
              <w:jc w:val="center"/>
              <w:rPr>
                <w:b w:val="0"/>
                <w:color w:val="000000" w:themeColor="text1"/>
              </w:rPr>
            </w:pPr>
            <w:r w:rsidRPr="002239DC">
              <w:rPr>
                <w:color w:val="000000" w:themeColor="text1"/>
              </w:rPr>
              <w:t>Reading comprehension</w:t>
            </w:r>
          </w:p>
          <w:p w14:paraId="6F4B6273" w14:textId="77777777" w:rsidR="006B5319" w:rsidRPr="002239DC" w:rsidRDefault="006B5319" w:rsidP="004B2405">
            <w:pPr>
              <w:spacing w:line="480" w:lineRule="auto"/>
              <w:jc w:val="center"/>
              <w:rPr>
                <w:b w:val="0"/>
                <w:color w:val="000000" w:themeColor="text1"/>
              </w:rPr>
            </w:pPr>
            <w:r w:rsidRPr="002239DC">
              <w:rPr>
                <w:color w:val="000000" w:themeColor="text1"/>
              </w:rPr>
              <w:t>(n</w:t>
            </w:r>
            <w:r w:rsidR="004B2405" w:rsidRPr="002239DC">
              <w:rPr>
                <w:color w:val="000000" w:themeColor="text1"/>
              </w:rPr>
              <w:t xml:space="preserve"> = 1338</w:t>
            </w:r>
            <w:r w:rsidRPr="002239DC">
              <w:rPr>
                <w:color w:val="000000" w:themeColor="text1"/>
              </w:rPr>
              <w:t>)</w:t>
            </w:r>
          </w:p>
        </w:tc>
      </w:tr>
      <w:tr w:rsidR="0011606B" w14:paraId="0F78FDE1" w14:textId="77777777" w:rsidTr="00A36601">
        <w:tc>
          <w:tcPr>
            <w:tcW w:w="2538" w:type="dxa"/>
          </w:tcPr>
          <w:p w14:paraId="14B426F9" w14:textId="77777777" w:rsidR="0011606B" w:rsidRDefault="0011606B" w:rsidP="00412FE8">
            <w:pPr>
              <w:spacing w:line="480" w:lineRule="auto"/>
            </w:pPr>
            <w:r>
              <w:t>2 year, including EA3</w:t>
            </w:r>
          </w:p>
        </w:tc>
        <w:tc>
          <w:tcPr>
            <w:tcW w:w="2250" w:type="dxa"/>
          </w:tcPr>
          <w:p w14:paraId="5E47D228" w14:textId="19D8F887" w:rsidR="0011606B" w:rsidRPr="00614B62" w:rsidRDefault="004B2405" w:rsidP="00412FE8">
            <w:pPr>
              <w:spacing w:line="480" w:lineRule="auto"/>
            </w:pPr>
            <w:r w:rsidRPr="00614B62">
              <w:t>.17</w:t>
            </w:r>
            <w:r w:rsidR="00165E08">
              <w:t>6</w:t>
            </w:r>
            <w:r w:rsidR="008B3D9F" w:rsidRPr="008B3D9F">
              <w:rPr>
                <w:vertAlign w:val="superscript"/>
              </w:rPr>
              <w:t>a</w:t>
            </w:r>
          </w:p>
        </w:tc>
        <w:tc>
          <w:tcPr>
            <w:tcW w:w="1980" w:type="dxa"/>
          </w:tcPr>
          <w:p w14:paraId="04562F1D" w14:textId="380CF62D" w:rsidR="0011606B" w:rsidRPr="00614B62" w:rsidRDefault="004B2405" w:rsidP="006B5319">
            <w:pPr>
              <w:spacing w:line="480" w:lineRule="auto"/>
            </w:pPr>
            <w:r w:rsidRPr="00614B62">
              <w:t>.1</w:t>
            </w:r>
            <w:r w:rsidR="00165E08">
              <w:t>63</w:t>
            </w:r>
          </w:p>
        </w:tc>
        <w:tc>
          <w:tcPr>
            <w:tcW w:w="2700" w:type="dxa"/>
          </w:tcPr>
          <w:p w14:paraId="795A1232" w14:textId="15F11212" w:rsidR="0011606B" w:rsidRPr="00614B62" w:rsidRDefault="004B2405" w:rsidP="00412FE8">
            <w:pPr>
              <w:spacing w:line="480" w:lineRule="auto"/>
            </w:pPr>
            <w:r w:rsidRPr="00614B62">
              <w:t>.13</w:t>
            </w:r>
            <w:r w:rsidR="00165E08">
              <w:t>9</w:t>
            </w:r>
          </w:p>
        </w:tc>
      </w:tr>
      <w:tr w:rsidR="0011606B" w14:paraId="0F25FC80" w14:textId="77777777" w:rsidTr="00A36601">
        <w:tc>
          <w:tcPr>
            <w:tcW w:w="2538" w:type="dxa"/>
          </w:tcPr>
          <w:p w14:paraId="2FB06201" w14:textId="77777777" w:rsidR="0011606B" w:rsidRDefault="0011606B" w:rsidP="00412FE8">
            <w:pPr>
              <w:spacing w:line="480" w:lineRule="auto"/>
            </w:pPr>
            <w:r>
              <w:t>2 year, without EA3</w:t>
            </w:r>
          </w:p>
        </w:tc>
        <w:tc>
          <w:tcPr>
            <w:tcW w:w="2250" w:type="dxa"/>
          </w:tcPr>
          <w:p w14:paraId="1CAC7BDC" w14:textId="33C3137C" w:rsidR="0011606B" w:rsidRPr="00614B62" w:rsidRDefault="004B2405" w:rsidP="00412FE8">
            <w:pPr>
              <w:spacing w:line="480" w:lineRule="auto"/>
            </w:pPr>
            <w:r w:rsidRPr="00614B62">
              <w:t>.146</w:t>
            </w:r>
            <w:r w:rsidR="008B3D9F" w:rsidRPr="008B3D9F">
              <w:rPr>
                <w:vertAlign w:val="superscript"/>
              </w:rPr>
              <w:t>a</w:t>
            </w:r>
          </w:p>
        </w:tc>
        <w:tc>
          <w:tcPr>
            <w:tcW w:w="1980" w:type="dxa"/>
          </w:tcPr>
          <w:p w14:paraId="201862F1" w14:textId="77777777" w:rsidR="0011606B" w:rsidRPr="00614B62" w:rsidRDefault="004B2405" w:rsidP="00412FE8">
            <w:pPr>
              <w:spacing w:line="480" w:lineRule="auto"/>
            </w:pPr>
            <w:r w:rsidRPr="00614B62">
              <w:t>.151</w:t>
            </w:r>
          </w:p>
        </w:tc>
        <w:tc>
          <w:tcPr>
            <w:tcW w:w="2700" w:type="dxa"/>
          </w:tcPr>
          <w:p w14:paraId="62987DFB" w14:textId="77777777" w:rsidR="0011606B" w:rsidRPr="00614B62" w:rsidRDefault="004B2405" w:rsidP="00412FE8">
            <w:pPr>
              <w:spacing w:line="480" w:lineRule="auto"/>
            </w:pPr>
            <w:r w:rsidRPr="00614B62">
              <w:t>.134</w:t>
            </w:r>
          </w:p>
        </w:tc>
      </w:tr>
      <w:tr w:rsidR="0011606B" w14:paraId="75D01301" w14:textId="77777777" w:rsidTr="00A36601">
        <w:tc>
          <w:tcPr>
            <w:tcW w:w="2538" w:type="dxa"/>
          </w:tcPr>
          <w:p w14:paraId="3F5466B5" w14:textId="77777777" w:rsidR="0011606B" w:rsidRDefault="0011606B" w:rsidP="00412FE8">
            <w:pPr>
              <w:spacing w:line="480" w:lineRule="auto"/>
            </w:pPr>
            <w:r>
              <w:t>3 year, including EA3</w:t>
            </w:r>
          </w:p>
        </w:tc>
        <w:tc>
          <w:tcPr>
            <w:tcW w:w="2250" w:type="dxa"/>
          </w:tcPr>
          <w:p w14:paraId="23F50E0A" w14:textId="5DCF431D" w:rsidR="0011606B" w:rsidRPr="00614B62" w:rsidRDefault="004B2405" w:rsidP="00412FE8">
            <w:pPr>
              <w:spacing w:line="480" w:lineRule="auto"/>
            </w:pPr>
            <w:r w:rsidRPr="00614B62">
              <w:t>.19</w:t>
            </w:r>
            <w:r w:rsidR="00165E08">
              <w:t>4</w:t>
            </w:r>
            <w:r w:rsidR="008B3D9F" w:rsidRPr="008B3D9F">
              <w:rPr>
                <w:vertAlign w:val="superscript"/>
              </w:rPr>
              <w:t>b</w:t>
            </w:r>
          </w:p>
        </w:tc>
        <w:tc>
          <w:tcPr>
            <w:tcW w:w="1980" w:type="dxa"/>
          </w:tcPr>
          <w:p w14:paraId="0B2858C6" w14:textId="371325A8" w:rsidR="0011606B" w:rsidRPr="00614B62" w:rsidRDefault="004B2405" w:rsidP="00412FE8">
            <w:pPr>
              <w:spacing w:line="480" w:lineRule="auto"/>
            </w:pPr>
            <w:r w:rsidRPr="00614B62">
              <w:t>.1</w:t>
            </w:r>
            <w:r w:rsidR="00165E08">
              <w:t>64</w:t>
            </w:r>
          </w:p>
        </w:tc>
        <w:tc>
          <w:tcPr>
            <w:tcW w:w="2700" w:type="dxa"/>
          </w:tcPr>
          <w:p w14:paraId="25E24DD1" w14:textId="343D457B" w:rsidR="0011606B" w:rsidRPr="00614B62" w:rsidRDefault="004B2405" w:rsidP="00412FE8">
            <w:pPr>
              <w:spacing w:line="480" w:lineRule="auto"/>
            </w:pPr>
            <w:r w:rsidRPr="00614B62">
              <w:t>.1</w:t>
            </w:r>
            <w:r w:rsidR="00165E08">
              <w:t>31</w:t>
            </w:r>
          </w:p>
        </w:tc>
      </w:tr>
      <w:tr w:rsidR="0011606B" w14:paraId="07E64DD6" w14:textId="77777777" w:rsidTr="00A36601">
        <w:tc>
          <w:tcPr>
            <w:tcW w:w="2538" w:type="dxa"/>
          </w:tcPr>
          <w:p w14:paraId="4A760386" w14:textId="77777777" w:rsidR="0011606B" w:rsidRDefault="0011606B" w:rsidP="00412FE8">
            <w:pPr>
              <w:spacing w:line="480" w:lineRule="auto"/>
            </w:pPr>
            <w:r>
              <w:t>3 year, without EA3</w:t>
            </w:r>
          </w:p>
        </w:tc>
        <w:tc>
          <w:tcPr>
            <w:tcW w:w="2250" w:type="dxa"/>
          </w:tcPr>
          <w:p w14:paraId="2C7216C1" w14:textId="734EA788" w:rsidR="0011606B" w:rsidRPr="00614B62" w:rsidRDefault="004B2405" w:rsidP="00412FE8">
            <w:pPr>
              <w:spacing w:line="480" w:lineRule="auto"/>
            </w:pPr>
            <w:r w:rsidRPr="00614B62">
              <w:t>.165</w:t>
            </w:r>
            <w:r w:rsidR="008B3D9F" w:rsidRPr="008B3D9F">
              <w:rPr>
                <w:vertAlign w:val="superscript"/>
              </w:rPr>
              <w:t>b</w:t>
            </w:r>
          </w:p>
        </w:tc>
        <w:tc>
          <w:tcPr>
            <w:tcW w:w="1980" w:type="dxa"/>
          </w:tcPr>
          <w:p w14:paraId="2FDFB33F" w14:textId="77777777" w:rsidR="0011606B" w:rsidRPr="00614B62" w:rsidRDefault="004B2405" w:rsidP="00412FE8">
            <w:pPr>
              <w:spacing w:line="480" w:lineRule="auto"/>
            </w:pPr>
            <w:r w:rsidRPr="00614B62">
              <w:t>.152</w:t>
            </w:r>
          </w:p>
        </w:tc>
        <w:tc>
          <w:tcPr>
            <w:tcW w:w="2700" w:type="dxa"/>
          </w:tcPr>
          <w:p w14:paraId="33EC3627" w14:textId="77777777" w:rsidR="0011606B" w:rsidRPr="00614B62" w:rsidRDefault="004B2405" w:rsidP="00412FE8">
            <w:pPr>
              <w:spacing w:line="480" w:lineRule="auto"/>
            </w:pPr>
            <w:r w:rsidRPr="00614B62">
              <w:t>.124</w:t>
            </w:r>
          </w:p>
        </w:tc>
      </w:tr>
    </w:tbl>
    <w:p w14:paraId="2944D227" w14:textId="77777777" w:rsidR="006A0659" w:rsidRDefault="006A0659" w:rsidP="00412FE8">
      <w:pPr>
        <w:spacing w:line="480" w:lineRule="auto"/>
      </w:pPr>
    </w:p>
    <w:p w14:paraId="503ED99D" w14:textId="46DFD79D" w:rsidR="0011606B" w:rsidRPr="008B3D9F" w:rsidRDefault="006A0659" w:rsidP="00412FE8">
      <w:pPr>
        <w:spacing w:line="480" w:lineRule="auto"/>
      </w:pPr>
      <w:r>
        <w:t xml:space="preserve"> </w:t>
      </w:r>
      <w:r>
        <w:rPr>
          <w:i/>
        </w:rPr>
        <w:t xml:space="preserve">Note: </w:t>
      </w:r>
      <w:r>
        <w:t xml:space="preserve">all correlations are significant at </w:t>
      </w:r>
      <w:r>
        <w:rPr>
          <w:i/>
        </w:rPr>
        <w:t>p</w:t>
      </w:r>
      <w:r w:rsidR="00165E08">
        <w:t xml:space="preserve"> &lt; .0</w:t>
      </w:r>
      <w:r w:rsidR="00E6399F">
        <w:t>0</w:t>
      </w:r>
      <w:r>
        <w:t>1</w:t>
      </w:r>
      <w:r w:rsidR="008B3D9F">
        <w:t>; correlations with the same superscript are significantly different (</w:t>
      </w:r>
      <w:r w:rsidR="008B3D9F">
        <w:rPr>
          <w:i/>
        </w:rPr>
        <w:t>p</w:t>
      </w:r>
      <w:r w:rsidR="008B3D9F">
        <w:t xml:space="preserve"> </w:t>
      </w:r>
      <w:r w:rsidR="00195704">
        <w:t xml:space="preserve">= .005 &amp; .006, respectively </w:t>
      </w:r>
      <w:r w:rsidR="008B3D9F">
        <w:t>).</w:t>
      </w:r>
    </w:p>
    <w:p w14:paraId="162F45C3" w14:textId="77777777" w:rsidR="00203AA7" w:rsidRDefault="00203AA7">
      <w:r>
        <w:br w:type="page"/>
      </w:r>
    </w:p>
    <w:p w14:paraId="2E9408A2" w14:textId="77777777" w:rsidR="007053BD" w:rsidRDefault="007053BD" w:rsidP="007053BD">
      <w:pPr>
        <w:spacing w:line="480" w:lineRule="auto"/>
      </w:pPr>
      <w:r>
        <w:lastRenderedPageBreak/>
        <w:t>Table 4</w:t>
      </w:r>
    </w:p>
    <w:p w14:paraId="001BEA93" w14:textId="490C3B1F" w:rsidR="007053BD" w:rsidRDefault="007053BD" w:rsidP="007053BD">
      <w:pPr>
        <w:spacing w:line="480" w:lineRule="auto"/>
      </w:pPr>
      <w:r>
        <w:rPr>
          <w:i/>
        </w:rPr>
        <w:t xml:space="preserve">Prediction of low performance on receptive language, word decoding, and reading comprehension from cumulative risk measure at age 2 </w:t>
      </w:r>
      <w:r w:rsidR="004B7DBC">
        <w:rPr>
          <w:i/>
        </w:rPr>
        <w:t xml:space="preserve">(CR2) </w:t>
      </w:r>
      <w:r>
        <w:rPr>
          <w:i/>
        </w:rPr>
        <w:t>and age 3</w:t>
      </w:r>
      <w:r w:rsidR="004B7DBC">
        <w:rPr>
          <w:i/>
        </w:rPr>
        <w:t xml:space="preserve"> (CR3)</w:t>
      </w:r>
    </w:p>
    <w:tbl>
      <w:tblPr>
        <w:tblStyle w:val="TableList3"/>
        <w:tblW w:w="0" w:type="auto"/>
        <w:tblLayout w:type="fixed"/>
        <w:tblLook w:val="04A0" w:firstRow="1" w:lastRow="0" w:firstColumn="1" w:lastColumn="0" w:noHBand="0" w:noVBand="1"/>
      </w:tblPr>
      <w:tblGrid>
        <w:gridCol w:w="1417"/>
        <w:gridCol w:w="1031"/>
        <w:gridCol w:w="1080"/>
        <w:gridCol w:w="1350"/>
        <w:gridCol w:w="1350"/>
        <w:gridCol w:w="720"/>
        <w:gridCol w:w="810"/>
        <w:gridCol w:w="1818"/>
      </w:tblGrid>
      <w:tr w:rsidR="0072706C" w:rsidRPr="00FD577F" w14:paraId="74E71B67" w14:textId="77777777" w:rsidTr="002D7F2A">
        <w:trPr>
          <w:cnfStyle w:val="100000000000" w:firstRow="1" w:lastRow="0" w:firstColumn="0" w:lastColumn="0" w:oddVBand="0" w:evenVBand="0" w:oddHBand="0" w:evenHBand="0" w:firstRowFirstColumn="0" w:firstRowLastColumn="0" w:lastRowFirstColumn="0" w:lastRowLastColumn="0"/>
          <w:trHeight w:val="720"/>
        </w:trPr>
        <w:tc>
          <w:tcPr>
            <w:tcW w:w="1417" w:type="dxa"/>
          </w:tcPr>
          <w:p w14:paraId="4A02B3F6" w14:textId="77777777" w:rsidR="006A6C42" w:rsidRPr="005A4D0B" w:rsidRDefault="006A6C42" w:rsidP="007053BD">
            <w:pPr>
              <w:spacing w:line="480" w:lineRule="auto"/>
              <w:rPr>
                <w:b w:val="0"/>
                <w:color w:val="000000" w:themeColor="text1"/>
              </w:rPr>
            </w:pPr>
            <w:r w:rsidRPr="005A4D0B">
              <w:rPr>
                <w:color w:val="000000" w:themeColor="text1"/>
              </w:rPr>
              <w:t>Cumulative risk</w:t>
            </w:r>
            <w:r w:rsidR="006A0682" w:rsidRPr="005A4D0B">
              <w:rPr>
                <w:color w:val="000000" w:themeColor="text1"/>
              </w:rPr>
              <w:t xml:space="preserve"> cutoff</w:t>
            </w:r>
          </w:p>
        </w:tc>
        <w:tc>
          <w:tcPr>
            <w:tcW w:w="1031" w:type="dxa"/>
          </w:tcPr>
          <w:p w14:paraId="64BEC4CD" w14:textId="77777777" w:rsidR="006A6C42" w:rsidRPr="005A4D0B" w:rsidRDefault="006A6C42" w:rsidP="007053BD">
            <w:pPr>
              <w:spacing w:line="480" w:lineRule="auto"/>
              <w:rPr>
                <w:b w:val="0"/>
                <w:color w:val="000000" w:themeColor="text1"/>
              </w:rPr>
            </w:pPr>
            <w:r w:rsidRPr="005A4D0B">
              <w:rPr>
                <w:color w:val="000000" w:themeColor="text1"/>
              </w:rPr>
              <w:t>Typical at 12</w:t>
            </w:r>
          </w:p>
        </w:tc>
        <w:tc>
          <w:tcPr>
            <w:tcW w:w="1080" w:type="dxa"/>
          </w:tcPr>
          <w:p w14:paraId="0590CBEF" w14:textId="77777777" w:rsidR="006A6C42" w:rsidRPr="005A4D0B" w:rsidRDefault="006A6C42" w:rsidP="007053BD">
            <w:pPr>
              <w:spacing w:line="480" w:lineRule="auto"/>
              <w:rPr>
                <w:b w:val="0"/>
                <w:color w:val="000000" w:themeColor="text1"/>
              </w:rPr>
            </w:pPr>
            <w:r w:rsidRPr="005A4D0B">
              <w:rPr>
                <w:color w:val="000000" w:themeColor="text1"/>
              </w:rPr>
              <w:t>Low at 12</w:t>
            </w:r>
          </w:p>
        </w:tc>
        <w:tc>
          <w:tcPr>
            <w:tcW w:w="1350" w:type="dxa"/>
          </w:tcPr>
          <w:p w14:paraId="1EEC530A" w14:textId="77777777" w:rsidR="006A6C42" w:rsidRPr="005A4D0B" w:rsidRDefault="006A6C42" w:rsidP="007053BD">
            <w:pPr>
              <w:spacing w:line="480" w:lineRule="auto"/>
              <w:rPr>
                <w:b w:val="0"/>
                <w:color w:val="000000" w:themeColor="text1"/>
              </w:rPr>
            </w:pPr>
            <w:r w:rsidRPr="005A4D0B">
              <w:rPr>
                <w:color w:val="000000" w:themeColor="text1"/>
              </w:rPr>
              <w:t>Sensitivity</w:t>
            </w:r>
          </w:p>
        </w:tc>
        <w:tc>
          <w:tcPr>
            <w:tcW w:w="1350" w:type="dxa"/>
          </w:tcPr>
          <w:p w14:paraId="6B3A577C" w14:textId="77777777" w:rsidR="006A6C42" w:rsidRPr="005A4D0B" w:rsidRDefault="006A6C42" w:rsidP="007053BD">
            <w:pPr>
              <w:spacing w:line="480" w:lineRule="auto"/>
              <w:rPr>
                <w:b w:val="0"/>
                <w:color w:val="000000" w:themeColor="text1"/>
              </w:rPr>
            </w:pPr>
            <w:r w:rsidRPr="005A4D0B">
              <w:rPr>
                <w:color w:val="000000" w:themeColor="text1"/>
              </w:rPr>
              <w:t>Specificity</w:t>
            </w:r>
          </w:p>
        </w:tc>
        <w:tc>
          <w:tcPr>
            <w:tcW w:w="720" w:type="dxa"/>
          </w:tcPr>
          <w:p w14:paraId="383B1A5F" w14:textId="77777777" w:rsidR="006A6C42" w:rsidRPr="005A4D0B" w:rsidRDefault="006A6C42" w:rsidP="007053BD">
            <w:pPr>
              <w:spacing w:line="480" w:lineRule="auto"/>
              <w:rPr>
                <w:b w:val="0"/>
                <w:color w:val="000000" w:themeColor="text1"/>
              </w:rPr>
            </w:pPr>
            <w:r w:rsidRPr="005A4D0B">
              <w:rPr>
                <w:color w:val="000000" w:themeColor="text1"/>
              </w:rPr>
              <w:t>PPV</w:t>
            </w:r>
          </w:p>
        </w:tc>
        <w:tc>
          <w:tcPr>
            <w:tcW w:w="810" w:type="dxa"/>
          </w:tcPr>
          <w:p w14:paraId="4E6F7EC2" w14:textId="77777777" w:rsidR="006A6C42" w:rsidRPr="005A4D0B" w:rsidRDefault="006A6C42" w:rsidP="007053BD">
            <w:pPr>
              <w:spacing w:line="480" w:lineRule="auto"/>
              <w:rPr>
                <w:b w:val="0"/>
                <w:color w:val="000000" w:themeColor="text1"/>
              </w:rPr>
            </w:pPr>
            <w:r w:rsidRPr="005A4D0B">
              <w:rPr>
                <w:color w:val="000000" w:themeColor="text1"/>
              </w:rPr>
              <w:t>NPV</w:t>
            </w:r>
          </w:p>
        </w:tc>
        <w:tc>
          <w:tcPr>
            <w:tcW w:w="1818" w:type="dxa"/>
          </w:tcPr>
          <w:p w14:paraId="265EC6EC" w14:textId="77777777" w:rsidR="006A6C42" w:rsidRPr="005A4D0B" w:rsidRDefault="006A6C42" w:rsidP="007053BD">
            <w:pPr>
              <w:spacing w:line="480" w:lineRule="auto"/>
              <w:rPr>
                <w:b w:val="0"/>
                <w:color w:val="000000" w:themeColor="text1"/>
              </w:rPr>
            </w:pPr>
            <w:r w:rsidRPr="005A4D0B">
              <w:rPr>
                <w:color w:val="000000" w:themeColor="text1"/>
              </w:rPr>
              <w:t>Odds Ratio</w:t>
            </w:r>
          </w:p>
          <w:p w14:paraId="1D021B89" w14:textId="77777777" w:rsidR="006A6C42" w:rsidRPr="005A4D0B" w:rsidRDefault="006A6C42" w:rsidP="007053BD">
            <w:pPr>
              <w:spacing w:line="480" w:lineRule="auto"/>
              <w:rPr>
                <w:b w:val="0"/>
                <w:color w:val="000000" w:themeColor="text1"/>
              </w:rPr>
            </w:pPr>
            <w:r w:rsidRPr="005A4D0B">
              <w:rPr>
                <w:color w:val="000000" w:themeColor="text1"/>
              </w:rPr>
              <w:t>(95% CI)</w:t>
            </w:r>
          </w:p>
        </w:tc>
      </w:tr>
      <w:tr w:rsidR="00B318F0" w14:paraId="77E54522" w14:textId="77777777" w:rsidTr="002D7F2A">
        <w:trPr>
          <w:trHeight w:val="432"/>
        </w:trPr>
        <w:tc>
          <w:tcPr>
            <w:tcW w:w="3528" w:type="dxa"/>
            <w:gridSpan w:val="3"/>
          </w:tcPr>
          <w:p w14:paraId="611326F1" w14:textId="77777777" w:rsidR="00B318F0" w:rsidRDefault="00B318F0" w:rsidP="0072706C">
            <w:pPr>
              <w:spacing w:line="480" w:lineRule="auto"/>
              <w:jc w:val="center"/>
            </w:pPr>
            <w:r>
              <w:t>Receptive language</w:t>
            </w:r>
            <w:r w:rsidR="00106EED">
              <w:t xml:space="preserve"> from age 2</w:t>
            </w:r>
          </w:p>
        </w:tc>
        <w:tc>
          <w:tcPr>
            <w:tcW w:w="6048" w:type="dxa"/>
            <w:gridSpan w:val="5"/>
          </w:tcPr>
          <w:p w14:paraId="36C9D460" w14:textId="77777777" w:rsidR="00B318F0" w:rsidRDefault="00B318F0" w:rsidP="007053BD">
            <w:pPr>
              <w:spacing w:line="480" w:lineRule="auto"/>
            </w:pPr>
          </w:p>
        </w:tc>
      </w:tr>
      <w:tr w:rsidR="0072706C" w14:paraId="7CF41A3D" w14:textId="77777777" w:rsidTr="002D7F2A">
        <w:trPr>
          <w:trHeight w:hRule="exact" w:val="432"/>
        </w:trPr>
        <w:tc>
          <w:tcPr>
            <w:tcW w:w="1417" w:type="dxa"/>
          </w:tcPr>
          <w:p w14:paraId="319A1686" w14:textId="6FF392AD" w:rsidR="006A6C42" w:rsidRDefault="004B7DBC" w:rsidP="002F4010">
            <w:r>
              <w:t>CR</w:t>
            </w:r>
            <w:r w:rsidR="006A6C42">
              <w:t>2 &lt;</w:t>
            </w:r>
            <w:r w:rsidR="00D76577">
              <w:t xml:space="preserve"> </w:t>
            </w:r>
            <w:r w:rsidR="006A6C42">
              <w:t>2</w:t>
            </w:r>
          </w:p>
        </w:tc>
        <w:tc>
          <w:tcPr>
            <w:tcW w:w="1031" w:type="dxa"/>
          </w:tcPr>
          <w:p w14:paraId="7F5EDF2E" w14:textId="77777777" w:rsidR="006A6C42" w:rsidRDefault="00AC2402" w:rsidP="002F4010">
            <w:r>
              <w:t>827</w:t>
            </w:r>
          </w:p>
        </w:tc>
        <w:tc>
          <w:tcPr>
            <w:tcW w:w="1080" w:type="dxa"/>
          </w:tcPr>
          <w:p w14:paraId="75A4D301" w14:textId="77777777" w:rsidR="006A6C42" w:rsidRDefault="00AC2402" w:rsidP="002F4010">
            <w:r>
              <w:t>74</w:t>
            </w:r>
          </w:p>
        </w:tc>
        <w:tc>
          <w:tcPr>
            <w:tcW w:w="1350" w:type="dxa"/>
          </w:tcPr>
          <w:p w14:paraId="4F3FD1C3" w14:textId="77777777" w:rsidR="006A6C42" w:rsidRDefault="007C48EB" w:rsidP="007053BD">
            <w:pPr>
              <w:spacing w:line="480" w:lineRule="auto"/>
            </w:pPr>
            <w:r>
              <w:t>.</w:t>
            </w:r>
            <w:r w:rsidR="00892253">
              <w:t>3</w:t>
            </w:r>
            <w:r w:rsidR="00AC2402">
              <w:t>1</w:t>
            </w:r>
          </w:p>
        </w:tc>
        <w:tc>
          <w:tcPr>
            <w:tcW w:w="1350" w:type="dxa"/>
          </w:tcPr>
          <w:p w14:paraId="5E5EFE2E" w14:textId="77777777" w:rsidR="006A6C42" w:rsidRDefault="007C48EB" w:rsidP="007053BD">
            <w:pPr>
              <w:spacing w:line="480" w:lineRule="auto"/>
            </w:pPr>
            <w:r>
              <w:t>.</w:t>
            </w:r>
            <w:r w:rsidR="00892253">
              <w:t>8</w:t>
            </w:r>
            <w:r w:rsidR="00AC2402">
              <w:t>5</w:t>
            </w:r>
          </w:p>
        </w:tc>
        <w:tc>
          <w:tcPr>
            <w:tcW w:w="720" w:type="dxa"/>
          </w:tcPr>
          <w:p w14:paraId="7D4A0A77" w14:textId="77777777" w:rsidR="006A6C42" w:rsidRDefault="007C48EB" w:rsidP="007053BD">
            <w:pPr>
              <w:spacing w:line="480" w:lineRule="auto"/>
            </w:pPr>
            <w:r>
              <w:t>.</w:t>
            </w:r>
            <w:r w:rsidR="00892253">
              <w:t>1</w:t>
            </w:r>
            <w:r w:rsidR="00AC2402">
              <w:t>9</w:t>
            </w:r>
          </w:p>
        </w:tc>
        <w:tc>
          <w:tcPr>
            <w:tcW w:w="810" w:type="dxa"/>
          </w:tcPr>
          <w:p w14:paraId="1C807CAE" w14:textId="77777777" w:rsidR="006A6C42" w:rsidRDefault="007C48EB" w:rsidP="007053BD">
            <w:pPr>
              <w:spacing w:line="480" w:lineRule="auto"/>
            </w:pPr>
            <w:r>
              <w:t>.</w:t>
            </w:r>
            <w:r w:rsidR="00892253">
              <w:t>9</w:t>
            </w:r>
            <w:r w:rsidR="00AC2402">
              <w:t>2</w:t>
            </w:r>
          </w:p>
        </w:tc>
        <w:tc>
          <w:tcPr>
            <w:tcW w:w="1818" w:type="dxa"/>
          </w:tcPr>
          <w:p w14:paraId="083BE606" w14:textId="77777777" w:rsidR="006A6C42" w:rsidRDefault="00AC2402" w:rsidP="007053BD">
            <w:pPr>
              <w:spacing w:line="480" w:lineRule="auto"/>
            </w:pPr>
            <w:r>
              <w:t>2.58 (1.65-4.03</w:t>
            </w:r>
            <w:r w:rsidR="00D6082A">
              <w:t>)</w:t>
            </w:r>
          </w:p>
        </w:tc>
      </w:tr>
      <w:tr w:rsidR="00B318F0" w14:paraId="5885533A" w14:textId="77777777" w:rsidTr="002D7F2A">
        <w:trPr>
          <w:trHeight w:hRule="exact" w:val="432"/>
        </w:trPr>
        <w:tc>
          <w:tcPr>
            <w:tcW w:w="1417" w:type="dxa"/>
          </w:tcPr>
          <w:p w14:paraId="3B9FA0DA" w14:textId="64299955" w:rsidR="00B318F0" w:rsidRDefault="004B7DBC" w:rsidP="002F4010">
            <w:r>
              <w:t>CR</w:t>
            </w:r>
            <w:r w:rsidR="00B318F0">
              <w:t>2 &gt;= 2</w:t>
            </w:r>
          </w:p>
        </w:tc>
        <w:tc>
          <w:tcPr>
            <w:tcW w:w="1031" w:type="dxa"/>
          </w:tcPr>
          <w:p w14:paraId="75EAAD6C" w14:textId="77777777" w:rsidR="00B318F0" w:rsidRDefault="00AC2402" w:rsidP="002F4010">
            <w:r>
              <w:t>143</w:t>
            </w:r>
          </w:p>
        </w:tc>
        <w:tc>
          <w:tcPr>
            <w:tcW w:w="1080" w:type="dxa"/>
          </w:tcPr>
          <w:p w14:paraId="470C0D75" w14:textId="77777777" w:rsidR="00B318F0" w:rsidRDefault="00B318F0" w:rsidP="002F4010">
            <w:r>
              <w:t>33</w:t>
            </w:r>
          </w:p>
        </w:tc>
        <w:tc>
          <w:tcPr>
            <w:tcW w:w="6048" w:type="dxa"/>
            <w:gridSpan w:val="5"/>
          </w:tcPr>
          <w:p w14:paraId="346D19D8" w14:textId="77777777" w:rsidR="00B318F0" w:rsidRDefault="00B318F0" w:rsidP="007053BD">
            <w:pPr>
              <w:spacing w:line="480" w:lineRule="auto"/>
            </w:pPr>
          </w:p>
        </w:tc>
      </w:tr>
      <w:tr w:rsidR="00B318F0" w14:paraId="25D7362A" w14:textId="77777777" w:rsidTr="002D7F2A">
        <w:trPr>
          <w:trHeight w:val="432"/>
        </w:trPr>
        <w:tc>
          <w:tcPr>
            <w:tcW w:w="3528" w:type="dxa"/>
            <w:gridSpan w:val="3"/>
          </w:tcPr>
          <w:p w14:paraId="0DD6B728" w14:textId="77777777" w:rsidR="00B318F0" w:rsidRDefault="00B318F0" w:rsidP="0072706C">
            <w:pPr>
              <w:spacing w:line="480" w:lineRule="auto"/>
              <w:jc w:val="center"/>
            </w:pPr>
            <w:r>
              <w:t>Word decoding</w:t>
            </w:r>
            <w:r w:rsidR="00106EED">
              <w:t xml:space="preserve"> from age 2</w:t>
            </w:r>
          </w:p>
        </w:tc>
        <w:tc>
          <w:tcPr>
            <w:tcW w:w="6048" w:type="dxa"/>
            <w:gridSpan w:val="5"/>
          </w:tcPr>
          <w:p w14:paraId="013D4045" w14:textId="77777777" w:rsidR="00B318F0" w:rsidRDefault="00B318F0" w:rsidP="007053BD">
            <w:pPr>
              <w:spacing w:line="480" w:lineRule="auto"/>
            </w:pPr>
          </w:p>
        </w:tc>
      </w:tr>
      <w:tr w:rsidR="0072706C" w14:paraId="5FE6FAE6" w14:textId="77777777" w:rsidTr="002D7F2A">
        <w:trPr>
          <w:trHeight w:val="432"/>
        </w:trPr>
        <w:tc>
          <w:tcPr>
            <w:tcW w:w="1417" w:type="dxa"/>
          </w:tcPr>
          <w:p w14:paraId="4C45AB58" w14:textId="451BD810" w:rsidR="006A6C42" w:rsidRDefault="004B7DBC" w:rsidP="002F4010">
            <w:r>
              <w:t>CR</w:t>
            </w:r>
            <w:r w:rsidR="006A6C42">
              <w:t>2 &lt;</w:t>
            </w:r>
            <w:r w:rsidR="00D76577">
              <w:t xml:space="preserve"> </w:t>
            </w:r>
            <w:r w:rsidR="006A6C42">
              <w:t>2</w:t>
            </w:r>
          </w:p>
        </w:tc>
        <w:tc>
          <w:tcPr>
            <w:tcW w:w="1031" w:type="dxa"/>
          </w:tcPr>
          <w:p w14:paraId="27CB3C41" w14:textId="4D517936" w:rsidR="006A6C42" w:rsidRDefault="00C83B95" w:rsidP="002F4010">
            <w:r>
              <w:t>89</w:t>
            </w:r>
            <w:r w:rsidR="0073206C">
              <w:t>5</w:t>
            </w:r>
          </w:p>
        </w:tc>
        <w:tc>
          <w:tcPr>
            <w:tcW w:w="1080" w:type="dxa"/>
          </w:tcPr>
          <w:p w14:paraId="3AD34D59" w14:textId="77777777" w:rsidR="006A6C42" w:rsidRDefault="00C83B95" w:rsidP="002F4010">
            <w:r>
              <w:t>76</w:t>
            </w:r>
          </w:p>
        </w:tc>
        <w:tc>
          <w:tcPr>
            <w:tcW w:w="1350" w:type="dxa"/>
          </w:tcPr>
          <w:p w14:paraId="574B30F6" w14:textId="77777777" w:rsidR="006A6C42" w:rsidRDefault="007C48EB" w:rsidP="007053BD">
            <w:pPr>
              <w:spacing w:line="480" w:lineRule="auto"/>
            </w:pPr>
            <w:r>
              <w:t>.</w:t>
            </w:r>
            <w:r w:rsidR="00892253">
              <w:t>3</w:t>
            </w:r>
            <w:r w:rsidR="00C83B95">
              <w:t>4</w:t>
            </w:r>
          </w:p>
        </w:tc>
        <w:tc>
          <w:tcPr>
            <w:tcW w:w="1350" w:type="dxa"/>
          </w:tcPr>
          <w:p w14:paraId="7AA24134" w14:textId="42880610" w:rsidR="006A6C42" w:rsidRDefault="007C48EB" w:rsidP="007053BD">
            <w:pPr>
              <w:spacing w:line="480" w:lineRule="auto"/>
            </w:pPr>
            <w:r>
              <w:t>.</w:t>
            </w:r>
            <w:r w:rsidR="00892253">
              <w:t>8</w:t>
            </w:r>
            <w:r w:rsidR="00187031">
              <w:t>5</w:t>
            </w:r>
          </w:p>
        </w:tc>
        <w:tc>
          <w:tcPr>
            <w:tcW w:w="720" w:type="dxa"/>
          </w:tcPr>
          <w:p w14:paraId="3DAC610D" w14:textId="77777777" w:rsidR="006A6C42" w:rsidRDefault="007C48EB" w:rsidP="007053BD">
            <w:pPr>
              <w:spacing w:line="480" w:lineRule="auto"/>
            </w:pPr>
            <w:r>
              <w:t>.</w:t>
            </w:r>
            <w:r w:rsidR="00C83B95">
              <w:t>21</w:t>
            </w:r>
          </w:p>
        </w:tc>
        <w:tc>
          <w:tcPr>
            <w:tcW w:w="810" w:type="dxa"/>
          </w:tcPr>
          <w:p w14:paraId="1913FEA0" w14:textId="77777777" w:rsidR="006A6C42" w:rsidRDefault="007C48EB" w:rsidP="007053BD">
            <w:pPr>
              <w:spacing w:line="480" w:lineRule="auto"/>
            </w:pPr>
            <w:r>
              <w:t>.</w:t>
            </w:r>
            <w:r w:rsidR="00892253">
              <w:t>9</w:t>
            </w:r>
            <w:r w:rsidR="00C83B95">
              <w:t>2</w:t>
            </w:r>
          </w:p>
        </w:tc>
        <w:tc>
          <w:tcPr>
            <w:tcW w:w="1818" w:type="dxa"/>
          </w:tcPr>
          <w:p w14:paraId="2F1BFDDE" w14:textId="0603CB2C" w:rsidR="006A6C42" w:rsidRDefault="00187031" w:rsidP="007053BD">
            <w:pPr>
              <w:spacing w:line="480" w:lineRule="auto"/>
            </w:pPr>
            <w:r>
              <w:t>3.10</w:t>
            </w:r>
            <w:r w:rsidR="00D6082A">
              <w:t xml:space="preserve"> (2.0</w:t>
            </w:r>
            <w:r>
              <w:t>4-4.72</w:t>
            </w:r>
            <w:r w:rsidR="00D6082A">
              <w:t>)</w:t>
            </w:r>
          </w:p>
        </w:tc>
      </w:tr>
      <w:tr w:rsidR="00B318F0" w14:paraId="2097C773" w14:textId="77777777" w:rsidTr="002D7F2A">
        <w:trPr>
          <w:trHeight w:val="432"/>
        </w:trPr>
        <w:tc>
          <w:tcPr>
            <w:tcW w:w="1417" w:type="dxa"/>
          </w:tcPr>
          <w:p w14:paraId="3B342DCF" w14:textId="2BC31A53" w:rsidR="00B318F0" w:rsidRDefault="004B7DBC" w:rsidP="002F4010">
            <w:r>
              <w:t>CR</w:t>
            </w:r>
            <w:r w:rsidR="00B318F0">
              <w:t>2 &gt;= 2</w:t>
            </w:r>
          </w:p>
        </w:tc>
        <w:tc>
          <w:tcPr>
            <w:tcW w:w="1031" w:type="dxa"/>
          </w:tcPr>
          <w:p w14:paraId="5BCE3963" w14:textId="32BB266C" w:rsidR="00B318F0" w:rsidRDefault="00C83B95" w:rsidP="002F4010">
            <w:r>
              <w:t>15</w:t>
            </w:r>
            <w:r w:rsidR="0073206C">
              <w:t>2</w:t>
            </w:r>
          </w:p>
        </w:tc>
        <w:tc>
          <w:tcPr>
            <w:tcW w:w="1080" w:type="dxa"/>
          </w:tcPr>
          <w:p w14:paraId="117C66FB" w14:textId="77777777" w:rsidR="00B318F0" w:rsidRDefault="00C83B95" w:rsidP="002F4010">
            <w:r>
              <w:t>40</w:t>
            </w:r>
          </w:p>
        </w:tc>
        <w:tc>
          <w:tcPr>
            <w:tcW w:w="6048" w:type="dxa"/>
            <w:gridSpan w:val="5"/>
          </w:tcPr>
          <w:p w14:paraId="6C8760C1" w14:textId="77777777" w:rsidR="00B318F0" w:rsidRDefault="00B318F0" w:rsidP="007053BD">
            <w:pPr>
              <w:spacing w:line="480" w:lineRule="auto"/>
            </w:pPr>
          </w:p>
        </w:tc>
      </w:tr>
      <w:tr w:rsidR="00B318F0" w14:paraId="49B2F7EF" w14:textId="77777777" w:rsidTr="002D7F2A">
        <w:trPr>
          <w:trHeight w:val="432"/>
        </w:trPr>
        <w:tc>
          <w:tcPr>
            <w:tcW w:w="3528" w:type="dxa"/>
            <w:gridSpan w:val="3"/>
          </w:tcPr>
          <w:p w14:paraId="79CB39A7" w14:textId="77777777" w:rsidR="00B318F0" w:rsidRDefault="00106EED" w:rsidP="0072706C">
            <w:pPr>
              <w:spacing w:line="480" w:lineRule="auto"/>
              <w:jc w:val="center"/>
            </w:pPr>
            <w:r>
              <w:t>Reading comp from age 2</w:t>
            </w:r>
          </w:p>
        </w:tc>
        <w:tc>
          <w:tcPr>
            <w:tcW w:w="6048" w:type="dxa"/>
            <w:gridSpan w:val="5"/>
          </w:tcPr>
          <w:p w14:paraId="046FA253" w14:textId="77777777" w:rsidR="00B318F0" w:rsidRDefault="00B318F0" w:rsidP="007053BD">
            <w:pPr>
              <w:spacing w:line="480" w:lineRule="auto"/>
            </w:pPr>
          </w:p>
        </w:tc>
      </w:tr>
      <w:tr w:rsidR="006A6C42" w14:paraId="0701134C" w14:textId="77777777" w:rsidTr="002D7F2A">
        <w:trPr>
          <w:trHeight w:val="432"/>
        </w:trPr>
        <w:tc>
          <w:tcPr>
            <w:tcW w:w="1417" w:type="dxa"/>
          </w:tcPr>
          <w:p w14:paraId="71DE64FC" w14:textId="7F635EE9" w:rsidR="006A6C42" w:rsidRDefault="004B7DBC" w:rsidP="002F4010">
            <w:r>
              <w:t>CR</w:t>
            </w:r>
            <w:r w:rsidR="006A6C42">
              <w:t>2 &lt;</w:t>
            </w:r>
            <w:r w:rsidR="00D76577">
              <w:t xml:space="preserve"> </w:t>
            </w:r>
            <w:r w:rsidR="006A6C42">
              <w:t>2</w:t>
            </w:r>
          </w:p>
        </w:tc>
        <w:tc>
          <w:tcPr>
            <w:tcW w:w="1031" w:type="dxa"/>
          </w:tcPr>
          <w:p w14:paraId="7BD51D97" w14:textId="1D667752" w:rsidR="006A6C42" w:rsidRDefault="006A6C42" w:rsidP="002F4010">
            <w:r>
              <w:t>1</w:t>
            </w:r>
            <w:r w:rsidR="007F5E98">
              <w:t>02</w:t>
            </w:r>
            <w:r w:rsidR="007149E5">
              <w:t>3</w:t>
            </w:r>
          </w:p>
        </w:tc>
        <w:tc>
          <w:tcPr>
            <w:tcW w:w="1080" w:type="dxa"/>
          </w:tcPr>
          <w:p w14:paraId="39DD2869" w14:textId="2E632ABA" w:rsidR="006A6C42" w:rsidRDefault="007F5E98" w:rsidP="002F4010">
            <w:r>
              <w:t>9</w:t>
            </w:r>
            <w:r w:rsidR="007149E5">
              <w:t>3</w:t>
            </w:r>
          </w:p>
        </w:tc>
        <w:tc>
          <w:tcPr>
            <w:tcW w:w="1350" w:type="dxa"/>
          </w:tcPr>
          <w:p w14:paraId="7464160A" w14:textId="7C7C52DD" w:rsidR="006A6C42" w:rsidRDefault="007C48EB" w:rsidP="007053BD">
            <w:pPr>
              <w:spacing w:line="480" w:lineRule="auto"/>
            </w:pPr>
            <w:r>
              <w:t>.</w:t>
            </w:r>
            <w:r w:rsidR="009004F2">
              <w:t>30</w:t>
            </w:r>
          </w:p>
        </w:tc>
        <w:tc>
          <w:tcPr>
            <w:tcW w:w="1350" w:type="dxa"/>
          </w:tcPr>
          <w:p w14:paraId="3EAE6BED" w14:textId="77777777" w:rsidR="006A6C42" w:rsidRDefault="007C48EB" w:rsidP="007053BD">
            <w:pPr>
              <w:spacing w:line="480" w:lineRule="auto"/>
            </w:pPr>
            <w:r>
              <w:t>.</w:t>
            </w:r>
            <w:r w:rsidR="00892253">
              <w:t>8</w:t>
            </w:r>
            <w:r w:rsidR="007F5E98">
              <w:t>5</w:t>
            </w:r>
          </w:p>
        </w:tc>
        <w:tc>
          <w:tcPr>
            <w:tcW w:w="720" w:type="dxa"/>
          </w:tcPr>
          <w:p w14:paraId="446F4B53" w14:textId="77777777" w:rsidR="006A6C42" w:rsidRDefault="007C48EB" w:rsidP="007053BD">
            <w:pPr>
              <w:spacing w:line="480" w:lineRule="auto"/>
            </w:pPr>
            <w:r>
              <w:t>.</w:t>
            </w:r>
            <w:r w:rsidR="00892253">
              <w:t>1</w:t>
            </w:r>
            <w:r w:rsidR="007F5E98">
              <w:t>8</w:t>
            </w:r>
          </w:p>
        </w:tc>
        <w:tc>
          <w:tcPr>
            <w:tcW w:w="810" w:type="dxa"/>
          </w:tcPr>
          <w:p w14:paraId="7CA97C07" w14:textId="77777777" w:rsidR="006A6C42" w:rsidRDefault="007C48EB" w:rsidP="007053BD">
            <w:pPr>
              <w:spacing w:line="480" w:lineRule="auto"/>
            </w:pPr>
            <w:r>
              <w:t>.</w:t>
            </w:r>
            <w:r w:rsidR="00892253">
              <w:t>9</w:t>
            </w:r>
            <w:r w:rsidR="007F5E98">
              <w:t>2</w:t>
            </w:r>
          </w:p>
        </w:tc>
        <w:tc>
          <w:tcPr>
            <w:tcW w:w="1818" w:type="dxa"/>
          </w:tcPr>
          <w:p w14:paraId="0D080052" w14:textId="2B050700" w:rsidR="006A6C42" w:rsidRDefault="009004F2" w:rsidP="007053BD">
            <w:pPr>
              <w:spacing w:line="480" w:lineRule="auto"/>
            </w:pPr>
            <w:r>
              <w:t>2.42 (1.62-3.6</w:t>
            </w:r>
            <w:r w:rsidR="007F5E98">
              <w:t>2</w:t>
            </w:r>
            <w:r w:rsidR="00D6082A">
              <w:t>)</w:t>
            </w:r>
          </w:p>
        </w:tc>
      </w:tr>
      <w:tr w:rsidR="00B318F0" w14:paraId="20F2F345" w14:textId="77777777" w:rsidTr="002D7F2A">
        <w:trPr>
          <w:trHeight w:val="432"/>
        </w:trPr>
        <w:tc>
          <w:tcPr>
            <w:tcW w:w="1417" w:type="dxa"/>
          </w:tcPr>
          <w:p w14:paraId="4F4E055A" w14:textId="196081BD" w:rsidR="00B318F0" w:rsidRDefault="004B7DBC" w:rsidP="002F4010">
            <w:r>
              <w:t>CR</w:t>
            </w:r>
            <w:r w:rsidR="00B318F0">
              <w:t>2 &gt;= 2</w:t>
            </w:r>
          </w:p>
        </w:tc>
        <w:tc>
          <w:tcPr>
            <w:tcW w:w="1031" w:type="dxa"/>
          </w:tcPr>
          <w:p w14:paraId="7F30371E" w14:textId="7C303D55" w:rsidR="00B318F0" w:rsidRDefault="007F5E98" w:rsidP="002F4010">
            <w:r>
              <w:t>18</w:t>
            </w:r>
            <w:r w:rsidR="007149E5">
              <w:t>2</w:t>
            </w:r>
          </w:p>
        </w:tc>
        <w:tc>
          <w:tcPr>
            <w:tcW w:w="1080" w:type="dxa"/>
          </w:tcPr>
          <w:p w14:paraId="77BF698A" w14:textId="1EF250D1" w:rsidR="00B318F0" w:rsidRDefault="007149E5" w:rsidP="002F4010">
            <w:r>
              <w:t>40</w:t>
            </w:r>
          </w:p>
        </w:tc>
        <w:tc>
          <w:tcPr>
            <w:tcW w:w="6048" w:type="dxa"/>
            <w:gridSpan w:val="5"/>
          </w:tcPr>
          <w:p w14:paraId="0540C5DA" w14:textId="77777777" w:rsidR="00B318F0" w:rsidRDefault="00B318F0" w:rsidP="007053BD">
            <w:pPr>
              <w:spacing w:line="480" w:lineRule="auto"/>
            </w:pPr>
          </w:p>
        </w:tc>
      </w:tr>
      <w:tr w:rsidR="00B318F0" w14:paraId="7F3D53B0" w14:textId="77777777" w:rsidTr="002D7F2A">
        <w:trPr>
          <w:trHeight w:val="432"/>
        </w:trPr>
        <w:tc>
          <w:tcPr>
            <w:tcW w:w="3528" w:type="dxa"/>
            <w:gridSpan w:val="3"/>
          </w:tcPr>
          <w:p w14:paraId="236B64F3" w14:textId="77777777" w:rsidR="00B318F0" w:rsidRDefault="00B318F0" w:rsidP="0072706C">
            <w:pPr>
              <w:spacing w:line="480" w:lineRule="auto"/>
              <w:jc w:val="center"/>
            </w:pPr>
            <w:r>
              <w:t>Receptive language</w:t>
            </w:r>
            <w:r w:rsidR="00106EED">
              <w:t xml:space="preserve"> from age 3</w:t>
            </w:r>
          </w:p>
        </w:tc>
        <w:tc>
          <w:tcPr>
            <w:tcW w:w="6048" w:type="dxa"/>
            <w:gridSpan w:val="5"/>
          </w:tcPr>
          <w:p w14:paraId="6A0C91AC" w14:textId="77777777" w:rsidR="00B318F0" w:rsidRDefault="00B318F0" w:rsidP="007053BD">
            <w:pPr>
              <w:spacing w:line="480" w:lineRule="auto"/>
            </w:pPr>
          </w:p>
        </w:tc>
      </w:tr>
      <w:tr w:rsidR="00CF7391" w14:paraId="7DEDC9F6" w14:textId="77777777" w:rsidTr="002D7F2A">
        <w:trPr>
          <w:trHeight w:val="432"/>
        </w:trPr>
        <w:tc>
          <w:tcPr>
            <w:tcW w:w="1417" w:type="dxa"/>
          </w:tcPr>
          <w:p w14:paraId="6EC08FD4" w14:textId="7F0FB725" w:rsidR="00CF7391" w:rsidRDefault="004B7DBC" w:rsidP="002F4010">
            <w:r>
              <w:t>CR</w:t>
            </w:r>
            <w:r w:rsidR="00CF7391">
              <w:t>3 &lt;</w:t>
            </w:r>
            <w:r w:rsidR="00D76577">
              <w:t xml:space="preserve"> </w:t>
            </w:r>
            <w:r w:rsidR="00CF7391">
              <w:t>2</w:t>
            </w:r>
          </w:p>
        </w:tc>
        <w:tc>
          <w:tcPr>
            <w:tcW w:w="1031" w:type="dxa"/>
          </w:tcPr>
          <w:p w14:paraId="6C5AB2D2" w14:textId="03B029D1" w:rsidR="00CF7391" w:rsidRDefault="007B3344" w:rsidP="002F4010">
            <w:r>
              <w:t>83</w:t>
            </w:r>
            <w:r w:rsidR="00401C76">
              <w:t>1</w:t>
            </w:r>
          </w:p>
        </w:tc>
        <w:tc>
          <w:tcPr>
            <w:tcW w:w="1080" w:type="dxa"/>
          </w:tcPr>
          <w:p w14:paraId="6E8B1766" w14:textId="0CAF8BA1" w:rsidR="00CF7391" w:rsidRDefault="007B3344" w:rsidP="002F4010">
            <w:r>
              <w:t>6</w:t>
            </w:r>
            <w:r w:rsidR="00401C76">
              <w:t>8</w:t>
            </w:r>
          </w:p>
        </w:tc>
        <w:tc>
          <w:tcPr>
            <w:tcW w:w="1350" w:type="dxa"/>
          </w:tcPr>
          <w:p w14:paraId="690DA0A9" w14:textId="77777777" w:rsidR="00CF7391" w:rsidRDefault="007C48EB" w:rsidP="007053BD">
            <w:pPr>
              <w:spacing w:line="480" w:lineRule="auto"/>
            </w:pPr>
            <w:r>
              <w:t>.</w:t>
            </w:r>
            <w:r w:rsidR="00892253">
              <w:t>3</w:t>
            </w:r>
            <w:r w:rsidR="007B3344">
              <w:t>6</w:t>
            </w:r>
          </w:p>
        </w:tc>
        <w:tc>
          <w:tcPr>
            <w:tcW w:w="1350" w:type="dxa"/>
          </w:tcPr>
          <w:p w14:paraId="4AD94FEE" w14:textId="77777777" w:rsidR="00CF7391" w:rsidRDefault="007C48EB" w:rsidP="007053BD">
            <w:pPr>
              <w:spacing w:line="480" w:lineRule="auto"/>
            </w:pPr>
            <w:r>
              <w:t>.</w:t>
            </w:r>
            <w:r w:rsidR="00892253">
              <w:t>86</w:t>
            </w:r>
          </w:p>
        </w:tc>
        <w:tc>
          <w:tcPr>
            <w:tcW w:w="720" w:type="dxa"/>
          </w:tcPr>
          <w:p w14:paraId="0DDC43D1" w14:textId="77777777" w:rsidR="00CF7391" w:rsidRDefault="007C48EB" w:rsidP="007053BD">
            <w:pPr>
              <w:spacing w:line="480" w:lineRule="auto"/>
            </w:pPr>
            <w:r>
              <w:t>.</w:t>
            </w:r>
            <w:r w:rsidR="007B3344">
              <w:t>22</w:t>
            </w:r>
          </w:p>
        </w:tc>
        <w:tc>
          <w:tcPr>
            <w:tcW w:w="810" w:type="dxa"/>
          </w:tcPr>
          <w:p w14:paraId="5622610C" w14:textId="77777777" w:rsidR="00CF7391" w:rsidRDefault="007C48EB" w:rsidP="007053BD">
            <w:pPr>
              <w:spacing w:line="480" w:lineRule="auto"/>
            </w:pPr>
            <w:r>
              <w:t>.</w:t>
            </w:r>
            <w:r w:rsidR="00892253">
              <w:t>9</w:t>
            </w:r>
            <w:r w:rsidR="007B3344">
              <w:t>2</w:t>
            </w:r>
          </w:p>
        </w:tc>
        <w:tc>
          <w:tcPr>
            <w:tcW w:w="1818" w:type="dxa"/>
          </w:tcPr>
          <w:p w14:paraId="7FF1E511" w14:textId="43E3416F" w:rsidR="00CF7391" w:rsidRDefault="00971D43" w:rsidP="007053BD">
            <w:pPr>
              <w:spacing w:line="480" w:lineRule="auto"/>
            </w:pPr>
            <w:r>
              <w:t>3.43 (2.22-5.29</w:t>
            </w:r>
            <w:r w:rsidR="00D6082A">
              <w:t>)</w:t>
            </w:r>
          </w:p>
        </w:tc>
      </w:tr>
      <w:tr w:rsidR="00B318F0" w14:paraId="6F7E93A8" w14:textId="77777777" w:rsidTr="002D7F2A">
        <w:trPr>
          <w:trHeight w:val="432"/>
        </w:trPr>
        <w:tc>
          <w:tcPr>
            <w:tcW w:w="1417" w:type="dxa"/>
          </w:tcPr>
          <w:p w14:paraId="2669EE43" w14:textId="177FDEEB" w:rsidR="00B318F0" w:rsidRDefault="004B7DBC" w:rsidP="002F4010">
            <w:r>
              <w:t>CR</w:t>
            </w:r>
            <w:r w:rsidR="00B318F0">
              <w:t>3 &gt;= 2</w:t>
            </w:r>
          </w:p>
        </w:tc>
        <w:tc>
          <w:tcPr>
            <w:tcW w:w="1031" w:type="dxa"/>
          </w:tcPr>
          <w:p w14:paraId="48E6389C" w14:textId="33CA9A3B" w:rsidR="00B318F0" w:rsidRDefault="00B318F0" w:rsidP="002F4010">
            <w:r>
              <w:t>1</w:t>
            </w:r>
            <w:r w:rsidR="007B3344">
              <w:t>3</w:t>
            </w:r>
            <w:r w:rsidR="00401C76">
              <w:t>9</w:t>
            </w:r>
          </w:p>
        </w:tc>
        <w:tc>
          <w:tcPr>
            <w:tcW w:w="1080" w:type="dxa"/>
          </w:tcPr>
          <w:p w14:paraId="4316A252" w14:textId="4C3D5A89" w:rsidR="00B318F0" w:rsidRDefault="00B318F0" w:rsidP="002F4010">
            <w:r>
              <w:t>3</w:t>
            </w:r>
            <w:r w:rsidR="00401C76">
              <w:t>9</w:t>
            </w:r>
          </w:p>
        </w:tc>
        <w:tc>
          <w:tcPr>
            <w:tcW w:w="6048" w:type="dxa"/>
            <w:gridSpan w:val="5"/>
          </w:tcPr>
          <w:p w14:paraId="565E01F9" w14:textId="77777777" w:rsidR="00B318F0" w:rsidRDefault="00B318F0" w:rsidP="007053BD">
            <w:pPr>
              <w:spacing w:line="480" w:lineRule="auto"/>
            </w:pPr>
          </w:p>
        </w:tc>
      </w:tr>
      <w:tr w:rsidR="00B318F0" w14:paraId="112FD16A" w14:textId="77777777" w:rsidTr="002D7F2A">
        <w:trPr>
          <w:trHeight w:val="432"/>
        </w:trPr>
        <w:tc>
          <w:tcPr>
            <w:tcW w:w="3528" w:type="dxa"/>
            <w:gridSpan w:val="3"/>
          </w:tcPr>
          <w:p w14:paraId="65F38AF1" w14:textId="77777777" w:rsidR="00B318F0" w:rsidRDefault="00B318F0" w:rsidP="0072706C">
            <w:pPr>
              <w:spacing w:line="480" w:lineRule="auto"/>
              <w:jc w:val="center"/>
            </w:pPr>
            <w:r>
              <w:t>Word decoding</w:t>
            </w:r>
            <w:r w:rsidR="00106EED">
              <w:t xml:space="preserve"> from age 3</w:t>
            </w:r>
          </w:p>
        </w:tc>
        <w:tc>
          <w:tcPr>
            <w:tcW w:w="6048" w:type="dxa"/>
            <w:gridSpan w:val="5"/>
          </w:tcPr>
          <w:p w14:paraId="4B262394" w14:textId="77777777" w:rsidR="00B318F0" w:rsidRDefault="00B318F0" w:rsidP="007053BD">
            <w:pPr>
              <w:spacing w:line="480" w:lineRule="auto"/>
            </w:pPr>
          </w:p>
        </w:tc>
      </w:tr>
      <w:tr w:rsidR="00CF7391" w14:paraId="046B2C99" w14:textId="77777777" w:rsidTr="002D7F2A">
        <w:trPr>
          <w:trHeight w:val="432"/>
        </w:trPr>
        <w:tc>
          <w:tcPr>
            <w:tcW w:w="1417" w:type="dxa"/>
          </w:tcPr>
          <w:p w14:paraId="72819184" w14:textId="16DE6C83" w:rsidR="00CF7391" w:rsidRDefault="004B7DBC" w:rsidP="002F4010">
            <w:r>
              <w:t>CR</w:t>
            </w:r>
            <w:r w:rsidR="00CF7391">
              <w:t>3 &lt;</w:t>
            </w:r>
            <w:r w:rsidR="00D76577">
              <w:t xml:space="preserve"> </w:t>
            </w:r>
            <w:r w:rsidR="00CF7391">
              <w:t>2</w:t>
            </w:r>
          </w:p>
        </w:tc>
        <w:tc>
          <w:tcPr>
            <w:tcW w:w="1031" w:type="dxa"/>
          </w:tcPr>
          <w:p w14:paraId="6FB87620" w14:textId="127C653D" w:rsidR="00CF7391" w:rsidRDefault="00181A8D" w:rsidP="002F4010">
            <w:r>
              <w:t>89</w:t>
            </w:r>
            <w:r w:rsidR="00C66775">
              <w:t>4</w:t>
            </w:r>
          </w:p>
        </w:tc>
        <w:tc>
          <w:tcPr>
            <w:tcW w:w="1080" w:type="dxa"/>
          </w:tcPr>
          <w:p w14:paraId="1298AF86" w14:textId="77777777" w:rsidR="00CF7391" w:rsidRDefault="00181A8D" w:rsidP="002F4010">
            <w:r>
              <w:t>74</w:t>
            </w:r>
          </w:p>
        </w:tc>
        <w:tc>
          <w:tcPr>
            <w:tcW w:w="1350" w:type="dxa"/>
          </w:tcPr>
          <w:p w14:paraId="069271F0" w14:textId="77777777" w:rsidR="00CF7391" w:rsidRDefault="007C48EB" w:rsidP="007053BD">
            <w:pPr>
              <w:spacing w:line="480" w:lineRule="auto"/>
            </w:pPr>
            <w:r>
              <w:t>.</w:t>
            </w:r>
            <w:r w:rsidR="00892253">
              <w:t>3</w:t>
            </w:r>
            <w:r w:rsidR="00181A8D">
              <w:t>6</w:t>
            </w:r>
          </w:p>
        </w:tc>
        <w:tc>
          <w:tcPr>
            <w:tcW w:w="1350" w:type="dxa"/>
          </w:tcPr>
          <w:p w14:paraId="3B29B7E3" w14:textId="76502BE6" w:rsidR="00CF7391" w:rsidRDefault="007C48EB" w:rsidP="007053BD">
            <w:pPr>
              <w:spacing w:line="480" w:lineRule="auto"/>
            </w:pPr>
            <w:r>
              <w:t>.</w:t>
            </w:r>
            <w:r w:rsidR="00892253">
              <w:t>8</w:t>
            </w:r>
            <w:r w:rsidR="00CC3368">
              <w:t>5</w:t>
            </w:r>
          </w:p>
        </w:tc>
        <w:tc>
          <w:tcPr>
            <w:tcW w:w="720" w:type="dxa"/>
          </w:tcPr>
          <w:p w14:paraId="4A80660B" w14:textId="77777777" w:rsidR="00CF7391" w:rsidRDefault="007C48EB" w:rsidP="007053BD">
            <w:pPr>
              <w:spacing w:line="480" w:lineRule="auto"/>
            </w:pPr>
            <w:r>
              <w:t>.</w:t>
            </w:r>
            <w:r w:rsidR="00181A8D">
              <w:t>22</w:t>
            </w:r>
          </w:p>
        </w:tc>
        <w:tc>
          <w:tcPr>
            <w:tcW w:w="810" w:type="dxa"/>
          </w:tcPr>
          <w:p w14:paraId="3AD78106" w14:textId="77777777" w:rsidR="00CF7391" w:rsidRDefault="007C48EB" w:rsidP="007053BD">
            <w:pPr>
              <w:spacing w:line="480" w:lineRule="auto"/>
            </w:pPr>
            <w:r>
              <w:t>.</w:t>
            </w:r>
            <w:r w:rsidR="00892253">
              <w:t>9</w:t>
            </w:r>
            <w:r w:rsidR="00181A8D">
              <w:t>2</w:t>
            </w:r>
          </w:p>
        </w:tc>
        <w:tc>
          <w:tcPr>
            <w:tcW w:w="1818" w:type="dxa"/>
          </w:tcPr>
          <w:p w14:paraId="787D9287" w14:textId="70078BCB" w:rsidR="00CF7391" w:rsidRDefault="00CC3368" w:rsidP="007053BD">
            <w:pPr>
              <w:spacing w:line="480" w:lineRule="auto"/>
            </w:pPr>
            <w:r>
              <w:t>3.32 (2.19-5.03</w:t>
            </w:r>
            <w:r w:rsidR="00D6082A">
              <w:t>)</w:t>
            </w:r>
          </w:p>
        </w:tc>
      </w:tr>
      <w:tr w:rsidR="00B318F0" w14:paraId="4D2D06D9" w14:textId="77777777" w:rsidTr="002D7F2A">
        <w:trPr>
          <w:trHeight w:val="432"/>
        </w:trPr>
        <w:tc>
          <w:tcPr>
            <w:tcW w:w="1417" w:type="dxa"/>
          </w:tcPr>
          <w:p w14:paraId="1E9A9E42" w14:textId="03129099" w:rsidR="00B318F0" w:rsidRDefault="004B7DBC" w:rsidP="002F4010">
            <w:r>
              <w:t>CR</w:t>
            </w:r>
            <w:r w:rsidR="00B318F0">
              <w:t>3 &gt;= 2</w:t>
            </w:r>
          </w:p>
        </w:tc>
        <w:tc>
          <w:tcPr>
            <w:tcW w:w="1031" w:type="dxa"/>
          </w:tcPr>
          <w:p w14:paraId="2CB6180E" w14:textId="6834649D" w:rsidR="00B318F0" w:rsidRDefault="00B318F0" w:rsidP="002F4010">
            <w:r>
              <w:t>1</w:t>
            </w:r>
            <w:r w:rsidR="00181A8D">
              <w:t>5</w:t>
            </w:r>
            <w:r w:rsidR="00C66775">
              <w:t>3</w:t>
            </w:r>
          </w:p>
        </w:tc>
        <w:tc>
          <w:tcPr>
            <w:tcW w:w="1080" w:type="dxa"/>
          </w:tcPr>
          <w:p w14:paraId="60C58EE6" w14:textId="77777777" w:rsidR="00B318F0" w:rsidRDefault="00181A8D" w:rsidP="002F4010">
            <w:r>
              <w:t>4</w:t>
            </w:r>
            <w:r w:rsidR="00B318F0">
              <w:t>2</w:t>
            </w:r>
          </w:p>
        </w:tc>
        <w:tc>
          <w:tcPr>
            <w:tcW w:w="6048" w:type="dxa"/>
            <w:gridSpan w:val="5"/>
          </w:tcPr>
          <w:p w14:paraId="16080824" w14:textId="77777777" w:rsidR="00B318F0" w:rsidRDefault="00B318F0" w:rsidP="007053BD">
            <w:pPr>
              <w:spacing w:line="480" w:lineRule="auto"/>
            </w:pPr>
          </w:p>
        </w:tc>
      </w:tr>
      <w:tr w:rsidR="00B318F0" w14:paraId="32917F68" w14:textId="77777777" w:rsidTr="002D7F2A">
        <w:trPr>
          <w:trHeight w:val="432"/>
        </w:trPr>
        <w:tc>
          <w:tcPr>
            <w:tcW w:w="3528" w:type="dxa"/>
            <w:gridSpan w:val="3"/>
          </w:tcPr>
          <w:p w14:paraId="536C8E65" w14:textId="77777777" w:rsidR="00B318F0" w:rsidRDefault="00106EED" w:rsidP="0072706C">
            <w:pPr>
              <w:spacing w:line="480" w:lineRule="auto"/>
              <w:jc w:val="center"/>
            </w:pPr>
            <w:r>
              <w:t>Reading comp from age 3</w:t>
            </w:r>
          </w:p>
        </w:tc>
        <w:tc>
          <w:tcPr>
            <w:tcW w:w="6048" w:type="dxa"/>
            <w:gridSpan w:val="5"/>
          </w:tcPr>
          <w:p w14:paraId="069F9130" w14:textId="77777777" w:rsidR="00B318F0" w:rsidRDefault="00B318F0" w:rsidP="007053BD">
            <w:pPr>
              <w:spacing w:line="480" w:lineRule="auto"/>
            </w:pPr>
          </w:p>
        </w:tc>
      </w:tr>
      <w:tr w:rsidR="00CF7391" w14:paraId="03513A83" w14:textId="77777777" w:rsidTr="002D7F2A">
        <w:trPr>
          <w:trHeight w:val="432"/>
        </w:trPr>
        <w:tc>
          <w:tcPr>
            <w:tcW w:w="1417" w:type="dxa"/>
          </w:tcPr>
          <w:p w14:paraId="12D18FA0" w14:textId="4FD7D1F7" w:rsidR="00CF7391" w:rsidRDefault="004B7DBC" w:rsidP="002F4010">
            <w:r>
              <w:t>CR</w:t>
            </w:r>
            <w:r w:rsidR="00CF7391">
              <w:t>3 &lt;</w:t>
            </w:r>
            <w:r w:rsidR="00D76577">
              <w:t xml:space="preserve"> </w:t>
            </w:r>
            <w:r w:rsidR="00CF7391">
              <w:t>2</w:t>
            </w:r>
          </w:p>
        </w:tc>
        <w:tc>
          <w:tcPr>
            <w:tcW w:w="1031" w:type="dxa"/>
          </w:tcPr>
          <w:p w14:paraId="0C7FB49C" w14:textId="7B9B4483" w:rsidR="00CF7391" w:rsidRDefault="00CF7391" w:rsidP="002F4010">
            <w:r>
              <w:t>1</w:t>
            </w:r>
            <w:r w:rsidR="008A117E">
              <w:t>02</w:t>
            </w:r>
            <w:r w:rsidR="00C66775">
              <w:t>1</w:t>
            </w:r>
          </w:p>
        </w:tc>
        <w:tc>
          <w:tcPr>
            <w:tcW w:w="1080" w:type="dxa"/>
          </w:tcPr>
          <w:p w14:paraId="1A408317" w14:textId="39CB6A1D" w:rsidR="00CF7391" w:rsidRDefault="008A117E" w:rsidP="002F4010">
            <w:r>
              <w:t>9</w:t>
            </w:r>
            <w:r w:rsidR="00C66775">
              <w:t>1</w:t>
            </w:r>
          </w:p>
        </w:tc>
        <w:tc>
          <w:tcPr>
            <w:tcW w:w="1350" w:type="dxa"/>
          </w:tcPr>
          <w:p w14:paraId="37F1C899" w14:textId="312D3D5D" w:rsidR="00CF7391" w:rsidRDefault="007C48EB" w:rsidP="007053BD">
            <w:pPr>
              <w:spacing w:line="480" w:lineRule="auto"/>
            </w:pPr>
            <w:r>
              <w:t>.</w:t>
            </w:r>
            <w:r w:rsidR="00892253">
              <w:t>3</w:t>
            </w:r>
            <w:r w:rsidR="00CC3368">
              <w:t>2</w:t>
            </w:r>
          </w:p>
        </w:tc>
        <w:tc>
          <w:tcPr>
            <w:tcW w:w="1350" w:type="dxa"/>
          </w:tcPr>
          <w:p w14:paraId="51A954BF" w14:textId="77777777" w:rsidR="00CF7391" w:rsidRDefault="007C48EB" w:rsidP="007053BD">
            <w:pPr>
              <w:spacing w:line="480" w:lineRule="auto"/>
            </w:pPr>
            <w:r>
              <w:t>.</w:t>
            </w:r>
            <w:r w:rsidR="00892253">
              <w:t>8</w:t>
            </w:r>
            <w:r w:rsidR="008A117E">
              <w:t>5</w:t>
            </w:r>
          </w:p>
        </w:tc>
        <w:tc>
          <w:tcPr>
            <w:tcW w:w="720" w:type="dxa"/>
          </w:tcPr>
          <w:p w14:paraId="682501F2" w14:textId="735AB4C2" w:rsidR="00CF7391" w:rsidRDefault="007C48EB" w:rsidP="007053BD">
            <w:pPr>
              <w:spacing w:line="480" w:lineRule="auto"/>
            </w:pPr>
            <w:r>
              <w:t>.</w:t>
            </w:r>
            <w:r w:rsidR="00892253">
              <w:t>1</w:t>
            </w:r>
            <w:r w:rsidR="00CC3368">
              <w:t>9</w:t>
            </w:r>
          </w:p>
        </w:tc>
        <w:tc>
          <w:tcPr>
            <w:tcW w:w="810" w:type="dxa"/>
          </w:tcPr>
          <w:p w14:paraId="6EC88398" w14:textId="77777777" w:rsidR="00CF7391" w:rsidRDefault="007C48EB" w:rsidP="007053BD">
            <w:pPr>
              <w:spacing w:line="480" w:lineRule="auto"/>
            </w:pPr>
            <w:r>
              <w:t>.</w:t>
            </w:r>
            <w:r w:rsidR="00892253">
              <w:t>9</w:t>
            </w:r>
            <w:r w:rsidR="008A117E">
              <w:t>2</w:t>
            </w:r>
          </w:p>
        </w:tc>
        <w:tc>
          <w:tcPr>
            <w:tcW w:w="1818" w:type="dxa"/>
          </w:tcPr>
          <w:p w14:paraId="1D6D4087" w14:textId="4FCCC92A" w:rsidR="00CF7391" w:rsidRDefault="00CC3368" w:rsidP="007053BD">
            <w:pPr>
              <w:spacing w:line="480" w:lineRule="auto"/>
            </w:pPr>
            <w:r>
              <w:t>2.56 (1.72-3.81</w:t>
            </w:r>
            <w:r w:rsidR="00D6082A">
              <w:t>)</w:t>
            </w:r>
          </w:p>
        </w:tc>
      </w:tr>
      <w:tr w:rsidR="00B318F0" w14:paraId="6F6E7FBF" w14:textId="77777777" w:rsidTr="002D7F2A">
        <w:trPr>
          <w:trHeight w:val="432"/>
        </w:trPr>
        <w:tc>
          <w:tcPr>
            <w:tcW w:w="1417" w:type="dxa"/>
          </w:tcPr>
          <w:p w14:paraId="5E3E614B" w14:textId="5A9CB461" w:rsidR="00B318F0" w:rsidRDefault="004B7DBC" w:rsidP="002F4010">
            <w:r>
              <w:t>CR</w:t>
            </w:r>
            <w:r w:rsidR="00B318F0">
              <w:t>3 &gt;= 2</w:t>
            </w:r>
          </w:p>
        </w:tc>
        <w:tc>
          <w:tcPr>
            <w:tcW w:w="1031" w:type="dxa"/>
          </w:tcPr>
          <w:p w14:paraId="1A2772D0" w14:textId="2273B067" w:rsidR="00B318F0" w:rsidRDefault="008A117E" w:rsidP="002F4010">
            <w:r>
              <w:t>18</w:t>
            </w:r>
            <w:r w:rsidR="00C66775">
              <w:t>4</w:t>
            </w:r>
          </w:p>
        </w:tc>
        <w:tc>
          <w:tcPr>
            <w:tcW w:w="1080" w:type="dxa"/>
          </w:tcPr>
          <w:p w14:paraId="766C43A4" w14:textId="687D7E3F" w:rsidR="00B318F0" w:rsidRDefault="008A117E" w:rsidP="002F4010">
            <w:r>
              <w:t>4</w:t>
            </w:r>
            <w:r w:rsidR="00C66775">
              <w:t>2</w:t>
            </w:r>
          </w:p>
        </w:tc>
        <w:tc>
          <w:tcPr>
            <w:tcW w:w="6048" w:type="dxa"/>
            <w:gridSpan w:val="5"/>
          </w:tcPr>
          <w:p w14:paraId="326BDF9E" w14:textId="77777777" w:rsidR="00B318F0" w:rsidRDefault="00B318F0" w:rsidP="007053BD">
            <w:pPr>
              <w:spacing w:line="480" w:lineRule="auto"/>
            </w:pPr>
          </w:p>
        </w:tc>
      </w:tr>
    </w:tbl>
    <w:p w14:paraId="7D27A9EF" w14:textId="37BB3F0B" w:rsidR="00466C6E" w:rsidRDefault="00DF07E3" w:rsidP="003C4FCE">
      <w:pPr>
        <w:spacing w:line="480" w:lineRule="auto"/>
      </w:pPr>
      <w:r>
        <w:rPr>
          <w:noProof/>
          <w:lang w:val="en-GB" w:eastAsia="en-GB"/>
        </w:rPr>
        <w:lastRenderedPageBreak/>
        <w:drawing>
          <wp:inline distT="0" distB="0" distL="0" distR="0" wp14:anchorId="03F957C4" wp14:editId="14205721">
            <wp:extent cx="4581525" cy="2752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jpg"/>
                    <pic:cNvPicPr/>
                  </pic:nvPicPr>
                  <pic:blipFill>
                    <a:blip r:embed="rId12"/>
                    <a:stretch>
                      <a:fillRect/>
                    </a:stretch>
                  </pic:blipFill>
                  <pic:spPr>
                    <a:xfrm>
                      <a:off x="0" y="0"/>
                      <a:ext cx="4581525" cy="2752725"/>
                    </a:xfrm>
                    <a:prstGeom prst="rect">
                      <a:avLst/>
                    </a:prstGeom>
                  </pic:spPr>
                </pic:pic>
              </a:graphicData>
            </a:graphic>
          </wp:inline>
        </w:drawing>
      </w:r>
    </w:p>
    <w:p w14:paraId="256E495D" w14:textId="5407C765" w:rsidR="00DF07E3" w:rsidRDefault="00DF07E3">
      <w:r>
        <w:br w:type="page"/>
      </w:r>
    </w:p>
    <w:p w14:paraId="49794C1A" w14:textId="77777777" w:rsidR="00DF07E3" w:rsidRDefault="00DF07E3" w:rsidP="003C4FCE">
      <w:pPr>
        <w:spacing w:line="480" w:lineRule="auto"/>
      </w:pPr>
    </w:p>
    <w:p w14:paraId="2E9D8213" w14:textId="6B93D4D6" w:rsidR="00DF07E3" w:rsidRDefault="00DF07E3" w:rsidP="003C4FCE">
      <w:pPr>
        <w:spacing w:line="480" w:lineRule="auto"/>
      </w:pPr>
    </w:p>
    <w:p w14:paraId="21590FF4" w14:textId="4D695630" w:rsidR="00DF07E3" w:rsidRDefault="00DF07E3" w:rsidP="003C4FCE">
      <w:pPr>
        <w:spacing w:line="480" w:lineRule="auto"/>
      </w:pPr>
      <w:r>
        <w:rPr>
          <w:noProof/>
          <w:lang w:val="en-GB" w:eastAsia="en-GB"/>
        </w:rPr>
        <w:drawing>
          <wp:inline distT="0" distB="0" distL="0" distR="0" wp14:anchorId="6AF31325" wp14:editId="54E0ED98">
            <wp:extent cx="4581525" cy="2752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a.jpg"/>
                    <pic:cNvPicPr/>
                  </pic:nvPicPr>
                  <pic:blipFill>
                    <a:blip r:embed="rId13"/>
                    <a:stretch>
                      <a:fillRect/>
                    </a:stretch>
                  </pic:blipFill>
                  <pic:spPr>
                    <a:xfrm>
                      <a:off x="0" y="0"/>
                      <a:ext cx="4581525" cy="2752725"/>
                    </a:xfrm>
                    <a:prstGeom prst="rect">
                      <a:avLst/>
                    </a:prstGeom>
                  </pic:spPr>
                </pic:pic>
              </a:graphicData>
            </a:graphic>
          </wp:inline>
        </w:drawing>
      </w:r>
    </w:p>
    <w:p w14:paraId="5D1C59FC" w14:textId="40634E06" w:rsidR="00DF07E3" w:rsidRDefault="00DF07E3" w:rsidP="003C4FCE">
      <w:pPr>
        <w:spacing w:line="480" w:lineRule="auto"/>
      </w:pPr>
    </w:p>
    <w:p w14:paraId="3CB517BE" w14:textId="0A5CAC84" w:rsidR="00DF07E3" w:rsidRDefault="00DF07E3" w:rsidP="003C4FCE">
      <w:pPr>
        <w:spacing w:line="480" w:lineRule="auto"/>
      </w:pPr>
    </w:p>
    <w:p w14:paraId="20530B4A" w14:textId="2CE4C65D" w:rsidR="00DF07E3" w:rsidRDefault="00DF07E3">
      <w:r>
        <w:br w:type="page"/>
      </w:r>
    </w:p>
    <w:p w14:paraId="5F9AA544" w14:textId="0A4B1F60" w:rsidR="00DF07E3" w:rsidRDefault="00DF07E3" w:rsidP="003C4FCE">
      <w:pPr>
        <w:spacing w:line="480" w:lineRule="auto"/>
      </w:pPr>
      <w:r>
        <w:rPr>
          <w:noProof/>
          <w:lang w:val="en-GB" w:eastAsia="en-GB"/>
        </w:rPr>
        <w:lastRenderedPageBreak/>
        <w:drawing>
          <wp:inline distT="0" distB="0" distL="0" distR="0" wp14:anchorId="447F100C" wp14:editId="52651107">
            <wp:extent cx="4581525" cy="2752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2b.jpg"/>
                    <pic:cNvPicPr/>
                  </pic:nvPicPr>
                  <pic:blipFill>
                    <a:blip r:embed="rId14"/>
                    <a:stretch>
                      <a:fillRect/>
                    </a:stretch>
                  </pic:blipFill>
                  <pic:spPr>
                    <a:xfrm>
                      <a:off x="0" y="0"/>
                      <a:ext cx="4581525" cy="2752725"/>
                    </a:xfrm>
                    <a:prstGeom prst="rect">
                      <a:avLst/>
                    </a:prstGeom>
                  </pic:spPr>
                </pic:pic>
              </a:graphicData>
            </a:graphic>
          </wp:inline>
        </w:drawing>
      </w:r>
    </w:p>
    <w:p w14:paraId="7EFF5394" w14:textId="43E519A7" w:rsidR="00DF07E3" w:rsidRDefault="00DF07E3" w:rsidP="003C4FCE">
      <w:pPr>
        <w:spacing w:line="480" w:lineRule="auto"/>
      </w:pPr>
    </w:p>
    <w:p w14:paraId="4715F5BB" w14:textId="3080ED83" w:rsidR="00DF07E3" w:rsidRDefault="00DF07E3">
      <w:r>
        <w:br w:type="page"/>
      </w:r>
    </w:p>
    <w:p w14:paraId="5D24879D" w14:textId="342B91F0" w:rsidR="00DF07E3" w:rsidRDefault="00DF07E3" w:rsidP="003C4FCE">
      <w:pPr>
        <w:spacing w:line="480" w:lineRule="auto"/>
      </w:pPr>
      <w:r>
        <w:rPr>
          <w:noProof/>
          <w:lang w:val="en-GB" w:eastAsia="en-GB"/>
        </w:rPr>
        <w:lastRenderedPageBreak/>
        <w:drawing>
          <wp:inline distT="0" distB="0" distL="0" distR="0" wp14:anchorId="068A7F14" wp14:editId="0B488C94">
            <wp:extent cx="5943600" cy="3507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3.jpg"/>
                    <pic:cNvPicPr/>
                  </pic:nvPicPr>
                  <pic:blipFill>
                    <a:blip r:embed="rId15"/>
                    <a:stretch>
                      <a:fillRect/>
                    </a:stretch>
                  </pic:blipFill>
                  <pic:spPr>
                    <a:xfrm>
                      <a:off x="0" y="0"/>
                      <a:ext cx="5943600" cy="3507740"/>
                    </a:xfrm>
                    <a:prstGeom prst="rect">
                      <a:avLst/>
                    </a:prstGeom>
                  </pic:spPr>
                </pic:pic>
              </a:graphicData>
            </a:graphic>
          </wp:inline>
        </w:drawing>
      </w:r>
    </w:p>
    <w:sectPr w:rsidR="00DF07E3" w:rsidSect="00D31B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07298" w14:textId="77777777" w:rsidR="00D336DD" w:rsidRDefault="00D336DD" w:rsidP="00DC338A">
      <w:r>
        <w:separator/>
      </w:r>
    </w:p>
  </w:endnote>
  <w:endnote w:type="continuationSeparator" w:id="0">
    <w:p w14:paraId="52C119A3" w14:textId="77777777" w:rsidR="00D336DD" w:rsidRDefault="00D336DD" w:rsidP="00DC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76726" w14:textId="77777777" w:rsidR="00D336DD" w:rsidRDefault="00D336DD" w:rsidP="00DC338A">
      <w:r>
        <w:separator/>
      </w:r>
    </w:p>
  </w:footnote>
  <w:footnote w:type="continuationSeparator" w:id="0">
    <w:p w14:paraId="7C95AC83" w14:textId="77777777" w:rsidR="00D336DD" w:rsidRDefault="00D336DD" w:rsidP="00DC3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468496"/>
      <w:docPartObj>
        <w:docPartGallery w:val="Page Numbers (Top of Page)"/>
        <w:docPartUnique/>
      </w:docPartObj>
    </w:sdtPr>
    <w:sdtEndPr>
      <w:rPr>
        <w:noProof/>
      </w:rPr>
    </w:sdtEndPr>
    <w:sdtContent>
      <w:p w14:paraId="660608E8" w14:textId="14063474" w:rsidR="00062281" w:rsidRDefault="005E273D">
        <w:pPr>
          <w:pStyle w:val="Header"/>
          <w:jc w:val="right"/>
        </w:pPr>
        <w:r>
          <w:t xml:space="preserve">Polygenic scores and risk prediction for language and literacy delay                                             </w:t>
        </w:r>
        <w:r w:rsidR="00062281">
          <w:fldChar w:fldCharType="begin"/>
        </w:r>
        <w:r w:rsidR="00062281">
          <w:instrText xml:space="preserve"> PAGE   \* MERGEFORMAT </w:instrText>
        </w:r>
        <w:r w:rsidR="00062281">
          <w:fldChar w:fldCharType="separate"/>
        </w:r>
        <w:r w:rsidR="00430CF4">
          <w:rPr>
            <w:noProof/>
          </w:rPr>
          <w:t>1</w:t>
        </w:r>
        <w:r w:rsidR="00062281">
          <w:rPr>
            <w:noProof/>
          </w:rPr>
          <w:fldChar w:fldCharType="end"/>
        </w:r>
      </w:p>
    </w:sdtContent>
  </w:sdt>
  <w:p w14:paraId="10909F26" w14:textId="77777777" w:rsidR="00062281" w:rsidRDefault="00062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21D6F"/>
    <w:multiLevelType w:val="hybridMultilevel"/>
    <w:tmpl w:val="230C05AC"/>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84CCA"/>
    <w:multiLevelType w:val="hybridMultilevel"/>
    <w:tmpl w:val="BD0E40CA"/>
    <w:lvl w:ilvl="0" w:tplc="AAF05A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893A69"/>
    <w:multiLevelType w:val="hybridMultilevel"/>
    <w:tmpl w:val="E76C96B4"/>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D4345"/>
    <w:multiLevelType w:val="hybridMultilevel"/>
    <w:tmpl w:val="44608D38"/>
    <w:lvl w:ilvl="0" w:tplc="C40ED858">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96"/>
    <w:rsid w:val="00000146"/>
    <w:rsid w:val="000013FF"/>
    <w:rsid w:val="000014E0"/>
    <w:rsid w:val="000014FC"/>
    <w:rsid w:val="000029CF"/>
    <w:rsid w:val="00002DAF"/>
    <w:rsid w:val="000042A2"/>
    <w:rsid w:val="0000514E"/>
    <w:rsid w:val="00005153"/>
    <w:rsid w:val="00005480"/>
    <w:rsid w:val="000056F9"/>
    <w:rsid w:val="00005765"/>
    <w:rsid w:val="00005DEF"/>
    <w:rsid w:val="00007205"/>
    <w:rsid w:val="00010132"/>
    <w:rsid w:val="000108FD"/>
    <w:rsid w:val="00010EDD"/>
    <w:rsid w:val="00011039"/>
    <w:rsid w:val="00011612"/>
    <w:rsid w:val="000118C1"/>
    <w:rsid w:val="0001190A"/>
    <w:rsid w:val="00012505"/>
    <w:rsid w:val="0001268D"/>
    <w:rsid w:val="0001291D"/>
    <w:rsid w:val="00012B99"/>
    <w:rsid w:val="00012C2A"/>
    <w:rsid w:val="00012C3F"/>
    <w:rsid w:val="0001343F"/>
    <w:rsid w:val="00014316"/>
    <w:rsid w:val="00014E7B"/>
    <w:rsid w:val="000159F6"/>
    <w:rsid w:val="00017336"/>
    <w:rsid w:val="00017623"/>
    <w:rsid w:val="0002073D"/>
    <w:rsid w:val="0002078F"/>
    <w:rsid w:val="00023575"/>
    <w:rsid w:val="000238D0"/>
    <w:rsid w:val="00023DFA"/>
    <w:rsid w:val="000269A2"/>
    <w:rsid w:val="00030ACD"/>
    <w:rsid w:val="00030B46"/>
    <w:rsid w:val="00031FEC"/>
    <w:rsid w:val="00032823"/>
    <w:rsid w:val="00035B80"/>
    <w:rsid w:val="000361AD"/>
    <w:rsid w:val="0004073B"/>
    <w:rsid w:val="000408F6"/>
    <w:rsid w:val="00040CCD"/>
    <w:rsid w:val="00040F68"/>
    <w:rsid w:val="00041554"/>
    <w:rsid w:val="00041F7E"/>
    <w:rsid w:val="00042466"/>
    <w:rsid w:val="00042796"/>
    <w:rsid w:val="00043916"/>
    <w:rsid w:val="0004393E"/>
    <w:rsid w:val="0004407D"/>
    <w:rsid w:val="00044227"/>
    <w:rsid w:val="00044C92"/>
    <w:rsid w:val="00045710"/>
    <w:rsid w:val="000463BE"/>
    <w:rsid w:val="000469EB"/>
    <w:rsid w:val="00046AE3"/>
    <w:rsid w:val="00050563"/>
    <w:rsid w:val="0005152C"/>
    <w:rsid w:val="00055C3B"/>
    <w:rsid w:val="00056B69"/>
    <w:rsid w:val="0005724D"/>
    <w:rsid w:val="00060803"/>
    <w:rsid w:val="00060A3F"/>
    <w:rsid w:val="00060DA1"/>
    <w:rsid w:val="00060E02"/>
    <w:rsid w:val="000612DF"/>
    <w:rsid w:val="00062281"/>
    <w:rsid w:val="0006269B"/>
    <w:rsid w:val="000631C7"/>
    <w:rsid w:val="00063579"/>
    <w:rsid w:val="00063F6A"/>
    <w:rsid w:val="00064E6A"/>
    <w:rsid w:val="0006570C"/>
    <w:rsid w:val="0006577C"/>
    <w:rsid w:val="00066AD7"/>
    <w:rsid w:val="000677B2"/>
    <w:rsid w:val="00070175"/>
    <w:rsid w:val="00070CDE"/>
    <w:rsid w:val="0007179D"/>
    <w:rsid w:val="00071BA3"/>
    <w:rsid w:val="000720C9"/>
    <w:rsid w:val="00072BB4"/>
    <w:rsid w:val="000731C1"/>
    <w:rsid w:val="00073FD7"/>
    <w:rsid w:val="00075D05"/>
    <w:rsid w:val="0007648A"/>
    <w:rsid w:val="00077198"/>
    <w:rsid w:val="000773D9"/>
    <w:rsid w:val="0008022C"/>
    <w:rsid w:val="000802E1"/>
    <w:rsid w:val="000817C5"/>
    <w:rsid w:val="00081821"/>
    <w:rsid w:val="000837A4"/>
    <w:rsid w:val="00083A00"/>
    <w:rsid w:val="000852E8"/>
    <w:rsid w:val="00085624"/>
    <w:rsid w:val="000865CA"/>
    <w:rsid w:val="00086771"/>
    <w:rsid w:val="00086987"/>
    <w:rsid w:val="00087A19"/>
    <w:rsid w:val="00090246"/>
    <w:rsid w:val="000922FE"/>
    <w:rsid w:val="00095118"/>
    <w:rsid w:val="00095D30"/>
    <w:rsid w:val="00095F01"/>
    <w:rsid w:val="000A096B"/>
    <w:rsid w:val="000A1117"/>
    <w:rsid w:val="000A28D5"/>
    <w:rsid w:val="000A5C69"/>
    <w:rsid w:val="000A647F"/>
    <w:rsid w:val="000A6B4B"/>
    <w:rsid w:val="000A7D07"/>
    <w:rsid w:val="000B1757"/>
    <w:rsid w:val="000B3127"/>
    <w:rsid w:val="000C1F7C"/>
    <w:rsid w:val="000C2075"/>
    <w:rsid w:val="000C5407"/>
    <w:rsid w:val="000C5511"/>
    <w:rsid w:val="000C6595"/>
    <w:rsid w:val="000C6769"/>
    <w:rsid w:val="000D11EF"/>
    <w:rsid w:val="000D2BE8"/>
    <w:rsid w:val="000D4257"/>
    <w:rsid w:val="000D4E6B"/>
    <w:rsid w:val="000D529A"/>
    <w:rsid w:val="000D55B9"/>
    <w:rsid w:val="000D5754"/>
    <w:rsid w:val="000D62E9"/>
    <w:rsid w:val="000E0F6E"/>
    <w:rsid w:val="000E17A2"/>
    <w:rsid w:val="000E1865"/>
    <w:rsid w:val="000E3A9C"/>
    <w:rsid w:val="000E45EE"/>
    <w:rsid w:val="000E5D8A"/>
    <w:rsid w:val="000F05A2"/>
    <w:rsid w:val="000F104B"/>
    <w:rsid w:val="000F28D9"/>
    <w:rsid w:val="000F6249"/>
    <w:rsid w:val="000F6295"/>
    <w:rsid w:val="000F64AC"/>
    <w:rsid w:val="000F67C8"/>
    <w:rsid w:val="000F6E40"/>
    <w:rsid w:val="000F76B8"/>
    <w:rsid w:val="00100551"/>
    <w:rsid w:val="001030DB"/>
    <w:rsid w:val="0010420F"/>
    <w:rsid w:val="00104352"/>
    <w:rsid w:val="00104567"/>
    <w:rsid w:val="0010518F"/>
    <w:rsid w:val="001051D4"/>
    <w:rsid w:val="0010567A"/>
    <w:rsid w:val="001058AE"/>
    <w:rsid w:val="0010618C"/>
    <w:rsid w:val="00106B45"/>
    <w:rsid w:val="00106EED"/>
    <w:rsid w:val="00107A4A"/>
    <w:rsid w:val="00107DF3"/>
    <w:rsid w:val="00112D88"/>
    <w:rsid w:val="0011374C"/>
    <w:rsid w:val="00114D67"/>
    <w:rsid w:val="00115E1D"/>
    <w:rsid w:val="0011606B"/>
    <w:rsid w:val="00116FFB"/>
    <w:rsid w:val="0011760A"/>
    <w:rsid w:val="00117913"/>
    <w:rsid w:val="0012039C"/>
    <w:rsid w:val="001213B8"/>
    <w:rsid w:val="001219E1"/>
    <w:rsid w:val="001227F4"/>
    <w:rsid w:val="00123424"/>
    <w:rsid w:val="00123E7B"/>
    <w:rsid w:val="00124ADB"/>
    <w:rsid w:val="00124D0D"/>
    <w:rsid w:val="00126915"/>
    <w:rsid w:val="00127801"/>
    <w:rsid w:val="00130165"/>
    <w:rsid w:val="001304B8"/>
    <w:rsid w:val="00130ACF"/>
    <w:rsid w:val="00130DE2"/>
    <w:rsid w:val="001328E6"/>
    <w:rsid w:val="001337BD"/>
    <w:rsid w:val="00133969"/>
    <w:rsid w:val="00134C40"/>
    <w:rsid w:val="00134E22"/>
    <w:rsid w:val="00135FEC"/>
    <w:rsid w:val="0013628B"/>
    <w:rsid w:val="00136A40"/>
    <w:rsid w:val="00136B48"/>
    <w:rsid w:val="00136FB5"/>
    <w:rsid w:val="00137E35"/>
    <w:rsid w:val="0014209C"/>
    <w:rsid w:val="001428EE"/>
    <w:rsid w:val="00144C21"/>
    <w:rsid w:val="00146EF2"/>
    <w:rsid w:val="00147EAA"/>
    <w:rsid w:val="001510D7"/>
    <w:rsid w:val="00152087"/>
    <w:rsid w:val="00155208"/>
    <w:rsid w:val="00155BA0"/>
    <w:rsid w:val="00156095"/>
    <w:rsid w:val="00156BBE"/>
    <w:rsid w:val="001571C0"/>
    <w:rsid w:val="001629A3"/>
    <w:rsid w:val="00162AD7"/>
    <w:rsid w:val="00162B83"/>
    <w:rsid w:val="00164ECE"/>
    <w:rsid w:val="001657FD"/>
    <w:rsid w:val="00165E08"/>
    <w:rsid w:val="00165FC0"/>
    <w:rsid w:val="00166F9B"/>
    <w:rsid w:val="00167E28"/>
    <w:rsid w:val="0017169D"/>
    <w:rsid w:val="001719B5"/>
    <w:rsid w:val="00172DFE"/>
    <w:rsid w:val="00172E02"/>
    <w:rsid w:val="00173E70"/>
    <w:rsid w:val="00174328"/>
    <w:rsid w:val="00174B7D"/>
    <w:rsid w:val="00176611"/>
    <w:rsid w:val="001770A3"/>
    <w:rsid w:val="0018036A"/>
    <w:rsid w:val="00180B7A"/>
    <w:rsid w:val="0018191A"/>
    <w:rsid w:val="00181A8D"/>
    <w:rsid w:val="00181DA7"/>
    <w:rsid w:val="001829F4"/>
    <w:rsid w:val="00184454"/>
    <w:rsid w:val="001849EF"/>
    <w:rsid w:val="00184E83"/>
    <w:rsid w:val="00186295"/>
    <w:rsid w:val="001862E6"/>
    <w:rsid w:val="00187031"/>
    <w:rsid w:val="00187E4E"/>
    <w:rsid w:val="001914A8"/>
    <w:rsid w:val="0019244E"/>
    <w:rsid w:val="00193391"/>
    <w:rsid w:val="00193AAC"/>
    <w:rsid w:val="00195517"/>
    <w:rsid w:val="00195704"/>
    <w:rsid w:val="00195993"/>
    <w:rsid w:val="00196A12"/>
    <w:rsid w:val="00196D1F"/>
    <w:rsid w:val="00197A8B"/>
    <w:rsid w:val="001A24D2"/>
    <w:rsid w:val="001A34EC"/>
    <w:rsid w:val="001A4AFA"/>
    <w:rsid w:val="001A5BAA"/>
    <w:rsid w:val="001A5E61"/>
    <w:rsid w:val="001A623F"/>
    <w:rsid w:val="001A7517"/>
    <w:rsid w:val="001B0B0E"/>
    <w:rsid w:val="001B3639"/>
    <w:rsid w:val="001B4B67"/>
    <w:rsid w:val="001B4F26"/>
    <w:rsid w:val="001B5B1C"/>
    <w:rsid w:val="001B6171"/>
    <w:rsid w:val="001C025B"/>
    <w:rsid w:val="001C21B1"/>
    <w:rsid w:val="001C7958"/>
    <w:rsid w:val="001C7E32"/>
    <w:rsid w:val="001D04A5"/>
    <w:rsid w:val="001D0EC1"/>
    <w:rsid w:val="001D2484"/>
    <w:rsid w:val="001D46F5"/>
    <w:rsid w:val="001D54D8"/>
    <w:rsid w:val="001D6334"/>
    <w:rsid w:val="001E11A7"/>
    <w:rsid w:val="001E2155"/>
    <w:rsid w:val="001E3B63"/>
    <w:rsid w:val="001E4003"/>
    <w:rsid w:val="001E41F3"/>
    <w:rsid w:val="001E461E"/>
    <w:rsid w:val="001E4764"/>
    <w:rsid w:val="001E5706"/>
    <w:rsid w:val="001E59C8"/>
    <w:rsid w:val="001E6488"/>
    <w:rsid w:val="001E6DB1"/>
    <w:rsid w:val="001E7CC8"/>
    <w:rsid w:val="001F117D"/>
    <w:rsid w:val="001F20C8"/>
    <w:rsid w:val="001F2D17"/>
    <w:rsid w:val="001F30A4"/>
    <w:rsid w:val="001F3357"/>
    <w:rsid w:val="001F42EF"/>
    <w:rsid w:val="001F44F6"/>
    <w:rsid w:val="001F4AFB"/>
    <w:rsid w:val="001F56E6"/>
    <w:rsid w:val="001F6632"/>
    <w:rsid w:val="001F69DF"/>
    <w:rsid w:val="001F6A69"/>
    <w:rsid w:val="001F6C19"/>
    <w:rsid w:val="00201798"/>
    <w:rsid w:val="002018D5"/>
    <w:rsid w:val="00201B54"/>
    <w:rsid w:val="00203AA7"/>
    <w:rsid w:val="00203E6E"/>
    <w:rsid w:val="002047D3"/>
    <w:rsid w:val="002063BC"/>
    <w:rsid w:val="0020642C"/>
    <w:rsid w:val="002106FB"/>
    <w:rsid w:val="00211674"/>
    <w:rsid w:val="002120C9"/>
    <w:rsid w:val="002120F1"/>
    <w:rsid w:val="00212865"/>
    <w:rsid w:val="00212886"/>
    <w:rsid w:val="002151B6"/>
    <w:rsid w:val="002167FA"/>
    <w:rsid w:val="00222748"/>
    <w:rsid w:val="00223765"/>
    <w:rsid w:val="002239DC"/>
    <w:rsid w:val="00226A31"/>
    <w:rsid w:val="00226A61"/>
    <w:rsid w:val="00226DFC"/>
    <w:rsid w:val="00226F47"/>
    <w:rsid w:val="002319AB"/>
    <w:rsid w:val="00234338"/>
    <w:rsid w:val="00235460"/>
    <w:rsid w:val="00237585"/>
    <w:rsid w:val="0023798D"/>
    <w:rsid w:val="002404C4"/>
    <w:rsid w:val="00240581"/>
    <w:rsid w:val="00241027"/>
    <w:rsid w:val="00241615"/>
    <w:rsid w:val="00241C79"/>
    <w:rsid w:val="002424CB"/>
    <w:rsid w:val="0024459D"/>
    <w:rsid w:val="002452DB"/>
    <w:rsid w:val="00246648"/>
    <w:rsid w:val="00250847"/>
    <w:rsid w:val="00251A6D"/>
    <w:rsid w:val="00251E07"/>
    <w:rsid w:val="00252DB3"/>
    <w:rsid w:val="00253917"/>
    <w:rsid w:val="00254B81"/>
    <w:rsid w:val="00255343"/>
    <w:rsid w:val="002574CA"/>
    <w:rsid w:val="00261933"/>
    <w:rsid w:val="002629F9"/>
    <w:rsid w:val="00262BEC"/>
    <w:rsid w:val="002631E2"/>
    <w:rsid w:val="00264967"/>
    <w:rsid w:val="002651AA"/>
    <w:rsid w:val="0026591B"/>
    <w:rsid w:val="002668A1"/>
    <w:rsid w:val="00267116"/>
    <w:rsid w:val="002675E6"/>
    <w:rsid w:val="0027011C"/>
    <w:rsid w:val="0027258A"/>
    <w:rsid w:val="00274552"/>
    <w:rsid w:val="002748D3"/>
    <w:rsid w:val="00274C92"/>
    <w:rsid w:val="00275430"/>
    <w:rsid w:val="002772BB"/>
    <w:rsid w:val="00280BD3"/>
    <w:rsid w:val="00281B82"/>
    <w:rsid w:val="00281DFA"/>
    <w:rsid w:val="00282468"/>
    <w:rsid w:val="00286B62"/>
    <w:rsid w:val="0028776B"/>
    <w:rsid w:val="0028792D"/>
    <w:rsid w:val="0029498D"/>
    <w:rsid w:val="00296664"/>
    <w:rsid w:val="002979C6"/>
    <w:rsid w:val="00297C21"/>
    <w:rsid w:val="002A106B"/>
    <w:rsid w:val="002A27B3"/>
    <w:rsid w:val="002A579B"/>
    <w:rsid w:val="002A6A35"/>
    <w:rsid w:val="002A7DEC"/>
    <w:rsid w:val="002B0382"/>
    <w:rsid w:val="002B1A5B"/>
    <w:rsid w:val="002B28F1"/>
    <w:rsid w:val="002B3446"/>
    <w:rsid w:val="002B451E"/>
    <w:rsid w:val="002B46A6"/>
    <w:rsid w:val="002B46E8"/>
    <w:rsid w:val="002B6908"/>
    <w:rsid w:val="002B7B52"/>
    <w:rsid w:val="002B7EE7"/>
    <w:rsid w:val="002C13B9"/>
    <w:rsid w:val="002C1E9B"/>
    <w:rsid w:val="002C2E33"/>
    <w:rsid w:val="002C6227"/>
    <w:rsid w:val="002C6A5A"/>
    <w:rsid w:val="002D1C53"/>
    <w:rsid w:val="002D1D01"/>
    <w:rsid w:val="002D1DDA"/>
    <w:rsid w:val="002D38AC"/>
    <w:rsid w:val="002D3A42"/>
    <w:rsid w:val="002D41DE"/>
    <w:rsid w:val="002D6E28"/>
    <w:rsid w:val="002D7867"/>
    <w:rsid w:val="002D7F2A"/>
    <w:rsid w:val="002E3223"/>
    <w:rsid w:val="002E442C"/>
    <w:rsid w:val="002E6007"/>
    <w:rsid w:val="002E6CA6"/>
    <w:rsid w:val="002F25B1"/>
    <w:rsid w:val="002F3689"/>
    <w:rsid w:val="002F4010"/>
    <w:rsid w:val="002F4111"/>
    <w:rsid w:val="002F7BDD"/>
    <w:rsid w:val="0030222E"/>
    <w:rsid w:val="00304EA0"/>
    <w:rsid w:val="00304F86"/>
    <w:rsid w:val="003053B1"/>
    <w:rsid w:val="003057AD"/>
    <w:rsid w:val="00306372"/>
    <w:rsid w:val="00306820"/>
    <w:rsid w:val="0031048E"/>
    <w:rsid w:val="00310528"/>
    <w:rsid w:val="0031109D"/>
    <w:rsid w:val="003118AB"/>
    <w:rsid w:val="00313147"/>
    <w:rsid w:val="003144F0"/>
    <w:rsid w:val="00314B29"/>
    <w:rsid w:val="00314FE6"/>
    <w:rsid w:val="0032111A"/>
    <w:rsid w:val="0032202F"/>
    <w:rsid w:val="00322183"/>
    <w:rsid w:val="00324954"/>
    <w:rsid w:val="003251AF"/>
    <w:rsid w:val="003259C9"/>
    <w:rsid w:val="00325B42"/>
    <w:rsid w:val="0032769B"/>
    <w:rsid w:val="003301F0"/>
    <w:rsid w:val="00330826"/>
    <w:rsid w:val="00330AC8"/>
    <w:rsid w:val="00332889"/>
    <w:rsid w:val="00332D55"/>
    <w:rsid w:val="003335E0"/>
    <w:rsid w:val="003343C7"/>
    <w:rsid w:val="00335C28"/>
    <w:rsid w:val="00336638"/>
    <w:rsid w:val="00336C3C"/>
    <w:rsid w:val="00336E7B"/>
    <w:rsid w:val="003379CC"/>
    <w:rsid w:val="00337E19"/>
    <w:rsid w:val="00337E82"/>
    <w:rsid w:val="0034039C"/>
    <w:rsid w:val="00341AA1"/>
    <w:rsid w:val="00343ADE"/>
    <w:rsid w:val="003445A0"/>
    <w:rsid w:val="0034576F"/>
    <w:rsid w:val="00354CEB"/>
    <w:rsid w:val="00360E67"/>
    <w:rsid w:val="0036134D"/>
    <w:rsid w:val="003616DF"/>
    <w:rsid w:val="0036319F"/>
    <w:rsid w:val="00364112"/>
    <w:rsid w:val="003645BC"/>
    <w:rsid w:val="003651D8"/>
    <w:rsid w:val="00366093"/>
    <w:rsid w:val="003711A9"/>
    <w:rsid w:val="00371F26"/>
    <w:rsid w:val="00372795"/>
    <w:rsid w:val="00372B65"/>
    <w:rsid w:val="00372C61"/>
    <w:rsid w:val="003749BF"/>
    <w:rsid w:val="00375306"/>
    <w:rsid w:val="00376637"/>
    <w:rsid w:val="00376F13"/>
    <w:rsid w:val="0037755D"/>
    <w:rsid w:val="0037797E"/>
    <w:rsid w:val="0038003F"/>
    <w:rsid w:val="003811B3"/>
    <w:rsid w:val="003817F4"/>
    <w:rsid w:val="00381B29"/>
    <w:rsid w:val="00383328"/>
    <w:rsid w:val="003836F6"/>
    <w:rsid w:val="003840A7"/>
    <w:rsid w:val="003844FA"/>
    <w:rsid w:val="003854D0"/>
    <w:rsid w:val="003856FD"/>
    <w:rsid w:val="00385B25"/>
    <w:rsid w:val="00393372"/>
    <w:rsid w:val="00393F98"/>
    <w:rsid w:val="003967E2"/>
    <w:rsid w:val="00396AC5"/>
    <w:rsid w:val="003971DB"/>
    <w:rsid w:val="003A0A6A"/>
    <w:rsid w:val="003A2EAF"/>
    <w:rsid w:val="003A3381"/>
    <w:rsid w:val="003A4447"/>
    <w:rsid w:val="003A460B"/>
    <w:rsid w:val="003A5DE8"/>
    <w:rsid w:val="003A6B41"/>
    <w:rsid w:val="003A6DB3"/>
    <w:rsid w:val="003B0128"/>
    <w:rsid w:val="003B033E"/>
    <w:rsid w:val="003B3B23"/>
    <w:rsid w:val="003B3D1A"/>
    <w:rsid w:val="003B5E65"/>
    <w:rsid w:val="003B6380"/>
    <w:rsid w:val="003B6448"/>
    <w:rsid w:val="003B6D3C"/>
    <w:rsid w:val="003B741C"/>
    <w:rsid w:val="003B7816"/>
    <w:rsid w:val="003B7D5D"/>
    <w:rsid w:val="003C0EDA"/>
    <w:rsid w:val="003C1EFA"/>
    <w:rsid w:val="003C2103"/>
    <w:rsid w:val="003C278E"/>
    <w:rsid w:val="003C2E71"/>
    <w:rsid w:val="003C38B1"/>
    <w:rsid w:val="003C3AF7"/>
    <w:rsid w:val="003C41A9"/>
    <w:rsid w:val="003C4FCE"/>
    <w:rsid w:val="003C52BE"/>
    <w:rsid w:val="003C5C07"/>
    <w:rsid w:val="003C6091"/>
    <w:rsid w:val="003C756A"/>
    <w:rsid w:val="003D1E8F"/>
    <w:rsid w:val="003D2A0B"/>
    <w:rsid w:val="003D37A7"/>
    <w:rsid w:val="003D48C6"/>
    <w:rsid w:val="003D54D3"/>
    <w:rsid w:val="003D5991"/>
    <w:rsid w:val="003D7AEE"/>
    <w:rsid w:val="003E1771"/>
    <w:rsid w:val="003E196A"/>
    <w:rsid w:val="003E1C0C"/>
    <w:rsid w:val="003E276C"/>
    <w:rsid w:val="003E3D8A"/>
    <w:rsid w:val="003E4FC1"/>
    <w:rsid w:val="003E59A1"/>
    <w:rsid w:val="003E6019"/>
    <w:rsid w:val="003E708A"/>
    <w:rsid w:val="003E7753"/>
    <w:rsid w:val="003E7F24"/>
    <w:rsid w:val="003F0AD0"/>
    <w:rsid w:val="003F0ADC"/>
    <w:rsid w:val="003F0AFD"/>
    <w:rsid w:val="003F0CC4"/>
    <w:rsid w:val="003F2FA8"/>
    <w:rsid w:val="003F3731"/>
    <w:rsid w:val="003F6CE0"/>
    <w:rsid w:val="003F6CEF"/>
    <w:rsid w:val="00400771"/>
    <w:rsid w:val="00400FEE"/>
    <w:rsid w:val="00401C76"/>
    <w:rsid w:val="00402201"/>
    <w:rsid w:val="00403479"/>
    <w:rsid w:val="00403B20"/>
    <w:rsid w:val="00404A60"/>
    <w:rsid w:val="004050AF"/>
    <w:rsid w:val="0040515F"/>
    <w:rsid w:val="00407260"/>
    <w:rsid w:val="00407EDA"/>
    <w:rsid w:val="00410670"/>
    <w:rsid w:val="0041138A"/>
    <w:rsid w:val="004122DC"/>
    <w:rsid w:val="00412895"/>
    <w:rsid w:val="00412FE8"/>
    <w:rsid w:val="00414890"/>
    <w:rsid w:val="00414AE7"/>
    <w:rsid w:val="004176C8"/>
    <w:rsid w:val="0041772F"/>
    <w:rsid w:val="00417D54"/>
    <w:rsid w:val="004207DA"/>
    <w:rsid w:val="0042230A"/>
    <w:rsid w:val="00424074"/>
    <w:rsid w:val="00426374"/>
    <w:rsid w:val="00426A7C"/>
    <w:rsid w:val="00426B60"/>
    <w:rsid w:val="004273FF"/>
    <w:rsid w:val="00430126"/>
    <w:rsid w:val="00430CF4"/>
    <w:rsid w:val="00432935"/>
    <w:rsid w:val="00433837"/>
    <w:rsid w:val="00434943"/>
    <w:rsid w:val="004376B1"/>
    <w:rsid w:val="00440998"/>
    <w:rsid w:val="00440B89"/>
    <w:rsid w:val="00440CBD"/>
    <w:rsid w:val="00440F7D"/>
    <w:rsid w:val="00441435"/>
    <w:rsid w:val="0044289D"/>
    <w:rsid w:val="00442D58"/>
    <w:rsid w:val="0044311A"/>
    <w:rsid w:val="00443540"/>
    <w:rsid w:val="00443652"/>
    <w:rsid w:val="004446D0"/>
    <w:rsid w:val="00450AA4"/>
    <w:rsid w:val="00451273"/>
    <w:rsid w:val="00453CF2"/>
    <w:rsid w:val="004546D0"/>
    <w:rsid w:val="00455745"/>
    <w:rsid w:val="00455EDF"/>
    <w:rsid w:val="00461C3E"/>
    <w:rsid w:val="004621FD"/>
    <w:rsid w:val="004628A9"/>
    <w:rsid w:val="0046311A"/>
    <w:rsid w:val="004631B5"/>
    <w:rsid w:val="004634BE"/>
    <w:rsid w:val="00463E3A"/>
    <w:rsid w:val="00464DF4"/>
    <w:rsid w:val="0046507B"/>
    <w:rsid w:val="004657E2"/>
    <w:rsid w:val="004661AB"/>
    <w:rsid w:val="00466701"/>
    <w:rsid w:val="00466C6E"/>
    <w:rsid w:val="00466D22"/>
    <w:rsid w:val="00466E34"/>
    <w:rsid w:val="004676C6"/>
    <w:rsid w:val="00471863"/>
    <w:rsid w:val="00471DEE"/>
    <w:rsid w:val="004738C4"/>
    <w:rsid w:val="00473ADA"/>
    <w:rsid w:val="004753A0"/>
    <w:rsid w:val="00475816"/>
    <w:rsid w:val="00477AB6"/>
    <w:rsid w:val="00480C64"/>
    <w:rsid w:val="00482731"/>
    <w:rsid w:val="00483948"/>
    <w:rsid w:val="00484881"/>
    <w:rsid w:val="00485A96"/>
    <w:rsid w:val="0048607D"/>
    <w:rsid w:val="00486CE3"/>
    <w:rsid w:val="00487A14"/>
    <w:rsid w:val="00492F5B"/>
    <w:rsid w:val="004930C6"/>
    <w:rsid w:val="004935E8"/>
    <w:rsid w:val="0049452D"/>
    <w:rsid w:val="004946F6"/>
    <w:rsid w:val="0049482B"/>
    <w:rsid w:val="00494D75"/>
    <w:rsid w:val="004962BA"/>
    <w:rsid w:val="004978B5"/>
    <w:rsid w:val="00497CCA"/>
    <w:rsid w:val="00497E22"/>
    <w:rsid w:val="004A143A"/>
    <w:rsid w:val="004A171D"/>
    <w:rsid w:val="004A1C9A"/>
    <w:rsid w:val="004A25C6"/>
    <w:rsid w:val="004A34D1"/>
    <w:rsid w:val="004A3BD8"/>
    <w:rsid w:val="004A5535"/>
    <w:rsid w:val="004A6833"/>
    <w:rsid w:val="004B00F7"/>
    <w:rsid w:val="004B0C2F"/>
    <w:rsid w:val="004B19CF"/>
    <w:rsid w:val="004B1B0E"/>
    <w:rsid w:val="004B2405"/>
    <w:rsid w:val="004B276E"/>
    <w:rsid w:val="004B3608"/>
    <w:rsid w:val="004B378E"/>
    <w:rsid w:val="004B4E4E"/>
    <w:rsid w:val="004B58B5"/>
    <w:rsid w:val="004B6528"/>
    <w:rsid w:val="004B6E9D"/>
    <w:rsid w:val="004B7BCE"/>
    <w:rsid w:val="004B7DBC"/>
    <w:rsid w:val="004C0054"/>
    <w:rsid w:val="004C0200"/>
    <w:rsid w:val="004C1447"/>
    <w:rsid w:val="004C178B"/>
    <w:rsid w:val="004C2260"/>
    <w:rsid w:val="004C28FB"/>
    <w:rsid w:val="004C382B"/>
    <w:rsid w:val="004C3A20"/>
    <w:rsid w:val="004C3EB9"/>
    <w:rsid w:val="004C5BCF"/>
    <w:rsid w:val="004C5F47"/>
    <w:rsid w:val="004C65C6"/>
    <w:rsid w:val="004C6ABA"/>
    <w:rsid w:val="004C74C5"/>
    <w:rsid w:val="004C7A97"/>
    <w:rsid w:val="004D0CB7"/>
    <w:rsid w:val="004D2DFF"/>
    <w:rsid w:val="004D3084"/>
    <w:rsid w:val="004D32DE"/>
    <w:rsid w:val="004D4861"/>
    <w:rsid w:val="004D4B13"/>
    <w:rsid w:val="004D6CEB"/>
    <w:rsid w:val="004D7623"/>
    <w:rsid w:val="004E1725"/>
    <w:rsid w:val="004E1E60"/>
    <w:rsid w:val="004E212C"/>
    <w:rsid w:val="004E24B8"/>
    <w:rsid w:val="004E2C67"/>
    <w:rsid w:val="004E4D5C"/>
    <w:rsid w:val="004E4FD7"/>
    <w:rsid w:val="004E5CE0"/>
    <w:rsid w:val="004F0168"/>
    <w:rsid w:val="004F1047"/>
    <w:rsid w:val="004F230D"/>
    <w:rsid w:val="004F3503"/>
    <w:rsid w:val="004F4261"/>
    <w:rsid w:val="004F64F8"/>
    <w:rsid w:val="004F6F69"/>
    <w:rsid w:val="004F7828"/>
    <w:rsid w:val="00500A39"/>
    <w:rsid w:val="0050159D"/>
    <w:rsid w:val="00503F9F"/>
    <w:rsid w:val="00504074"/>
    <w:rsid w:val="00504ACE"/>
    <w:rsid w:val="005074D1"/>
    <w:rsid w:val="00507E51"/>
    <w:rsid w:val="00513DB0"/>
    <w:rsid w:val="00515713"/>
    <w:rsid w:val="00521A9F"/>
    <w:rsid w:val="005234CC"/>
    <w:rsid w:val="00523C6A"/>
    <w:rsid w:val="00523DF6"/>
    <w:rsid w:val="0052423D"/>
    <w:rsid w:val="00524445"/>
    <w:rsid w:val="0052462F"/>
    <w:rsid w:val="005247B9"/>
    <w:rsid w:val="00526561"/>
    <w:rsid w:val="00526733"/>
    <w:rsid w:val="00532822"/>
    <w:rsid w:val="00533380"/>
    <w:rsid w:val="005338CD"/>
    <w:rsid w:val="005341BE"/>
    <w:rsid w:val="005356FB"/>
    <w:rsid w:val="00535F39"/>
    <w:rsid w:val="005408DD"/>
    <w:rsid w:val="005413E0"/>
    <w:rsid w:val="00542497"/>
    <w:rsid w:val="00542A34"/>
    <w:rsid w:val="00542AAA"/>
    <w:rsid w:val="0054366E"/>
    <w:rsid w:val="00543D47"/>
    <w:rsid w:val="00544CFB"/>
    <w:rsid w:val="00545305"/>
    <w:rsid w:val="00545C64"/>
    <w:rsid w:val="00545C73"/>
    <w:rsid w:val="00546253"/>
    <w:rsid w:val="00551317"/>
    <w:rsid w:val="005518A8"/>
    <w:rsid w:val="00551ACD"/>
    <w:rsid w:val="00551B47"/>
    <w:rsid w:val="005524F1"/>
    <w:rsid w:val="00552908"/>
    <w:rsid w:val="0055355A"/>
    <w:rsid w:val="00553E6B"/>
    <w:rsid w:val="00553FB3"/>
    <w:rsid w:val="00554455"/>
    <w:rsid w:val="00555273"/>
    <w:rsid w:val="00555BF8"/>
    <w:rsid w:val="00556452"/>
    <w:rsid w:val="00556941"/>
    <w:rsid w:val="00556CD6"/>
    <w:rsid w:val="00556DED"/>
    <w:rsid w:val="0056114E"/>
    <w:rsid w:val="00561167"/>
    <w:rsid w:val="00562E4F"/>
    <w:rsid w:val="00562F76"/>
    <w:rsid w:val="00565358"/>
    <w:rsid w:val="00565B22"/>
    <w:rsid w:val="00570691"/>
    <w:rsid w:val="00570CC5"/>
    <w:rsid w:val="0057102C"/>
    <w:rsid w:val="0057185C"/>
    <w:rsid w:val="00571C22"/>
    <w:rsid w:val="00573736"/>
    <w:rsid w:val="005751C6"/>
    <w:rsid w:val="00575814"/>
    <w:rsid w:val="005764EC"/>
    <w:rsid w:val="0057703D"/>
    <w:rsid w:val="005771B9"/>
    <w:rsid w:val="005774CD"/>
    <w:rsid w:val="00577A48"/>
    <w:rsid w:val="00580358"/>
    <w:rsid w:val="00581FA3"/>
    <w:rsid w:val="00583524"/>
    <w:rsid w:val="00584F03"/>
    <w:rsid w:val="00585A95"/>
    <w:rsid w:val="00586A23"/>
    <w:rsid w:val="00586D2A"/>
    <w:rsid w:val="005879D8"/>
    <w:rsid w:val="00587F8F"/>
    <w:rsid w:val="005917F3"/>
    <w:rsid w:val="0059358E"/>
    <w:rsid w:val="00593C21"/>
    <w:rsid w:val="0059455E"/>
    <w:rsid w:val="00595EA9"/>
    <w:rsid w:val="005960C1"/>
    <w:rsid w:val="005A221E"/>
    <w:rsid w:val="005A3238"/>
    <w:rsid w:val="005A380D"/>
    <w:rsid w:val="005A4C26"/>
    <w:rsid w:val="005A4D0B"/>
    <w:rsid w:val="005A650B"/>
    <w:rsid w:val="005B0C77"/>
    <w:rsid w:val="005B1809"/>
    <w:rsid w:val="005B32BA"/>
    <w:rsid w:val="005B385D"/>
    <w:rsid w:val="005B4AED"/>
    <w:rsid w:val="005B5576"/>
    <w:rsid w:val="005B5724"/>
    <w:rsid w:val="005B57F0"/>
    <w:rsid w:val="005B5CBE"/>
    <w:rsid w:val="005B603D"/>
    <w:rsid w:val="005B6D46"/>
    <w:rsid w:val="005B70DD"/>
    <w:rsid w:val="005B78AC"/>
    <w:rsid w:val="005C09D7"/>
    <w:rsid w:val="005C1EF7"/>
    <w:rsid w:val="005C4A7A"/>
    <w:rsid w:val="005C5FA1"/>
    <w:rsid w:val="005C6BE1"/>
    <w:rsid w:val="005C78CE"/>
    <w:rsid w:val="005D0853"/>
    <w:rsid w:val="005D127A"/>
    <w:rsid w:val="005D1AFD"/>
    <w:rsid w:val="005D2038"/>
    <w:rsid w:val="005D3090"/>
    <w:rsid w:val="005D54AD"/>
    <w:rsid w:val="005D7335"/>
    <w:rsid w:val="005D7BA3"/>
    <w:rsid w:val="005E0238"/>
    <w:rsid w:val="005E17EE"/>
    <w:rsid w:val="005E273D"/>
    <w:rsid w:val="005E3B28"/>
    <w:rsid w:val="005E4563"/>
    <w:rsid w:val="005E5D20"/>
    <w:rsid w:val="005E6D24"/>
    <w:rsid w:val="005E7634"/>
    <w:rsid w:val="005F0E61"/>
    <w:rsid w:val="005F4B8D"/>
    <w:rsid w:val="005F5544"/>
    <w:rsid w:val="005F6247"/>
    <w:rsid w:val="006007A0"/>
    <w:rsid w:val="00602569"/>
    <w:rsid w:val="00603514"/>
    <w:rsid w:val="00604CAA"/>
    <w:rsid w:val="00604EBC"/>
    <w:rsid w:val="00606E40"/>
    <w:rsid w:val="006074A5"/>
    <w:rsid w:val="00607543"/>
    <w:rsid w:val="006076E9"/>
    <w:rsid w:val="00607BAA"/>
    <w:rsid w:val="006102AD"/>
    <w:rsid w:val="00610949"/>
    <w:rsid w:val="0061123B"/>
    <w:rsid w:val="00611292"/>
    <w:rsid w:val="00612A53"/>
    <w:rsid w:val="00613B8F"/>
    <w:rsid w:val="00614B62"/>
    <w:rsid w:val="006153E9"/>
    <w:rsid w:val="00620452"/>
    <w:rsid w:val="00621D37"/>
    <w:rsid w:val="006223FF"/>
    <w:rsid w:val="00622CCB"/>
    <w:rsid w:val="0062466D"/>
    <w:rsid w:val="00625A51"/>
    <w:rsid w:val="00626AC4"/>
    <w:rsid w:val="006303F0"/>
    <w:rsid w:val="00631DFE"/>
    <w:rsid w:val="00633DB2"/>
    <w:rsid w:val="00634A9B"/>
    <w:rsid w:val="00635464"/>
    <w:rsid w:val="00635ADA"/>
    <w:rsid w:val="00635CF3"/>
    <w:rsid w:val="00636DD7"/>
    <w:rsid w:val="00640260"/>
    <w:rsid w:val="0064062C"/>
    <w:rsid w:val="00640C79"/>
    <w:rsid w:val="006410CF"/>
    <w:rsid w:val="0064161E"/>
    <w:rsid w:val="00641788"/>
    <w:rsid w:val="00642254"/>
    <w:rsid w:val="00644308"/>
    <w:rsid w:val="0064512F"/>
    <w:rsid w:val="006454CA"/>
    <w:rsid w:val="006475AF"/>
    <w:rsid w:val="0064769D"/>
    <w:rsid w:val="00650805"/>
    <w:rsid w:val="00652216"/>
    <w:rsid w:val="00653588"/>
    <w:rsid w:val="00653CFF"/>
    <w:rsid w:val="0065453A"/>
    <w:rsid w:val="00655087"/>
    <w:rsid w:val="00655CE6"/>
    <w:rsid w:val="006560CB"/>
    <w:rsid w:val="0065629D"/>
    <w:rsid w:val="00661175"/>
    <w:rsid w:val="00661B6E"/>
    <w:rsid w:val="006623E7"/>
    <w:rsid w:val="00663024"/>
    <w:rsid w:val="0066413C"/>
    <w:rsid w:val="006645F1"/>
    <w:rsid w:val="0066469A"/>
    <w:rsid w:val="00664B26"/>
    <w:rsid w:val="00664B3B"/>
    <w:rsid w:val="00664B3F"/>
    <w:rsid w:val="00665364"/>
    <w:rsid w:val="00666C18"/>
    <w:rsid w:val="0066715A"/>
    <w:rsid w:val="0066749E"/>
    <w:rsid w:val="00667508"/>
    <w:rsid w:val="00667F8E"/>
    <w:rsid w:val="00671C18"/>
    <w:rsid w:val="00671C4F"/>
    <w:rsid w:val="006728FB"/>
    <w:rsid w:val="00676C63"/>
    <w:rsid w:val="00680D4F"/>
    <w:rsid w:val="0068138C"/>
    <w:rsid w:val="00685E69"/>
    <w:rsid w:val="0068648B"/>
    <w:rsid w:val="0068740F"/>
    <w:rsid w:val="0069066A"/>
    <w:rsid w:val="00691DE9"/>
    <w:rsid w:val="006924FD"/>
    <w:rsid w:val="00693C3F"/>
    <w:rsid w:val="00694261"/>
    <w:rsid w:val="006948FE"/>
    <w:rsid w:val="0069533A"/>
    <w:rsid w:val="00696B8B"/>
    <w:rsid w:val="00696EB7"/>
    <w:rsid w:val="0069722D"/>
    <w:rsid w:val="006A010A"/>
    <w:rsid w:val="006A0659"/>
    <w:rsid w:val="006A0682"/>
    <w:rsid w:val="006A424B"/>
    <w:rsid w:val="006A431A"/>
    <w:rsid w:val="006A47F9"/>
    <w:rsid w:val="006A50D9"/>
    <w:rsid w:val="006A538C"/>
    <w:rsid w:val="006A53BC"/>
    <w:rsid w:val="006A5D3C"/>
    <w:rsid w:val="006A6C42"/>
    <w:rsid w:val="006A7577"/>
    <w:rsid w:val="006A7783"/>
    <w:rsid w:val="006B127F"/>
    <w:rsid w:val="006B129A"/>
    <w:rsid w:val="006B181B"/>
    <w:rsid w:val="006B21BD"/>
    <w:rsid w:val="006B2B54"/>
    <w:rsid w:val="006B4772"/>
    <w:rsid w:val="006B4B36"/>
    <w:rsid w:val="006B5319"/>
    <w:rsid w:val="006B5596"/>
    <w:rsid w:val="006B5CB7"/>
    <w:rsid w:val="006B6900"/>
    <w:rsid w:val="006B6D99"/>
    <w:rsid w:val="006C004C"/>
    <w:rsid w:val="006C1C9B"/>
    <w:rsid w:val="006C1EDA"/>
    <w:rsid w:val="006C26E2"/>
    <w:rsid w:val="006C3DDD"/>
    <w:rsid w:val="006C55F6"/>
    <w:rsid w:val="006C573E"/>
    <w:rsid w:val="006C5974"/>
    <w:rsid w:val="006C597A"/>
    <w:rsid w:val="006C65F6"/>
    <w:rsid w:val="006C7328"/>
    <w:rsid w:val="006C738A"/>
    <w:rsid w:val="006D29E6"/>
    <w:rsid w:val="006D38B0"/>
    <w:rsid w:val="006D4731"/>
    <w:rsid w:val="006D5CB0"/>
    <w:rsid w:val="006D6183"/>
    <w:rsid w:val="006D61E3"/>
    <w:rsid w:val="006D7373"/>
    <w:rsid w:val="006D750F"/>
    <w:rsid w:val="006E0E72"/>
    <w:rsid w:val="006E0F2F"/>
    <w:rsid w:val="006E17D4"/>
    <w:rsid w:val="006E183B"/>
    <w:rsid w:val="006E24FE"/>
    <w:rsid w:val="006E5049"/>
    <w:rsid w:val="006E7073"/>
    <w:rsid w:val="006E7E47"/>
    <w:rsid w:val="006F1B4E"/>
    <w:rsid w:val="006F2055"/>
    <w:rsid w:val="006F2B9D"/>
    <w:rsid w:val="006F64A6"/>
    <w:rsid w:val="006F6FC1"/>
    <w:rsid w:val="00700652"/>
    <w:rsid w:val="00700A91"/>
    <w:rsid w:val="00700A9E"/>
    <w:rsid w:val="00700DEB"/>
    <w:rsid w:val="00701E08"/>
    <w:rsid w:val="00703EEF"/>
    <w:rsid w:val="007041ED"/>
    <w:rsid w:val="00704AE2"/>
    <w:rsid w:val="007052BA"/>
    <w:rsid w:val="007053BD"/>
    <w:rsid w:val="00705964"/>
    <w:rsid w:val="007069A9"/>
    <w:rsid w:val="007070B6"/>
    <w:rsid w:val="007074D4"/>
    <w:rsid w:val="0070765C"/>
    <w:rsid w:val="00707C32"/>
    <w:rsid w:val="00707F09"/>
    <w:rsid w:val="00707FE1"/>
    <w:rsid w:val="00710496"/>
    <w:rsid w:val="0071078E"/>
    <w:rsid w:val="00712242"/>
    <w:rsid w:val="0071239F"/>
    <w:rsid w:val="0071270C"/>
    <w:rsid w:val="00714282"/>
    <w:rsid w:val="00714817"/>
    <w:rsid w:val="00714888"/>
    <w:rsid w:val="007149E5"/>
    <w:rsid w:val="00714B03"/>
    <w:rsid w:val="00717C40"/>
    <w:rsid w:val="0072033C"/>
    <w:rsid w:val="00721F65"/>
    <w:rsid w:val="0072296F"/>
    <w:rsid w:val="00722EE9"/>
    <w:rsid w:val="00723965"/>
    <w:rsid w:val="00725A45"/>
    <w:rsid w:val="00726C23"/>
    <w:rsid w:val="0072706C"/>
    <w:rsid w:val="007308DE"/>
    <w:rsid w:val="0073206C"/>
    <w:rsid w:val="00732F33"/>
    <w:rsid w:val="0073320C"/>
    <w:rsid w:val="0073590D"/>
    <w:rsid w:val="007361A6"/>
    <w:rsid w:val="00737AC2"/>
    <w:rsid w:val="00737E37"/>
    <w:rsid w:val="00741243"/>
    <w:rsid w:val="00741297"/>
    <w:rsid w:val="00741655"/>
    <w:rsid w:val="00741D14"/>
    <w:rsid w:val="00741EE4"/>
    <w:rsid w:val="00742DA5"/>
    <w:rsid w:val="00743EB7"/>
    <w:rsid w:val="007450EE"/>
    <w:rsid w:val="00745AA7"/>
    <w:rsid w:val="00746422"/>
    <w:rsid w:val="0074747A"/>
    <w:rsid w:val="00753342"/>
    <w:rsid w:val="00753683"/>
    <w:rsid w:val="00753FB4"/>
    <w:rsid w:val="00754872"/>
    <w:rsid w:val="007553C8"/>
    <w:rsid w:val="0075698E"/>
    <w:rsid w:val="00756BF5"/>
    <w:rsid w:val="0075757C"/>
    <w:rsid w:val="00760411"/>
    <w:rsid w:val="00760E39"/>
    <w:rsid w:val="007618DF"/>
    <w:rsid w:val="00762781"/>
    <w:rsid w:val="007646B0"/>
    <w:rsid w:val="00764F8F"/>
    <w:rsid w:val="00766260"/>
    <w:rsid w:val="007665DC"/>
    <w:rsid w:val="00766651"/>
    <w:rsid w:val="007703FC"/>
    <w:rsid w:val="00770EFD"/>
    <w:rsid w:val="00771A62"/>
    <w:rsid w:val="00772187"/>
    <w:rsid w:val="0077266E"/>
    <w:rsid w:val="007730CB"/>
    <w:rsid w:val="007731F5"/>
    <w:rsid w:val="007745D8"/>
    <w:rsid w:val="00774903"/>
    <w:rsid w:val="00774C1A"/>
    <w:rsid w:val="00776785"/>
    <w:rsid w:val="00777707"/>
    <w:rsid w:val="00783F2B"/>
    <w:rsid w:val="0078522C"/>
    <w:rsid w:val="00786112"/>
    <w:rsid w:val="0078640C"/>
    <w:rsid w:val="007864CA"/>
    <w:rsid w:val="00786A31"/>
    <w:rsid w:val="00786D6A"/>
    <w:rsid w:val="0079027C"/>
    <w:rsid w:val="00790910"/>
    <w:rsid w:val="00790CF9"/>
    <w:rsid w:val="00791B43"/>
    <w:rsid w:val="007928B7"/>
    <w:rsid w:val="00792955"/>
    <w:rsid w:val="00792E96"/>
    <w:rsid w:val="007939BF"/>
    <w:rsid w:val="00794335"/>
    <w:rsid w:val="007951AD"/>
    <w:rsid w:val="00795B3C"/>
    <w:rsid w:val="007974A9"/>
    <w:rsid w:val="007979DD"/>
    <w:rsid w:val="007A07DF"/>
    <w:rsid w:val="007A0DA2"/>
    <w:rsid w:val="007A11B7"/>
    <w:rsid w:val="007A160D"/>
    <w:rsid w:val="007A2560"/>
    <w:rsid w:val="007A4AD4"/>
    <w:rsid w:val="007A4F5B"/>
    <w:rsid w:val="007A661F"/>
    <w:rsid w:val="007A7145"/>
    <w:rsid w:val="007A72C0"/>
    <w:rsid w:val="007B028A"/>
    <w:rsid w:val="007B0AC1"/>
    <w:rsid w:val="007B27D8"/>
    <w:rsid w:val="007B2A88"/>
    <w:rsid w:val="007B3344"/>
    <w:rsid w:val="007B3C5B"/>
    <w:rsid w:val="007B55B0"/>
    <w:rsid w:val="007B75B7"/>
    <w:rsid w:val="007C040D"/>
    <w:rsid w:val="007C0797"/>
    <w:rsid w:val="007C20D5"/>
    <w:rsid w:val="007C48EB"/>
    <w:rsid w:val="007C73AB"/>
    <w:rsid w:val="007C7A6D"/>
    <w:rsid w:val="007C7B16"/>
    <w:rsid w:val="007D0CF5"/>
    <w:rsid w:val="007D1D09"/>
    <w:rsid w:val="007D2218"/>
    <w:rsid w:val="007D2941"/>
    <w:rsid w:val="007D31D8"/>
    <w:rsid w:val="007D3532"/>
    <w:rsid w:val="007D5C88"/>
    <w:rsid w:val="007D6B1A"/>
    <w:rsid w:val="007D6F39"/>
    <w:rsid w:val="007E00E3"/>
    <w:rsid w:val="007E03D3"/>
    <w:rsid w:val="007E06D8"/>
    <w:rsid w:val="007E0BB8"/>
    <w:rsid w:val="007E0DA7"/>
    <w:rsid w:val="007E1757"/>
    <w:rsid w:val="007E294B"/>
    <w:rsid w:val="007E2C18"/>
    <w:rsid w:val="007E4322"/>
    <w:rsid w:val="007E4FAE"/>
    <w:rsid w:val="007E7EA0"/>
    <w:rsid w:val="007F2C55"/>
    <w:rsid w:val="007F4152"/>
    <w:rsid w:val="007F46CC"/>
    <w:rsid w:val="007F5A2E"/>
    <w:rsid w:val="007F5E98"/>
    <w:rsid w:val="007F6605"/>
    <w:rsid w:val="00800B27"/>
    <w:rsid w:val="00800B8B"/>
    <w:rsid w:val="00801178"/>
    <w:rsid w:val="00802BF3"/>
    <w:rsid w:val="0080423D"/>
    <w:rsid w:val="008042D3"/>
    <w:rsid w:val="0080438A"/>
    <w:rsid w:val="008045AF"/>
    <w:rsid w:val="00804AAD"/>
    <w:rsid w:val="00804BC5"/>
    <w:rsid w:val="00805AB8"/>
    <w:rsid w:val="0080648E"/>
    <w:rsid w:val="00807583"/>
    <w:rsid w:val="00811849"/>
    <w:rsid w:val="00811BFC"/>
    <w:rsid w:val="00811FDA"/>
    <w:rsid w:val="008120D6"/>
    <w:rsid w:val="0081391C"/>
    <w:rsid w:val="00814140"/>
    <w:rsid w:val="0081494A"/>
    <w:rsid w:val="008154E0"/>
    <w:rsid w:val="00816624"/>
    <w:rsid w:val="00817084"/>
    <w:rsid w:val="00820721"/>
    <w:rsid w:val="0082114D"/>
    <w:rsid w:val="0082213B"/>
    <w:rsid w:val="008222CC"/>
    <w:rsid w:val="00822326"/>
    <w:rsid w:val="0082368E"/>
    <w:rsid w:val="0082436B"/>
    <w:rsid w:val="008277AD"/>
    <w:rsid w:val="00827932"/>
    <w:rsid w:val="00827A17"/>
    <w:rsid w:val="00830296"/>
    <w:rsid w:val="00830880"/>
    <w:rsid w:val="00830D1A"/>
    <w:rsid w:val="008318BB"/>
    <w:rsid w:val="00831984"/>
    <w:rsid w:val="00831EA4"/>
    <w:rsid w:val="008326EE"/>
    <w:rsid w:val="00835CA8"/>
    <w:rsid w:val="00836641"/>
    <w:rsid w:val="0084094E"/>
    <w:rsid w:val="00841269"/>
    <w:rsid w:val="00842CCE"/>
    <w:rsid w:val="0084382D"/>
    <w:rsid w:val="00845240"/>
    <w:rsid w:val="008453E4"/>
    <w:rsid w:val="00845964"/>
    <w:rsid w:val="00845C72"/>
    <w:rsid w:val="00846D9A"/>
    <w:rsid w:val="0084758E"/>
    <w:rsid w:val="00847E5D"/>
    <w:rsid w:val="008502C7"/>
    <w:rsid w:val="00852955"/>
    <w:rsid w:val="00852DEB"/>
    <w:rsid w:val="0085463A"/>
    <w:rsid w:val="00856555"/>
    <w:rsid w:val="00856604"/>
    <w:rsid w:val="00860079"/>
    <w:rsid w:val="00861032"/>
    <w:rsid w:val="008620C9"/>
    <w:rsid w:val="008622B7"/>
    <w:rsid w:val="00862C98"/>
    <w:rsid w:val="00862DA4"/>
    <w:rsid w:val="008631AA"/>
    <w:rsid w:val="00865A80"/>
    <w:rsid w:val="00865FD4"/>
    <w:rsid w:val="008669F7"/>
    <w:rsid w:val="00866BBC"/>
    <w:rsid w:val="008676E2"/>
    <w:rsid w:val="008752CE"/>
    <w:rsid w:val="008766DA"/>
    <w:rsid w:val="0087763F"/>
    <w:rsid w:val="008800A6"/>
    <w:rsid w:val="00881FC4"/>
    <w:rsid w:val="00883796"/>
    <w:rsid w:val="00883EC9"/>
    <w:rsid w:val="00883FBC"/>
    <w:rsid w:val="008840EB"/>
    <w:rsid w:val="00886B90"/>
    <w:rsid w:val="00886BD1"/>
    <w:rsid w:val="00890061"/>
    <w:rsid w:val="0089130E"/>
    <w:rsid w:val="00891489"/>
    <w:rsid w:val="00892253"/>
    <w:rsid w:val="00893BC0"/>
    <w:rsid w:val="00893D04"/>
    <w:rsid w:val="0089747E"/>
    <w:rsid w:val="00897B99"/>
    <w:rsid w:val="00897C39"/>
    <w:rsid w:val="00897D88"/>
    <w:rsid w:val="008A0123"/>
    <w:rsid w:val="008A1048"/>
    <w:rsid w:val="008A117E"/>
    <w:rsid w:val="008A16DE"/>
    <w:rsid w:val="008A198B"/>
    <w:rsid w:val="008A303A"/>
    <w:rsid w:val="008A30AA"/>
    <w:rsid w:val="008A33B7"/>
    <w:rsid w:val="008A382D"/>
    <w:rsid w:val="008A4091"/>
    <w:rsid w:val="008A5490"/>
    <w:rsid w:val="008A5ADD"/>
    <w:rsid w:val="008A6112"/>
    <w:rsid w:val="008A6B1C"/>
    <w:rsid w:val="008A6F0A"/>
    <w:rsid w:val="008A7F5C"/>
    <w:rsid w:val="008A7F7E"/>
    <w:rsid w:val="008B01DF"/>
    <w:rsid w:val="008B2D45"/>
    <w:rsid w:val="008B310F"/>
    <w:rsid w:val="008B3D9F"/>
    <w:rsid w:val="008C0220"/>
    <w:rsid w:val="008C07FC"/>
    <w:rsid w:val="008C1472"/>
    <w:rsid w:val="008C27FD"/>
    <w:rsid w:val="008C2F1E"/>
    <w:rsid w:val="008C57D8"/>
    <w:rsid w:val="008C5A4D"/>
    <w:rsid w:val="008D0C40"/>
    <w:rsid w:val="008D1BFC"/>
    <w:rsid w:val="008D1C00"/>
    <w:rsid w:val="008D215F"/>
    <w:rsid w:val="008D3171"/>
    <w:rsid w:val="008D3674"/>
    <w:rsid w:val="008D42E5"/>
    <w:rsid w:val="008D5539"/>
    <w:rsid w:val="008D76A1"/>
    <w:rsid w:val="008D7C24"/>
    <w:rsid w:val="008E066E"/>
    <w:rsid w:val="008E1513"/>
    <w:rsid w:val="008E2717"/>
    <w:rsid w:val="008E5276"/>
    <w:rsid w:val="008E5E8B"/>
    <w:rsid w:val="008F00D5"/>
    <w:rsid w:val="008F1029"/>
    <w:rsid w:val="008F17AF"/>
    <w:rsid w:val="008F3993"/>
    <w:rsid w:val="008F3B73"/>
    <w:rsid w:val="008F3DF2"/>
    <w:rsid w:val="008F445A"/>
    <w:rsid w:val="008F5F6A"/>
    <w:rsid w:val="008F7B67"/>
    <w:rsid w:val="009004DA"/>
    <w:rsid w:val="009004F2"/>
    <w:rsid w:val="0090070B"/>
    <w:rsid w:val="009008F9"/>
    <w:rsid w:val="00900E78"/>
    <w:rsid w:val="009016D9"/>
    <w:rsid w:val="00902A10"/>
    <w:rsid w:val="00902AB4"/>
    <w:rsid w:val="00902BA2"/>
    <w:rsid w:val="009030D1"/>
    <w:rsid w:val="009034A6"/>
    <w:rsid w:val="00904DD6"/>
    <w:rsid w:val="009101D4"/>
    <w:rsid w:val="0091052D"/>
    <w:rsid w:val="00910FA4"/>
    <w:rsid w:val="00911D03"/>
    <w:rsid w:val="0091240D"/>
    <w:rsid w:val="00915F30"/>
    <w:rsid w:val="00920185"/>
    <w:rsid w:val="00921102"/>
    <w:rsid w:val="009216EA"/>
    <w:rsid w:val="00921B7F"/>
    <w:rsid w:val="00923F42"/>
    <w:rsid w:val="009242A4"/>
    <w:rsid w:val="0092515B"/>
    <w:rsid w:val="00925B10"/>
    <w:rsid w:val="00925F8A"/>
    <w:rsid w:val="00927746"/>
    <w:rsid w:val="0093009A"/>
    <w:rsid w:val="0093088D"/>
    <w:rsid w:val="00930B55"/>
    <w:rsid w:val="00932054"/>
    <w:rsid w:val="00932B08"/>
    <w:rsid w:val="009343A5"/>
    <w:rsid w:val="00934466"/>
    <w:rsid w:val="009348E1"/>
    <w:rsid w:val="00934AB7"/>
    <w:rsid w:val="00935EAA"/>
    <w:rsid w:val="009364F4"/>
    <w:rsid w:val="009369B4"/>
    <w:rsid w:val="00936DD1"/>
    <w:rsid w:val="009370E9"/>
    <w:rsid w:val="009415AF"/>
    <w:rsid w:val="00944128"/>
    <w:rsid w:val="00944CD7"/>
    <w:rsid w:val="00944EF7"/>
    <w:rsid w:val="009453B8"/>
    <w:rsid w:val="00945C23"/>
    <w:rsid w:val="0094611D"/>
    <w:rsid w:val="009469A9"/>
    <w:rsid w:val="00946A84"/>
    <w:rsid w:val="00947184"/>
    <w:rsid w:val="00947BCE"/>
    <w:rsid w:val="009504D0"/>
    <w:rsid w:val="009508EE"/>
    <w:rsid w:val="0095370D"/>
    <w:rsid w:val="009572CA"/>
    <w:rsid w:val="0095757E"/>
    <w:rsid w:val="009619BB"/>
    <w:rsid w:val="00961E2B"/>
    <w:rsid w:val="009620F2"/>
    <w:rsid w:val="00962668"/>
    <w:rsid w:val="0096277B"/>
    <w:rsid w:val="00962BD6"/>
    <w:rsid w:val="00963546"/>
    <w:rsid w:val="009636A3"/>
    <w:rsid w:val="00963EB6"/>
    <w:rsid w:val="00965A53"/>
    <w:rsid w:val="009660F1"/>
    <w:rsid w:val="00966EFB"/>
    <w:rsid w:val="009676D8"/>
    <w:rsid w:val="00970C14"/>
    <w:rsid w:val="00971BE9"/>
    <w:rsid w:val="00971D43"/>
    <w:rsid w:val="00973739"/>
    <w:rsid w:val="0097426B"/>
    <w:rsid w:val="00976069"/>
    <w:rsid w:val="009761BD"/>
    <w:rsid w:val="009766D6"/>
    <w:rsid w:val="009809BD"/>
    <w:rsid w:val="0098203A"/>
    <w:rsid w:val="00982C66"/>
    <w:rsid w:val="009833BC"/>
    <w:rsid w:val="0098450A"/>
    <w:rsid w:val="0098669F"/>
    <w:rsid w:val="00987B70"/>
    <w:rsid w:val="00987EA1"/>
    <w:rsid w:val="00987F6C"/>
    <w:rsid w:val="0099090F"/>
    <w:rsid w:val="00991138"/>
    <w:rsid w:val="00991F60"/>
    <w:rsid w:val="00992CC6"/>
    <w:rsid w:val="00992CF6"/>
    <w:rsid w:val="0099321B"/>
    <w:rsid w:val="009932BA"/>
    <w:rsid w:val="009955C1"/>
    <w:rsid w:val="00995F44"/>
    <w:rsid w:val="00997353"/>
    <w:rsid w:val="009974FA"/>
    <w:rsid w:val="00997D60"/>
    <w:rsid w:val="009A0392"/>
    <w:rsid w:val="009A082D"/>
    <w:rsid w:val="009A2799"/>
    <w:rsid w:val="009A2893"/>
    <w:rsid w:val="009A299F"/>
    <w:rsid w:val="009A29F5"/>
    <w:rsid w:val="009A2BAE"/>
    <w:rsid w:val="009A2DC8"/>
    <w:rsid w:val="009A38E2"/>
    <w:rsid w:val="009A3AAC"/>
    <w:rsid w:val="009A5244"/>
    <w:rsid w:val="009A565C"/>
    <w:rsid w:val="009A5BE5"/>
    <w:rsid w:val="009B1A56"/>
    <w:rsid w:val="009B579E"/>
    <w:rsid w:val="009B58E4"/>
    <w:rsid w:val="009B5D01"/>
    <w:rsid w:val="009B678F"/>
    <w:rsid w:val="009B73FF"/>
    <w:rsid w:val="009B7D78"/>
    <w:rsid w:val="009C0320"/>
    <w:rsid w:val="009C039F"/>
    <w:rsid w:val="009C3321"/>
    <w:rsid w:val="009C3B93"/>
    <w:rsid w:val="009C4A83"/>
    <w:rsid w:val="009C5ADA"/>
    <w:rsid w:val="009C6C17"/>
    <w:rsid w:val="009C7D28"/>
    <w:rsid w:val="009D0FEC"/>
    <w:rsid w:val="009D4DE9"/>
    <w:rsid w:val="009D540E"/>
    <w:rsid w:val="009D578F"/>
    <w:rsid w:val="009D67A7"/>
    <w:rsid w:val="009D6CE8"/>
    <w:rsid w:val="009D765F"/>
    <w:rsid w:val="009D7DFA"/>
    <w:rsid w:val="009E13D8"/>
    <w:rsid w:val="009E3052"/>
    <w:rsid w:val="009E36E7"/>
    <w:rsid w:val="009E37C3"/>
    <w:rsid w:val="009E40DE"/>
    <w:rsid w:val="009E5837"/>
    <w:rsid w:val="009E6F71"/>
    <w:rsid w:val="009E7271"/>
    <w:rsid w:val="009E74E4"/>
    <w:rsid w:val="009F05D5"/>
    <w:rsid w:val="009F0C50"/>
    <w:rsid w:val="009F230C"/>
    <w:rsid w:val="009F250B"/>
    <w:rsid w:val="009F2750"/>
    <w:rsid w:val="009F31FE"/>
    <w:rsid w:val="009F3B68"/>
    <w:rsid w:val="009F3E29"/>
    <w:rsid w:val="009F429D"/>
    <w:rsid w:val="009F613A"/>
    <w:rsid w:val="009F6A80"/>
    <w:rsid w:val="009F6E37"/>
    <w:rsid w:val="00A01747"/>
    <w:rsid w:val="00A0495C"/>
    <w:rsid w:val="00A05E4B"/>
    <w:rsid w:val="00A061DB"/>
    <w:rsid w:val="00A065F6"/>
    <w:rsid w:val="00A071F8"/>
    <w:rsid w:val="00A079E3"/>
    <w:rsid w:val="00A07A2A"/>
    <w:rsid w:val="00A104F1"/>
    <w:rsid w:val="00A12865"/>
    <w:rsid w:val="00A12F12"/>
    <w:rsid w:val="00A13266"/>
    <w:rsid w:val="00A13622"/>
    <w:rsid w:val="00A13C90"/>
    <w:rsid w:val="00A144D3"/>
    <w:rsid w:val="00A14FCD"/>
    <w:rsid w:val="00A15E32"/>
    <w:rsid w:val="00A1680E"/>
    <w:rsid w:val="00A17DC6"/>
    <w:rsid w:val="00A208CA"/>
    <w:rsid w:val="00A22345"/>
    <w:rsid w:val="00A22EAA"/>
    <w:rsid w:val="00A23CBE"/>
    <w:rsid w:val="00A252A5"/>
    <w:rsid w:val="00A3304B"/>
    <w:rsid w:val="00A33C56"/>
    <w:rsid w:val="00A34BDF"/>
    <w:rsid w:val="00A36601"/>
    <w:rsid w:val="00A36CCA"/>
    <w:rsid w:val="00A37FAC"/>
    <w:rsid w:val="00A4000D"/>
    <w:rsid w:val="00A407EA"/>
    <w:rsid w:val="00A43031"/>
    <w:rsid w:val="00A43763"/>
    <w:rsid w:val="00A43DE3"/>
    <w:rsid w:val="00A44BFC"/>
    <w:rsid w:val="00A50DB2"/>
    <w:rsid w:val="00A52B9F"/>
    <w:rsid w:val="00A5595F"/>
    <w:rsid w:val="00A57206"/>
    <w:rsid w:val="00A57430"/>
    <w:rsid w:val="00A57580"/>
    <w:rsid w:val="00A575FB"/>
    <w:rsid w:val="00A57B05"/>
    <w:rsid w:val="00A602DF"/>
    <w:rsid w:val="00A61566"/>
    <w:rsid w:val="00A62B5E"/>
    <w:rsid w:val="00A63C7A"/>
    <w:rsid w:val="00A6512F"/>
    <w:rsid w:val="00A6582E"/>
    <w:rsid w:val="00A7022D"/>
    <w:rsid w:val="00A704C0"/>
    <w:rsid w:val="00A70BD5"/>
    <w:rsid w:val="00A7159B"/>
    <w:rsid w:val="00A7657F"/>
    <w:rsid w:val="00A77998"/>
    <w:rsid w:val="00A77DED"/>
    <w:rsid w:val="00A81AC7"/>
    <w:rsid w:val="00A836D9"/>
    <w:rsid w:val="00A83738"/>
    <w:rsid w:val="00A84792"/>
    <w:rsid w:val="00A867C6"/>
    <w:rsid w:val="00A869A6"/>
    <w:rsid w:val="00A87CE8"/>
    <w:rsid w:val="00A916A0"/>
    <w:rsid w:val="00A924D0"/>
    <w:rsid w:val="00A941F4"/>
    <w:rsid w:val="00A944D7"/>
    <w:rsid w:val="00A9694B"/>
    <w:rsid w:val="00A96A70"/>
    <w:rsid w:val="00A971F2"/>
    <w:rsid w:val="00AA00D5"/>
    <w:rsid w:val="00AA1C68"/>
    <w:rsid w:val="00AA21C3"/>
    <w:rsid w:val="00AA28A2"/>
    <w:rsid w:val="00AA2FA9"/>
    <w:rsid w:val="00AA54AD"/>
    <w:rsid w:val="00AA62F1"/>
    <w:rsid w:val="00AA7200"/>
    <w:rsid w:val="00AA75C0"/>
    <w:rsid w:val="00AA7C6E"/>
    <w:rsid w:val="00AB20F1"/>
    <w:rsid w:val="00AB2B0B"/>
    <w:rsid w:val="00AB3500"/>
    <w:rsid w:val="00AB368C"/>
    <w:rsid w:val="00AB5565"/>
    <w:rsid w:val="00AB5BD5"/>
    <w:rsid w:val="00AB6598"/>
    <w:rsid w:val="00AB6FFE"/>
    <w:rsid w:val="00AB7E30"/>
    <w:rsid w:val="00AC1C10"/>
    <w:rsid w:val="00AC2402"/>
    <w:rsid w:val="00AC2C7E"/>
    <w:rsid w:val="00AC3359"/>
    <w:rsid w:val="00AC34DE"/>
    <w:rsid w:val="00AC36CC"/>
    <w:rsid w:val="00AC42A6"/>
    <w:rsid w:val="00AC4A81"/>
    <w:rsid w:val="00AC575D"/>
    <w:rsid w:val="00AC5E32"/>
    <w:rsid w:val="00AC7260"/>
    <w:rsid w:val="00AD398F"/>
    <w:rsid w:val="00AD4A17"/>
    <w:rsid w:val="00AD5389"/>
    <w:rsid w:val="00AD5ED2"/>
    <w:rsid w:val="00AD64D0"/>
    <w:rsid w:val="00AD779A"/>
    <w:rsid w:val="00AD78F1"/>
    <w:rsid w:val="00AE002D"/>
    <w:rsid w:val="00AE0685"/>
    <w:rsid w:val="00AE0C1B"/>
    <w:rsid w:val="00AE239E"/>
    <w:rsid w:val="00AE27EE"/>
    <w:rsid w:val="00AE2A52"/>
    <w:rsid w:val="00AE4109"/>
    <w:rsid w:val="00AF0A54"/>
    <w:rsid w:val="00AF3AEF"/>
    <w:rsid w:val="00AF6248"/>
    <w:rsid w:val="00AF630E"/>
    <w:rsid w:val="00AF6653"/>
    <w:rsid w:val="00AF69DA"/>
    <w:rsid w:val="00AF69F5"/>
    <w:rsid w:val="00AF79C7"/>
    <w:rsid w:val="00B04D44"/>
    <w:rsid w:val="00B0517D"/>
    <w:rsid w:val="00B06430"/>
    <w:rsid w:val="00B06A6F"/>
    <w:rsid w:val="00B10552"/>
    <w:rsid w:val="00B10801"/>
    <w:rsid w:val="00B116E2"/>
    <w:rsid w:val="00B16EFB"/>
    <w:rsid w:val="00B2090F"/>
    <w:rsid w:val="00B20DD7"/>
    <w:rsid w:val="00B20EB8"/>
    <w:rsid w:val="00B21B78"/>
    <w:rsid w:val="00B21FBC"/>
    <w:rsid w:val="00B2448B"/>
    <w:rsid w:val="00B24FC6"/>
    <w:rsid w:val="00B250FB"/>
    <w:rsid w:val="00B2573C"/>
    <w:rsid w:val="00B2591E"/>
    <w:rsid w:val="00B2714D"/>
    <w:rsid w:val="00B30E03"/>
    <w:rsid w:val="00B318F0"/>
    <w:rsid w:val="00B32116"/>
    <w:rsid w:val="00B326D1"/>
    <w:rsid w:val="00B32798"/>
    <w:rsid w:val="00B32EB5"/>
    <w:rsid w:val="00B3385B"/>
    <w:rsid w:val="00B3549C"/>
    <w:rsid w:val="00B356C8"/>
    <w:rsid w:val="00B36AC8"/>
    <w:rsid w:val="00B37DB9"/>
    <w:rsid w:val="00B403E3"/>
    <w:rsid w:val="00B4168E"/>
    <w:rsid w:val="00B41EB8"/>
    <w:rsid w:val="00B42330"/>
    <w:rsid w:val="00B426C2"/>
    <w:rsid w:val="00B431A6"/>
    <w:rsid w:val="00B434EC"/>
    <w:rsid w:val="00B44484"/>
    <w:rsid w:val="00B45BD5"/>
    <w:rsid w:val="00B467B6"/>
    <w:rsid w:val="00B46F9F"/>
    <w:rsid w:val="00B5022F"/>
    <w:rsid w:val="00B504EE"/>
    <w:rsid w:val="00B519D7"/>
    <w:rsid w:val="00B51FDA"/>
    <w:rsid w:val="00B52533"/>
    <w:rsid w:val="00B53033"/>
    <w:rsid w:val="00B53D23"/>
    <w:rsid w:val="00B554CA"/>
    <w:rsid w:val="00B5596E"/>
    <w:rsid w:val="00B562DE"/>
    <w:rsid w:val="00B56488"/>
    <w:rsid w:val="00B56BCC"/>
    <w:rsid w:val="00B607BB"/>
    <w:rsid w:val="00B63674"/>
    <w:rsid w:val="00B63EB5"/>
    <w:rsid w:val="00B63FC4"/>
    <w:rsid w:val="00B720C8"/>
    <w:rsid w:val="00B753D3"/>
    <w:rsid w:val="00B75A2E"/>
    <w:rsid w:val="00B75CA5"/>
    <w:rsid w:val="00B77BBC"/>
    <w:rsid w:val="00B820D4"/>
    <w:rsid w:val="00B824A0"/>
    <w:rsid w:val="00B84546"/>
    <w:rsid w:val="00B86B71"/>
    <w:rsid w:val="00B9187F"/>
    <w:rsid w:val="00B929EB"/>
    <w:rsid w:val="00B92BF6"/>
    <w:rsid w:val="00B93BB1"/>
    <w:rsid w:val="00B9410E"/>
    <w:rsid w:val="00B95065"/>
    <w:rsid w:val="00B957CC"/>
    <w:rsid w:val="00B972E3"/>
    <w:rsid w:val="00B977EE"/>
    <w:rsid w:val="00BA27EB"/>
    <w:rsid w:val="00BA296D"/>
    <w:rsid w:val="00BA3135"/>
    <w:rsid w:val="00BA31EF"/>
    <w:rsid w:val="00BA34A5"/>
    <w:rsid w:val="00BA3C79"/>
    <w:rsid w:val="00BA5495"/>
    <w:rsid w:val="00BA7581"/>
    <w:rsid w:val="00BB17FC"/>
    <w:rsid w:val="00BB1A93"/>
    <w:rsid w:val="00BB3614"/>
    <w:rsid w:val="00BB38F7"/>
    <w:rsid w:val="00BB6F52"/>
    <w:rsid w:val="00BB784E"/>
    <w:rsid w:val="00BC01B7"/>
    <w:rsid w:val="00BC0A1E"/>
    <w:rsid w:val="00BC1AA6"/>
    <w:rsid w:val="00BC1C1F"/>
    <w:rsid w:val="00BC3404"/>
    <w:rsid w:val="00BC3506"/>
    <w:rsid w:val="00BC353C"/>
    <w:rsid w:val="00BC3671"/>
    <w:rsid w:val="00BC47B6"/>
    <w:rsid w:val="00BC4866"/>
    <w:rsid w:val="00BC6897"/>
    <w:rsid w:val="00BC788F"/>
    <w:rsid w:val="00BD00F5"/>
    <w:rsid w:val="00BD0F71"/>
    <w:rsid w:val="00BD2AFC"/>
    <w:rsid w:val="00BD2DF0"/>
    <w:rsid w:val="00BD2F77"/>
    <w:rsid w:val="00BD3666"/>
    <w:rsid w:val="00BD4EE7"/>
    <w:rsid w:val="00BD5837"/>
    <w:rsid w:val="00BD623D"/>
    <w:rsid w:val="00BE278C"/>
    <w:rsid w:val="00BE2A21"/>
    <w:rsid w:val="00BE3C4B"/>
    <w:rsid w:val="00BE4EC1"/>
    <w:rsid w:val="00BE64B5"/>
    <w:rsid w:val="00BE6A94"/>
    <w:rsid w:val="00BF00E1"/>
    <w:rsid w:val="00BF2A85"/>
    <w:rsid w:val="00BF3036"/>
    <w:rsid w:val="00BF381D"/>
    <w:rsid w:val="00BF435F"/>
    <w:rsid w:val="00BF4399"/>
    <w:rsid w:val="00BF5022"/>
    <w:rsid w:val="00BF51EA"/>
    <w:rsid w:val="00BF76AD"/>
    <w:rsid w:val="00C00341"/>
    <w:rsid w:val="00C01983"/>
    <w:rsid w:val="00C05359"/>
    <w:rsid w:val="00C05632"/>
    <w:rsid w:val="00C05D32"/>
    <w:rsid w:val="00C05E63"/>
    <w:rsid w:val="00C078CF"/>
    <w:rsid w:val="00C07915"/>
    <w:rsid w:val="00C106BF"/>
    <w:rsid w:val="00C10C50"/>
    <w:rsid w:val="00C10D95"/>
    <w:rsid w:val="00C142DA"/>
    <w:rsid w:val="00C17A86"/>
    <w:rsid w:val="00C2183E"/>
    <w:rsid w:val="00C21932"/>
    <w:rsid w:val="00C222A4"/>
    <w:rsid w:val="00C22457"/>
    <w:rsid w:val="00C22A82"/>
    <w:rsid w:val="00C22BE2"/>
    <w:rsid w:val="00C22F86"/>
    <w:rsid w:val="00C2320B"/>
    <w:rsid w:val="00C24720"/>
    <w:rsid w:val="00C2527E"/>
    <w:rsid w:val="00C257A9"/>
    <w:rsid w:val="00C27117"/>
    <w:rsid w:val="00C27DE4"/>
    <w:rsid w:val="00C309FC"/>
    <w:rsid w:val="00C317F6"/>
    <w:rsid w:val="00C31858"/>
    <w:rsid w:val="00C32885"/>
    <w:rsid w:val="00C32CCE"/>
    <w:rsid w:val="00C348AE"/>
    <w:rsid w:val="00C34906"/>
    <w:rsid w:val="00C34CB8"/>
    <w:rsid w:val="00C35A24"/>
    <w:rsid w:val="00C37FF9"/>
    <w:rsid w:val="00C40F4B"/>
    <w:rsid w:val="00C41163"/>
    <w:rsid w:val="00C42CC4"/>
    <w:rsid w:val="00C45760"/>
    <w:rsid w:val="00C46200"/>
    <w:rsid w:val="00C46DA9"/>
    <w:rsid w:val="00C471AC"/>
    <w:rsid w:val="00C51439"/>
    <w:rsid w:val="00C52823"/>
    <w:rsid w:val="00C55E9B"/>
    <w:rsid w:val="00C56D62"/>
    <w:rsid w:val="00C577E2"/>
    <w:rsid w:val="00C602BA"/>
    <w:rsid w:val="00C608BB"/>
    <w:rsid w:val="00C60DCA"/>
    <w:rsid w:val="00C60F13"/>
    <w:rsid w:val="00C63880"/>
    <w:rsid w:val="00C63BF3"/>
    <w:rsid w:val="00C6423B"/>
    <w:rsid w:val="00C64E3E"/>
    <w:rsid w:val="00C65CDC"/>
    <w:rsid w:val="00C66775"/>
    <w:rsid w:val="00C701C4"/>
    <w:rsid w:val="00C7046A"/>
    <w:rsid w:val="00C71E79"/>
    <w:rsid w:val="00C72E51"/>
    <w:rsid w:val="00C72FB2"/>
    <w:rsid w:val="00C739AC"/>
    <w:rsid w:val="00C73FDD"/>
    <w:rsid w:val="00C74B43"/>
    <w:rsid w:val="00C74C6B"/>
    <w:rsid w:val="00C756CC"/>
    <w:rsid w:val="00C80093"/>
    <w:rsid w:val="00C80442"/>
    <w:rsid w:val="00C809D6"/>
    <w:rsid w:val="00C80FE8"/>
    <w:rsid w:val="00C82949"/>
    <w:rsid w:val="00C839CF"/>
    <w:rsid w:val="00C83B95"/>
    <w:rsid w:val="00C83F28"/>
    <w:rsid w:val="00C83FDB"/>
    <w:rsid w:val="00C8529F"/>
    <w:rsid w:val="00C86BA3"/>
    <w:rsid w:val="00C86C03"/>
    <w:rsid w:val="00C87323"/>
    <w:rsid w:val="00C8739A"/>
    <w:rsid w:val="00C90458"/>
    <w:rsid w:val="00C90B0C"/>
    <w:rsid w:val="00C90F9E"/>
    <w:rsid w:val="00C91011"/>
    <w:rsid w:val="00C91B9E"/>
    <w:rsid w:val="00C939C8"/>
    <w:rsid w:val="00C943A0"/>
    <w:rsid w:val="00C9656E"/>
    <w:rsid w:val="00C96E9E"/>
    <w:rsid w:val="00C975F6"/>
    <w:rsid w:val="00C97789"/>
    <w:rsid w:val="00CA21CD"/>
    <w:rsid w:val="00CA3FF2"/>
    <w:rsid w:val="00CA4D59"/>
    <w:rsid w:val="00CA7946"/>
    <w:rsid w:val="00CB17DB"/>
    <w:rsid w:val="00CB1A13"/>
    <w:rsid w:val="00CB264A"/>
    <w:rsid w:val="00CB2E8B"/>
    <w:rsid w:val="00CB3E68"/>
    <w:rsid w:val="00CB3FA3"/>
    <w:rsid w:val="00CB595C"/>
    <w:rsid w:val="00CB5EB3"/>
    <w:rsid w:val="00CB6CE8"/>
    <w:rsid w:val="00CB6CEC"/>
    <w:rsid w:val="00CB70FD"/>
    <w:rsid w:val="00CB73DA"/>
    <w:rsid w:val="00CB7871"/>
    <w:rsid w:val="00CC223B"/>
    <w:rsid w:val="00CC3368"/>
    <w:rsid w:val="00CC3E9F"/>
    <w:rsid w:val="00CC442F"/>
    <w:rsid w:val="00CC5FE1"/>
    <w:rsid w:val="00CC6AC2"/>
    <w:rsid w:val="00CC6F45"/>
    <w:rsid w:val="00CC71B4"/>
    <w:rsid w:val="00CD2621"/>
    <w:rsid w:val="00CD2E20"/>
    <w:rsid w:val="00CD2F40"/>
    <w:rsid w:val="00CD43EC"/>
    <w:rsid w:val="00CD4C53"/>
    <w:rsid w:val="00CD5458"/>
    <w:rsid w:val="00CD6678"/>
    <w:rsid w:val="00CD76EA"/>
    <w:rsid w:val="00CE04F2"/>
    <w:rsid w:val="00CE0E9C"/>
    <w:rsid w:val="00CE1F18"/>
    <w:rsid w:val="00CE2A92"/>
    <w:rsid w:val="00CE356B"/>
    <w:rsid w:val="00CE3FB1"/>
    <w:rsid w:val="00CE4231"/>
    <w:rsid w:val="00CE4F14"/>
    <w:rsid w:val="00CE6304"/>
    <w:rsid w:val="00CE6320"/>
    <w:rsid w:val="00CE66B5"/>
    <w:rsid w:val="00CF126E"/>
    <w:rsid w:val="00CF1DEE"/>
    <w:rsid w:val="00CF28A5"/>
    <w:rsid w:val="00CF34A3"/>
    <w:rsid w:val="00CF3937"/>
    <w:rsid w:val="00CF3BDF"/>
    <w:rsid w:val="00CF4D66"/>
    <w:rsid w:val="00CF688E"/>
    <w:rsid w:val="00CF7391"/>
    <w:rsid w:val="00D00A4B"/>
    <w:rsid w:val="00D01892"/>
    <w:rsid w:val="00D01B5B"/>
    <w:rsid w:val="00D020C2"/>
    <w:rsid w:val="00D0593F"/>
    <w:rsid w:val="00D14E08"/>
    <w:rsid w:val="00D1613F"/>
    <w:rsid w:val="00D16ECE"/>
    <w:rsid w:val="00D17861"/>
    <w:rsid w:val="00D17923"/>
    <w:rsid w:val="00D1795F"/>
    <w:rsid w:val="00D2012C"/>
    <w:rsid w:val="00D20859"/>
    <w:rsid w:val="00D20C31"/>
    <w:rsid w:val="00D21002"/>
    <w:rsid w:val="00D2189D"/>
    <w:rsid w:val="00D2269D"/>
    <w:rsid w:val="00D23AF9"/>
    <w:rsid w:val="00D23BA0"/>
    <w:rsid w:val="00D24D75"/>
    <w:rsid w:val="00D251F6"/>
    <w:rsid w:val="00D30653"/>
    <w:rsid w:val="00D312BE"/>
    <w:rsid w:val="00D31825"/>
    <w:rsid w:val="00D31B0C"/>
    <w:rsid w:val="00D32014"/>
    <w:rsid w:val="00D32B43"/>
    <w:rsid w:val="00D32D0F"/>
    <w:rsid w:val="00D3307F"/>
    <w:rsid w:val="00D336DD"/>
    <w:rsid w:val="00D33E15"/>
    <w:rsid w:val="00D34692"/>
    <w:rsid w:val="00D34DF6"/>
    <w:rsid w:val="00D35905"/>
    <w:rsid w:val="00D379C1"/>
    <w:rsid w:val="00D37DDB"/>
    <w:rsid w:val="00D4129B"/>
    <w:rsid w:val="00D41528"/>
    <w:rsid w:val="00D41F34"/>
    <w:rsid w:val="00D41F3A"/>
    <w:rsid w:val="00D42427"/>
    <w:rsid w:val="00D42BC0"/>
    <w:rsid w:val="00D42F45"/>
    <w:rsid w:val="00D45D1F"/>
    <w:rsid w:val="00D46140"/>
    <w:rsid w:val="00D4625C"/>
    <w:rsid w:val="00D46271"/>
    <w:rsid w:val="00D50759"/>
    <w:rsid w:val="00D51AD4"/>
    <w:rsid w:val="00D52B2F"/>
    <w:rsid w:val="00D53302"/>
    <w:rsid w:val="00D53A06"/>
    <w:rsid w:val="00D54E72"/>
    <w:rsid w:val="00D55B71"/>
    <w:rsid w:val="00D57B50"/>
    <w:rsid w:val="00D6082A"/>
    <w:rsid w:val="00D61459"/>
    <w:rsid w:val="00D61A7C"/>
    <w:rsid w:val="00D62013"/>
    <w:rsid w:val="00D63210"/>
    <w:rsid w:val="00D63A5F"/>
    <w:rsid w:val="00D64273"/>
    <w:rsid w:val="00D64509"/>
    <w:rsid w:val="00D654BE"/>
    <w:rsid w:val="00D65747"/>
    <w:rsid w:val="00D66CE4"/>
    <w:rsid w:val="00D700D7"/>
    <w:rsid w:val="00D735F7"/>
    <w:rsid w:val="00D73B65"/>
    <w:rsid w:val="00D74609"/>
    <w:rsid w:val="00D746AC"/>
    <w:rsid w:val="00D74DBB"/>
    <w:rsid w:val="00D75B43"/>
    <w:rsid w:val="00D75D11"/>
    <w:rsid w:val="00D76577"/>
    <w:rsid w:val="00D77297"/>
    <w:rsid w:val="00D779DB"/>
    <w:rsid w:val="00D8050F"/>
    <w:rsid w:val="00D80652"/>
    <w:rsid w:val="00D81904"/>
    <w:rsid w:val="00D8208E"/>
    <w:rsid w:val="00D8363E"/>
    <w:rsid w:val="00D83644"/>
    <w:rsid w:val="00D83B70"/>
    <w:rsid w:val="00D87556"/>
    <w:rsid w:val="00D8768C"/>
    <w:rsid w:val="00D87D9D"/>
    <w:rsid w:val="00D90D73"/>
    <w:rsid w:val="00D92C62"/>
    <w:rsid w:val="00D94ECC"/>
    <w:rsid w:val="00D95680"/>
    <w:rsid w:val="00D9625F"/>
    <w:rsid w:val="00D96C68"/>
    <w:rsid w:val="00D96F9D"/>
    <w:rsid w:val="00D9704E"/>
    <w:rsid w:val="00D9722E"/>
    <w:rsid w:val="00D97254"/>
    <w:rsid w:val="00D97DE7"/>
    <w:rsid w:val="00DA0985"/>
    <w:rsid w:val="00DA130F"/>
    <w:rsid w:val="00DA14B6"/>
    <w:rsid w:val="00DA1574"/>
    <w:rsid w:val="00DA17B0"/>
    <w:rsid w:val="00DA208C"/>
    <w:rsid w:val="00DA254E"/>
    <w:rsid w:val="00DA3B3E"/>
    <w:rsid w:val="00DA40A8"/>
    <w:rsid w:val="00DA4757"/>
    <w:rsid w:val="00DA4C27"/>
    <w:rsid w:val="00DA4FE8"/>
    <w:rsid w:val="00DA5B25"/>
    <w:rsid w:val="00DA5B82"/>
    <w:rsid w:val="00DA7B78"/>
    <w:rsid w:val="00DB0258"/>
    <w:rsid w:val="00DB04FB"/>
    <w:rsid w:val="00DB05E4"/>
    <w:rsid w:val="00DB097F"/>
    <w:rsid w:val="00DB12F4"/>
    <w:rsid w:val="00DB248E"/>
    <w:rsid w:val="00DB289F"/>
    <w:rsid w:val="00DB3688"/>
    <w:rsid w:val="00DB416B"/>
    <w:rsid w:val="00DB43F6"/>
    <w:rsid w:val="00DB4C71"/>
    <w:rsid w:val="00DB5B25"/>
    <w:rsid w:val="00DB5ED7"/>
    <w:rsid w:val="00DB6102"/>
    <w:rsid w:val="00DB6C8C"/>
    <w:rsid w:val="00DB6CE6"/>
    <w:rsid w:val="00DB7AAF"/>
    <w:rsid w:val="00DC11B4"/>
    <w:rsid w:val="00DC23D6"/>
    <w:rsid w:val="00DC25BB"/>
    <w:rsid w:val="00DC338A"/>
    <w:rsid w:val="00DC4BE4"/>
    <w:rsid w:val="00DC57CF"/>
    <w:rsid w:val="00DC60EE"/>
    <w:rsid w:val="00DC7DAE"/>
    <w:rsid w:val="00DD0300"/>
    <w:rsid w:val="00DD0866"/>
    <w:rsid w:val="00DD0A48"/>
    <w:rsid w:val="00DD1634"/>
    <w:rsid w:val="00DD2165"/>
    <w:rsid w:val="00DD26E7"/>
    <w:rsid w:val="00DD3CE7"/>
    <w:rsid w:val="00DD433A"/>
    <w:rsid w:val="00DD7187"/>
    <w:rsid w:val="00DD77D2"/>
    <w:rsid w:val="00DE02A1"/>
    <w:rsid w:val="00DE068D"/>
    <w:rsid w:val="00DE0AF1"/>
    <w:rsid w:val="00DE0C14"/>
    <w:rsid w:val="00DE5FFC"/>
    <w:rsid w:val="00DE644C"/>
    <w:rsid w:val="00DE649F"/>
    <w:rsid w:val="00DE701F"/>
    <w:rsid w:val="00DF07E3"/>
    <w:rsid w:val="00DF1123"/>
    <w:rsid w:val="00DF161F"/>
    <w:rsid w:val="00DF2ABA"/>
    <w:rsid w:val="00DF34A8"/>
    <w:rsid w:val="00DF4876"/>
    <w:rsid w:val="00DF565B"/>
    <w:rsid w:val="00DF7A03"/>
    <w:rsid w:val="00DF7BAA"/>
    <w:rsid w:val="00E00B00"/>
    <w:rsid w:val="00E0105E"/>
    <w:rsid w:val="00E02EB4"/>
    <w:rsid w:val="00E06037"/>
    <w:rsid w:val="00E064C3"/>
    <w:rsid w:val="00E0734C"/>
    <w:rsid w:val="00E07E96"/>
    <w:rsid w:val="00E07FC2"/>
    <w:rsid w:val="00E10A8B"/>
    <w:rsid w:val="00E120BF"/>
    <w:rsid w:val="00E124D0"/>
    <w:rsid w:val="00E13FFC"/>
    <w:rsid w:val="00E16432"/>
    <w:rsid w:val="00E1770E"/>
    <w:rsid w:val="00E17C2E"/>
    <w:rsid w:val="00E20B4D"/>
    <w:rsid w:val="00E21559"/>
    <w:rsid w:val="00E22676"/>
    <w:rsid w:val="00E23B78"/>
    <w:rsid w:val="00E24B04"/>
    <w:rsid w:val="00E258FC"/>
    <w:rsid w:val="00E26364"/>
    <w:rsid w:val="00E31F9A"/>
    <w:rsid w:val="00E32079"/>
    <w:rsid w:val="00E33158"/>
    <w:rsid w:val="00E33281"/>
    <w:rsid w:val="00E33F95"/>
    <w:rsid w:val="00E349BA"/>
    <w:rsid w:val="00E36AA5"/>
    <w:rsid w:val="00E3714A"/>
    <w:rsid w:val="00E409E0"/>
    <w:rsid w:val="00E40C38"/>
    <w:rsid w:val="00E4153B"/>
    <w:rsid w:val="00E45662"/>
    <w:rsid w:val="00E45A31"/>
    <w:rsid w:val="00E46CC7"/>
    <w:rsid w:val="00E47FB1"/>
    <w:rsid w:val="00E5291E"/>
    <w:rsid w:val="00E52C97"/>
    <w:rsid w:val="00E52D47"/>
    <w:rsid w:val="00E531AB"/>
    <w:rsid w:val="00E54B26"/>
    <w:rsid w:val="00E55799"/>
    <w:rsid w:val="00E608D7"/>
    <w:rsid w:val="00E611C5"/>
    <w:rsid w:val="00E62BE2"/>
    <w:rsid w:val="00E6399F"/>
    <w:rsid w:val="00E64241"/>
    <w:rsid w:val="00E66520"/>
    <w:rsid w:val="00E70265"/>
    <w:rsid w:val="00E71203"/>
    <w:rsid w:val="00E73236"/>
    <w:rsid w:val="00E7482D"/>
    <w:rsid w:val="00E75EA9"/>
    <w:rsid w:val="00E7702D"/>
    <w:rsid w:val="00E77252"/>
    <w:rsid w:val="00E8002F"/>
    <w:rsid w:val="00E81EF3"/>
    <w:rsid w:val="00E827DA"/>
    <w:rsid w:val="00E85BB2"/>
    <w:rsid w:val="00E867C0"/>
    <w:rsid w:val="00E86905"/>
    <w:rsid w:val="00E9061F"/>
    <w:rsid w:val="00E90A92"/>
    <w:rsid w:val="00E90CDB"/>
    <w:rsid w:val="00E9230F"/>
    <w:rsid w:val="00E92C77"/>
    <w:rsid w:val="00E937F8"/>
    <w:rsid w:val="00E94004"/>
    <w:rsid w:val="00E94301"/>
    <w:rsid w:val="00E9667A"/>
    <w:rsid w:val="00E97058"/>
    <w:rsid w:val="00EA01D4"/>
    <w:rsid w:val="00EA20B2"/>
    <w:rsid w:val="00EA2699"/>
    <w:rsid w:val="00EA58DD"/>
    <w:rsid w:val="00EA5E17"/>
    <w:rsid w:val="00EA6035"/>
    <w:rsid w:val="00EA6A64"/>
    <w:rsid w:val="00EA70D7"/>
    <w:rsid w:val="00EA77BD"/>
    <w:rsid w:val="00EB1981"/>
    <w:rsid w:val="00EB2D02"/>
    <w:rsid w:val="00EB3279"/>
    <w:rsid w:val="00EB3C9F"/>
    <w:rsid w:val="00EB5E28"/>
    <w:rsid w:val="00EB74DA"/>
    <w:rsid w:val="00EB757E"/>
    <w:rsid w:val="00EB76A1"/>
    <w:rsid w:val="00EB7B26"/>
    <w:rsid w:val="00EB7BB6"/>
    <w:rsid w:val="00EC0FB9"/>
    <w:rsid w:val="00EC2258"/>
    <w:rsid w:val="00EC259E"/>
    <w:rsid w:val="00EC2ED8"/>
    <w:rsid w:val="00EC3B18"/>
    <w:rsid w:val="00EC41E6"/>
    <w:rsid w:val="00EC761C"/>
    <w:rsid w:val="00EC7D6D"/>
    <w:rsid w:val="00EC7EB0"/>
    <w:rsid w:val="00ED07E3"/>
    <w:rsid w:val="00ED0B40"/>
    <w:rsid w:val="00ED166E"/>
    <w:rsid w:val="00ED1A76"/>
    <w:rsid w:val="00ED1C84"/>
    <w:rsid w:val="00ED324D"/>
    <w:rsid w:val="00ED3327"/>
    <w:rsid w:val="00ED57EE"/>
    <w:rsid w:val="00ED5ED4"/>
    <w:rsid w:val="00ED718D"/>
    <w:rsid w:val="00EE0E6B"/>
    <w:rsid w:val="00EE2066"/>
    <w:rsid w:val="00EE2401"/>
    <w:rsid w:val="00EE27E9"/>
    <w:rsid w:val="00EE2849"/>
    <w:rsid w:val="00EE2B72"/>
    <w:rsid w:val="00EE3673"/>
    <w:rsid w:val="00EF02D2"/>
    <w:rsid w:val="00EF0862"/>
    <w:rsid w:val="00EF153A"/>
    <w:rsid w:val="00EF5076"/>
    <w:rsid w:val="00EF554A"/>
    <w:rsid w:val="00EF5612"/>
    <w:rsid w:val="00EF7FB4"/>
    <w:rsid w:val="00F00C52"/>
    <w:rsid w:val="00F0120F"/>
    <w:rsid w:val="00F0165D"/>
    <w:rsid w:val="00F01870"/>
    <w:rsid w:val="00F027BF"/>
    <w:rsid w:val="00F03079"/>
    <w:rsid w:val="00F0373E"/>
    <w:rsid w:val="00F03C78"/>
    <w:rsid w:val="00F04669"/>
    <w:rsid w:val="00F04BA8"/>
    <w:rsid w:val="00F05A6A"/>
    <w:rsid w:val="00F067C2"/>
    <w:rsid w:val="00F0720E"/>
    <w:rsid w:val="00F11139"/>
    <w:rsid w:val="00F1159E"/>
    <w:rsid w:val="00F12425"/>
    <w:rsid w:val="00F1290D"/>
    <w:rsid w:val="00F12AD5"/>
    <w:rsid w:val="00F12F25"/>
    <w:rsid w:val="00F13459"/>
    <w:rsid w:val="00F14FCA"/>
    <w:rsid w:val="00F16627"/>
    <w:rsid w:val="00F16850"/>
    <w:rsid w:val="00F22543"/>
    <w:rsid w:val="00F22593"/>
    <w:rsid w:val="00F2345D"/>
    <w:rsid w:val="00F25FC9"/>
    <w:rsid w:val="00F30DA3"/>
    <w:rsid w:val="00F317BD"/>
    <w:rsid w:val="00F334A0"/>
    <w:rsid w:val="00F33D0D"/>
    <w:rsid w:val="00F34751"/>
    <w:rsid w:val="00F35B09"/>
    <w:rsid w:val="00F36306"/>
    <w:rsid w:val="00F40B1A"/>
    <w:rsid w:val="00F41B7C"/>
    <w:rsid w:val="00F42C07"/>
    <w:rsid w:val="00F44E43"/>
    <w:rsid w:val="00F46758"/>
    <w:rsid w:val="00F46D96"/>
    <w:rsid w:val="00F472A3"/>
    <w:rsid w:val="00F47586"/>
    <w:rsid w:val="00F47E21"/>
    <w:rsid w:val="00F5069F"/>
    <w:rsid w:val="00F5074E"/>
    <w:rsid w:val="00F5114C"/>
    <w:rsid w:val="00F525CB"/>
    <w:rsid w:val="00F52FAB"/>
    <w:rsid w:val="00F5331A"/>
    <w:rsid w:val="00F53C84"/>
    <w:rsid w:val="00F5565F"/>
    <w:rsid w:val="00F56692"/>
    <w:rsid w:val="00F56D9D"/>
    <w:rsid w:val="00F56DE5"/>
    <w:rsid w:val="00F60875"/>
    <w:rsid w:val="00F60E65"/>
    <w:rsid w:val="00F61DC9"/>
    <w:rsid w:val="00F62975"/>
    <w:rsid w:val="00F63AAF"/>
    <w:rsid w:val="00F6415E"/>
    <w:rsid w:val="00F65545"/>
    <w:rsid w:val="00F66CE6"/>
    <w:rsid w:val="00F712F7"/>
    <w:rsid w:val="00F7184D"/>
    <w:rsid w:val="00F76CE8"/>
    <w:rsid w:val="00F77B52"/>
    <w:rsid w:val="00F80E31"/>
    <w:rsid w:val="00F81C0A"/>
    <w:rsid w:val="00F81E71"/>
    <w:rsid w:val="00F81F15"/>
    <w:rsid w:val="00F84A94"/>
    <w:rsid w:val="00F84FE2"/>
    <w:rsid w:val="00F87664"/>
    <w:rsid w:val="00F87BFA"/>
    <w:rsid w:val="00F90BDD"/>
    <w:rsid w:val="00F90C04"/>
    <w:rsid w:val="00F91819"/>
    <w:rsid w:val="00F92CBA"/>
    <w:rsid w:val="00F9364E"/>
    <w:rsid w:val="00F947A5"/>
    <w:rsid w:val="00F95180"/>
    <w:rsid w:val="00F958D2"/>
    <w:rsid w:val="00F95AD6"/>
    <w:rsid w:val="00F95DC7"/>
    <w:rsid w:val="00F95DC9"/>
    <w:rsid w:val="00F96480"/>
    <w:rsid w:val="00F96607"/>
    <w:rsid w:val="00F973AD"/>
    <w:rsid w:val="00F97EDA"/>
    <w:rsid w:val="00FA0205"/>
    <w:rsid w:val="00FA067D"/>
    <w:rsid w:val="00FA23EE"/>
    <w:rsid w:val="00FA2C87"/>
    <w:rsid w:val="00FA324B"/>
    <w:rsid w:val="00FA349E"/>
    <w:rsid w:val="00FA569A"/>
    <w:rsid w:val="00FA56C6"/>
    <w:rsid w:val="00FA7B0E"/>
    <w:rsid w:val="00FA7B4B"/>
    <w:rsid w:val="00FB0804"/>
    <w:rsid w:val="00FB0D1C"/>
    <w:rsid w:val="00FB0DA4"/>
    <w:rsid w:val="00FB1BA4"/>
    <w:rsid w:val="00FB3AFD"/>
    <w:rsid w:val="00FB5354"/>
    <w:rsid w:val="00FB6049"/>
    <w:rsid w:val="00FB6260"/>
    <w:rsid w:val="00FB628E"/>
    <w:rsid w:val="00FB67AA"/>
    <w:rsid w:val="00FB775C"/>
    <w:rsid w:val="00FC013F"/>
    <w:rsid w:val="00FC0659"/>
    <w:rsid w:val="00FC0F24"/>
    <w:rsid w:val="00FC2541"/>
    <w:rsid w:val="00FC3F9E"/>
    <w:rsid w:val="00FC446F"/>
    <w:rsid w:val="00FC4E15"/>
    <w:rsid w:val="00FC6DA5"/>
    <w:rsid w:val="00FC71B1"/>
    <w:rsid w:val="00FD1C64"/>
    <w:rsid w:val="00FD28E6"/>
    <w:rsid w:val="00FD3FA3"/>
    <w:rsid w:val="00FD3FE4"/>
    <w:rsid w:val="00FD432C"/>
    <w:rsid w:val="00FD49CD"/>
    <w:rsid w:val="00FD4CDC"/>
    <w:rsid w:val="00FD54D3"/>
    <w:rsid w:val="00FD577F"/>
    <w:rsid w:val="00FD64F9"/>
    <w:rsid w:val="00FD7429"/>
    <w:rsid w:val="00FD7DE6"/>
    <w:rsid w:val="00FE0CD7"/>
    <w:rsid w:val="00FE1AC0"/>
    <w:rsid w:val="00FE2569"/>
    <w:rsid w:val="00FE377C"/>
    <w:rsid w:val="00FE53F2"/>
    <w:rsid w:val="00FE5A10"/>
    <w:rsid w:val="00FE5F20"/>
    <w:rsid w:val="00FE7AD5"/>
    <w:rsid w:val="00FF0196"/>
    <w:rsid w:val="00FF16F9"/>
    <w:rsid w:val="00FF3452"/>
    <w:rsid w:val="00FF3E8C"/>
    <w:rsid w:val="00FF448C"/>
    <w:rsid w:val="00FF4D95"/>
    <w:rsid w:val="00FF545C"/>
    <w:rsid w:val="00FF571A"/>
    <w:rsid w:val="00FF6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814441"/>
  <w15:docId w15:val="{909A601C-A5D0-4876-862B-340C61A3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1A6"/>
    <w:rPr>
      <w:sz w:val="24"/>
      <w:szCs w:val="24"/>
    </w:rPr>
  </w:style>
  <w:style w:type="paragraph" w:styleId="Heading1">
    <w:name w:val="heading 1"/>
    <w:basedOn w:val="Normal"/>
    <w:link w:val="Heading1Char"/>
    <w:uiPriority w:val="9"/>
    <w:qFormat/>
    <w:rsid w:val="00F5565F"/>
    <w:pPr>
      <w:spacing w:before="100" w:beforeAutospacing="1" w:after="100" w:afterAutospacing="1"/>
      <w:outlineLvl w:val="0"/>
    </w:pPr>
    <w:rPr>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rsid w:val="003F6CE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466C6E"/>
    <w:rPr>
      <w:rFonts w:ascii="Tahoma" w:hAnsi="Tahoma" w:cs="Tahoma"/>
      <w:sz w:val="16"/>
      <w:szCs w:val="16"/>
    </w:rPr>
  </w:style>
  <w:style w:type="character" w:customStyle="1" w:styleId="BalloonTextChar">
    <w:name w:val="Balloon Text Char"/>
    <w:basedOn w:val="DefaultParagraphFont"/>
    <w:link w:val="BalloonText"/>
    <w:rsid w:val="00466C6E"/>
    <w:rPr>
      <w:rFonts w:ascii="Tahoma" w:hAnsi="Tahoma" w:cs="Tahoma"/>
      <w:sz w:val="16"/>
      <w:szCs w:val="16"/>
    </w:rPr>
  </w:style>
  <w:style w:type="table" w:styleId="TableGrid">
    <w:name w:val="Table Grid"/>
    <w:basedOn w:val="TableNormal"/>
    <w:rsid w:val="003E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C338A"/>
    <w:pPr>
      <w:tabs>
        <w:tab w:val="center" w:pos="4680"/>
        <w:tab w:val="right" w:pos="9360"/>
      </w:tabs>
    </w:pPr>
  </w:style>
  <w:style w:type="character" w:customStyle="1" w:styleId="HeaderChar">
    <w:name w:val="Header Char"/>
    <w:basedOn w:val="DefaultParagraphFont"/>
    <w:link w:val="Header"/>
    <w:uiPriority w:val="99"/>
    <w:rsid w:val="00DC338A"/>
    <w:rPr>
      <w:sz w:val="24"/>
      <w:szCs w:val="24"/>
    </w:rPr>
  </w:style>
  <w:style w:type="paragraph" w:styleId="Footer">
    <w:name w:val="footer"/>
    <w:basedOn w:val="Normal"/>
    <w:link w:val="FooterChar"/>
    <w:rsid w:val="00DC338A"/>
    <w:pPr>
      <w:tabs>
        <w:tab w:val="center" w:pos="4680"/>
        <w:tab w:val="right" w:pos="9360"/>
      </w:tabs>
    </w:pPr>
  </w:style>
  <w:style w:type="character" w:customStyle="1" w:styleId="FooterChar">
    <w:name w:val="Footer Char"/>
    <w:basedOn w:val="DefaultParagraphFont"/>
    <w:link w:val="Footer"/>
    <w:rsid w:val="00DC338A"/>
    <w:rPr>
      <w:sz w:val="24"/>
      <w:szCs w:val="24"/>
    </w:rPr>
  </w:style>
  <w:style w:type="paragraph" w:styleId="ListParagraph">
    <w:name w:val="List Paragraph"/>
    <w:basedOn w:val="Normal"/>
    <w:uiPriority w:val="34"/>
    <w:qFormat/>
    <w:rsid w:val="00DE02A1"/>
    <w:pPr>
      <w:ind w:left="720"/>
      <w:contextualSpacing/>
    </w:pPr>
  </w:style>
  <w:style w:type="table" w:styleId="TableColumns1">
    <w:name w:val="Table Columns 1"/>
    <w:basedOn w:val="TableNormal"/>
    <w:rsid w:val="005C6BE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239D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rsid w:val="002F4010"/>
    <w:rPr>
      <w:sz w:val="18"/>
      <w:szCs w:val="18"/>
    </w:rPr>
  </w:style>
  <w:style w:type="paragraph" w:styleId="CommentText">
    <w:name w:val="annotation text"/>
    <w:basedOn w:val="Normal"/>
    <w:link w:val="CommentTextChar"/>
    <w:rsid w:val="002F4010"/>
  </w:style>
  <w:style w:type="character" w:customStyle="1" w:styleId="CommentTextChar">
    <w:name w:val="Comment Text Char"/>
    <w:basedOn w:val="DefaultParagraphFont"/>
    <w:link w:val="CommentText"/>
    <w:rsid w:val="002F4010"/>
    <w:rPr>
      <w:sz w:val="24"/>
      <w:szCs w:val="24"/>
    </w:rPr>
  </w:style>
  <w:style w:type="paragraph" w:styleId="CommentSubject">
    <w:name w:val="annotation subject"/>
    <w:basedOn w:val="CommentText"/>
    <w:next w:val="CommentText"/>
    <w:link w:val="CommentSubjectChar"/>
    <w:rsid w:val="002F4010"/>
    <w:rPr>
      <w:b/>
      <w:bCs/>
      <w:sz w:val="20"/>
      <w:szCs w:val="20"/>
    </w:rPr>
  </w:style>
  <w:style w:type="character" w:customStyle="1" w:styleId="CommentSubjectChar">
    <w:name w:val="Comment Subject Char"/>
    <w:basedOn w:val="CommentTextChar"/>
    <w:link w:val="CommentSubject"/>
    <w:rsid w:val="002F4010"/>
    <w:rPr>
      <w:b/>
      <w:bCs/>
      <w:sz w:val="24"/>
      <w:szCs w:val="24"/>
    </w:rPr>
  </w:style>
  <w:style w:type="character" w:customStyle="1" w:styleId="text">
    <w:name w:val="text"/>
    <w:basedOn w:val="DefaultParagraphFont"/>
    <w:rsid w:val="00F5565F"/>
  </w:style>
  <w:style w:type="character" w:customStyle="1" w:styleId="author-ref">
    <w:name w:val="author-ref"/>
    <w:basedOn w:val="DefaultParagraphFont"/>
    <w:rsid w:val="00F5565F"/>
  </w:style>
  <w:style w:type="character" w:customStyle="1" w:styleId="Heading1Char">
    <w:name w:val="Heading 1 Char"/>
    <w:basedOn w:val="DefaultParagraphFont"/>
    <w:link w:val="Heading1"/>
    <w:uiPriority w:val="9"/>
    <w:rsid w:val="00F5565F"/>
    <w:rPr>
      <w:b/>
      <w:bCs/>
      <w:kern w:val="36"/>
      <w:sz w:val="48"/>
      <w:szCs w:val="48"/>
      <w:lang w:val="en-GB"/>
    </w:rPr>
  </w:style>
  <w:style w:type="character" w:customStyle="1" w:styleId="title-text">
    <w:name w:val="title-text"/>
    <w:basedOn w:val="DefaultParagraphFont"/>
    <w:rsid w:val="00F5565F"/>
  </w:style>
  <w:style w:type="character" w:styleId="Hyperlink">
    <w:name w:val="Hyperlink"/>
    <w:basedOn w:val="DefaultParagraphFont"/>
    <w:uiPriority w:val="99"/>
    <w:unhideWhenUsed/>
    <w:rsid w:val="00F5565F"/>
    <w:rPr>
      <w:color w:val="0000FF"/>
      <w:u w:val="single"/>
    </w:rPr>
  </w:style>
  <w:style w:type="character" w:customStyle="1" w:styleId="apple-converted-space">
    <w:name w:val="apple-converted-space"/>
    <w:basedOn w:val="DefaultParagraphFont"/>
    <w:rsid w:val="00F5565F"/>
  </w:style>
  <w:style w:type="character" w:styleId="FollowedHyperlink">
    <w:name w:val="FollowedHyperlink"/>
    <w:basedOn w:val="DefaultParagraphFont"/>
    <w:semiHidden/>
    <w:unhideWhenUsed/>
    <w:rsid w:val="000E1865"/>
    <w:rPr>
      <w:color w:val="800080" w:themeColor="followedHyperlink"/>
      <w:u w:val="single"/>
    </w:rPr>
  </w:style>
  <w:style w:type="character" w:customStyle="1" w:styleId="EndNoteBibliographyChar">
    <w:name w:val="EndNote Bibliography Char"/>
    <w:basedOn w:val="DefaultParagraphFont"/>
    <w:link w:val="EndNoteBibliography"/>
    <w:locked/>
    <w:rsid w:val="001213B8"/>
    <w:rPr>
      <w:rFonts w:ascii="Arial" w:hAnsi="Arial" w:cs="Arial"/>
      <w:noProof/>
      <w:sz w:val="24"/>
    </w:rPr>
  </w:style>
  <w:style w:type="paragraph" w:customStyle="1" w:styleId="EndNoteBibliography">
    <w:name w:val="EndNote Bibliography"/>
    <w:basedOn w:val="Normal"/>
    <w:link w:val="EndNoteBibliographyChar"/>
    <w:rsid w:val="001213B8"/>
    <w:rPr>
      <w:rFonts w:ascii="Arial" w:hAnsi="Arial" w:cs="Arial"/>
      <w:noProof/>
      <w:szCs w:val="20"/>
    </w:rPr>
  </w:style>
  <w:style w:type="character" w:customStyle="1" w:styleId="UnresolvedMention">
    <w:name w:val="Unresolved Mention"/>
    <w:basedOn w:val="DefaultParagraphFont"/>
    <w:uiPriority w:val="99"/>
    <w:semiHidden/>
    <w:unhideWhenUsed/>
    <w:rsid w:val="003F2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06146">
      <w:bodyDiv w:val="1"/>
      <w:marLeft w:val="0"/>
      <w:marRight w:val="0"/>
      <w:marTop w:val="0"/>
      <w:marBottom w:val="0"/>
      <w:divBdr>
        <w:top w:val="none" w:sz="0" w:space="0" w:color="auto"/>
        <w:left w:val="none" w:sz="0" w:space="0" w:color="auto"/>
        <w:bottom w:val="none" w:sz="0" w:space="0" w:color="auto"/>
        <w:right w:val="none" w:sz="0" w:space="0" w:color="auto"/>
      </w:divBdr>
    </w:div>
    <w:div w:id="1220282772">
      <w:bodyDiv w:val="1"/>
      <w:marLeft w:val="0"/>
      <w:marRight w:val="0"/>
      <w:marTop w:val="0"/>
      <w:marBottom w:val="0"/>
      <w:divBdr>
        <w:top w:val="none" w:sz="0" w:space="0" w:color="auto"/>
        <w:left w:val="none" w:sz="0" w:space="0" w:color="auto"/>
        <w:bottom w:val="none" w:sz="0" w:space="0" w:color="auto"/>
        <w:right w:val="none" w:sz="0" w:space="0" w:color="auto"/>
      </w:divBdr>
      <w:divsChild>
        <w:div w:id="745347562">
          <w:marLeft w:val="0"/>
          <w:marRight w:val="0"/>
          <w:marTop w:val="0"/>
          <w:marBottom w:val="0"/>
          <w:divBdr>
            <w:top w:val="none" w:sz="0" w:space="0" w:color="auto"/>
            <w:left w:val="none" w:sz="0" w:space="0" w:color="auto"/>
            <w:bottom w:val="none" w:sz="0" w:space="0" w:color="auto"/>
            <w:right w:val="none" w:sz="0" w:space="0" w:color="auto"/>
          </w:divBdr>
          <w:divsChild>
            <w:div w:id="13759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09108">
      <w:bodyDiv w:val="1"/>
      <w:marLeft w:val="0"/>
      <w:marRight w:val="0"/>
      <w:marTop w:val="0"/>
      <w:marBottom w:val="0"/>
      <w:divBdr>
        <w:top w:val="none" w:sz="0" w:space="0" w:color="auto"/>
        <w:left w:val="none" w:sz="0" w:space="0" w:color="auto"/>
        <w:bottom w:val="none" w:sz="0" w:space="0" w:color="auto"/>
        <w:right w:val="none" w:sz="0" w:space="0" w:color="auto"/>
      </w:divBdr>
    </w:div>
    <w:div w:id="1587113925">
      <w:bodyDiv w:val="1"/>
      <w:marLeft w:val="0"/>
      <w:marRight w:val="0"/>
      <w:marTop w:val="0"/>
      <w:marBottom w:val="0"/>
      <w:divBdr>
        <w:top w:val="none" w:sz="0" w:space="0" w:color="auto"/>
        <w:left w:val="none" w:sz="0" w:space="0" w:color="auto"/>
        <w:bottom w:val="none" w:sz="0" w:space="0" w:color="auto"/>
        <w:right w:val="none" w:sz="0" w:space="0" w:color="auto"/>
      </w:divBdr>
    </w:div>
    <w:div w:id="1814446536">
      <w:bodyDiv w:val="1"/>
      <w:marLeft w:val="0"/>
      <w:marRight w:val="0"/>
      <w:marTop w:val="0"/>
      <w:marBottom w:val="0"/>
      <w:divBdr>
        <w:top w:val="none" w:sz="0" w:space="0" w:color="auto"/>
        <w:left w:val="none" w:sz="0" w:space="0" w:color="auto"/>
        <w:bottom w:val="none" w:sz="0" w:space="0" w:color="auto"/>
        <w:right w:val="none" w:sz="0" w:space="0" w:color="auto"/>
      </w:divBdr>
    </w:div>
    <w:div w:id="203018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ep@unm.edu" TargetMode="Externa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www.biorxiv.org/content/10.1101/489781v1" TargetMode="External"/><Relationship Id="rId4" Type="http://schemas.openxmlformats.org/officeDocument/2006/relationships/settings" Target="settings.xml"/><Relationship Id="rId9" Type="http://schemas.openxmlformats.org/officeDocument/2006/relationships/hyperlink" Target="http://www.teds.ac.uk/researchers/teds-data-access-policy"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7F93D-10B4-42DA-9813-BC5A02B6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8763</Words>
  <Characters>49950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Dale</dc:creator>
  <cp:lastModifiedBy>Emma Hayiou-Thomas</cp:lastModifiedBy>
  <cp:revision>2</cp:revision>
  <cp:lastPrinted>2019-08-07T20:40:00Z</cp:lastPrinted>
  <dcterms:created xsi:type="dcterms:W3CDTF">2020-05-21T10:34:00Z</dcterms:created>
  <dcterms:modified xsi:type="dcterms:W3CDTF">2020-05-21T10:34:00Z</dcterms:modified>
</cp:coreProperties>
</file>