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1FF" w:rsidRPr="00B41469" w:rsidRDefault="00E671FF" w:rsidP="00E671FF">
      <w:pPr>
        <w:pStyle w:val="Title2"/>
        <w:rPr>
          <w:color w:val="FF0000"/>
        </w:rPr>
      </w:pPr>
      <w:r>
        <w:t>Evidence for self-healing benign grain boundaries and a highly defective Sb</w:t>
      </w:r>
      <w:r>
        <w:rPr>
          <w:vertAlign w:val="subscript"/>
        </w:rPr>
        <w:t>2</w:t>
      </w:r>
      <w:r>
        <w:t>Se</w:t>
      </w:r>
      <w:r>
        <w:rPr>
          <w:vertAlign w:val="subscript"/>
        </w:rPr>
        <w:t>3</w:t>
      </w:r>
      <w:r>
        <w:t>-CdS interfacial layer in Sb</w:t>
      </w:r>
      <w:r>
        <w:rPr>
          <w:vertAlign w:val="subscript"/>
        </w:rPr>
        <w:t>2</w:t>
      </w:r>
      <w:r>
        <w:t>Se</w:t>
      </w:r>
      <w:r>
        <w:rPr>
          <w:vertAlign w:val="subscript"/>
        </w:rPr>
        <w:t xml:space="preserve">3 </w:t>
      </w:r>
      <w:r>
        <w:t xml:space="preserve">thin-film photovoltaics </w:t>
      </w:r>
    </w:p>
    <w:p w:rsidR="00E671FF" w:rsidRPr="00A35E4A" w:rsidRDefault="00E671FF" w:rsidP="00E671FF">
      <w:pPr>
        <w:pStyle w:val="Tableofcontents"/>
      </w:pPr>
    </w:p>
    <w:p w:rsidR="00E671FF" w:rsidRPr="00A35E4A" w:rsidRDefault="00E671FF" w:rsidP="00E671FF">
      <w:pPr>
        <w:pStyle w:val="AuthorsFull"/>
      </w:pPr>
      <w:r>
        <w:t xml:space="preserve">Rhys E. Williams, Quentin M. </w:t>
      </w:r>
      <w:proofErr w:type="spellStart"/>
      <w:r>
        <w:t>Ramasse</w:t>
      </w:r>
      <w:proofErr w:type="spellEnd"/>
      <w:r>
        <w:t xml:space="preserve">, Keith P. McKenna, Laurie J. Phillips, Peter J. Yates, Oliver S. </w:t>
      </w:r>
      <w:proofErr w:type="spellStart"/>
      <w:r>
        <w:t>Hutter</w:t>
      </w:r>
      <w:proofErr w:type="spellEnd"/>
      <w:r>
        <w:t xml:space="preserve">, Ken </w:t>
      </w:r>
      <w:proofErr w:type="spellStart"/>
      <w:r>
        <w:t>Durose</w:t>
      </w:r>
      <w:proofErr w:type="spellEnd"/>
      <w:r>
        <w:t>, Jonathan D. Major, Budhika G. Mendis</w:t>
      </w:r>
      <w:r w:rsidRPr="00A35E4A">
        <w:t xml:space="preserve">* </w:t>
      </w:r>
    </w:p>
    <w:p w:rsidR="00E671FF" w:rsidRPr="00A35E4A" w:rsidRDefault="00E671FF" w:rsidP="00E671FF">
      <w:pPr>
        <w:pStyle w:val="Tableofcontents"/>
      </w:pPr>
    </w:p>
    <w:p w:rsidR="00E671FF" w:rsidRDefault="00E671FF" w:rsidP="00E671FF">
      <w:pPr>
        <w:pStyle w:val="Addresses"/>
        <w:rPr>
          <w:color w:val="FF0000"/>
        </w:rPr>
      </w:pPr>
      <w:r>
        <w:t>R.E. Williams</w:t>
      </w:r>
      <w:r w:rsidRPr="00A35E4A">
        <w:t xml:space="preserve">, </w:t>
      </w:r>
      <w:proofErr w:type="spellStart"/>
      <w:r>
        <w:t>Dr</w:t>
      </w:r>
      <w:proofErr w:type="spellEnd"/>
      <w:r>
        <w:t xml:space="preserve"> B.G. Mendis </w:t>
      </w:r>
    </w:p>
    <w:p w:rsidR="00E671FF" w:rsidRPr="00047D42" w:rsidRDefault="00E671FF" w:rsidP="00E671FF">
      <w:pPr>
        <w:pStyle w:val="Addresses"/>
      </w:pPr>
      <w:r>
        <w:t>Dept. of Physics, Durham University, South Road, Durham, DH1 3LE, UK</w:t>
      </w:r>
      <w:r w:rsidRPr="00A35E4A">
        <w:br/>
        <w:t xml:space="preserve">E-mail: </w:t>
      </w:r>
      <w:r w:rsidRPr="00047D42">
        <w:t>b.g.mendis@durham.ac.uk</w:t>
      </w:r>
    </w:p>
    <w:p w:rsidR="00E671FF" w:rsidRDefault="00E671FF" w:rsidP="00E671FF">
      <w:pPr>
        <w:pStyle w:val="Addresses"/>
      </w:pPr>
    </w:p>
    <w:p w:rsidR="00E671FF" w:rsidRDefault="00E671FF" w:rsidP="00E671FF">
      <w:r>
        <w:t>Prof Q.M. Ramasse</w:t>
      </w:r>
      <w:r w:rsidRPr="00A35E4A">
        <w:br/>
      </w:r>
      <w:r w:rsidRPr="0043514C">
        <w:t>SuperSTEM, SciTech Daresbury Campus, Daresbury, WA4 4AD, UK</w:t>
      </w:r>
    </w:p>
    <w:p w:rsidR="00E671FF" w:rsidRPr="0043514C" w:rsidRDefault="00E671FF" w:rsidP="00E671FF">
      <w:r w:rsidRPr="0043514C">
        <w:t>School of Chemical and Process Engineering, University of Leeds, Leeds, LS2 9JT, UK</w:t>
      </w:r>
    </w:p>
    <w:p w:rsidR="00E671FF" w:rsidRDefault="00E671FF" w:rsidP="00E671FF"/>
    <w:p w:rsidR="00E671FF" w:rsidRDefault="00E671FF" w:rsidP="00E671FF">
      <w:r w:rsidRPr="005A2BAA">
        <w:t>Prof</w:t>
      </w:r>
      <w:r w:rsidRPr="00CA122E">
        <w:rPr>
          <w:color w:val="FF0000"/>
        </w:rPr>
        <w:t xml:space="preserve"> </w:t>
      </w:r>
      <w:r>
        <w:t>K.P. McKenna</w:t>
      </w:r>
    </w:p>
    <w:p w:rsidR="00E671FF" w:rsidRPr="0043514C" w:rsidRDefault="00E671FF" w:rsidP="00E671FF">
      <w:r w:rsidRPr="0043514C">
        <w:t>Dept of Physics, University of York, Heslington, York, YO10 5DD, UK</w:t>
      </w:r>
    </w:p>
    <w:p w:rsidR="00E671FF" w:rsidRDefault="00E671FF" w:rsidP="00E671FF"/>
    <w:p w:rsidR="00E671FF" w:rsidRDefault="00E671FF" w:rsidP="00E671FF">
      <w:r>
        <w:t>Dr. L.J. Phillips, Dr. P.J. Yates, Dr. O.S. Hutter, Prof. K. Durose, Dr J.D. Major</w:t>
      </w:r>
    </w:p>
    <w:p w:rsidR="00E671FF" w:rsidRDefault="00E671FF" w:rsidP="00E671FF">
      <w:r w:rsidRPr="0043514C">
        <w:t>Stephenson Institute for Renewable Energy, Dept of Physics, University of Liverpool, Liverpool, L69 7ZF, UK</w:t>
      </w:r>
    </w:p>
    <w:p w:rsidR="005D7338" w:rsidRDefault="005D7338" w:rsidP="00E671FF"/>
    <w:p w:rsidR="005D7338" w:rsidRDefault="005D7338" w:rsidP="00E671FF">
      <w:r>
        <w:t>Dr O.S. Hutter</w:t>
      </w:r>
    </w:p>
    <w:p w:rsidR="005D7338" w:rsidRPr="005D7338" w:rsidRDefault="005D7338" w:rsidP="00E671FF">
      <w:r w:rsidRPr="005D7338">
        <w:t>Department of Mathematics, Physics and Electrical Engineering, Northumbria University, Newcastle upon Tyne, UK.</w:t>
      </w:r>
    </w:p>
    <w:p w:rsidR="00E671FF" w:rsidRPr="00A34F32" w:rsidRDefault="00E671FF" w:rsidP="00E671FF">
      <w:pPr>
        <w:pStyle w:val="Addresses"/>
      </w:pPr>
    </w:p>
    <w:p w:rsidR="00E671FF" w:rsidRPr="00DE0423" w:rsidRDefault="00E671FF" w:rsidP="00E671FF">
      <w:pPr>
        <w:rPr>
          <w:bCs/>
          <w:lang w:val="en-US"/>
        </w:rPr>
      </w:pPr>
    </w:p>
    <w:p w:rsidR="00E671FF" w:rsidRDefault="0063521D" w:rsidP="0063521D">
      <w:pPr>
        <w:spacing w:line="480" w:lineRule="auto"/>
        <w:rPr>
          <w:b/>
          <w:lang w:val="en-US"/>
        </w:rPr>
      </w:pPr>
      <w:r w:rsidRPr="0020518B">
        <w:rPr>
          <w:b/>
          <w:lang w:val="en-US"/>
        </w:rPr>
        <w:t>Abstract</w:t>
      </w:r>
    </w:p>
    <w:p w:rsidR="0063521D" w:rsidRPr="0063521D" w:rsidRDefault="0063521D" w:rsidP="00E671FF">
      <w:pPr>
        <w:rPr>
          <w:b/>
          <w:lang w:val="en-US"/>
        </w:rPr>
      </w:pPr>
    </w:p>
    <w:p w:rsidR="00E671FF" w:rsidRDefault="00E671FF" w:rsidP="00E671FF">
      <w:pPr>
        <w:pStyle w:val="Abstract"/>
      </w:pPr>
      <w:r>
        <w:t>The crystal structure of Sb</w:t>
      </w:r>
      <w:r>
        <w:rPr>
          <w:vertAlign w:val="subscript"/>
        </w:rPr>
        <w:t>2</w:t>
      </w:r>
      <w:r>
        <w:t>Se</w:t>
      </w:r>
      <w:r>
        <w:rPr>
          <w:vertAlign w:val="subscript"/>
        </w:rPr>
        <w:t>3</w:t>
      </w:r>
      <w:r>
        <w:t xml:space="preserve"> gives rise to unique properties that cannot otherwise be achieved with conventional thin-film photovoltaic materials, such as </w:t>
      </w:r>
      <w:proofErr w:type="spellStart"/>
      <w:r>
        <w:t>CdTe</w:t>
      </w:r>
      <w:proofErr w:type="spellEnd"/>
      <w:r>
        <w:t xml:space="preserve"> or </w:t>
      </w:r>
      <w:proofErr w:type="gramStart"/>
      <w:r>
        <w:t>Cu(</w:t>
      </w:r>
      <w:proofErr w:type="spellStart"/>
      <w:proofErr w:type="gramEnd"/>
      <w:r>
        <w:t>In,Ga</w:t>
      </w:r>
      <w:proofErr w:type="spellEnd"/>
      <w:r>
        <w:t>)Se</w:t>
      </w:r>
      <w:r>
        <w:rPr>
          <w:vertAlign w:val="subscript"/>
        </w:rPr>
        <w:t>2</w:t>
      </w:r>
      <w:r>
        <w:t>. It has previously been asserted that, grain boundaries can be made benign provided only the weak van der Waals forces between the (Sb</w:t>
      </w:r>
      <w:r>
        <w:rPr>
          <w:vertAlign w:val="subscript"/>
        </w:rPr>
        <w:t>4</w:t>
      </w:r>
      <w:r>
        <w:t>Se</w:t>
      </w:r>
      <w:r>
        <w:rPr>
          <w:vertAlign w:val="subscript"/>
        </w:rPr>
        <w:t>6</w:t>
      </w:r>
      <w:proofErr w:type="gramStart"/>
      <w:r>
        <w:t>)</w:t>
      </w:r>
      <w:r w:rsidRPr="00A773D0">
        <w:rPr>
          <w:vertAlign w:val="subscript"/>
        </w:rPr>
        <w:t>n</w:t>
      </w:r>
      <w:proofErr w:type="gramEnd"/>
      <w:r>
        <w:t xml:space="preserve"> ribbons are disrupted. Here it is shown that non-radiative recombination is suppressed even for grain boundaries cutting across the (Sb</w:t>
      </w:r>
      <w:r>
        <w:rPr>
          <w:vertAlign w:val="subscript"/>
        </w:rPr>
        <w:t>4</w:t>
      </w:r>
      <w:r>
        <w:t>Se</w:t>
      </w:r>
      <w:r>
        <w:rPr>
          <w:vertAlign w:val="subscript"/>
        </w:rPr>
        <w:t>6</w:t>
      </w:r>
      <w:proofErr w:type="gramStart"/>
      <w:r>
        <w:t>)</w:t>
      </w:r>
      <w:r w:rsidRPr="00A773D0">
        <w:rPr>
          <w:vertAlign w:val="subscript"/>
        </w:rPr>
        <w:t>n</w:t>
      </w:r>
      <w:proofErr w:type="gramEnd"/>
      <w:r>
        <w:t xml:space="preserve"> ribbons. This is due to a remarkable self-healing process whereby atoms at the grain boundary can relax to remove any electronic defect states within the band gap. Grain boundaries can however impede charge transport due to the fact that carriers have a higher mobility along the (Sb</w:t>
      </w:r>
      <w:r>
        <w:rPr>
          <w:vertAlign w:val="subscript"/>
        </w:rPr>
        <w:t>4</w:t>
      </w:r>
      <w:r>
        <w:t>Se</w:t>
      </w:r>
      <w:r>
        <w:rPr>
          <w:vertAlign w:val="subscript"/>
        </w:rPr>
        <w:t>6</w:t>
      </w:r>
      <w:proofErr w:type="gramStart"/>
      <w:r>
        <w:t>)</w:t>
      </w:r>
      <w:r w:rsidRPr="00A773D0">
        <w:rPr>
          <w:vertAlign w:val="subscript"/>
        </w:rPr>
        <w:t>n</w:t>
      </w:r>
      <w:proofErr w:type="gramEnd"/>
      <w:r>
        <w:t xml:space="preserve"> ribbons. Because of the ribbon </w:t>
      </w:r>
      <w:proofErr w:type="spellStart"/>
      <w:r>
        <w:t>misorientation</w:t>
      </w:r>
      <w:proofErr w:type="spellEnd"/>
      <w:r>
        <w:t xml:space="preserve"> certain grain boundaries can effectively block charge collection. Furthermore, it is shown that </w:t>
      </w:r>
      <w:proofErr w:type="spellStart"/>
      <w:r>
        <w:t>CdS</w:t>
      </w:r>
      <w:proofErr w:type="spellEnd"/>
      <w:r>
        <w:t xml:space="preserve"> is not a suitable emitter to partner Sb</w:t>
      </w:r>
      <w:r>
        <w:rPr>
          <w:vertAlign w:val="subscript"/>
        </w:rPr>
        <w:t>2</w:t>
      </w:r>
      <w:r>
        <w:t>Se</w:t>
      </w:r>
      <w:r>
        <w:rPr>
          <w:vertAlign w:val="subscript"/>
        </w:rPr>
        <w:t>3</w:t>
      </w:r>
      <w:r>
        <w:t xml:space="preserve"> due to Sb and Se inter-diffusion. As a result a highly </w:t>
      </w:r>
      <w:r>
        <w:lastRenderedPageBreak/>
        <w:t>defective Sb</w:t>
      </w:r>
      <w:r>
        <w:rPr>
          <w:vertAlign w:val="subscript"/>
        </w:rPr>
        <w:t>2</w:t>
      </w:r>
      <w:r>
        <w:t>Se</w:t>
      </w:r>
      <w:r>
        <w:rPr>
          <w:vertAlign w:val="subscript"/>
        </w:rPr>
        <w:t xml:space="preserve">3 </w:t>
      </w:r>
      <w:r>
        <w:t xml:space="preserve">interfacial layer is formed that potentially reduces device efficiency through interface recombination. </w:t>
      </w:r>
    </w:p>
    <w:p w:rsidR="0063521D" w:rsidRDefault="0063521D" w:rsidP="00E671FF">
      <w:pPr>
        <w:pStyle w:val="Abstract"/>
      </w:pPr>
    </w:p>
    <w:p w:rsidR="0063521D" w:rsidRDefault="0063521D" w:rsidP="0063521D">
      <w:pPr>
        <w:rPr>
          <w:bCs/>
          <w:lang w:val="en-US"/>
        </w:rPr>
      </w:pPr>
      <w:r w:rsidRPr="00BF2C9C">
        <w:rPr>
          <w:b/>
          <w:bCs/>
          <w:lang w:val="en-US"/>
        </w:rPr>
        <w:t>Keywords</w:t>
      </w:r>
      <w:r w:rsidRPr="00BF2C9C">
        <w:rPr>
          <w:bCs/>
          <w:lang w:val="en-US"/>
        </w:rPr>
        <w:t>:</w:t>
      </w:r>
      <w:r w:rsidRPr="00B24F38">
        <w:rPr>
          <w:bCs/>
          <w:lang w:val="en-US"/>
        </w:rPr>
        <w:t xml:space="preserve"> </w:t>
      </w:r>
      <w:r>
        <w:rPr>
          <w:bCs/>
          <w:lang w:val="en-US"/>
        </w:rPr>
        <w:t>Sb</w:t>
      </w:r>
      <w:r>
        <w:rPr>
          <w:bCs/>
          <w:vertAlign w:val="subscript"/>
          <w:lang w:val="en-US"/>
        </w:rPr>
        <w:t>2</w:t>
      </w:r>
      <w:r>
        <w:rPr>
          <w:bCs/>
          <w:lang w:val="en-US"/>
        </w:rPr>
        <w:t>Se</w:t>
      </w:r>
      <w:r>
        <w:rPr>
          <w:bCs/>
          <w:vertAlign w:val="subscript"/>
          <w:lang w:val="en-US"/>
        </w:rPr>
        <w:t>3</w:t>
      </w:r>
      <w:r>
        <w:rPr>
          <w:bCs/>
          <w:lang w:val="en-US"/>
        </w:rPr>
        <w:t xml:space="preserve"> photovoltaics, grain texture, </w:t>
      </w:r>
      <w:proofErr w:type="spellStart"/>
      <w:r>
        <w:rPr>
          <w:bCs/>
          <w:lang w:val="en-US"/>
        </w:rPr>
        <w:t>Kirkendall</w:t>
      </w:r>
      <w:proofErr w:type="spellEnd"/>
      <w:r>
        <w:rPr>
          <w:bCs/>
          <w:lang w:val="en-US"/>
        </w:rPr>
        <w:t xml:space="preserve"> voids, grain boundary relaxation, Sb</w:t>
      </w:r>
      <w:r>
        <w:rPr>
          <w:bCs/>
          <w:vertAlign w:val="subscript"/>
          <w:lang w:val="en-US"/>
        </w:rPr>
        <w:t>2</w:t>
      </w:r>
      <w:r>
        <w:rPr>
          <w:bCs/>
          <w:lang w:val="en-US"/>
        </w:rPr>
        <w:t>Se</w:t>
      </w:r>
      <w:r>
        <w:rPr>
          <w:bCs/>
          <w:vertAlign w:val="subscript"/>
          <w:lang w:val="en-US"/>
        </w:rPr>
        <w:t>3</w:t>
      </w:r>
      <w:r>
        <w:rPr>
          <w:bCs/>
          <w:lang w:val="en-US"/>
        </w:rPr>
        <w:t>-CdS interface.</w:t>
      </w:r>
    </w:p>
    <w:p w:rsidR="00E671FF" w:rsidRDefault="00E671FF" w:rsidP="0063521D">
      <w:pPr>
        <w:spacing w:line="480" w:lineRule="auto"/>
        <w:rPr>
          <w:color w:val="FF0000"/>
          <w:lang w:val="en-US"/>
        </w:rPr>
      </w:pPr>
    </w:p>
    <w:p w:rsidR="0063521D" w:rsidRPr="00662DCE" w:rsidRDefault="0063521D" w:rsidP="00E671FF">
      <w:pPr>
        <w:rPr>
          <w:color w:val="FF0000"/>
          <w:lang w:val="en-US"/>
        </w:rPr>
      </w:pPr>
    </w:p>
    <w:p w:rsidR="00E671FF" w:rsidRDefault="00E671FF" w:rsidP="00E671FF">
      <w:pPr>
        <w:pStyle w:val="Head1"/>
      </w:pPr>
      <w:r w:rsidRPr="007B249B">
        <w:t>1. Introduction</w:t>
      </w:r>
    </w:p>
    <w:p w:rsidR="00266E3E" w:rsidRDefault="00266E3E" w:rsidP="00E671FF">
      <w:pPr>
        <w:pStyle w:val="Head1"/>
      </w:pPr>
    </w:p>
    <w:p w:rsidR="00E671FF" w:rsidRDefault="00E671FF" w:rsidP="00234C2C">
      <w:pPr>
        <w:pStyle w:val="Head1"/>
        <w:spacing w:line="480" w:lineRule="auto"/>
        <w:rPr>
          <w:b w:val="0"/>
        </w:rPr>
      </w:pPr>
      <w:r>
        <w:rPr>
          <w:b w:val="0"/>
        </w:rPr>
        <w:t xml:space="preserve">Traditional thin-film photovoltaics, such as </w:t>
      </w:r>
      <w:proofErr w:type="spellStart"/>
      <w:r>
        <w:rPr>
          <w:b w:val="0"/>
        </w:rPr>
        <w:t>CdTe</w:t>
      </w:r>
      <w:proofErr w:type="spellEnd"/>
      <w:r>
        <w:rPr>
          <w:b w:val="0"/>
        </w:rPr>
        <w:t xml:space="preserve"> and </w:t>
      </w:r>
      <w:proofErr w:type="gramStart"/>
      <w:r>
        <w:rPr>
          <w:b w:val="0"/>
        </w:rPr>
        <w:t>Cu(</w:t>
      </w:r>
      <w:proofErr w:type="spellStart"/>
      <w:proofErr w:type="gramEnd"/>
      <w:r>
        <w:rPr>
          <w:b w:val="0"/>
        </w:rPr>
        <w:t>In,Ga</w:t>
      </w:r>
      <w:proofErr w:type="spellEnd"/>
      <w:r>
        <w:rPr>
          <w:b w:val="0"/>
        </w:rPr>
        <w:t>)Se</w:t>
      </w:r>
      <w:r>
        <w:rPr>
          <w:b w:val="0"/>
          <w:vertAlign w:val="subscript"/>
        </w:rPr>
        <w:t>2</w:t>
      </w:r>
      <w:r>
        <w:rPr>
          <w:b w:val="0"/>
        </w:rPr>
        <w:t xml:space="preserve"> (CIGS), are limited by grain boundaries that act as non-radiative recombination sites </w:t>
      </w:r>
      <w:r w:rsidR="00BF2C9C">
        <w:rPr>
          <w:b w:val="0"/>
          <w:vertAlign w:val="superscript"/>
        </w:rPr>
        <w:t>(1-4)</w:t>
      </w:r>
      <w:r>
        <w:rPr>
          <w:b w:val="0"/>
        </w:rPr>
        <w:t xml:space="preserve">. This can be linked to the crystal structure of these adamantine-based compounds, where termination of the periodic, 3D atomic bonding at the grain boundary plane gives rise to deep band gap states associated with dangling bonds. To circumvent this problem Tang and co-workers </w:t>
      </w:r>
      <w:r w:rsidR="00BF2C9C">
        <w:rPr>
          <w:b w:val="0"/>
          <w:vertAlign w:val="superscript"/>
        </w:rPr>
        <w:t>(</w:t>
      </w:r>
      <w:r>
        <w:rPr>
          <w:b w:val="0"/>
          <w:vertAlign w:val="superscript"/>
        </w:rPr>
        <w:t>5</w:t>
      </w:r>
      <w:r w:rsidR="00BF2C9C">
        <w:rPr>
          <w:b w:val="0"/>
          <w:vertAlign w:val="superscript"/>
        </w:rPr>
        <w:t>)</w:t>
      </w:r>
      <w:r>
        <w:rPr>
          <w:b w:val="0"/>
        </w:rPr>
        <w:t xml:space="preserve"> proposed the use of absorber materials consisting of covalently bonded ‘structural units’ in the form of ribbons or layers that are held together by van der Waals forces. Provided the structural units lie parallel to the grain boundary plane only the weak van der Waals forces are disrupted; since there are no dangling bonds the grain boundary is assumed to be electrically passive. There are many semiconductor compounds that satisfy the dual requirements of ideal optical properties (i.e. Shockley-</w:t>
      </w:r>
      <w:proofErr w:type="spellStart"/>
      <w:r>
        <w:rPr>
          <w:b w:val="0"/>
        </w:rPr>
        <w:t>Queisser</w:t>
      </w:r>
      <w:proofErr w:type="spellEnd"/>
      <w:r>
        <w:rPr>
          <w:b w:val="0"/>
        </w:rPr>
        <w:t xml:space="preserve"> band gap and high absorption coefficient) and mixed covalent-van der Waals crystal structure that are potential new absorber materials for thin-film photovoltaics. For example, devices based on </w:t>
      </w:r>
      <w:proofErr w:type="spellStart"/>
      <w:proofErr w:type="gramStart"/>
      <w:r>
        <w:rPr>
          <w:b w:val="0"/>
        </w:rPr>
        <w:t>SnS</w:t>
      </w:r>
      <w:proofErr w:type="spellEnd"/>
      <w:r w:rsidR="00BF2C9C">
        <w:rPr>
          <w:b w:val="0"/>
          <w:vertAlign w:val="superscript"/>
        </w:rPr>
        <w:t>(</w:t>
      </w:r>
      <w:proofErr w:type="gramEnd"/>
      <w:r>
        <w:rPr>
          <w:b w:val="0"/>
          <w:vertAlign w:val="superscript"/>
        </w:rPr>
        <w:t>6</w:t>
      </w:r>
      <w:r w:rsidR="00BF2C9C">
        <w:rPr>
          <w:b w:val="0"/>
          <w:vertAlign w:val="superscript"/>
        </w:rPr>
        <w:t>)</w:t>
      </w:r>
      <w:r>
        <w:rPr>
          <w:b w:val="0"/>
        </w:rPr>
        <w:t xml:space="preserve">, </w:t>
      </w:r>
      <w:proofErr w:type="spellStart"/>
      <w:r>
        <w:rPr>
          <w:b w:val="0"/>
        </w:rPr>
        <w:t>BiSI</w:t>
      </w:r>
      <w:proofErr w:type="spellEnd"/>
      <w:r w:rsidR="00BF2C9C">
        <w:rPr>
          <w:b w:val="0"/>
          <w:vertAlign w:val="superscript"/>
        </w:rPr>
        <w:t>(7)</w:t>
      </w:r>
      <w:r>
        <w:rPr>
          <w:b w:val="0"/>
          <w:vertAlign w:val="superscript"/>
        </w:rPr>
        <w:t xml:space="preserve"> </w:t>
      </w:r>
      <w:r>
        <w:rPr>
          <w:b w:val="0"/>
        </w:rPr>
        <w:t>and Sb</w:t>
      </w:r>
      <w:r>
        <w:rPr>
          <w:b w:val="0"/>
          <w:vertAlign w:val="subscript"/>
        </w:rPr>
        <w:t>2</w:t>
      </w:r>
      <w:r>
        <w:rPr>
          <w:b w:val="0"/>
        </w:rPr>
        <w:t>Se</w:t>
      </w:r>
      <w:r>
        <w:rPr>
          <w:b w:val="0"/>
          <w:vertAlign w:val="subscript"/>
        </w:rPr>
        <w:t>3</w:t>
      </w:r>
      <w:r w:rsidR="00BF2C9C">
        <w:rPr>
          <w:b w:val="0"/>
          <w:vertAlign w:val="superscript"/>
        </w:rPr>
        <w:t>(5, 8-13)</w:t>
      </w:r>
      <w:r>
        <w:rPr>
          <w:b w:val="0"/>
        </w:rPr>
        <w:t xml:space="preserve"> have been reported in the literature. Of these Sb</w:t>
      </w:r>
      <w:r>
        <w:rPr>
          <w:b w:val="0"/>
          <w:vertAlign w:val="subscript"/>
        </w:rPr>
        <w:t>2</w:t>
      </w:r>
      <w:r>
        <w:rPr>
          <w:b w:val="0"/>
        </w:rPr>
        <w:t>Se</w:t>
      </w:r>
      <w:r>
        <w:rPr>
          <w:b w:val="0"/>
          <w:vertAlign w:val="subscript"/>
        </w:rPr>
        <w:t>3</w:t>
      </w:r>
      <w:r>
        <w:rPr>
          <w:b w:val="0"/>
        </w:rPr>
        <w:t xml:space="preserve">, with ribbon-shaped structural units, has shown much promise by achieving record cell efficiencies of 7.6% for planar </w:t>
      </w:r>
      <w:proofErr w:type="gramStart"/>
      <w:r>
        <w:rPr>
          <w:b w:val="0"/>
        </w:rPr>
        <w:t>configurations</w:t>
      </w:r>
      <w:r w:rsidR="00BF2C9C">
        <w:rPr>
          <w:b w:val="0"/>
          <w:vertAlign w:val="superscript"/>
        </w:rPr>
        <w:t>(</w:t>
      </w:r>
      <w:proofErr w:type="gramEnd"/>
      <w:r w:rsidR="00BF2C9C">
        <w:rPr>
          <w:b w:val="0"/>
          <w:vertAlign w:val="superscript"/>
        </w:rPr>
        <w:t>11)</w:t>
      </w:r>
      <w:r>
        <w:rPr>
          <w:b w:val="0"/>
        </w:rPr>
        <w:t xml:space="preserve"> and 9.2% for core-shell </w:t>
      </w:r>
      <w:proofErr w:type="spellStart"/>
      <w:r>
        <w:rPr>
          <w:b w:val="0"/>
        </w:rPr>
        <w:t>nanorod</w:t>
      </w:r>
      <w:proofErr w:type="spellEnd"/>
      <w:r>
        <w:rPr>
          <w:b w:val="0"/>
        </w:rPr>
        <w:t xml:space="preserve"> assemblies</w:t>
      </w:r>
      <w:r w:rsidR="00BF2C9C">
        <w:rPr>
          <w:b w:val="0"/>
          <w:vertAlign w:val="superscript"/>
        </w:rPr>
        <w:t>(13)</w:t>
      </w:r>
      <w:r>
        <w:rPr>
          <w:b w:val="0"/>
        </w:rPr>
        <w:t xml:space="preserve"> in only a few years.</w:t>
      </w:r>
    </w:p>
    <w:p w:rsidR="00E671FF" w:rsidRDefault="00E671FF" w:rsidP="00234C2C">
      <w:pPr>
        <w:pStyle w:val="Head1"/>
        <w:spacing w:line="480" w:lineRule="auto"/>
        <w:rPr>
          <w:b w:val="0"/>
        </w:rPr>
      </w:pPr>
    </w:p>
    <w:p w:rsidR="00E671FF" w:rsidRDefault="00E671FF" w:rsidP="00234C2C">
      <w:pPr>
        <w:pStyle w:val="Head1"/>
        <w:spacing w:line="480" w:lineRule="auto"/>
        <w:rPr>
          <w:b w:val="0"/>
        </w:rPr>
      </w:pPr>
      <w:r>
        <w:rPr>
          <w:b w:val="0"/>
        </w:rPr>
        <w:lastRenderedPageBreak/>
        <w:t>Despite the rapid increase in efficiency there is still no clear evidence to support the claim that Sb</w:t>
      </w:r>
      <w:r>
        <w:rPr>
          <w:b w:val="0"/>
          <w:vertAlign w:val="subscript"/>
        </w:rPr>
        <w:t>2</w:t>
      </w:r>
      <w:r>
        <w:rPr>
          <w:b w:val="0"/>
        </w:rPr>
        <w:t>Se</w:t>
      </w:r>
      <w:r>
        <w:rPr>
          <w:b w:val="0"/>
          <w:vertAlign w:val="subscript"/>
        </w:rPr>
        <w:t>3</w:t>
      </w:r>
      <w:r>
        <w:rPr>
          <w:b w:val="0"/>
        </w:rPr>
        <w:t xml:space="preserve"> grain boundaries in real thin-film devices are in fact benign. High performance Sb</w:t>
      </w:r>
      <w:r>
        <w:rPr>
          <w:b w:val="0"/>
          <w:vertAlign w:val="subscript"/>
        </w:rPr>
        <w:t>2</w:t>
      </w:r>
      <w:r>
        <w:rPr>
          <w:b w:val="0"/>
        </w:rPr>
        <w:t>Se</w:t>
      </w:r>
      <w:r>
        <w:rPr>
          <w:b w:val="0"/>
          <w:vertAlign w:val="subscript"/>
        </w:rPr>
        <w:t>3</w:t>
      </w:r>
      <w:r>
        <w:rPr>
          <w:b w:val="0"/>
        </w:rPr>
        <w:t xml:space="preserve"> devices consist of (211) and/or (221) oriented columnar </w:t>
      </w:r>
      <w:proofErr w:type="gramStart"/>
      <w:r>
        <w:rPr>
          <w:b w:val="0"/>
        </w:rPr>
        <w:t>grains</w:t>
      </w:r>
      <w:r w:rsidR="00BF2C9C">
        <w:rPr>
          <w:b w:val="0"/>
          <w:vertAlign w:val="superscript"/>
        </w:rPr>
        <w:t>(</w:t>
      </w:r>
      <w:proofErr w:type="gramEnd"/>
      <w:r w:rsidR="00BF2C9C">
        <w:rPr>
          <w:b w:val="0"/>
          <w:vertAlign w:val="superscript"/>
        </w:rPr>
        <w:t>5,8-12)</w:t>
      </w:r>
      <w:r>
        <w:rPr>
          <w:b w:val="0"/>
        </w:rPr>
        <w:t xml:space="preserve"> (here the </w:t>
      </w:r>
      <w:proofErr w:type="spellStart"/>
      <w:r>
        <w:rPr>
          <w:b w:val="0"/>
          <w:i/>
        </w:rPr>
        <w:t>Pbnm</w:t>
      </w:r>
      <w:proofErr w:type="spellEnd"/>
      <w:r>
        <w:rPr>
          <w:b w:val="0"/>
        </w:rPr>
        <w:t xml:space="preserve"> space group classification is adopted</w:t>
      </w:r>
      <w:r w:rsidR="00BF2C9C">
        <w:rPr>
          <w:b w:val="0"/>
          <w:vertAlign w:val="superscript"/>
        </w:rPr>
        <w:t>(</w:t>
      </w:r>
      <w:r>
        <w:rPr>
          <w:b w:val="0"/>
          <w:vertAlign w:val="superscript"/>
        </w:rPr>
        <w:t>14</w:t>
      </w:r>
      <w:r w:rsidR="00BF2C9C">
        <w:rPr>
          <w:b w:val="0"/>
          <w:vertAlign w:val="superscript"/>
        </w:rPr>
        <w:t>)</w:t>
      </w:r>
      <w:r>
        <w:rPr>
          <w:b w:val="0"/>
        </w:rPr>
        <w:t>, where the (Sb</w:t>
      </w:r>
      <w:r>
        <w:rPr>
          <w:b w:val="0"/>
          <w:vertAlign w:val="subscript"/>
        </w:rPr>
        <w:t>4</w:t>
      </w:r>
      <w:r>
        <w:rPr>
          <w:b w:val="0"/>
        </w:rPr>
        <w:t>Se</w:t>
      </w:r>
      <w:r>
        <w:rPr>
          <w:b w:val="0"/>
          <w:vertAlign w:val="subscript"/>
        </w:rPr>
        <w:t>6</w:t>
      </w:r>
      <w:r>
        <w:rPr>
          <w:b w:val="0"/>
        </w:rPr>
        <w:t>)</w:t>
      </w:r>
      <w:r w:rsidRPr="00A773D0">
        <w:rPr>
          <w:b w:val="0"/>
          <w:vertAlign w:val="subscript"/>
        </w:rPr>
        <w:t>n</w:t>
      </w:r>
      <w:r>
        <w:rPr>
          <w:b w:val="0"/>
        </w:rPr>
        <w:t xml:space="preserve"> ribbons are parallel to the crystal </w:t>
      </w:r>
      <w:r>
        <w:rPr>
          <w:b w:val="0"/>
          <w:i/>
        </w:rPr>
        <w:t>c</w:t>
      </w:r>
      <w:r>
        <w:rPr>
          <w:b w:val="0"/>
        </w:rPr>
        <w:t>-axis). For this grain texture the (Sb</w:t>
      </w:r>
      <w:r>
        <w:rPr>
          <w:b w:val="0"/>
          <w:vertAlign w:val="subscript"/>
        </w:rPr>
        <w:t>4</w:t>
      </w:r>
      <w:r>
        <w:rPr>
          <w:b w:val="0"/>
        </w:rPr>
        <w:t>Se</w:t>
      </w:r>
      <w:r>
        <w:rPr>
          <w:b w:val="0"/>
          <w:vertAlign w:val="subscript"/>
        </w:rPr>
        <w:t>6</w:t>
      </w:r>
      <w:proofErr w:type="gramStart"/>
      <w:r>
        <w:rPr>
          <w:b w:val="0"/>
        </w:rPr>
        <w:t>)</w:t>
      </w:r>
      <w:r w:rsidRPr="00A773D0">
        <w:rPr>
          <w:b w:val="0"/>
          <w:vertAlign w:val="subscript"/>
        </w:rPr>
        <w:t>n</w:t>
      </w:r>
      <w:proofErr w:type="gramEnd"/>
      <w:r>
        <w:rPr>
          <w:b w:val="0"/>
        </w:rPr>
        <w:t xml:space="preserve"> ribbons are at an angle of 37</w:t>
      </w:r>
      <w:r>
        <w:rPr>
          <w:b w:val="0"/>
          <w:vertAlign w:val="superscript"/>
        </w:rPr>
        <w:t>o</w:t>
      </w:r>
      <w:r>
        <w:rPr>
          <w:b w:val="0"/>
        </w:rPr>
        <w:t xml:space="preserve"> (211) and 44</w:t>
      </w:r>
      <w:r>
        <w:rPr>
          <w:b w:val="0"/>
          <w:vertAlign w:val="superscript"/>
        </w:rPr>
        <w:t>o</w:t>
      </w:r>
      <w:r>
        <w:rPr>
          <w:b w:val="0"/>
        </w:rPr>
        <w:t xml:space="preserve"> (221) from the film thickness direction, so that a high density of dangling bonds are expected at the grain boundaries. Furthermore, the carrier mobility in Sb</w:t>
      </w:r>
      <w:r>
        <w:rPr>
          <w:b w:val="0"/>
          <w:vertAlign w:val="subscript"/>
        </w:rPr>
        <w:t>2</w:t>
      </w:r>
      <w:r>
        <w:rPr>
          <w:b w:val="0"/>
        </w:rPr>
        <w:t>Se</w:t>
      </w:r>
      <w:r>
        <w:rPr>
          <w:b w:val="0"/>
          <w:vertAlign w:val="subscript"/>
        </w:rPr>
        <w:t xml:space="preserve">3 </w:t>
      </w:r>
      <w:r>
        <w:rPr>
          <w:b w:val="0"/>
        </w:rPr>
        <w:t xml:space="preserve">is highly anisotropic, with the [001] ribbon axis being the preferred direction for charge transport </w:t>
      </w:r>
      <w:r w:rsidR="00BF2C9C">
        <w:rPr>
          <w:b w:val="0"/>
          <w:vertAlign w:val="superscript"/>
        </w:rPr>
        <w:t>(15)</w:t>
      </w:r>
      <w:r>
        <w:rPr>
          <w:b w:val="0"/>
        </w:rPr>
        <w:t xml:space="preserve">. The crystallographic </w:t>
      </w:r>
      <w:proofErr w:type="spellStart"/>
      <w:r>
        <w:rPr>
          <w:b w:val="0"/>
        </w:rPr>
        <w:t>misorientation</w:t>
      </w:r>
      <w:proofErr w:type="spellEnd"/>
      <w:r>
        <w:rPr>
          <w:b w:val="0"/>
        </w:rPr>
        <w:t xml:space="preserve"> between two grains means that grain boundaries can be barriers to photocurrent extraction. Understanding the precise nature of the inter-granular charge transport and recombination requires uncovering the atomic scale structure of grain boundaries in Sb</w:t>
      </w:r>
      <w:r>
        <w:rPr>
          <w:b w:val="0"/>
          <w:vertAlign w:val="subscript"/>
        </w:rPr>
        <w:t>2</w:t>
      </w:r>
      <w:r>
        <w:rPr>
          <w:b w:val="0"/>
        </w:rPr>
        <w:t>Se</w:t>
      </w:r>
      <w:r>
        <w:rPr>
          <w:b w:val="0"/>
          <w:vertAlign w:val="subscript"/>
        </w:rPr>
        <w:t>3</w:t>
      </w:r>
      <w:r>
        <w:rPr>
          <w:b w:val="0"/>
        </w:rPr>
        <w:t xml:space="preserve"> thin-film devices. </w:t>
      </w:r>
    </w:p>
    <w:p w:rsidR="00E671FF" w:rsidRDefault="00E671FF" w:rsidP="00234C2C">
      <w:pPr>
        <w:pStyle w:val="Head1"/>
        <w:spacing w:line="480" w:lineRule="auto"/>
        <w:rPr>
          <w:b w:val="0"/>
        </w:rPr>
      </w:pPr>
    </w:p>
    <w:p w:rsidR="00E671FF" w:rsidRDefault="00E671FF" w:rsidP="00234C2C">
      <w:pPr>
        <w:pStyle w:val="Head1"/>
        <w:spacing w:line="480" w:lineRule="auto"/>
        <w:rPr>
          <w:b w:val="0"/>
        </w:rPr>
      </w:pPr>
      <w:r>
        <w:rPr>
          <w:b w:val="0"/>
        </w:rPr>
        <w:t>Another interesting feature is the high defect density at the interface between Sb</w:t>
      </w:r>
      <w:r>
        <w:rPr>
          <w:b w:val="0"/>
          <w:vertAlign w:val="subscript"/>
        </w:rPr>
        <w:t>2</w:t>
      </w:r>
      <w:r>
        <w:rPr>
          <w:b w:val="0"/>
        </w:rPr>
        <w:t>Se</w:t>
      </w:r>
      <w:r>
        <w:rPr>
          <w:b w:val="0"/>
          <w:vertAlign w:val="subscript"/>
        </w:rPr>
        <w:t>3</w:t>
      </w:r>
      <w:r>
        <w:rPr>
          <w:b w:val="0"/>
        </w:rPr>
        <w:t xml:space="preserve"> absorber and </w:t>
      </w:r>
      <w:proofErr w:type="spellStart"/>
      <w:r>
        <w:rPr>
          <w:b w:val="0"/>
        </w:rPr>
        <w:t>CdS</w:t>
      </w:r>
      <w:proofErr w:type="spellEnd"/>
      <w:r>
        <w:rPr>
          <w:b w:val="0"/>
        </w:rPr>
        <w:t xml:space="preserve"> emitter layer. The interfacial defect density, measured using capacitance techniques, is in the range 10</w:t>
      </w:r>
      <w:r>
        <w:rPr>
          <w:b w:val="0"/>
          <w:vertAlign w:val="superscript"/>
        </w:rPr>
        <w:t>10</w:t>
      </w:r>
      <w:r>
        <w:rPr>
          <w:b w:val="0"/>
        </w:rPr>
        <w:t>-10</w:t>
      </w:r>
      <w:r>
        <w:rPr>
          <w:b w:val="0"/>
          <w:vertAlign w:val="superscript"/>
        </w:rPr>
        <w:t>12</w:t>
      </w:r>
      <w:r>
        <w:rPr>
          <w:b w:val="0"/>
        </w:rPr>
        <w:t xml:space="preserve"> cm</w:t>
      </w:r>
      <w:r>
        <w:rPr>
          <w:b w:val="0"/>
          <w:vertAlign w:val="superscript"/>
        </w:rPr>
        <w:t>-2</w:t>
      </w:r>
      <w:r>
        <w:rPr>
          <w:b w:val="0"/>
        </w:rPr>
        <w:t xml:space="preserve"> </w:t>
      </w:r>
      <w:r w:rsidR="00BF2C9C">
        <w:rPr>
          <w:b w:val="0"/>
          <w:vertAlign w:val="superscript"/>
        </w:rPr>
        <w:t>(11</w:t>
      </w:r>
      <w:proofErr w:type="gramStart"/>
      <w:r w:rsidR="00BF2C9C">
        <w:rPr>
          <w:b w:val="0"/>
          <w:vertAlign w:val="superscript"/>
        </w:rPr>
        <w:t>,13</w:t>
      </w:r>
      <w:proofErr w:type="gramEnd"/>
      <w:r w:rsidR="00BF2C9C">
        <w:rPr>
          <w:b w:val="0"/>
          <w:vertAlign w:val="superscript"/>
        </w:rPr>
        <w:t>)</w:t>
      </w:r>
      <w:r>
        <w:rPr>
          <w:b w:val="0"/>
        </w:rPr>
        <w:t xml:space="preserve">. Such a large interfacial defect density could be due to lattice mismatch and/or chemical inter-diffusion. The difference in crystal structures for </w:t>
      </w:r>
      <w:proofErr w:type="spellStart"/>
      <w:r>
        <w:rPr>
          <w:b w:val="0"/>
        </w:rPr>
        <w:t>CdS</w:t>
      </w:r>
      <w:proofErr w:type="spellEnd"/>
      <w:r>
        <w:rPr>
          <w:b w:val="0"/>
        </w:rPr>
        <w:t xml:space="preserve"> (hexagonal) and Sb</w:t>
      </w:r>
      <w:r>
        <w:rPr>
          <w:b w:val="0"/>
          <w:vertAlign w:val="subscript"/>
        </w:rPr>
        <w:t>2</w:t>
      </w:r>
      <w:r>
        <w:rPr>
          <w:b w:val="0"/>
        </w:rPr>
        <w:t>Se</w:t>
      </w:r>
      <w:r>
        <w:rPr>
          <w:b w:val="0"/>
          <w:vertAlign w:val="subscript"/>
        </w:rPr>
        <w:t>3</w:t>
      </w:r>
      <w:r>
        <w:rPr>
          <w:b w:val="0"/>
        </w:rPr>
        <w:t xml:space="preserve"> (orthorhombic) suggests that significant lattice mismatch must be present at the Sb</w:t>
      </w:r>
      <w:r>
        <w:rPr>
          <w:b w:val="0"/>
          <w:vertAlign w:val="subscript"/>
        </w:rPr>
        <w:t>2</w:t>
      </w:r>
      <w:r>
        <w:rPr>
          <w:b w:val="0"/>
        </w:rPr>
        <w:t>Se</w:t>
      </w:r>
      <w:r>
        <w:rPr>
          <w:b w:val="0"/>
          <w:vertAlign w:val="subscript"/>
        </w:rPr>
        <w:t>3</w:t>
      </w:r>
      <w:r>
        <w:rPr>
          <w:b w:val="0"/>
        </w:rPr>
        <w:t xml:space="preserve">-CdS interface. In certain cases, most notably </w:t>
      </w:r>
      <w:proofErr w:type="spellStart"/>
      <w:r>
        <w:rPr>
          <w:b w:val="0"/>
        </w:rPr>
        <w:t>CdTe</w:t>
      </w:r>
      <w:proofErr w:type="spellEnd"/>
      <w:r>
        <w:rPr>
          <w:b w:val="0"/>
        </w:rPr>
        <w:t xml:space="preserve"> thin-film photovoltaics </w:t>
      </w:r>
      <w:r w:rsidR="00BF2C9C">
        <w:rPr>
          <w:b w:val="0"/>
          <w:vertAlign w:val="superscript"/>
        </w:rPr>
        <w:t>(16)</w:t>
      </w:r>
      <w:r>
        <w:rPr>
          <w:b w:val="0"/>
        </w:rPr>
        <w:t>, chemical inter-diffusion can lower the local lattice mismatch and thus the interfacial defect density as well.</w:t>
      </w:r>
      <w:r w:rsidRPr="00EE7CE6">
        <w:rPr>
          <w:b w:val="0"/>
        </w:rPr>
        <w:t xml:space="preserve"> </w:t>
      </w:r>
      <w:r>
        <w:rPr>
          <w:b w:val="0"/>
        </w:rPr>
        <w:t>Several different diffusion mechanisms have been reported in the literature for Sb</w:t>
      </w:r>
      <w:r>
        <w:rPr>
          <w:b w:val="0"/>
          <w:vertAlign w:val="subscript"/>
        </w:rPr>
        <w:t>2</w:t>
      </w:r>
      <w:r>
        <w:rPr>
          <w:b w:val="0"/>
        </w:rPr>
        <w:t>Se</w:t>
      </w:r>
      <w:r>
        <w:rPr>
          <w:b w:val="0"/>
          <w:vertAlign w:val="subscript"/>
        </w:rPr>
        <w:t>3</w:t>
      </w:r>
      <w:r>
        <w:rPr>
          <w:b w:val="0"/>
        </w:rPr>
        <w:t xml:space="preserve">-CdS devices, such as Cd </w:t>
      </w:r>
      <w:r w:rsidR="00BF2C9C">
        <w:rPr>
          <w:b w:val="0"/>
          <w:vertAlign w:val="superscript"/>
        </w:rPr>
        <w:t>(</w:t>
      </w:r>
      <w:r>
        <w:rPr>
          <w:b w:val="0"/>
          <w:vertAlign w:val="superscript"/>
        </w:rPr>
        <w:t>11</w:t>
      </w:r>
      <w:proofErr w:type="gramStart"/>
      <w:r>
        <w:rPr>
          <w:b w:val="0"/>
          <w:vertAlign w:val="superscript"/>
        </w:rPr>
        <w:t>,17</w:t>
      </w:r>
      <w:proofErr w:type="gramEnd"/>
      <w:r w:rsidR="00BF2C9C">
        <w:rPr>
          <w:b w:val="0"/>
          <w:vertAlign w:val="superscript"/>
        </w:rPr>
        <w:t>)</w:t>
      </w:r>
      <w:r>
        <w:rPr>
          <w:b w:val="0"/>
        </w:rPr>
        <w:t xml:space="preserve">, Sb </w:t>
      </w:r>
      <w:r w:rsidR="00BF2C9C">
        <w:rPr>
          <w:b w:val="0"/>
          <w:vertAlign w:val="superscript"/>
        </w:rPr>
        <w:t>(</w:t>
      </w:r>
      <w:r>
        <w:rPr>
          <w:b w:val="0"/>
          <w:vertAlign w:val="superscript"/>
        </w:rPr>
        <w:t>13</w:t>
      </w:r>
      <w:r w:rsidR="00BF2C9C">
        <w:rPr>
          <w:b w:val="0"/>
          <w:vertAlign w:val="superscript"/>
        </w:rPr>
        <w:t>)</w:t>
      </w:r>
      <w:r>
        <w:rPr>
          <w:b w:val="0"/>
        </w:rPr>
        <w:t xml:space="preserve"> and Se </w:t>
      </w:r>
      <w:r w:rsidR="00BF2C9C">
        <w:rPr>
          <w:b w:val="0"/>
          <w:vertAlign w:val="superscript"/>
        </w:rPr>
        <w:t>(12)</w:t>
      </w:r>
      <w:r>
        <w:rPr>
          <w:b w:val="0"/>
        </w:rPr>
        <w:t xml:space="preserve"> inter-diffusion. It is important to understand the precise role of inter-diffusion on lattice mismatch and therefore the interfacial defect density, so that strategies to further improve Sb</w:t>
      </w:r>
      <w:r>
        <w:rPr>
          <w:b w:val="0"/>
          <w:vertAlign w:val="subscript"/>
        </w:rPr>
        <w:t>2</w:t>
      </w:r>
      <w:r>
        <w:rPr>
          <w:b w:val="0"/>
        </w:rPr>
        <w:t>Se</w:t>
      </w:r>
      <w:r>
        <w:rPr>
          <w:b w:val="0"/>
          <w:vertAlign w:val="subscript"/>
        </w:rPr>
        <w:t>3</w:t>
      </w:r>
      <w:r>
        <w:rPr>
          <w:b w:val="0"/>
        </w:rPr>
        <w:t xml:space="preserve"> device efficiencies may be proposed.</w:t>
      </w:r>
    </w:p>
    <w:p w:rsidR="00E671FF" w:rsidRDefault="00E671FF" w:rsidP="00234C2C">
      <w:pPr>
        <w:pStyle w:val="Head1"/>
        <w:spacing w:line="480" w:lineRule="auto"/>
        <w:rPr>
          <w:b w:val="0"/>
        </w:rPr>
      </w:pPr>
    </w:p>
    <w:p w:rsidR="00E671FF" w:rsidRDefault="00E671FF" w:rsidP="00234C2C">
      <w:pPr>
        <w:pStyle w:val="Head1"/>
        <w:spacing w:line="480" w:lineRule="auto"/>
        <w:rPr>
          <w:b w:val="0"/>
        </w:rPr>
      </w:pPr>
      <w:r>
        <w:rPr>
          <w:b w:val="0"/>
        </w:rPr>
        <w:t>In this study aberration corrected- scanning transmission electron microscopy (AC-STEM) coupled with density functional theory (DFT) is used to characterize the structural and electronic properties of Sb</w:t>
      </w:r>
      <w:r>
        <w:rPr>
          <w:b w:val="0"/>
          <w:vertAlign w:val="subscript"/>
        </w:rPr>
        <w:t>2</w:t>
      </w:r>
      <w:r>
        <w:rPr>
          <w:b w:val="0"/>
        </w:rPr>
        <w:t>Se</w:t>
      </w:r>
      <w:r>
        <w:rPr>
          <w:b w:val="0"/>
          <w:vertAlign w:val="subscript"/>
        </w:rPr>
        <w:t>3</w:t>
      </w:r>
      <w:r>
        <w:rPr>
          <w:b w:val="0"/>
        </w:rPr>
        <w:t xml:space="preserve"> grain boundaries. It is shown that significant structural relaxation can take place at the grain boundaries, thereby removing any band gap states due to dangling bonds. The self-healing nature of Sb</w:t>
      </w:r>
      <w:r>
        <w:rPr>
          <w:b w:val="0"/>
          <w:vertAlign w:val="subscript"/>
        </w:rPr>
        <w:t>2</w:t>
      </w:r>
      <w:r>
        <w:rPr>
          <w:b w:val="0"/>
        </w:rPr>
        <w:t>Se</w:t>
      </w:r>
      <w:r>
        <w:rPr>
          <w:b w:val="0"/>
          <w:vertAlign w:val="subscript"/>
        </w:rPr>
        <w:t>3</w:t>
      </w:r>
      <w:r>
        <w:rPr>
          <w:b w:val="0"/>
        </w:rPr>
        <w:t xml:space="preserve"> suggests that grain boundary recombination may not be as harmful as previously thought.  At the same time evidence is found for an </w:t>
      </w:r>
      <w:proofErr w:type="spellStart"/>
      <w:r>
        <w:rPr>
          <w:b w:val="0"/>
        </w:rPr>
        <w:t>unfavourable</w:t>
      </w:r>
      <w:proofErr w:type="spellEnd"/>
      <w:r>
        <w:rPr>
          <w:b w:val="0"/>
        </w:rPr>
        <w:t xml:space="preserve"> ribbon orientation giving rise to photocurrent blocking at grain boundaries. Inter-granular charge transport, rather than non-radiative recombination, therefore appears to be the device limiting factor for Sb</w:t>
      </w:r>
      <w:r>
        <w:rPr>
          <w:b w:val="0"/>
          <w:vertAlign w:val="subscript"/>
        </w:rPr>
        <w:t>2</w:t>
      </w:r>
      <w:r>
        <w:rPr>
          <w:b w:val="0"/>
        </w:rPr>
        <w:t>Se</w:t>
      </w:r>
      <w:r>
        <w:rPr>
          <w:b w:val="0"/>
          <w:vertAlign w:val="subscript"/>
        </w:rPr>
        <w:t>3</w:t>
      </w:r>
      <w:r>
        <w:rPr>
          <w:b w:val="0"/>
        </w:rPr>
        <w:t xml:space="preserve"> grain boundaries.  Furthermore, AC-STEM analysis of the Sb</w:t>
      </w:r>
      <w:r>
        <w:rPr>
          <w:b w:val="0"/>
          <w:vertAlign w:val="subscript"/>
        </w:rPr>
        <w:t>2</w:t>
      </w:r>
      <w:r>
        <w:rPr>
          <w:b w:val="0"/>
        </w:rPr>
        <w:t>Se</w:t>
      </w:r>
      <w:r>
        <w:rPr>
          <w:b w:val="0"/>
          <w:vertAlign w:val="subscript"/>
        </w:rPr>
        <w:t>3</w:t>
      </w:r>
      <w:r>
        <w:rPr>
          <w:b w:val="0"/>
        </w:rPr>
        <w:t xml:space="preserve">-CdS interface shows that inter-diffusion of Sb and Se into the </w:t>
      </w:r>
      <w:proofErr w:type="spellStart"/>
      <w:r>
        <w:rPr>
          <w:b w:val="0"/>
        </w:rPr>
        <w:t>CdS</w:t>
      </w:r>
      <w:proofErr w:type="spellEnd"/>
      <w:r>
        <w:rPr>
          <w:b w:val="0"/>
        </w:rPr>
        <w:t xml:space="preserve"> layer causes break down of the Sb</w:t>
      </w:r>
      <w:r>
        <w:rPr>
          <w:b w:val="0"/>
          <w:vertAlign w:val="subscript"/>
        </w:rPr>
        <w:t>2</w:t>
      </w:r>
      <w:r>
        <w:rPr>
          <w:b w:val="0"/>
        </w:rPr>
        <w:t>Se</w:t>
      </w:r>
      <w:r>
        <w:rPr>
          <w:b w:val="0"/>
          <w:vertAlign w:val="subscript"/>
        </w:rPr>
        <w:t>3</w:t>
      </w:r>
      <w:r>
        <w:rPr>
          <w:b w:val="0"/>
        </w:rPr>
        <w:t xml:space="preserve"> crystal structure over a few nanometer thick region. Highly defective Sb</w:t>
      </w:r>
      <w:r>
        <w:rPr>
          <w:b w:val="0"/>
          <w:vertAlign w:val="subscript"/>
        </w:rPr>
        <w:t>2</w:t>
      </w:r>
      <w:r>
        <w:rPr>
          <w:b w:val="0"/>
        </w:rPr>
        <w:t>Se</w:t>
      </w:r>
      <w:r>
        <w:rPr>
          <w:b w:val="0"/>
          <w:vertAlign w:val="subscript"/>
        </w:rPr>
        <w:t>3</w:t>
      </w:r>
      <w:r>
        <w:rPr>
          <w:b w:val="0"/>
        </w:rPr>
        <w:t xml:space="preserve"> has band tail states that increase the interfacial defect density, potentially giving rise to </w:t>
      </w:r>
      <w:r w:rsidR="006D4D78" w:rsidRPr="001225A8">
        <w:rPr>
          <w:b w:val="0"/>
        </w:rPr>
        <w:t>lower efficiency</w:t>
      </w:r>
      <w:r>
        <w:rPr>
          <w:b w:val="0"/>
        </w:rPr>
        <w:t xml:space="preserve">. For higher deposition temperatures the accelerated inter-diffusion gives rise to significant </w:t>
      </w:r>
      <w:proofErr w:type="spellStart"/>
      <w:r>
        <w:rPr>
          <w:b w:val="0"/>
        </w:rPr>
        <w:t>Kirkendall</w:t>
      </w:r>
      <w:proofErr w:type="spellEnd"/>
      <w:r>
        <w:rPr>
          <w:b w:val="0"/>
        </w:rPr>
        <w:t xml:space="preserve"> </w:t>
      </w:r>
      <w:proofErr w:type="gramStart"/>
      <w:r>
        <w:rPr>
          <w:b w:val="0"/>
        </w:rPr>
        <w:t>voiding</w:t>
      </w:r>
      <w:r w:rsidR="00BF2C9C">
        <w:rPr>
          <w:b w:val="0"/>
          <w:vertAlign w:val="superscript"/>
        </w:rPr>
        <w:t>(</w:t>
      </w:r>
      <w:proofErr w:type="gramEnd"/>
      <w:r>
        <w:rPr>
          <w:b w:val="0"/>
          <w:vertAlign w:val="superscript"/>
        </w:rPr>
        <w:t>18</w:t>
      </w:r>
      <w:r w:rsidR="00BF2C9C">
        <w:rPr>
          <w:b w:val="0"/>
          <w:vertAlign w:val="superscript"/>
        </w:rPr>
        <w:t>)</w:t>
      </w:r>
      <w:r>
        <w:rPr>
          <w:b w:val="0"/>
        </w:rPr>
        <w:t xml:space="preserve"> at the interface. Inter-diffusion is therefore an important limitation governing the performance of Sb</w:t>
      </w:r>
      <w:r>
        <w:rPr>
          <w:b w:val="0"/>
          <w:vertAlign w:val="subscript"/>
        </w:rPr>
        <w:t>2</w:t>
      </w:r>
      <w:r>
        <w:rPr>
          <w:b w:val="0"/>
        </w:rPr>
        <w:t>Se</w:t>
      </w:r>
      <w:r>
        <w:rPr>
          <w:b w:val="0"/>
          <w:vertAlign w:val="subscript"/>
        </w:rPr>
        <w:t>3</w:t>
      </w:r>
      <w:r>
        <w:rPr>
          <w:b w:val="0"/>
        </w:rPr>
        <w:t>-CdS devices. Alternative emitter layers that suppress inter-diffusion, such as TiO</w:t>
      </w:r>
      <w:r>
        <w:rPr>
          <w:b w:val="0"/>
          <w:vertAlign w:val="subscript"/>
        </w:rPr>
        <w:t xml:space="preserve">2 </w:t>
      </w:r>
      <w:r w:rsidR="00BF2C9C">
        <w:rPr>
          <w:b w:val="0"/>
          <w:vertAlign w:val="superscript"/>
        </w:rPr>
        <w:t>(12)</w:t>
      </w:r>
      <w:r>
        <w:rPr>
          <w:b w:val="0"/>
        </w:rPr>
        <w:t xml:space="preserve"> and </w:t>
      </w:r>
      <w:proofErr w:type="spellStart"/>
      <w:r>
        <w:rPr>
          <w:b w:val="0"/>
        </w:rPr>
        <w:t>ZnO</w:t>
      </w:r>
      <w:proofErr w:type="spellEnd"/>
      <w:r>
        <w:rPr>
          <w:b w:val="0"/>
        </w:rPr>
        <w:t xml:space="preserve"> </w:t>
      </w:r>
      <w:r w:rsidR="00BF2C9C">
        <w:rPr>
          <w:b w:val="0"/>
          <w:vertAlign w:val="superscript"/>
        </w:rPr>
        <w:t>(19)</w:t>
      </w:r>
      <w:r>
        <w:rPr>
          <w:b w:val="0"/>
        </w:rPr>
        <w:t>, are required to achieve a device free of interfacial defects.</w:t>
      </w:r>
    </w:p>
    <w:p w:rsidR="00234C2C" w:rsidRDefault="00234C2C" w:rsidP="00234C2C">
      <w:pPr>
        <w:pStyle w:val="Head1"/>
        <w:spacing w:line="480" w:lineRule="auto"/>
      </w:pPr>
    </w:p>
    <w:p w:rsidR="00E671FF" w:rsidRDefault="00E671FF" w:rsidP="00234C2C">
      <w:pPr>
        <w:pStyle w:val="Head1"/>
        <w:spacing w:line="480" w:lineRule="auto"/>
      </w:pPr>
      <w:r>
        <w:t>2. Results and Discussion</w:t>
      </w:r>
    </w:p>
    <w:p w:rsidR="00E671FF" w:rsidRDefault="00E671FF" w:rsidP="00234C2C">
      <w:pPr>
        <w:pStyle w:val="Head1"/>
        <w:spacing w:line="480" w:lineRule="auto"/>
      </w:pPr>
    </w:p>
    <w:p w:rsidR="00E671FF" w:rsidRDefault="00E671FF" w:rsidP="00234C2C">
      <w:pPr>
        <w:pStyle w:val="Head1"/>
        <w:spacing w:line="480" w:lineRule="auto"/>
      </w:pPr>
      <w:r>
        <w:t>2.1 Grain morphology and texture</w:t>
      </w:r>
    </w:p>
    <w:p w:rsidR="00E671FF" w:rsidRDefault="00E671FF" w:rsidP="00234C2C">
      <w:pPr>
        <w:pStyle w:val="Head1"/>
        <w:spacing w:line="480" w:lineRule="auto"/>
      </w:pPr>
    </w:p>
    <w:p w:rsidR="00E671FF" w:rsidRDefault="00361AF9" w:rsidP="00234C2C">
      <w:pPr>
        <w:pStyle w:val="Head1"/>
        <w:spacing w:line="480" w:lineRule="auto"/>
        <w:rPr>
          <w:b w:val="0"/>
        </w:rPr>
      </w:pPr>
      <w:r w:rsidRPr="002565CA">
        <w:rPr>
          <w:b w:val="0"/>
        </w:rPr>
        <w:t>The Sb</w:t>
      </w:r>
      <w:r w:rsidRPr="002565CA">
        <w:rPr>
          <w:b w:val="0"/>
          <w:vertAlign w:val="subscript"/>
        </w:rPr>
        <w:t>2</w:t>
      </w:r>
      <w:r w:rsidRPr="002565CA">
        <w:rPr>
          <w:b w:val="0"/>
        </w:rPr>
        <w:t>Se</w:t>
      </w:r>
      <w:r w:rsidRPr="002565CA">
        <w:rPr>
          <w:b w:val="0"/>
          <w:vertAlign w:val="subscript"/>
        </w:rPr>
        <w:t>3</w:t>
      </w:r>
      <w:r w:rsidRPr="002565CA">
        <w:rPr>
          <w:b w:val="0"/>
        </w:rPr>
        <w:t>-CdS and Sb</w:t>
      </w:r>
      <w:r w:rsidRPr="002565CA">
        <w:rPr>
          <w:b w:val="0"/>
          <w:vertAlign w:val="subscript"/>
        </w:rPr>
        <w:t>2</w:t>
      </w:r>
      <w:r w:rsidRPr="002565CA">
        <w:rPr>
          <w:b w:val="0"/>
        </w:rPr>
        <w:t>Se</w:t>
      </w:r>
      <w:r w:rsidRPr="002565CA">
        <w:rPr>
          <w:b w:val="0"/>
          <w:vertAlign w:val="subscript"/>
        </w:rPr>
        <w:t>3</w:t>
      </w:r>
      <w:r w:rsidRPr="002565CA">
        <w:rPr>
          <w:b w:val="0"/>
        </w:rPr>
        <w:t>-TiO</w:t>
      </w:r>
      <w:r w:rsidRPr="002565CA">
        <w:rPr>
          <w:b w:val="0"/>
          <w:vertAlign w:val="subscript"/>
        </w:rPr>
        <w:t>2</w:t>
      </w:r>
      <w:r w:rsidRPr="002565CA">
        <w:rPr>
          <w:b w:val="0"/>
        </w:rPr>
        <w:t xml:space="preserve"> device </w:t>
      </w:r>
      <w:r w:rsidR="00303B51" w:rsidRPr="002565CA">
        <w:rPr>
          <w:b w:val="0"/>
        </w:rPr>
        <w:t>architectures</w:t>
      </w:r>
      <w:r w:rsidRPr="002565CA">
        <w:rPr>
          <w:b w:val="0"/>
        </w:rPr>
        <w:t xml:space="preserve"> are illustrated schematically in Figures 1a and 1b respectively.</w:t>
      </w:r>
      <w:r>
        <w:rPr>
          <w:b w:val="0"/>
        </w:rPr>
        <w:t xml:space="preserve"> D</w:t>
      </w:r>
      <w:r w:rsidR="00E671FF">
        <w:rPr>
          <w:b w:val="0"/>
        </w:rPr>
        <w:t xml:space="preserve">evice fabrication is outlined in the Experimental </w:t>
      </w:r>
      <w:r w:rsidR="002A22E4">
        <w:rPr>
          <w:b w:val="0"/>
        </w:rPr>
        <w:t xml:space="preserve">Methods </w:t>
      </w:r>
      <w:r w:rsidR="00E671FF">
        <w:rPr>
          <w:b w:val="0"/>
        </w:rPr>
        <w:t xml:space="preserve">Section. </w:t>
      </w:r>
      <w:r w:rsidR="00E671FF">
        <w:rPr>
          <w:b w:val="0"/>
        </w:rPr>
        <w:lastRenderedPageBreak/>
        <w:t>Sb</w:t>
      </w:r>
      <w:r w:rsidR="00E671FF">
        <w:rPr>
          <w:b w:val="0"/>
          <w:vertAlign w:val="subscript"/>
        </w:rPr>
        <w:t>2</w:t>
      </w:r>
      <w:r w:rsidR="00E671FF">
        <w:rPr>
          <w:b w:val="0"/>
        </w:rPr>
        <w:t>Se</w:t>
      </w:r>
      <w:r w:rsidR="00E671FF">
        <w:rPr>
          <w:b w:val="0"/>
          <w:vertAlign w:val="subscript"/>
        </w:rPr>
        <w:t>3</w:t>
      </w:r>
      <w:r w:rsidR="00E671FF">
        <w:rPr>
          <w:b w:val="0"/>
        </w:rPr>
        <w:t>-CdS devices where the Sb</w:t>
      </w:r>
      <w:r w:rsidR="00E671FF">
        <w:rPr>
          <w:b w:val="0"/>
          <w:vertAlign w:val="subscript"/>
        </w:rPr>
        <w:t>2</w:t>
      </w:r>
      <w:r w:rsidR="00E671FF">
        <w:rPr>
          <w:b w:val="0"/>
        </w:rPr>
        <w:t>Se</w:t>
      </w:r>
      <w:r w:rsidR="00E671FF">
        <w:rPr>
          <w:b w:val="0"/>
          <w:vertAlign w:val="subscript"/>
        </w:rPr>
        <w:t>3</w:t>
      </w:r>
      <w:r w:rsidR="00E671FF">
        <w:rPr>
          <w:b w:val="0"/>
        </w:rPr>
        <w:t xml:space="preserve"> is grown using close space sublimation (CSS) and thermal evaporation (TE) methods are examined; these growth techniques are capable of fast thin-film deposition rates and are therefore suitable for industrial scale up. Furthermore, we also examine a Sb</w:t>
      </w:r>
      <w:r w:rsidR="00E671FF">
        <w:rPr>
          <w:b w:val="0"/>
          <w:vertAlign w:val="subscript"/>
        </w:rPr>
        <w:t>2</w:t>
      </w:r>
      <w:r w:rsidR="00E671FF">
        <w:rPr>
          <w:b w:val="0"/>
        </w:rPr>
        <w:t>Se</w:t>
      </w:r>
      <w:r w:rsidR="00E671FF">
        <w:rPr>
          <w:b w:val="0"/>
          <w:vertAlign w:val="subscript"/>
        </w:rPr>
        <w:t>3</w:t>
      </w:r>
      <w:r w:rsidR="00E671FF">
        <w:rPr>
          <w:b w:val="0"/>
        </w:rPr>
        <w:t>-TiO</w:t>
      </w:r>
      <w:r w:rsidR="00E671FF">
        <w:rPr>
          <w:b w:val="0"/>
          <w:vertAlign w:val="subscript"/>
        </w:rPr>
        <w:t>2</w:t>
      </w:r>
      <w:r w:rsidR="00E671FF">
        <w:rPr>
          <w:b w:val="0"/>
        </w:rPr>
        <w:t xml:space="preserve"> device grown using a two-stage CSS process </w:t>
      </w:r>
      <w:r w:rsidR="00BF2C9C" w:rsidRPr="00BF2C9C">
        <w:rPr>
          <w:b w:val="0"/>
          <w:vertAlign w:val="superscript"/>
        </w:rPr>
        <w:t>(</w:t>
      </w:r>
      <w:r w:rsidR="00E671FF">
        <w:rPr>
          <w:b w:val="0"/>
          <w:vertAlign w:val="superscript"/>
        </w:rPr>
        <w:t>9</w:t>
      </w:r>
      <w:r w:rsidR="00BF2C9C">
        <w:rPr>
          <w:b w:val="0"/>
          <w:vertAlign w:val="superscript"/>
        </w:rPr>
        <w:t>)</w:t>
      </w:r>
      <w:r w:rsidR="00E671FF">
        <w:rPr>
          <w:b w:val="0"/>
        </w:rPr>
        <w:t>. This involves CSS depositing a Sb</w:t>
      </w:r>
      <w:r w:rsidR="00E671FF">
        <w:rPr>
          <w:b w:val="0"/>
          <w:vertAlign w:val="subscript"/>
        </w:rPr>
        <w:t>2</w:t>
      </w:r>
      <w:r w:rsidR="00E671FF">
        <w:rPr>
          <w:b w:val="0"/>
        </w:rPr>
        <w:t>Se</w:t>
      </w:r>
      <w:r w:rsidR="00E671FF">
        <w:rPr>
          <w:b w:val="0"/>
          <w:vertAlign w:val="subscript"/>
        </w:rPr>
        <w:t>3</w:t>
      </w:r>
      <w:r w:rsidR="00E671FF">
        <w:rPr>
          <w:b w:val="0"/>
        </w:rPr>
        <w:t xml:space="preserve"> seed layer prior to film growth, resulting in a more uniform thin-film with larger grain size </w:t>
      </w:r>
      <w:r w:rsidR="00BF2C9C">
        <w:rPr>
          <w:b w:val="0"/>
          <w:vertAlign w:val="superscript"/>
        </w:rPr>
        <w:t>(</w:t>
      </w:r>
      <w:r w:rsidR="00E671FF">
        <w:rPr>
          <w:b w:val="0"/>
          <w:vertAlign w:val="superscript"/>
        </w:rPr>
        <w:t>9</w:t>
      </w:r>
      <w:r w:rsidR="00BF2C9C">
        <w:rPr>
          <w:b w:val="0"/>
          <w:vertAlign w:val="superscript"/>
        </w:rPr>
        <w:t>)</w:t>
      </w:r>
      <w:r w:rsidR="00E671FF">
        <w:rPr>
          <w:b w:val="0"/>
        </w:rPr>
        <w:t xml:space="preserve">. </w:t>
      </w:r>
      <w:r w:rsidR="00303B51" w:rsidRPr="002565CA">
        <w:rPr>
          <w:b w:val="0"/>
        </w:rPr>
        <w:t>The current density (</w:t>
      </w:r>
      <w:r w:rsidR="00303B51" w:rsidRPr="002565CA">
        <w:rPr>
          <w:b w:val="0"/>
          <w:i/>
        </w:rPr>
        <w:t>J</w:t>
      </w:r>
      <w:r w:rsidR="00303B51" w:rsidRPr="002565CA">
        <w:rPr>
          <w:b w:val="0"/>
        </w:rPr>
        <w:t>)-voltage (</w:t>
      </w:r>
      <w:r w:rsidR="00303B51" w:rsidRPr="002565CA">
        <w:rPr>
          <w:b w:val="0"/>
          <w:i/>
        </w:rPr>
        <w:t>V</w:t>
      </w:r>
      <w:r w:rsidR="00303B51" w:rsidRPr="002565CA">
        <w:rPr>
          <w:b w:val="0"/>
        </w:rPr>
        <w:t>) curves for these devices are shown in Figure 1c</w:t>
      </w:r>
      <w:r w:rsidR="00303B51">
        <w:rPr>
          <w:b w:val="0"/>
        </w:rPr>
        <w:t xml:space="preserve"> and the electrical properties are summarized in </w:t>
      </w:r>
      <w:r w:rsidR="00303B51" w:rsidRPr="00E671FF">
        <w:rPr>
          <w:b w:val="0"/>
        </w:rPr>
        <w:t>Table 1</w:t>
      </w:r>
      <w:r w:rsidR="00303B51">
        <w:rPr>
          <w:b w:val="0"/>
        </w:rPr>
        <w:t xml:space="preserve">. </w:t>
      </w:r>
      <w:r w:rsidR="00E671FF">
        <w:rPr>
          <w:b w:val="0"/>
        </w:rPr>
        <w:t>The Sb</w:t>
      </w:r>
      <w:r w:rsidR="00E671FF">
        <w:rPr>
          <w:b w:val="0"/>
          <w:vertAlign w:val="subscript"/>
        </w:rPr>
        <w:t>2</w:t>
      </w:r>
      <w:r w:rsidR="00E671FF">
        <w:rPr>
          <w:b w:val="0"/>
        </w:rPr>
        <w:t>Se</w:t>
      </w:r>
      <w:r w:rsidR="00E671FF">
        <w:rPr>
          <w:b w:val="0"/>
          <w:vertAlign w:val="subscript"/>
        </w:rPr>
        <w:t>3</w:t>
      </w:r>
      <w:r w:rsidR="00E671FF">
        <w:rPr>
          <w:b w:val="0"/>
        </w:rPr>
        <w:t>-TiO</w:t>
      </w:r>
      <w:r w:rsidR="00E671FF">
        <w:rPr>
          <w:b w:val="0"/>
          <w:vertAlign w:val="subscript"/>
        </w:rPr>
        <w:t>2</w:t>
      </w:r>
      <w:r w:rsidR="00E671FF">
        <w:rPr>
          <w:b w:val="0"/>
        </w:rPr>
        <w:t xml:space="preserve"> device had the highest efficiency at 6.18%, while the performance of the Sb</w:t>
      </w:r>
      <w:r w:rsidR="00E671FF">
        <w:rPr>
          <w:b w:val="0"/>
          <w:vertAlign w:val="subscript"/>
        </w:rPr>
        <w:t>2</w:t>
      </w:r>
      <w:r w:rsidR="00E671FF">
        <w:rPr>
          <w:b w:val="0"/>
        </w:rPr>
        <w:t>Se</w:t>
      </w:r>
      <w:r w:rsidR="00E671FF">
        <w:rPr>
          <w:b w:val="0"/>
          <w:vertAlign w:val="subscript"/>
        </w:rPr>
        <w:t>3</w:t>
      </w:r>
      <w:r w:rsidR="00E671FF">
        <w:rPr>
          <w:b w:val="0"/>
        </w:rPr>
        <w:t>-CdS devices were inferior (i.e. 2.85% for the TE device and 1.44% for CSS).</w:t>
      </w:r>
      <w:r w:rsidR="00023D2C">
        <w:rPr>
          <w:b w:val="0"/>
        </w:rPr>
        <w:t xml:space="preserve"> </w:t>
      </w:r>
    </w:p>
    <w:p w:rsidR="00361AF9" w:rsidRDefault="00361AF9" w:rsidP="00234C2C">
      <w:pPr>
        <w:pStyle w:val="Head1"/>
        <w:spacing w:line="480" w:lineRule="auto"/>
      </w:pPr>
    </w:p>
    <w:p w:rsidR="00E671FF" w:rsidRDefault="00E671FF" w:rsidP="00234C2C">
      <w:pPr>
        <w:pStyle w:val="Head1"/>
        <w:spacing w:line="480" w:lineRule="auto"/>
        <w:rPr>
          <w:b w:val="0"/>
        </w:rPr>
      </w:pPr>
      <w:r w:rsidRPr="00E671FF">
        <w:rPr>
          <w:b w:val="0"/>
        </w:rPr>
        <w:t xml:space="preserve">Figure </w:t>
      </w:r>
      <w:r w:rsidR="001B36DA">
        <w:rPr>
          <w:b w:val="0"/>
        </w:rPr>
        <w:t>2</w:t>
      </w:r>
      <w:r>
        <w:rPr>
          <w:b w:val="0"/>
        </w:rPr>
        <w:t xml:space="preserve"> shows plan-view scanning electron microscopy (SEM) images of the grain structure for the different Sb</w:t>
      </w:r>
      <w:r>
        <w:rPr>
          <w:b w:val="0"/>
          <w:vertAlign w:val="subscript"/>
        </w:rPr>
        <w:t>2</w:t>
      </w:r>
      <w:r>
        <w:rPr>
          <w:b w:val="0"/>
        </w:rPr>
        <w:t>Se</w:t>
      </w:r>
      <w:r>
        <w:rPr>
          <w:b w:val="0"/>
          <w:vertAlign w:val="subscript"/>
        </w:rPr>
        <w:t>3</w:t>
      </w:r>
      <w:r>
        <w:rPr>
          <w:b w:val="0"/>
        </w:rPr>
        <w:t xml:space="preserve"> absorber layers, namely the CSS Sb</w:t>
      </w:r>
      <w:r>
        <w:rPr>
          <w:b w:val="0"/>
          <w:vertAlign w:val="subscript"/>
        </w:rPr>
        <w:t>2</w:t>
      </w:r>
      <w:r>
        <w:rPr>
          <w:b w:val="0"/>
        </w:rPr>
        <w:t>Se</w:t>
      </w:r>
      <w:r>
        <w:rPr>
          <w:b w:val="0"/>
          <w:vertAlign w:val="subscript"/>
        </w:rPr>
        <w:t>3</w:t>
      </w:r>
      <w:r>
        <w:rPr>
          <w:b w:val="0"/>
        </w:rPr>
        <w:t xml:space="preserve">-CdS device (Figure </w:t>
      </w:r>
      <w:r w:rsidR="001B36DA">
        <w:rPr>
          <w:b w:val="0"/>
        </w:rPr>
        <w:t>2</w:t>
      </w:r>
      <w:r>
        <w:rPr>
          <w:b w:val="0"/>
        </w:rPr>
        <w:t>a), TE Sb</w:t>
      </w:r>
      <w:r>
        <w:rPr>
          <w:b w:val="0"/>
          <w:vertAlign w:val="subscript"/>
        </w:rPr>
        <w:t>2</w:t>
      </w:r>
      <w:r>
        <w:rPr>
          <w:b w:val="0"/>
        </w:rPr>
        <w:t>Se</w:t>
      </w:r>
      <w:r>
        <w:rPr>
          <w:b w:val="0"/>
          <w:vertAlign w:val="subscript"/>
        </w:rPr>
        <w:t>3</w:t>
      </w:r>
      <w:r>
        <w:rPr>
          <w:b w:val="0"/>
        </w:rPr>
        <w:t xml:space="preserve">-CdS device (Figure </w:t>
      </w:r>
      <w:r w:rsidR="001B36DA">
        <w:rPr>
          <w:b w:val="0"/>
        </w:rPr>
        <w:t>2</w:t>
      </w:r>
      <w:r>
        <w:rPr>
          <w:b w:val="0"/>
        </w:rPr>
        <w:t>b), CSS Sb</w:t>
      </w:r>
      <w:r>
        <w:rPr>
          <w:b w:val="0"/>
          <w:vertAlign w:val="subscript"/>
        </w:rPr>
        <w:t>2</w:t>
      </w:r>
      <w:r>
        <w:rPr>
          <w:b w:val="0"/>
        </w:rPr>
        <w:t>Se</w:t>
      </w:r>
      <w:r>
        <w:rPr>
          <w:b w:val="0"/>
          <w:vertAlign w:val="subscript"/>
        </w:rPr>
        <w:t>3</w:t>
      </w:r>
      <w:r>
        <w:rPr>
          <w:b w:val="0"/>
        </w:rPr>
        <w:t xml:space="preserve"> seed layer on TiO</w:t>
      </w:r>
      <w:r>
        <w:rPr>
          <w:b w:val="0"/>
          <w:vertAlign w:val="subscript"/>
        </w:rPr>
        <w:t>2</w:t>
      </w:r>
      <w:r>
        <w:rPr>
          <w:b w:val="0"/>
        </w:rPr>
        <w:t xml:space="preserve"> (Figure </w:t>
      </w:r>
      <w:r w:rsidR="001B36DA">
        <w:rPr>
          <w:b w:val="0"/>
        </w:rPr>
        <w:t>2</w:t>
      </w:r>
      <w:r>
        <w:rPr>
          <w:b w:val="0"/>
        </w:rPr>
        <w:t>c) and two-stage CSS Sb</w:t>
      </w:r>
      <w:r>
        <w:rPr>
          <w:b w:val="0"/>
          <w:vertAlign w:val="subscript"/>
        </w:rPr>
        <w:t>2</w:t>
      </w:r>
      <w:r>
        <w:rPr>
          <w:b w:val="0"/>
        </w:rPr>
        <w:t>Se</w:t>
      </w:r>
      <w:r>
        <w:rPr>
          <w:b w:val="0"/>
          <w:vertAlign w:val="subscript"/>
        </w:rPr>
        <w:t>3</w:t>
      </w:r>
      <w:r>
        <w:rPr>
          <w:b w:val="0"/>
        </w:rPr>
        <w:t>-TiO</w:t>
      </w:r>
      <w:r w:rsidRPr="00C973B2">
        <w:rPr>
          <w:b w:val="0"/>
          <w:vertAlign w:val="subscript"/>
        </w:rPr>
        <w:t>2</w:t>
      </w:r>
      <w:r>
        <w:rPr>
          <w:b w:val="0"/>
        </w:rPr>
        <w:t xml:space="preserve"> device (Figure </w:t>
      </w:r>
      <w:r w:rsidR="001B36DA">
        <w:rPr>
          <w:b w:val="0"/>
        </w:rPr>
        <w:t>2</w:t>
      </w:r>
      <w:r>
        <w:rPr>
          <w:b w:val="0"/>
        </w:rPr>
        <w:t>d). For Sb</w:t>
      </w:r>
      <w:r>
        <w:rPr>
          <w:b w:val="0"/>
          <w:vertAlign w:val="subscript"/>
        </w:rPr>
        <w:t>2</w:t>
      </w:r>
      <w:r>
        <w:rPr>
          <w:b w:val="0"/>
        </w:rPr>
        <w:t>Se</w:t>
      </w:r>
      <w:r>
        <w:rPr>
          <w:b w:val="0"/>
          <w:vertAlign w:val="subscript"/>
        </w:rPr>
        <w:t>3</w:t>
      </w:r>
      <w:r>
        <w:rPr>
          <w:b w:val="0"/>
        </w:rPr>
        <w:t xml:space="preserve"> grown on </w:t>
      </w:r>
      <w:proofErr w:type="spellStart"/>
      <w:r>
        <w:rPr>
          <w:b w:val="0"/>
        </w:rPr>
        <w:t>CdS</w:t>
      </w:r>
      <w:proofErr w:type="spellEnd"/>
      <w:r>
        <w:rPr>
          <w:b w:val="0"/>
        </w:rPr>
        <w:t xml:space="preserve"> the CSS method produces larger grains compared to TE deposition due to the higher growth temperature and use of a N</w:t>
      </w:r>
      <w:r>
        <w:rPr>
          <w:b w:val="0"/>
          <w:vertAlign w:val="subscript"/>
        </w:rPr>
        <w:t>2</w:t>
      </w:r>
      <w:r>
        <w:rPr>
          <w:b w:val="0"/>
        </w:rPr>
        <w:t xml:space="preserve"> inert gas atmosphere</w:t>
      </w:r>
      <w:r w:rsidR="00BF2C9C">
        <w:rPr>
          <w:b w:val="0"/>
          <w:vertAlign w:val="superscript"/>
        </w:rPr>
        <w:t>(</w:t>
      </w:r>
      <w:r w:rsidRPr="003A5C1B">
        <w:rPr>
          <w:b w:val="0"/>
          <w:vertAlign w:val="superscript"/>
        </w:rPr>
        <w:t>1</w:t>
      </w:r>
      <w:r w:rsidR="00BF2C9C">
        <w:rPr>
          <w:b w:val="0"/>
          <w:vertAlign w:val="superscript"/>
        </w:rPr>
        <w:t>)</w:t>
      </w:r>
      <w:r>
        <w:rPr>
          <w:b w:val="0"/>
        </w:rPr>
        <w:t xml:space="preserve">. The grain coverage in CSS is sufficiently uniform to produce a continuous film, although small pin holes are still visible, especially at the grain boundary triple points. However, cross-sectional imaging using focused ion-beam (FIB) microscopy revealed that these pin holes did not extend through the entire film thickness, but rather had the effect of increasing the surface roughness, in some cases quite dramatically (see </w:t>
      </w:r>
      <w:r w:rsidRPr="002565CA">
        <w:rPr>
          <w:b w:val="0"/>
        </w:rPr>
        <w:t>Supporting Information</w:t>
      </w:r>
      <w:r w:rsidR="005B12B5" w:rsidRPr="002565CA">
        <w:rPr>
          <w:b w:val="0"/>
        </w:rPr>
        <w:t xml:space="preserve"> (</w:t>
      </w:r>
      <w:proofErr w:type="spellStart"/>
      <w:r w:rsidR="005B12B5" w:rsidRPr="002565CA">
        <w:rPr>
          <w:b w:val="0"/>
        </w:rPr>
        <w:t>i</w:t>
      </w:r>
      <w:proofErr w:type="spellEnd"/>
      <w:r w:rsidR="005B12B5" w:rsidRPr="002565CA">
        <w:rPr>
          <w:b w:val="0"/>
        </w:rPr>
        <w:t>)</w:t>
      </w:r>
      <w:r w:rsidRPr="002565CA">
        <w:rPr>
          <w:b w:val="0"/>
        </w:rPr>
        <w:t>).</w:t>
      </w:r>
      <w:r>
        <w:rPr>
          <w:b w:val="0"/>
        </w:rPr>
        <w:t xml:space="preserve"> For Sb</w:t>
      </w:r>
      <w:r>
        <w:rPr>
          <w:b w:val="0"/>
          <w:vertAlign w:val="subscript"/>
        </w:rPr>
        <w:t>2</w:t>
      </w:r>
      <w:r>
        <w:rPr>
          <w:b w:val="0"/>
        </w:rPr>
        <w:t>Se</w:t>
      </w:r>
      <w:r>
        <w:rPr>
          <w:b w:val="0"/>
          <w:vertAlign w:val="subscript"/>
        </w:rPr>
        <w:t>3</w:t>
      </w:r>
      <w:r>
        <w:rPr>
          <w:b w:val="0"/>
        </w:rPr>
        <w:t xml:space="preserve"> deposited on TiO</w:t>
      </w:r>
      <w:r>
        <w:rPr>
          <w:b w:val="0"/>
          <w:vertAlign w:val="subscript"/>
        </w:rPr>
        <w:t>2</w:t>
      </w:r>
      <w:r>
        <w:rPr>
          <w:b w:val="0"/>
        </w:rPr>
        <w:t xml:space="preserve"> using the two-stage CSS process the grain size of the seed layer (Figure </w:t>
      </w:r>
      <w:r w:rsidR="001B36DA">
        <w:rPr>
          <w:b w:val="0"/>
        </w:rPr>
        <w:t>2</w:t>
      </w:r>
      <w:r>
        <w:rPr>
          <w:b w:val="0"/>
        </w:rPr>
        <w:t xml:space="preserve">c) is significantly smaller than the complete thin-film (Figure </w:t>
      </w:r>
      <w:r w:rsidR="001B36DA">
        <w:rPr>
          <w:b w:val="0"/>
        </w:rPr>
        <w:t>2</w:t>
      </w:r>
      <w:r>
        <w:rPr>
          <w:b w:val="0"/>
        </w:rPr>
        <w:t>d) indicating a lack of correlation between the two microstructures.</w:t>
      </w:r>
    </w:p>
    <w:p w:rsidR="00E671FF" w:rsidRDefault="00E671FF" w:rsidP="00234C2C">
      <w:pPr>
        <w:pStyle w:val="Head1"/>
        <w:spacing w:line="480" w:lineRule="auto"/>
        <w:rPr>
          <w:b w:val="0"/>
        </w:rPr>
      </w:pPr>
    </w:p>
    <w:p w:rsidR="00E671FF" w:rsidRPr="00BD75FE" w:rsidRDefault="00E671FF" w:rsidP="00234C2C">
      <w:pPr>
        <w:pStyle w:val="Head1"/>
        <w:spacing w:line="480" w:lineRule="auto"/>
        <w:rPr>
          <w:b w:val="0"/>
        </w:rPr>
      </w:pPr>
      <w:r w:rsidRPr="00E671FF">
        <w:rPr>
          <w:b w:val="0"/>
        </w:rPr>
        <w:lastRenderedPageBreak/>
        <w:t xml:space="preserve">Figure </w:t>
      </w:r>
      <w:r w:rsidR="001B36DA">
        <w:rPr>
          <w:b w:val="0"/>
        </w:rPr>
        <w:t>3</w:t>
      </w:r>
      <w:r>
        <w:rPr>
          <w:b w:val="0"/>
        </w:rPr>
        <w:t xml:space="preserve"> shows cross-sectional scanning transmission electron microscopy (STEM) images of the devices, with the individual layers and Sb</w:t>
      </w:r>
      <w:r>
        <w:rPr>
          <w:b w:val="0"/>
          <w:vertAlign w:val="subscript"/>
        </w:rPr>
        <w:t>2</w:t>
      </w:r>
      <w:r>
        <w:rPr>
          <w:b w:val="0"/>
        </w:rPr>
        <w:t>Se</w:t>
      </w:r>
      <w:r>
        <w:rPr>
          <w:b w:val="0"/>
          <w:vertAlign w:val="subscript"/>
        </w:rPr>
        <w:t>3</w:t>
      </w:r>
      <w:r>
        <w:rPr>
          <w:b w:val="0"/>
        </w:rPr>
        <w:t xml:space="preserve"> grain boundaries being clearly resolved. The CSS Sb</w:t>
      </w:r>
      <w:r>
        <w:rPr>
          <w:b w:val="0"/>
          <w:vertAlign w:val="subscript"/>
        </w:rPr>
        <w:t>2</w:t>
      </w:r>
      <w:r>
        <w:rPr>
          <w:b w:val="0"/>
        </w:rPr>
        <w:t>Se</w:t>
      </w:r>
      <w:r>
        <w:rPr>
          <w:b w:val="0"/>
          <w:vertAlign w:val="subscript"/>
        </w:rPr>
        <w:t>3</w:t>
      </w:r>
      <w:r>
        <w:rPr>
          <w:b w:val="0"/>
        </w:rPr>
        <w:t xml:space="preserve">-CdS device (Figure </w:t>
      </w:r>
      <w:r w:rsidR="001B36DA">
        <w:rPr>
          <w:b w:val="0"/>
        </w:rPr>
        <w:t>3</w:t>
      </w:r>
      <w:r>
        <w:rPr>
          <w:b w:val="0"/>
        </w:rPr>
        <w:t>a) has large voids that extend through almost the entire length of the Sb</w:t>
      </w:r>
      <w:r>
        <w:rPr>
          <w:b w:val="0"/>
          <w:vertAlign w:val="subscript"/>
        </w:rPr>
        <w:t>2</w:t>
      </w:r>
      <w:r>
        <w:rPr>
          <w:b w:val="0"/>
        </w:rPr>
        <w:t>Se</w:t>
      </w:r>
      <w:r>
        <w:rPr>
          <w:b w:val="0"/>
          <w:vertAlign w:val="subscript"/>
        </w:rPr>
        <w:t>3</w:t>
      </w:r>
      <w:r>
        <w:rPr>
          <w:b w:val="0"/>
        </w:rPr>
        <w:t xml:space="preserve">-CdS interface. Although STEM can only image a small region the same interfacial voiding was observed in FIB cross-sectional images taken from random areas of the sample (see </w:t>
      </w:r>
      <w:r w:rsidRPr="002565CA">
        <w:rPr>
          <w:b w:val="0"/>
        </w:rPr>
        <w:t>Supporting Information</w:t>
      </w:r>
      <w:r w:rsidR="005B12B5" w:rsidRPr="002565CA">
        <w:rPr>
          <w:b w:val="0"/>
        </w:rPr>
        <w:t xml:space="preserve"> (</w:t>
      </w:r>
      <w:proofErr w:type="spellStart"/>
      <w:r w:rsidR="005B12B5" w:rsidRPr="002565CA">
        <w:rPr>
          <w:b w:val="0"/>
        </w:rPr>
        <w:t>i</w:t>
      </w:r>
      <w:proofErr w:type="spellEnd"/>
      <w:r w:rsidR="005B12B5" w:rsidRPr="002565CA">
        <w:rPr>
          <w:b w:val="0"/>
        </w:rPr>
        <w:t>)</w:t>
      </w:r>
      <w:r w:rsidRPr="002565CA">
        <w:rPr>
          <w:b w:val="0"/>
        </w:rPr>
        <w:t>),</w:t>
      </w:r>
      <w:r>
        <w:rPr>
          <w:b w:val="0"/>
        </w:rPr>
        <w:t xml:space="preserve"> indicating that it is a more general phenomenon for this device. It is due to chemical inter-diffusion at the Sb</w:t>
      </w:r>
      <w:r>
        <w:rPr>
          <w:b w:val="0"/>
          <w:vertAlign w:val="subscript"/>
        </w:rPr>
        <w:t>2</w:t>
      </w:r>
      <w:r>
        <w:rPr>
          <w:b w:val="0"/>
        </w:rPr>
        <w:t>Se</w:t>
      </w:r>
      <w:r>
        <w:rPr>
          <w:b w:val="0"/>
          <w:vertAlign w:val="subscript"/>
        </w:rPr>
        <w:t>3</w:t>
      </w:r>
      <w:r>
        <w:rPr>
          <w:b w:val="0"/>
        </w:rPr>
        <w:t xml:space="preserve">-CdS interface giving rise to </w:t>
      </w:r>
      <w:proofErr w:type="spellStart"/>
      <w:r>
        <w:rPr>
          <w:b w:val="0"/>
        </w:rPr>
        <w:t>Kirkendall</w:t>
      </w:r>
      <w:proofErr w:type="spellEnd"/>
      <w:r>
        <w:rPr>
          <w:b w:val="0"/>
        </w:rPr>
        <w:t xml:space="preserve"> voids </w:t>
      </w:r>
      <w:r w:rsidR="00BF2C9C">
        <w:rPr>
          <w:b w:val="0"/>
          <w:vertAlign w:val="superscript"/>
        </w:rPr>
        <w:t>(19)</w:t>
      </w:r>
      <w:r>
        <w:rPr>
          <w:b w:val="0"/>
        </w:rPr>
        <w:t xml:space="preserve"> (see section </w:t>
      </w:r>
      <w:r w:rsidR="002A22E4">
        <w:rPr>
          <w:b w:val="0"/>
        </w:rPr>
        <w:t>2.3</w:t>
      </w:r>
      <w:r>
        <w:rPr>
          <w:b w:val="0"/>
        </w:rPr>
        <w:t xml:space="preserve"> for more details). The interface voids lead to a significant drop in short circuit current density for the device (Table 1). The TE deposited Sb</w:t>
      </w:r>
      <w:r>
        <w:rPr>
          <w:b w:val="0"/>
          <w:vertAlign w:val="subscript"/>
        </w:rPr>
        <w:t>2</w:t>
      </w:r>
      <w:r>
        <w:rPr>
          <w:b w:val="0"/>
        </w:rPr>
        <w:t>Se</w:t>
      </w:r>
      <w:r>
        <w:rPr>
          <w:b w:val="0"/>
          <w:vertAlign w:val="subscript"/>
        </w:rPr>
        <w:t>3</w:t>
      </w:r>
      <w:r>
        <w:rPr>
          <w:b w:val="0"/>
        </w:rPr>
        <w:t xml:space="preserve"> layer shows small voids within the grain interiors as well as at the Sb</w:t>
      </w:r>
      <w:r>
        <w:rPr>
          <w:b w:val="0"/>
          <w:vertAlign w:val="subscript"/>
        </w:rPr>
        <w:t>2</w:t>
      </w:r>
      <w:r>
        <w:rPr>
          <w:b w:val="0"/>
        </w:rPr>
        <w:t>Se</w:t>
      </w:r>
      <w:r>
        <w:rPr>
          <w:b w:val="0"/>
          <w:vertAlign w:val="subscript"/>
        </w:rPr>
        <w:t>3</w:t>
      </w:r>
      <w:r>
        <w:rPr>
          <w:b w:val="0"/>
        </w:rPr>
        <w:t xml:space="preserve">-CdS interface (Figure </w:t>
      </w:r>
      <w:r w:rsidR="001B36DA">
        <w:rPr>
          <w:b w:val="0"/>
        </w:rPr>
        <w:t>3</w:t>
      </w:r>
      <w:r>
        <w:rPr>
          <w:b w:val="0"/>
        </w:rPr>
        <w:t>b) but not to the same extent as the CSS sample. Incomplete densification of the Sb</w:t>
      </w:r>
      <w:r>
        <w:rPr>
          <w:b w:val="0"/>
          <w:vertAlign w:val="subscript"/>
        </w:rPr>
        <w:t>2</w:t>
      </w:r>
      <w:r>
        <w:rPr>
          <w:b w:val="0"/>
        </w:rPr>
        <w:t>Se</w:t>
      </w:r>
      <w:r>
        <w:rPr>
          <w:b w:val="0"/>
          <w:vertAlign w:val="subscript"/>
        </w:rPr>
        <w:t>3</w:t>
      </w:r>
      <w:r>
        <w:rPr>
          <w:b w:val="0"/>
        </w:rPr>
        <w:t xml:space="preserve"> film during low temperature TE growth is thought to give rise to the voiding within the grain interiors.</w:t>
      </w:r>
      <w:r w:rsidR="00BD75FE">
        <w:rPr>
          <w:b w:val="0"/>
        </w:rPr>
        <w:t xml:space="preserve"> </w:t>
      </w:r>
      <w:r w:rsidR="00BD75FE" w:rsidRPr="002565CA">
        <w:rPr>
          <w:b w:val="0"/>
        </w:rPr>
        <w:t xml:space="preserve">These voids </w:t>
      </w:r>
      <w:r w:rsidR="004958BE" w:rsidRPr="002565CA">
        <w:rPr>
          <w:b w:val="0"/>
        </w:rPr>
        <w:t>will</w:t>
      </w:r>
      <w:r w:rsidR="00BD75FE" w:rsidRPr="002565CA">
        <w:rPr>
          <w:b w:val="0"/>
        </w:rPr>
        <w:t xml:space="preserve"> lower device efficiency through reduced light absorption and by increas</w:t>
      </w:r>
      <w:r w:rsidR="006D6C0F" w:rsidRPr="002565CA">
        <w:rPr>
          <w:b w:val="0"/>
        </w:rPr>
        <w:t>ed</w:t>
      </w:r>
      <w:r w:rsidR="00BD75FE" w:rsidRPr="002565CA">
        <w:rPr>
          <w:b w:val="0"/>
        </w:rPr>
        <w:t xml:space="preserve"> series resistance of the Sb</w:t>
      </w:r>
      <w:r w:rsidR="00BD75FE" w:rsidRPr="002565CA">
        <w:rPr>
          <w:b w:val="0"/>
          <w:vertAlign w:val="subscript"/>
        </w:rPr>
        <w:t>2</w:t>
      </w:r>
      <w:r w:rsidR="00BD75FE" w:rsidRPr="002565CA">
        <w:rPr>
          <w:b w:val="0"/>
        </w:rPr>
        <w:t>Se</w:t>
      </w:r>
      <w:r w:rsidR="00BD75FE" w:rsidRPr="002565CA">
        <w:rPr>
          <w:b w:val="0"/>
          <w:vertAlign w:val="subscript"/>
        </w:rPr>
        <w:t>3</w:t>
      </w:r>
      <w:r w:rsidR="00BD75FE" w:rsidRPr="002565CA">
        <w:rPr>
          <w:b w:val="0"/>
        </w:rPr>
        <w:t xml:space="preserve"> absorber layer.</w:t>
      </w:r>
    </w:p>
    <w:p w:rsidR="00E671FF" w:rsidRDefault="00E671FF" w:rsidP="00234C2C">
      <w:pPr>
        <w:pStyle w:val="Head1"/>
        <w:spacing w:line="480" w:lineRule="auto"/>
        <w:rPr>
          <w:b w:val="0"/>
        </w:rPr>
      </w:pPr>
    </w:p>
    <w:p w:rsidR="00E671FF" w:rsidRDefault="00E671FF" w:rsidP="00234C2C">
      <w:pPr>
        <w:pStyle w:val="Head1"/>
        <w:spacing w:line="480" w:lineRule="auto"/>
        <w:rPr>
          <w:b w:val="0"/>
        </w:rPr>
      </w:pPr>
      <w:r>
        <w:rPr>
          <w:b w:val="0"/>
        </w:rPr>
        <w:t>The Sb</w:t>
      </w:r>
      <w:r>
        <w:rPr>
          <w:b w:val="0"/>
          <w:vertAlign w:val="subscript"/>
        </w:rPr>
        <w:t>2</w:t>
      </w:r>
      <w:r>
        <w:rPr>
          <w:b w:val="0"/>
        </w:rPr>
        <w:t>Se</w:t>
      </w:r>
      <w:r>
        <w:rPr>
          <w:b w:val="0"/>
          <w:vertAlign w:val="subscript"/>
        </w:rPr>
        <w:t>3</w:t>
      </w:r>
      <w:r>
        <w:rPr>
          <w:b w:val="0"/>
        </w:rPr>
        <w:t xml:space="preserve"> grain structure for the two-stage CSS Sb</w:t>
      </w:r>
      <w:r>
        <w:rPr>
          <w:b w:val="0"/>
          <w:vertAlign w:val="subscript"/>
        </w:rPr>
        <w:t>2</w:t>
      </w:r>
      <w:r>
        <w:rPr>
          <w:b w:val="0"/>
        </w:rPr>
        <w:t>Se</w:t>
      </w:r>
      <w:r>
        <w:rPr>
          <w:b w:val="0"/>
          <w:vertAlign w:val="subscript"/>
        </w:rPr>
        <w:t>3</w:t>
      </w:r>
      <w:r>
        <w:rPr>
          <w:b w:val="0"/>
        </w:rPr>
        <w:t>-TiO</w:t>
      </w:r>
      <w:r>
        <w:rPr>
          <w:b w:val="0"/>
          <w:vertAlign w:val="subscript"/>
        </w:rPr>
        <w:t>2</w:t>
      </w:r>
      <w:r>
        <w:rPr>
          <w:b w:val="0"/>
        </w:rPr>
        <w:t xml:space="preserve"> device (Figure </w:t>
      </w:r>
      <w:r w:rsidR="001B36DA">
        <w:rPr>
          <w:b w:val="0"/>
        </w:rPr>
        <w:t>3</w:t>
      </w:r>
      <w:r>
        <w:rPr>
          <w:b w:val="0"/>
        </w:rPr>
        <w:t xml:space="preserve">d) does not show any evidence of the starting seed layer (Figure </w:t>
      </w:r>
      <w:r w:rsidR="001B36DA">
        <w:rPr>
          <w:b w:val="0"/>
        </w:rPr>
        <w:t>3</w:t>
      </w:r>
      <w:r>
        <w:rPr>
          <w:b w:val="0"/>
        </w:rPr>
        <w:t>c), indicating significant grain re-structuring during film growth. Electron diffraction combined with imaging in a TEM can be used to determine the [001] ribbon orientation of individual Sb</w:t>
      </w:r>
      <w:r>
        <w:rPr>
          <w:b w:val="0"/>
          <w:vertAlign w:val="subscript"/>
        </w:rPr>
        <w:t>2</w:t>
      </w:r>
      <w:r>
        <w:rPr>
          <w:b w:val="0"/>
        </w:rPr>
        <w:t>Se</w:t>
      </w:r>
      <w:r>
        <w:rPr>
          <w:b w:val="0"/>
          <w:vertAlign w:val="subscript"/>
        </w:rPr>
        <w:t>3</w:t>
      </w:r>
      <w:r>
        <w:rPr>
          <w:b w:val="0"/>
        </w:rPr>
        <w:t xml:space="preserve"> grains relative to the substrate (see </w:t>
      </w:r>
      <w:r w:rsidRPr="002565CA">
        <w:rPr>
          <w:b w:val="0"/>
        </w:rPr>
        <w:t>Supporting Information</w:t>
      </w:r>
      <w:r w:rsidR="005B12B5" w:rsidRPr="002565CA">
        <w:rPr>
          <w:b w:val="0"/>
        </w:rPr>
        <w:t xml:space="preserve"> (ii)</w:t>
      </w:r>
      <w:r>
        <w:rPr>
          <w:b w:val="0"/>
        </w:rPr>
        <w:t xml:space="preserve"> for more details). In </w:t>
      </w:r>
      <w:r w:rsidRPr="00E671FF">
        <w:rPr>
          <w:b w:val="0"/>
        </w:rPr>
        <w:t xml:space="preserve">Figure </w:t>
      </w:r>
      <w:r w:rsidR="001B36DA">
        <w:rPr>
          <w:b w:val="0"/>
        </w:rPr>
        <w:t>4</w:t>
      </w:r>
      <w:r w:rsidRPr="00E671FF">
        <w:rPr>
          <w:b w:val="0"/>
        </w:rPr>
        <w:t>a</w:t>
      </w:r>
      <w:r>
        <w:rPr>
          <w:b w:val="0"/>
        </w:rPr>
        <w:t xml:space="preserve"> the ribbon orientation is plotted as a function of grain ‘height’, i.e. the grain dimension measured along the film thickness direction, for the two-stage CSS Sb</w:t>
      </w:r>
      <w:r>
        <w:rPr>
          <w:b w:val="0"/>
          <w:vertAlign w:val="subscript"/>
        </w:rPr>
        <w:t>2</w:t>
      </w:r>
      <w:r>
        <w:rPr>
          <w:b w:val="0"/>
        </w:rPr>
        <w:t>Se</w:t>
      </w:r>
      <w:r>
        <w:rPr>
          <w:b w:val="0"/>
          <w:vertAlign w:val="subscript"/>
        </w:rPr>
        <w:t>3</w:t>
      </w:r>
      <w:r>
        <w:rPr>
          <w:b w:val="0"/>
        </w:rPr>
        <w:t>-TiO</w:t>
      </w:r>
      <w:r>
        <w:rPr>
          <w:b w:val="0"/>
          <w:vertAlign w:val="subscript"/>
        </w:rPr>
        <w:t>2</w:t>
      </w:r>
      <w:r>
        <w:rPr>
          <w:b w:val="0"/>
        </w:rPr>
        <w:t xml:space="preserve"> device. A 0</w:t>
      </w:r>
      <w:r>
        <w:rPr>
          <w:b w:val="0"/>
          <w:vertAlign w:val="superscript"/>
        </w:rPr>
        <w:t>o</w:t>
      </w:r>
      <w:r>
        <w:rPr>
          <w:b w:val="0"/>
        </w:rPr>
        <w:t xml:space="preserve"> orientation corresponds to ribbons oriented normal to the substrate and is the preferred grain texture. There is a clear correlation between grain height and orientation, such that the taller, more columnar grains also have more favorable orientations. On the other hand the equivalent </w:t>
      </w:r>
      <w:r>
        <w:rPr>
          <w:b w:val="0"/>
        </w:rPr>
        <w:lastRenderedPageBreak/>
        <w:t>grain orientation plot for the CSS Sb</w:t>
      </w:r>
      <w:r>
        <w:rPr>
          <w:b w:val="0"/>
          <w:vertAlign w:val="subscript"/>
        </w:rPr>
        <w:t>2</w:t>
      </w:r>
      <w:r>
        <w:rPr>
          <w:b w:val="0"/>
        </w:rPr>
        <w:t>Se</w:t>
      </w:r>
      <w:r>
        <w:rPr>
          <w:b w:val="0"/>
          <w:vertAlign w:val="subscript"/>
        </w:rPr>
        <w:t>3</w:t>
      </w:r>
      <w:r>
        <w:rPr>
          <w:b w:val="0"/>
        </w:rPr>
        <w:t>-CdS device (</w:t>
      </w:r>
      <w:r w:rsidRPr="00E671FF">
        <w:rPr>
          <w:b w:val="0"/>
        </w:rPr>
        <w:t xml:space="preserve">Figure </w:t>
      </w:r>
      <w:r w:rsidR="001B36DA">
        <w:rPr>
          <w:b w:val="0"/>
        </w:rPr>
        <w:t>4</w:t>
      </w:r>
      <w:r w:rsidRPr="00E671FF">
        <w:rPr>
          <w:b w:val="0"/>
        </w:rPr>
        <w:t>b</w:t>
      </w:r>
      <w:r>
        <w:rPr>
          <w:b w:val="0"/>
        </w:rPr>
        <w:t>) shows no strong correlation between grain height and orientation. X-ray diffraction showed that both the two-stage CSS Sb</w:t>
      </w:r>
      <w:r>
        <w:rPr>
          <w:b w:val="0"/>
          <w:vertAlign w:val="subscript"/>
        </w:rPr>
        <w:t>2</w:t>
      </w:r>
      <w:r>
        <w:rPr>
          <w:b w:val="0"/>
        </w:rPr>
        <w:t>Se</w:t>
      </w:r>
      <w:r>
        <w:rPr>
          <w:b w:val="0"/>
          <w:vertAlign w:val="subscript"/>
        </w:rPr>
        <w:t>3</w:t>
      </w:r>
      <w:r>
        <w:rPr>
          <w:b w:val="0"/>
        </w:rPr>
        <w:t>-TiO</w:t>
      </w:r>
      <w:r>
        <w:rPr>
          <w:b w:val="0"/>
          <w:vertAlign w:val="subscript"/>
        </w:rPr>
        <w:t>2</w:t>
      </w:r>
      <w:r>
        <w:rPr>
          <w:b w:val="0"/>
        </w:rPr>
        <w:t xml:space="preserve"> and CSS Sb</w:t>
      </w:r>
      <w:r>
        <w:rPr>
          <w:b w:val="0"/>
          <w:vertAlign w:val="subscript"/>
        </w:rPr>
        <w:t>2</w:t>
      </w:r>
      <w:r>
        <w:rPr>
          <w:b w:val="0"/>
        </w:rPr>
        <w:t>Se</w:t>
      </w:r>
      <w:r>
        <w:rPr>
          <w:b w:val="0"/>
          <w:vertAlign w:val="subscript"/>
        </w:rPr>
        <w:t>3</w:t>
      </w:r>
      <w:r>
        <w:rPr>
          <w:b w:val="0"/>
        </w:rPr>
        <w:t>-CdS devices had a predominantly (211)</w:t>
      </w:r>
      <w:proofErr w:type="gramStart"/>
      <w:r>
        <w:rPr>
          <w:b w:val="0"/>
        </w:rPr>
        <w:t>/(</w:t>
      </w:r>
      <w:proofErr w:type="gramEnd"/>
      <w:r>
        <w:rPr>
          <w:b w:val="0"/>
        </w:rPr>
        <w:t xml:space="preserve">221) texture, with the (002) peak being slightly stronger in the former (see </w:t>
      </w:r>
      <w:r w:rsidRPr="002565CA">
        <w:rPr>
          <w:b w:val="0"/>
        </w:rPr>
        <w:t>Supporting Information</w:t>
      </w:r>
      <w:r w:rsidR="005B12B5" w:rsidRPr="002565CA">
        <w:rPr>
          <w:b w:val="0"/>
        </w:rPr>
        <w:t xml:space="preserve"> (iii)</w:t>
      </w:r>
      <w:r w:rsidRPr="002565CA">
        <w:rPr>
          <w:b w:val="0"/>
        </w:rPr>
        <w:t>).</w:t>
      </w:r>
      <w:r>
        <w:rPr>
          <w:b w:val="0"/>
        </w:rPr>
        <w:t xml:space="preserve"> Figure </w:t>
      </w:r>
      <w:r w:rsidR="001B36DA">
        <w:rPr>
          <w:b w:val="0"/>
        </w:rPr>
        <w:t>4</w:t>
      </w:r>
      <w:r>
        <w:rPr>
          <w:b w:val="0"/>
        </w:rPr>
        <w:t>a indicates that [001] is a fast crystal growth direction and leads to more columnar grains, although overall the film tends to adopt a (211)</w:t>
      </w:r>
      <w:proofErr w:type="gramStart"/>
      <w:r>
        <w:rPr>
          <w:b w:val="0"/>
        </w:rPr>
        <w:t>/(</w:t>
      </w:r>
      <w:proofErr w:type="gramEnd"/>
      <w:r>
        <w:rPr>
          <w:b w:val="0"/>
        </w:rPr>
        <w:t>221) texture, presumably due to surface energy minimization. Fast grain growth along [001] is not however observed in the CSS Sb</w:t>
      </w:r>
      <w:r>
        <w:rPr>
          <w:b w:val="0"/>
          <w:vertAlign w:val="subscript"/>
        </w:rPr>
        <w:t>2</w:t>
      </w:r>
      <w:r>
        <w:rPr>
          <w:b w:val="0"/>
        </w:rPr>
        <w:t>Se</w:t>
      </w:r>
      <w:r>
        <w:rPr>
          <w:b w:val="0"/>
          <w:vertAlign w:val="subscript"/>
        </w:rPr>
        <w:t>3</w:t>
      </w:r>
      <w:r>
        <w:rPr>
          <w:b w:val="0"/>
        </w:rPr>
        <w:t xml:space="preserve">-CdS sample (Figure </w:t>
      </w:r>
      <w:r w:rsidR="001B36DA">
        <w:rPr>
          <w:b w:val="0"/>
        </w:rPr>
        <w:t>4</w:t>
      </w:r>
      <w:r>
        <w:rPr>
          <w:b w:val="0"/>
        </w:rPr>
        <w:t>b). This is likely to be due to the opposing effect inter-diffusion of the Sb</w:t>
      </w:r>
      <w:r>
        <w:rPr>
          <w:b w:val="0"/>
          <w:vertAlign w:val="subscript"/>
        </w:rPr>
        <w:t>2</w:t>
      </w:r>
      <w:r>
        <w:rPr>
          <w:b w:val="0"/>
        </w:rPr>
        <w:t>Se</w:t>
      </w:r>
      <w:r>
        <w:rPr>
          <w:b w:val="0"/>
          <w:vertAlign w:val="subscript"/>
        </w:rPr>
        <w:t>3</w:t>
      </w:r>
      <w:r>
        <w:rPr>
          <w:b w:val="0"/>
        </w:rPr>
        <w:t xml:space="preserve"> layer at the Sb</w:t>
      </w:r>
      <w:r>
        <w:rPr>
          <w:b w:val="0"/>
          <w:vertAlign w:val="subscript"/>
        </w:rPr>
        <w:t>2</w:t>
      </w:r>
      <w:r>
        <w:rPr>
          <w:b w:val="0"/>
        </w:rPr>
        <w:t>Se</w:t>
      </w:r>
      <w:r>
        <w:rPr>
          <w:b w:val="0"/>
          <w:vertAlign w:val="subscript"/>
        </w:rPr>
        <w:t>3</w:t>
      </w:r>
      <w:r>
        <w:rPr>
          <w:b w:val="0"/>
        </w:rPr>
        <w:t xml:space="preserve">-CdS interface has on grain growth (see Figure </w:t>
      </w:r>
      <w:r w:rsidR="001B36DA">
        <w:rPr>
          <w:b w:val="0"/>
        </w:rPr>
        <w:t>3</w:t>
      </w:r>
      <w:r>
        <w:rPr>
          <w:b w:val="0"/>
        </w:rPr>
        <w:t xml:space="preserve">a and section </w:t>
      </w:r>
      <w:r w:rsidR="002A22E4">
        <w:rPr>
          <w:b w:val="0"/>
        </w:rPr>
        <w:t>2.3</w:t>
      </w:r>
      <w:r>
        <w:rPr>
          <w:b w:val="0"/>
        </w:rPr>
        <w:t>).</w:t>
      </w:r>
    </w:p>
    <w:p w:rsidR="001B36DA" w:rsidRDefault="001B36DA" w:rsidP="00234C2C">
      <w:pPr>
        <w:pStyle w:val="Head1"/>
        <w:spacing w:line="480" w:lineRule="auto"/>
        <w:rPr>
          <w:b w:val="0"/>
        </w:rPr>
      </w:pPr>
    </w:p>
    <w:p w:rsidR="00E671FF" w:rsidRDefault="00E671FF" w:rsidP="00234C2C">
      <w:pPr>
        <w:pStyle w:val="Head1"/>
        <w:spacing w:line="480" w:lineRule="auto"/>
      </w:pPr>
      <w:r>
        <w:t>2.2. Grain boundary structural relaxation</w:t>
      </w:r>
    </w:p>
    <w:p w:rsidR="00E671FF" w:rsidRDefault="00E671FF" w:rsidP="00234C2C">
      <w:pPr>
        <w:pStyle w:val="Head1"/>
        <w:spacing w:line="480" w:lineRule="auto"/>
      </w:pPr>
    </w:p>
    <w:p w:rsidR="00E671FF" w:rsidRDefault="00E671FF" w:rsidP="00234C2C">
      <w:pPr>
        <w:pStyle w:val="Head1"/>
        <w:spacing w:line="480" w:lineRule="auto"/>
        <w:rPr>
          <w:b w:val="0"/>
        </w:rPr>
      </w:pPr>
      <w:r>
        <w:rPr>
          <w:b w:val="0"/>
        </w:rPr>
        <w:t>Atomically resolved AC-STEM bright field (BF) and high angle annular dark field (HAADF) images of an individual grain boundary in the CSS Sb</w:t>
      </w:r>
      <w:r>
        <w:rPr>
          <w:b w:val="0"/>
          <w:vertAlign w:val="subscript"/>
        </w:rPr>
        <w:t>2</w:t>
      </w:r>
      <w:r>
        <w:rPr>
          <w:b w:val="0"/>
        </w:rPr>
        <w:t>Se</w:t>
      </w:r>
      <w:r>
        <w:rPr>
          <w:b w:val="0"/>
          <w:vertAlign w:val="subscript"/>
        </w:rPr>
        <w:t>3</w:t>
      </w:r>
      <w:r>
        <w:rPr>
          <w:b w:val="0"/>
        </w:rPr>
        <w:t xml:space="preserve">-CdS device are shown in </w:t>
      </w:r>
      <w:r w:rsidRPr="00E671FF">
        <w:rPr>
          <w:b w:val="0"/>
        </w:rPr>
        <w:t xml:space="preserve">Figure </w:t>
      </w:r>
      <w:r w:rsidR="00205749">
        <w:rPr>
          <w:b w:val="0"/>
        </w:rPr>
        <w:t>5</w:t>
      </w:r>
      <w:r w:rsidRPr="00E671FF">
        <w:rPr>
          <w:b w:val="0"/>
        </w:rPr>
        <w:t>a</w:t>
      </w:r>
      <w:r>
        <w:t xml:space="preserve"> </w:t>
      </w:r>
      <w:r>
        <w:rPr>
          <w:b w:val="0"/>
        </w:rPr>
        <w:t xml:space="preserve">and </w:t>
      </w:r>
      <w:r w:rsidRPr="00E671FF">
        <w:rPr>
          <w:b w:val="0"/>
        </w:rPr>
        <w:t xml:space="preserve">Figure </w:t>
      </w:r>
      <w:r w:rsidR="00205749">
        <w:rPr>
          <w:b w:val="0"/>
        </w:rPr>
        <w:t>5</w:t>
      </w:r>
      <w:r w:rsidRPr="00E671FF">
        <w:rPr>
          <w:b w:val="0"/>
        </w:rPr>
        <w:t>b</w:t>
      </w:r>
      <w:r>
        <w:rPr>
          <w:b w:val="0"/>
        </w:rPr>
        <w:t xml:space="preserve"> respectively. The grain boundary is located close to the Sb</w:t>
      </w:r>
      <w:r>
        <w:rPr>
          <w:b w:val="0"/>
          <w:vertAlign w:val="subscript"/>
        </w:rPr>
        <w:t>2</w:t>
      </w:r>
      <w:r>
        <w:rPr>
          <w:b w:val="0"/>
        </w:rPr>
        <w:t>Se</w:t>
      </w:r>
      <w:r>
        <w:rPr>
          <w:b w:val="0"/>
          <w:vertAlign w:val="subscript"/>
        </w:rPr>
        <w:t>3</w:t>
      </w:r>
      <w:r>
        <w:rPr>
          <w:b w:val="0"/>
        </w:rPr>
        <w:t xml:space="preserve"> film free surface, with the protective carbon layer used for TEM sample preparation visible in the top region of each micrograph (note that the FIB TEM lamella was extracted from an area outside the metal back contact). A Fourier filtered HAADF image, shown in </w:t>
      </w:r>
      <w:r w:rsidRPr="00E671FF">
        <w:rPr>
          <w:b w:val="0"/>
        </w:rPr>
        <w:t xml:space="preserve">Figure </w:t>
      </w:r>
      <w:r w:rsidR="00205749">
        <w:rPr>
          <w:b w:val="0"/>
        </w:rPr>
        <w:t>5</w:t>
      </w:r>
      <w:r w:rsidRPr="00E671FF">
        <w:rPr>
          <w:b w:val="0"/>
        </w:rPr>
        <w:t>c</w:t>
      </w:r>
      <w:r>
        <w:rPr>
          <w:b w:val="0"/>
        </w:rPr>
        <w:t xml:space="preserve">, provides a clearer view of the boundary structure. Using Fourier transforms and the atomic structure of the HAADF image the orientation of the grain to the left of the grain boundary was found to be [100], while the right hand grain is close to </w:t>
      </w:r>
      <w:proofErr w:type="gramStart"/>
      <w:r>
        <w:rPr>
          <w:b w:val="0"/>
        </w:rPr>
        <w:t>a</w:t>
      </w:r>
      <w:proofErr w:type="gramEnd"/>
      <w:r>
        <w:rPr>
          <w:b w:val="0"/>
        </w:rPr>
        <w:t xml:space="preserve"> </w:t>
      </w:r>
      <m:oMath>
        <m:r>
          <m:rPr>
            <m:sty m:val="bi"/>
          </m:rPr>
          <w:rPr>
            <w:rFonts w:ascii="Cambria Math" w:hAnsi="Cambria Math"/>
          </w:rPr>
          <m:t>[</m:t>
        </m:r>
        <m:r>
          <m:rPr>
            <m:sty m:val="p"/>
          </m:rPr>
          <w:rPr>
            <w:rFonts w:ascii="Cambria Math" w:hAnsi="Cambria Math"/>
          </w:rPr>
          <m:t>2</m:t>
        </m:r>
        <m:acc>
          <m:accPr>
            <m:chr m:val="̅"/>
            <m:ctrlPr>
              <w:rPr>
                <w:rFonts w:ascii="Cambria Math" w:hAnsi="Cambria Math"/>
                <w:b w:val="0"/>
                <w:i/>
              </w:rPr>
            </m:ctrlPr>
          </m:accPr>
          <m:e>
            <m:r>
              <w:rPr>
                <w:rFonts w:ascii="Cambria Math" w:hAnsi="Cambria Math"/>
              </w:rPr>
              <m:t>1</m:t>
            </m:r>
          </m:e>
        </m:acc>
        <m:r>
          <w:rPr>
            <w:rFonts w:ascii="Cambria Math" w:hAnsi="Cambria Math"/>
          </w:rPr>
          <m:t>1</m:t>
        </m:r>
        <m:r>
          <m:rPr>
            <m:sty m:val="bi"/>
          </m:rPr>
          <w:rPr>
            <w:rFonts w:ascii="Cambria Math" w:hAnsi="Cambria Math"/>
          </w:rPr>
          <m:t>]</m:t>
        </m:r>
      </m:oMath>
      <w:r>
        <w:rPr>
          <w:b w:val="0"/>
        </w:rPr>
        <w:t xml:space="preserve"> orientation. The projected direction of the [001] oriented ribbons within each grain is annotated in Figure </w:t>
      </w:r>
      <w:r w:rsidR="00205749">
        <w:rPr>
          <w:b w:val="0"/>
        </w:rPr>
        <w:t>5</w:t>
      </w:r>
      <w:r>
        <w:rPr>
          <w:b w:val="0"/>
        </w:rPr>
        <w:t xml:space="preserve">c, with the ribbons for the left grain being in-plane. For hole collection at the metal back contact the overall direction of </w:t>
      </w:r>
      <w:proofErr w:type="gramStart"/>
      <w:r>
        <w:rPr>
          <w:b w:val="0"/>
        </w:rPr>
        <w:t>hole</w:t>
      </w:r>
      <w:proofErr w:type="gramEnd"/>
      <w:r>
        <w:rPr>
          <w:b w:val="0"/>
        </w:rPr>
        <w:t xml:space="preserve"> transport must be in the vertical direction with respect to the AC-</w:t>
      </w:r>
      <w:r>
        <w:rPr>
          <w:b w:val="0"/>
        </w:rPr>
        <w:lastRenderedPageBreak/>
        <w:t xml:space="preserve">STEM images in Figure </w:t>
      </w:r>
      <w:r w:rsidR="00205749">
        <w:rPr>
          <w:b w:val="0"/>
        </w:rPr>
        <w:t>5</w:t>
      </w:r>
      <w:r>
        <w:rPr>
          <w:b w:val="0"/>
        </w:rPr>
        <w:t>a-</w:t>
      </w:r>
      <w:r w:rsidR="00205749">
        <w:rPr>
          <w:b w:val="0"/>
        </w:rPr>
        <w:t>5</w:t>
      </w:r>
      <w:r>
        <w:rPr>
          <w:b w:val="0"/>
        </w:rPr>
        <w:t xml:space="preserve">c. The mobility is however highest along the [001] ribbon direction </w:t>
      </w:r>
      <w:r w:rsidR="00BF2C9C">
        <w:rPr>
          <w:b w:val="0"/>
          <w:vertAlign w:val="superscript"/>
        </w:rPr>
        <w:t>(15)</w:t>
      </w:r>
      <w:r>
        <w:rPr>
          <w:b w:val="0"/>
        </w:rPr>
        <w:t>. The orientation of the ribbons either side of the grain boundary means that on crossing the grain boundary holes cannot reach the back contact unless some amount of inter-ribbon charge hopping takes place. Inter-ribbon charge hopping is much less efficient compared to transport along the ribbon, so that in this particular case the grain boundary impedes collection of the hole current. This phenomenon is due entirely to the anisotropy of the Sb</w:t>
      </w:r>
      <w:r>
        <w:rPr>
          <w:b w:val="0"/>
          <w:vertAlign w:val="subscript"/>
        </w:rPr>
        <w:t>2</w:t>
      </w:r>
      <w:r>
        <w:rPr>
          <w:b w:val="0"/>
        </w:rPr>
        <w:t>Se</w:t>
      </w:r>
      <w:r>
        <w:rPr>
          <w:b w:val="0"/>
          <w:vertAlign w:val="subscript"/>
        </w:rPr>
        <w:t>3</w:t>
      </w:r>
      <w:r>
        <w:rPr>
          <w:b w:val="0"/>
        </w:rPr>
        <w:t xml:space="preserve"> crystal structure, and therefore similar considerations apply to grain boundaries and electron transport towards the space charge region.  </w:t>
      </w:r>
    </w:p>
    <w:p w:rsidR="00E671FF" w:rsidRDefault="00E671FF" w:rsidP="00234C2C">
      <w:pPr>
        <w:pStyle w:val="Head1"/>
        <w:spacing w:line="480" w:lineRule="auto"/>
        <w:rPr>
          <w:b w:val="0"/>
        </w:rPr>
      </w:pPr>
    </w:p>
    <w:p w:rsidR="00E671FF" w:rsidRPr="007D4FCF" w:rsidRDefault="00E671FF" w:rsidP="00234C2C">
      <w:pPr>
        <w:pStyle w:val="Head1"/>
        <w:spacing w:line="480" w:lineRule="auto"/>
        <w:rPr>
          <w:b w:val="0"/>
        </w:rPr>
      </w:pPr>
      <w:r>
        <w:rPr>
          <w:b w:val="0"/>
        </w:rPr>
        <w:t xml:space="preserve">The grain boundary plane in the AC-STEM images is indexed as (041) and (273) in the crystal coordinates of the left and right hand grains respectively. </w:t>
      </w:r>
      <w:r w:rsidRPr="00E671FF">
        <w:rPr>
          <w:b w:val="0"/>
        </w:rPr>
        <w:t xml:space="preserve">Figure </w:t>
      </w:r>
      <w:r w:rsidR="00205749">
        <w:rPr>
          <w:b w:val="0"/>
        </w:rPr>
        <w:t>5</w:t>
      </w:r>
      <w:r w:rsidRPr="00E671FF">
        <w:rPr>
          <w:b w:val="0"/>
        </w:rPr>
        <w:t>d</w:t>
      </w:r>
      <w:r>
        <w:rPr>
          <w:b w:val="0"/>
        </w:rPr>
        <w:t xml:space="preserve"> is an enlarged view of the grain boundary region extracted from the filtered HAADF image (Figure </w:t>
      </w:r>
      <w:r w:rsidR="00205749">
        <w:rPr>
          <w:b w:val="0"/>
        </w:rPr>
        <w:t>5</w:t>
      </w:r>
      <w:r>
        <w:rPr>
          <w:b w:val="0"/>
        </w:rPr>
        <w:t xml:space="preserve">c). The grain boundary plane is not </w:t>
      </w:r>
      <w:proofErr w:type="spellStart"/>
      <w:r>
        <w:rPr>
          <w:b w:val="0"/>
        </w:rPr>
        <w:t>atomistically</w:t>
      </w:r>
      <w:proofErr w:type="spellEnd"/>
      <w:r>
        <w:rPr>
          <w:b w:val="0"/>
        </w:rPr>
        <w:t xml:space="preserve"> flat and contains several (001) steps. Simulating the full grain boundary using DFT is computationally demanding since the absence of simple periodic boundary conditions requires an extremely large supercell.  As a compromise DFT calculations are performed on (001) and (041), (273) free surfaces, which are taken to represent the grain boundary steps and average grain boundary plane respectively. It is not possible to accurately represent a grain boundary by a free surface when there is coupling between atoms on either side of the boundary. In Sb</w:t>
      </w:r>
      <w:r>
        <w:rPr>
          <w:b w:val="0"/>
          <w:vertAlign w:val="subscript"/>
        </w:rPr>
        <w:t>2</w:t>
      </w:r>
      <w:r>
        <w:rPr>
          <w:b w:val="0"/>
        </w:rPr>
        <w:t>Se</w:t>
      </w:r>
      <w:r>
        <w:rPr>
          <w:b w:val="0"/>
          <w:vertAlign w:val="subscript"/>
        </w:rPr>
        <w:t>3</w:t>
      </w:r>
      <w:r>
        <w:rPr>
          <w:b w:val="0"/>
        </w:rPr>
        <w:t xml:space="preserve"> though the strong covalent bonding is confined to the [001] ribbons, and for the grain boundary in Figure </w:t>
      </w:r>
      <w:r w:rsidR="00205749">
        <w:rPr>
          <w:b w:val="0"/>
        </w:rPr>
        <w:t>5</w:t>
      </w:r>
      <w:r>
        <w:rPr>
          <w:b w:val="0"/>
        </w:rPr>
        <w:t>c the ribbon orientation changes by 74</w:t>
      </w:r>
      <w:r>
        <w:rPr>
          <w:b w:val="0"/>
          <w:vertAlign w:val="superscript"/>
        </w:rPr>
        <w:t>o</w:t>
      </w:r>
      <w:r>
        <w:rPr>
          <w:b w:val="0"/>
        </w:rPr>
        <w:t xml:space="preserve"> on crossing the grain boundary plane (here the out-of-plane component of the ribbon direction in the right hand grain has been taken into account). Since the ribbon directions are close to orthogonal the coupling is likely to be weak, thus justifying the use of free surfaces in the simulation. </w:t>
      </w:r>
    </w:p>
    <w:p w:rsidR="00E671FF" w:rsidRDefault="00E671FF" w:rsidP="00234C2C">
      <w:pPr>
        <w:pStyle w:val="Head1"/>
        <w:spacing w:line="480" w:lineRule="auto"/>
        <w:rPr>
          <w:b w:val="0"/>
        </w:rPr>
      </w:pPr>
    </w:p>
    <w:p w:rsidR="00E671FF" w:rsidRDefault="00E671FF" w:rsidP="00234C2C">
      <w:pPr>
        <w:pStyle w:val="Head1"/>
        <w:spacing w:line="480" w:lineRule="auto"/>
        <w:rPr>
          <w:b w:val="0"/>
        </w:rPr>
      </w:pPr>
      <w:r>
        <w:rPr>
          <w:b w:val="0"/>
        </w:rPr>
        <w:lastRenderedPageBreak/>
        <w:t>Supercells of single crystal Sb</w:t>
      </w:r>
      <w:r>
        <w:rPr>
          <w:b w:val="0"/>
          <w:vertAlign w:val="subscript"/>
        </w:rPr>
        <w:t>2</w:t>
      </w:r>
      <w:r>
        <w:rPr>
          <w:b w:val="0"/>
        </w:rPr>
        <w:t>Se</w:t>
      </w:r>
      <w:r>
        <w:rPr>
          <w:b w:val="0"/>
          <w:vertAlign w:val="subscript"/>
        </w:rPr>
        <w:t>3</w:t>
      </w:r>
      <w:r>
        <w:rPr>
          <w:b w:val="0"/>
        </w:rPr>
        <w:t xml:space="preserve"> were constructed to determine the electronic density of states (DOS) at the free surface and the bulk of the crystal respectively. The free surface DOS was calculated before and after atom relaxation using the </w:t>
      </w:r>
      <w:r w:rsidRPr="00620189">
        <w:rPr>
          <w:b w:val="0"/>
          <w:color w:val="000000" w:themeColor="text1"/>
        </w:rPr>
        <w:t xml:space="preserve">HSE06 hybrid functional together with the D3 </w:t>
      </w:r>
      <w:proofErr w:type="spellStart"/>
      <w:r w:rsidRPr="00620189">
        <w:rPr>
          <w:b w:val="0"/>
          <w:color w:val="000000" w:themeColor="text1"/>
        </w:rPr>
        <w:t>Grimme</w:t>
      </w:r>
      <w:proofErr w:type="spellEnd"/>
      <w:r w:rsidRPr="00620189">
        <w:rPr>
          <w:b w:val="0"/>
          <w:color w:val="000000" w:themeColor="text1"/>
        </w:rPr>
        <w:t xml:space="preserve"> dispersion correction to describe the Van der Waals</w:t>
      </w:r>
      <w:r>
        <w:rPr>
          <w:b w:val="0"/>
        </w:rPr>
        <w:t xml:space="preserve"> interactions between the (Sb</w:t>
      </w:r>
      <w:r>
        <w:rPr>
          <w:b w:val="0"/>
          <w:vertAlign w:val="subscript"/>
        </w:rPr>
        <w:t>4</w:t>
      </w:r>
      <w:r>
        <w:rPr>
          <w:b w:val="0"/>
        </w:rPr>
        <w:t>Se</w:t>
      </w:r>
      <w:r>
        <w:rPr>
          <w:b w:val="0"/>
          <w:vertAlign w:val="subscript"/>
        </w:rPr>
        <w:t>6</w:t>
      </w:r>
      <w:r>
        <w:rPr>
          <w:b w:val="0"/>
        </w:rPr>
        <w:t>)</w:t>
      </w:r>
      <w:r w:rsidRPr="00A773D0">
        <w:rPr>
          <w:b w:val="0"/>
          <w:vertAlign w:val="subscript"/>
        </w:rPr>
        <w:t>n</w:t>
      </w:r>
      <w:r>
        <w:rPr>
          <w:b w:val="0"/>
        </w:rPr>
        <w:t xml:space="preserve"> ribbons</w:t>
      </w:r>
      <w:r w:rsidRPr="00FE4979">
        <w:rPr>
          <w:b w:val="0"/>
          <w:color w:val="FF0000"/>
        </w:rPr>
        <w:t xml:space="preserve"> </w:t>
      </w:r>
      <w:r w:rsidRPr="00646495">
        <w:rPr>
          <w:b w:val="0"/>
          <w:color w:val="000000" w:themeColor="text1"/>
        </w:rPr>
        <w:t>(HSE+D3)</w:t>
      </w:r>
      <w:r w:rsidR="00BF2C9C">
        <w:rPr>
          <w:b w:val="0"/>
          <w:vertAlign w:val="superscript"/>
        </w:rPr>
        <w:t xml:space="preserve"> (</w:t>
      </w:r>
      <w:r>
        <w:rPr>
          <w:b w:val="0"/>
          <w:vertAlign w:val="superscript"/>
        </w:rPr>
        <w:t>20</w:t>
      </w:r>
      <w:r w:rsidR="00BF2C9C">
        <w:rPr>
          <w:b w:val="0"/>
          <w:vertAlign w:val="superscript"/>
        </w:rPr>
        <w:t>)</w:t>
      </w:r>
      <w:r>
        <w:rPr>
          <w:b w:val="0"/>
        </w:rPr>
        <w:t>. The band gap and lattice constants of Sb</w:t>
      </w:r>
      <w:r>
        <w:rPr>
          <w:b w:val="0"/>
          <w:vertAlign w:val="subscript"/>
        </w:rPr>
        <w:t>2</w:t>
      </w:r>
      <w:r>
        <w:rPr>
          <w:b w:val="0"/>
        </w:rPr>
        <w:t>Se</w:t>
      </w:r>
      <w:r>
        <w:rPr>
          <w:b w:val="0"/>
          <w:vertAlign w:val="subscript"/>
        </w:rPr>
        <w:t>3</w:t>
      </w:r>
      <w:r>
        <w:rPr>
          <w:b w:val="0"/>
        </w:rPr>
        <w:t xml:space="preserve"> can be accurately predicted and the pseudopotential has also been previously used in Sb</w:t>
      </w:r>
      <w:r>
        <w:rPr>
          <w:b w:val="0"/>
          <w:vertAlign w:val="subscript"/>
        </w:rPr>
        <w:t>2</w:t>
      </w:r>
      <w:r>
        <w:rPr>
          <w:b w:val="0"/>
        </w:rPr>
        <w:t>Se</w:t>
      </w:r>
      <w:r>
        <w:rPr>
          <w:b w:val="0"/>
          <w:vertAlign w:val="subscript"/>
        </w:rPr>
        <w:t>3</w:t>
      </w:r>
      <w:r>
        <w:rPr>
          <w:b w:val="0"/>
        </w:rPr>
        <w:t xml:space="preserve"> defect calculations </w:t>
      </w:r>
      <w:r w:rsidR="00BF2C9C">
        <w:rPr>
          <w:b w:val="0"/>
          <w:vertAlign w:val="superscript"/>
        </w:rPr>
        <w:t>(21)</w:t>
      </w:r>
      <w:r>
        <w:rPr>
          <w:b w:val="0"/>
        </w:rPr>
        <w:t xml:space="preserve">. </w:t>
      </w:r>
      <w:r w:rsidRPr="00E671FF">
        <w:rPr>
          <w:b w:val="0"/>
        </w:rPr>
        <w:t xml:space="preserve">Figure </w:t>
      </w:r>
      <w:r w:rsidR="00205749">
        <w:rPr>
          <w:b w:val="0"/>
        </w:rPr>
        <w:t>6</w:t>
      </w:r>
      <w:r w:rsidRPr="00E671FF">
        <w:rPr>
          <w:b w:val="0"/>
        </w:rPr>
        <w:t>a</w:t>
      </w:r>
      <w:r>
        <w:rPr>
          <w:b w:val="0"/>
        </w:rPr>
        <w:t xml:space="preserve"> shows the supercell for the (001) free surface viewed end-on along the [100] direction. The bulk and surface DOS were extracted from atoms within the box regions in Figure </w:t>
      </w:r>
      <w:r w:rsidR="00205749">
        <w:rPr>
          <w:b w:val="0"/>
        </w:rPr>
        <w:t>6</w:t>
      </w:r>
      <w:r>
        <w:rPr>
          <w:b w:val="0"/>
        </w:rPr>
        <w:t xml:space="preserve">a and are shown superimposed in </w:t>
      </w:r>
      <w:r w:rsidRPr="00E671FF">
        <w:rPr>
          <w:b w:val="0"/>
        </w:rPr>
        <w:t xml:space="preserve">Figure </w:t>
      </w:r>
      <w:r w:rsidR="00205749">
        <w:rPr>
          <w:b w:val="0"/>
        </w:rPr>
        <w:t>6</w:t>
      </w:r>
      <w:r w:rsidRPr="00E671FF">
        <w:rPr>
          <w:b w:val="0"/>
        </w:rPr>
        <w:t>b</w:t>
      </w:r>
      <w:r>
        <w:rPr>
          <w:b w:val="0"/>
        </w:rPr>
        <w:t xml:space="preserve">. As expected there are no electronic states within the band gap for the ‘perfect’ bulk crystal. The unrelaxed (001) free surface has electronic states that are close to the middle of the band gap and are therefore potential non-radiative recombination defect levels </w:t>
      </w:r>
      <w:r w:rsidR="00BF2C9C">
        <w:rPr>
          <w:b w:val="0"/>
          <w:vertAlign w:val="superscript"/>
        </w:rPr>
        <w:t>(</w:t>
      </w:r>
      <w:r>
        <w:rPr>
          <w:b w:val="0"/>
          <w:vertAlign w:val="superscript"/>
        </w:rPr>
        <w:t>22</w:t>
      </w:r>
      <w:r w:rsidR="00BF2C9C">
        <w:rPr>
          <w:b w:val="0"/>
          <w:vertAlign w:val="superscript"/>
        </w:rPr>
        <w:t>)</w:t>
      </w:r>
      <w:r>
        <w:rPr>
          <w:b w:val="0"/>
        </w:rPr>
        <w:t>. These deep defect states are due to dangling bonds at the free surface. Shallower donor states are also present but are comparatively benign to device performance. Surprisingly structural relaxation completely eliminates all defect states within the band gap, even though many of the broken bonds still remain. In fact structural relaxation is so strong that the coordination of some of the sub-surface atoms are also altered as a result. Furthermore, there is no shift in the valence band maximum or conduction band minimum at the relaxed free surface compared to the bulk. This means that there is no energetic barrier to electron or hole transport, unlike, for example, grain boundaries in CuInSe</w:t>
      </w:r>
      <w:r>
        <w:rPr>
          <w:b w:val="0"/>
          <w:vertAlign w:val="subscript"/>
        </w:rPr>
        <w:t>2</w:t>
      </w:r>
      <w:r>
        <w:rPr>
          <w:b w:val="0"/>
        </w:rPr>
        <w:t xml:space="preserve"> which are thought to be hole barriers due to a valence band offset between grain boundary and grain interior </w:t>
      </w:r>
      <w:r w:rsidR="00BF2C9C">
        <w:rPr>
          <w:b w:val="0"/>
          <w:vertAlign w:val="superscript"/>
        </w:rPr>
        <w:t>(3)</w:t>
      </w:r>
      <w:r>
        <w:rPr>
          <w:b w:val="0"/>
        </w:rPr>
        <w:t>. Similar trends are also observed for the (041) free surface (</w:t>
      </w:r>
      <w:r w:rsidRPr="00E671FF">
        <w:rPr>
          <w:b w:val="0"/>
        </w:rPr>
        <w:t xml:space="preserve">Figure </w:t>
      </w:r>
      <w:r w:rsidR="00205749">
        <w:rPr>
          <w:b w:val="0"/>
        </w:rPr>
        <w:t>6</w:t>
      </w:r>
      <w:r w:rsidRPr="00E671FF">
        <w:rPr>
          <w:b w:val="0"/>
        </w:rPr>
        <w:t>c</w:t>
      </w:r>
      <w:proofErr w:type="gramStart"/>
      <w:r w:rsidRPr="00E671FF">
        <w:rPr>
          <w:b w:val="0"/>
        </w:rPr>
        <w:t>,d</w:t>
      </w:r>
      <w:proofErr w:type="gramEnd"/>
      <w:r>
        <w:t>)</w:t>
      </w:r>
      <w:r>
        <w:rPr>
          <w:b w:val="0"/>
        </w:rPr>
        <w:t xml:space="preserve">. The supercell for a (273) free surface has too many atoms to simulate using HSE06+D3, and therefore a computationally faster, but less accurate, PBE functional was used for optimization. Even here it was found that deep defect states were removed after surface relaxation (see </w:t>
      </w:r>
      <w:r w:rsidRPr="002565CA">
        <w:rPr>
          <w:b w:val="0"/>
        </w:rPr>
        <w:t>Supporting Information</w:t>
      </w:r>
      <w:r w:rsidR="005B12B5" w:rsidRPr="002565CA">
        <w:rPr>
          <w:b w:val="0"/>
        </w:rPr>
        <w:t xml:space="preserve"> (</w:t>
      </w:r>
      <w:proofErr w:type="gramStart"/>
      <w:r w:rsidR="005B12B5" w:rsidRPr="002565CA">
        <w:rPr>
          <w:b w:val="0"/>
        </w:rPr>
        <w:t>iv</w:t>
      </w:r>
      <w:proofErr w:type="gramEnd"/>
      <w:r w:rsidR="005B12B5" w:rsidRPr="002565CA">
        <w:rPr>
          <w:b w:val="0"/>
        </w:rPr>
        <w:t>)</w:t>
      </w:r>
      <w:r w:rsidRPr="002565CA">
        <w:rPr>
          <w:b w:val="0"/>
        </w:rPr>
        <w:t>).</w:t>
      </w:r>
      <w:r>
        <w:rPr>
          <w:b w:val="0"/>
        </w:rPr>
        <w:t xml:space="preserve"> This was also true</w:t>
      </w:r>
      <w:r w:rsidRPr="00796193">
        <w:rPr>
          <w:b w:val="0"/>
        </w:rPr>
        <w:t xml:space="preserve"> for a </w:t>
      </w:r>
      <w:r w:rsidRPr="00796193">
        <w:rPr>
          <w:b w:val="0"/>
        </w:rPr>
        <w:lastRenderedPageBreak/>
        <w:t xml:space="preserve">(041) symmetric tilt boundary simulated using the HSE06 functional (see </w:t>
      </w:r>
      <w:r w:rsidRPr="002565CA">
        <w:rPr>
          <w:b w:val="0"/>
        </w:rPr>
        <w:t>Supporting Information</w:t>
      </w:r>
      <w:r w:rsidR="005B12B5" w:rsidRPr="002565CA">
        <w:rPr>
          <w:b w:val="0"/>
        </w:rPr>
        <w:t xml:space="preserve"> (</w:t>
      </w:r>
      <w:proofErr w:type="gramStart"/>
      <w:r w:rsidR="005B12B5" w:rsidRPr="002565CA">
        <w:rPr>
          <w:b w:val="0"/>
        </w:rPr>
        <w:t>iv</w:t>
      </w:r>
      <w:proofErr w:type="gramEnd"/>
      <w:r w:rsidR="005B12B5" w:rsidRPr="002565CA">
        <w:rPr>
          <w:b w:val="0"/>
        </w:rPr>
        <w:t>)</w:t>
      </w:r>
      <w:r w:rsidRPr="002565CA">
        <w:rPr>
          <w:b w:val="0"/>
        </w:rPr>
        <w:t>)</w:t>
      </w:r>
      <w:r>
        <w:rPr>
          <w:b w:val="0"/>
        </w:rPr>
        <w:t>. These results suggest that the covalent bonding in (Sb</w:t>
      </w:r>
      <w:r>
        <w:rPr>
          <w:b w:val="0"/>
          <w:vertAlign w:val="subscript"/>
        </w:rPr>
        <w:t>4</w:t>
      </w:r>
      <w:r>
        <w:rPr>
          <w:b w:val="0"/>
        </w:rPr>
        <w:t>Se</w:t>
      </w:r>
      <w:r>
        <w:rPr>
          <w:b w:val="0"/>
          <w:vertAlign w:val="subscript"/>
        </w:rPr>
        <w:t>6</w:t>
      </w:r>
      <w:proofErr w:type="gramStart"/>
      <w:r>
        <w:rPr>
          <w:b w:val="0"/>
        </w:rPr>
        <w:t>)</w:t>
      </w:r>
      <w:r w:rsidRPr="00A773D0">
        <w:rPr>
          <w:b w:val="0"/>
          <w:vertAlign w:val="subscript"/>
        </w:rPr>
        <w:t>n</w:t>
      </w:r>
      <w:proofErr w:type="gramEnd"/>
      <w:r>
        <w:rPr>
          <w:b w:val="0"/>
        </w:rPr>
        <w:t xml:space="preserve"> ribbons</w:t>
      </w:r>
      <w:r>
        <w:rPr>
          <w:b w:val="0"/>
          <w:vertAlign w:val="subscript"/>
        </w:rPr>
        <w:t xml:space="preserve"> </w:t>
      </w:r>
      <w:r>
        <w:rPr>
          <w:b w:val="0"/>
        </w:rPr>
        <w:t>can accommodate large amounts of strain, allowing for significant self-healing of the grain boundary and removal of electronic defect states. This contradicts the commonly held view that only grain boundaries that disrupt the weak van der Waals bonding in Sb</w:t>
      </w:r>
      <w:r>
        <w:rPr>
          <w:b w:val="0"/>
          <w:vertAlign w:val="subscript"/>
        </w:rPr>
        <w:t>2</w:t>
      </w:r>
      <w:r>
        <w:rPr>
          <w:b w:val="0"/>
        </w:rPr>
        <w:t>Se</w:t>
      </w:r>
      <w:r>
        <w:rPr>
          <w:b w:val="0"/>
          <w:vertAlign w:val="subscript"/>
        </w:rPr>
        <w:t>3</w:t>
      </w:r>
      <w:r>
        <w:rPr>
          <w:b w:val="0"/>
        </w:rPr>
        <w:t xml:space="preserve"> are benign. In fact anisotropic charge transport across the grain boundary appears to have a more important effect on device performance than grain boundary recombination. </w:t>
      </w:r>
    </w:p>
    <w:p w:rsidR="00721780" w:rsidRDefault="00721780" w:rsidP="00234C2C">
      <w:pPr>
        <w:pStyle w:val="Head1"/>
        <w:spacing w:line="480" w:lineRule="auto"/>
      </w:pPr>
    </w:p>
    <w:p w:rsidR="00E671FF" w:rsidRPr="00783DAC" w:rsidRDefault="00E671FF" w:rsidP="00234C2C">
      <w:pPr>
        <w:pStyle w:val="Head1"/>
        <w:spacing w:line="480" w:lineRule="auto"/>
      </w:pPr>
      <w:r>
        <w:t>2.3. Inter-diffusion at the Sb</w:t>
      </w:r>
      <w:r>
        <w:rPr>
          <w:vertAlign w:val="subscript"/>
        </w:rPr>
        <w:t>2</w:t>
      </w:r>
      <w:r>
        <w:t>Se</w:t>
      </w:r>
      <w:r>
        <w:rPr>
          <w:vertAlign w:val="subscript"/>
        </w:rPr>
        <w:t>3</w:t>
      </w:r>
      <w:r>
        <w:t>-CdS interface</w:t>
      </w:r>
    </w:p>
    <w:p w:rsidR="00E671FF" w:rsidRDefault="00E671FF" w:rsidP="00234C2C">
      <w:pPr>
        <w:pStyle w:val="Head1"/>
        <w:spacing w:line="480" w:lineRule="auto"/>
        <w:rPr>
          <w:b w:val="0"/>
        </w:rPr>
      </w:pPr>
    </w:p>
    <w:p w:rsidR="00E671FF" w:rsidRDefault="00E671FF" w:rsidP="00234C2C">
      <w:pPr>
        <w:pStyle w:val="Head1"/>
        <w:spacing w:line="480" w:lineRule="auto"/>
        <w:rPr>
          <w:b w:val="0"/>
        </w:rPr>
      </w:pPr>
      <w:r>
        <w:rPr>
          <w:b w:val="0"/>
        </w:rPr>
        <w:t>In photovoltaic heterojunctions, chemical stability of the partner materials is crucial for the proper working of the device. In this section it will be shown that the Sb</w:t>
      </w:r>
      <w:r>
        <w:rPr>
          <w:b w:val="0"/>
          <w:vertAlign w:val="subscript"/>
        </w:rPr>
        <w:t>2</w:t>
      </w:r>
      <w:r>
        <w:rPr>
          <w:b w:val="0"/>
        </w:rPr>
        <w:t>Se</w:t>
      </w:r>
      <w:r>
        <w:rPr>
          <w:b w:val="0"/>
          <w:vertAlign w:val="subscript"/>
        </w:rPr>
        <w:t>3</w:t>
      </w:r>
      <w:r>
        <w:rPr>
          <w:b w:val="0"/>
        </w:rPr>
        <w:t>-CdS interface is highly unstable, leading to a structural breakdown of the Sb</w:t>
      </w:r>
      <w:r>
        <w:rPr>
          <w:b w:val="0"/>
          <w:vertAlign w:val="subscript"/>
        </w:rPr>
        <w:t>2</w:t>
      </w:r>
      <w:r>
        <w:rPr>
          <w:b w:val="0"/>
        </w:rPr>
        <w:t>Se</w:t>
      </w:r>
      <w:r>
        <w:rPr>
          <w:b w:val="0"/>
          <w:vertAlign w:val="subscript"/>
        </w:rPr>
        <w:t>3</w:t>
      </w:r>
      <w:r>
        <w:rPr>
          <w:b w:val="0"/>
        </w:rPr>
        <w:t xml:space="preserve"> layer and in extreme cases the formation of interfacial voids. First consider the CSS Sb</w:t>
      </w:r>
      <w:r>
        <w:rPr>
          <w:b w:val="0"/>
          <w:vertAlign w:val="subscript"/>
        </w:rPr>
        <w:t>2</w:t>
      </w:r>
      <w:r>
        <w:rPr>
          <w:b w:val="0"/>
        </w:rPr>
        <w:t>Se</w:t>
      </w:r>
      <w:r>
        <w:rPr>
          <w:b w:val="0"/>
          <w:vertAlign w:val="subscript"/>
        </w:rPr>
        <w:t>3</w:t>
      </w:r>
      <w:r>
        <w:rPr>
          <w:b w:val="0"/>
        </w:rPr>
        <w:t>-CdS device with the Sb</w:t>
      </w:r>
      <w:r>
        <w:rPr>
          <w:b w:val="0"/>
          <w:vertAlign w:val="subscript"/>
        </w:rPr>
        <w:t>2</w:t>
      </w:r>
      <w:r>
        <w:rPr>
          <w:b w:val="0"/>
        </w:rPr>
        <w:t>Se</w:t>
      </w:r>
      <w:r>
        <w:rPr>
          <w:b w:val="0"/>
          <w:vertAlign w:val="subscript"/>
        </w:rPr>
        <w:t>3</w:t>
      </w:r>
      <w:r>
        <w:rPr>
          <w:b w:val="0"/>
        </w:rPr>
        <w:t xml:space="preserve">-CdS interfacial voids (Figure </w:t>
      </w:r>
      <w:r w:rsidR="00205749">
        <w:rPr>
          <w:b w:val="0"/>
        </w:rPr>
        <w:t>3</w:t>
      </w:r>
      <w:r>
        <w:rPr>
          <w:b w:val="0"/>
        </w:rPr>
        <w:t>a). The distribution of chemical elements around the Sb</w:t>
      </w:r>
      <w:r>
        <w:rPr>
          <w:b w:val="0"/>
          <w:vertAlign w:val="subscript"/>
        </w:rPr>
        <w:t>2</w:t>
      </w:r>
      <w:r>
        <w:rPr>
          <w:b w:val="0"/>
        </w:rPr>
        <w:t>Se</w:t>
      </w:r>
      <w:r>
        <w:rPr>
          <w:b w:val="0"/>
          <w:vertAlign w:val="subscript"/>
        </w:rPr>
        <w:t>3</w:t>
      </w:r>
      <w:r>
        <w:rPr>
          <w:b w:val="0"/>
        </w:rPr>
        <w:t xml:space="preserve">-CdS interface region was mapped using energy dispersive X-ray (EDX) spectroscopy in the STEM. The region selected for chemical mapping had clear interfacial voiding and the results are shown in </w:t>
      </w:r>
      <w:r w:rsidRPr="00E671FF">
        <w:rPr>
          <w:b w:val="0"/>
        </w:rPr>
        <w:t xml:space="preserve">Figure </w:t>
      </w:r>
      <w:r w:rsidR="00205749">
        <w:rPr>
          <w:b w:val="0"/>
        </w:rPr>
        <w:t>7</w:t>
      </w:r>
      <w:r>
        <w:rPr>
          <w:b w:val="0"/>
        </w:rPr>
        <w:t xml:space="preserve">. Se and Sb are both present in the </w:t>
      </w:r>
      <w:proofErr w:type="spellStart"/>
      <w:r>
        <w:rPr>
          <w:b w:val="0"/>
        </w:rPr>
        <w:t>CdS</w:t>
      </w:r>
      <w:proofErr w:type="spellEnd"/>
      <w:r>
        <w:rPr>
          <w:b w:val="0"/>
        </w:rPr>
        <w:t xml:space="preserve"> layer with the latter having a higher concentration towards the </w:t>
      </w:r>
      <w:proofErr w:type="spellStart"/>
      <w:r>
        <w:rPr>
          <w:b w:val="0"/>
        </w:rPr>
        <w:t>CdS-ZnO</w:t>
      </w:r>
      <w:proofErr w:type="spellEnd"/>
      <w:r>
        <w:rPr>
          <w:b w:val="0"/>
        </w:rPr>
        <w:t xml:space="preserve"> high resistive layer interface. The observation of residual Sb signal in the fluorine doped SnO</w:t>
      </w:r>
      <w:r>
        <w:rPr>
          <w:b w:val="0"/>
          <w:vertAlign w:val="subscript"/>
        </w:rPr>
        <w:t>2</w:t>
      </w:r>
      <w:r>
        <w:rPr>
          <w:b w:val="0"/>
        </w:rPr>
        <w:t xml:space="preserve"> (FTO) transparent conducting oxide layer (Figure </w:t>
      </w:r>
      <w:r w:rsidR="00205749">
        <w:rPr>
          <w:b w:val="0"/>
        </w:rPr>
        <w:t>7</w:t>
      </w:r>
      <w:r>
        <w:rPr>
          <w:b w:val="0"/>
        </w:rPr>
        <w:t>c) is a data processing artefact arising from the overlap of the Sn and Sb L-characteristic X-ray peaks. There is no evidence for appreciable Cd or S in the Sb</w:t>
      </w:r>
      <w:r>
        <w:rPr>
          <w:b w:val="0"/>
          <w:vertAlign w:val="subscript"/>
        </w:rPr>
        <w:t>2</w:t>
      </w:r>
      <w:r>
        <w:rPr>
          <w:b w:val="0"/>
        </w:rPr>
        <w:t>Se</w:t>
      </w:r>
      <w:r>
        <w:rPr>
          <w:b w:val="0"/>
          <w:vertAlign w:val="subscript"/>
        </w:rPr>
        <w:t>3</w:t>
      </w:r>
      <w:r>
        <w:rPr>
          <w:b w:val="0"/>
        </w:rPr>
        <w:t xml:space="preserve"> layer, implying faster diffusion kinetics from Sb</w:t>
      </w:r>
      <w:r>
        <w:rPr>
          <w:b w:val="0"/>
          <w:vertAlign w:val="subscript"/>
        </w:rPr>
        <w:t>2</w:t>
      </w:r>
      <w:r>
        <w:rPr>
          <w:b w:val="0"/>
        </w:rPr>
        <w:t>Se</w:t>
      </w:r>
      <w:r>
        <w:rPr>
          <w:b w:val="0"/>
          <w:vertAlign w:val="subscript"/>
        </w:rPr>
        <w:t>3</w:t>
      </w:r>
      <w:r>
        <w:rPr>
          <w:b w:val="0"/>
        </w:rPr>
        <w:t xml:space="preserve"> into </w:t>
      </w:r>
      <w:proofErr w:type="spellStart"/>
      <w:r>
        <w:rPr>
          <w:b w:val="0"/>
        </w:rPr>
        <w:t>CdS</w:t>
      </w:r>
      <w:proofErr w:type="spellEnd"/>
      <w:r>
        <w:rPr>
          <w:b w:val="0"/>
        </w:rPr>
        <w:t xml:space="preserve"> compared to diffusion in the opposite direction. Similar trends were also observed in regions where the Sb</w:t>
      </w:r>
      <w:r>
        <w:rPr>
          <w:b w:val="0"/>
          <w:vertAlign w:val="subscript"/>
        </w:rPr>
        <w:t>2</w:t>
      </w:r>
      <w:r>
        <w:rPr>
          <w:b w:val="0"/>
        </w:rPr>
        <w:t>Se</w:t>
      </w:r>
      <w:r>
        <w:rPr>
          <w:b w:val="0"/>
          <w:vertAlign w:val="subscript"/>
        </w:rPr>
        <w:t>3</w:t>
      </w:r>
      <w:r>
        <w:rPr>
          <w:b w:val="0"/>
        </w:rPr>
        <w:t xml:space="preserve">-CdS interface remained intact, such as the circled area in Figure </w:t>
      </w:r>
      <w:r w:rsidR="00205749">
        <w:rPr>
          <w:b w:val="0"/>
        </w:rPr>
        <w:t>3</w:t>
      </w:r>
      <w:r>
        <w:rPr>
          <w:b w:val="0"/>
        </w:rPr>
        <w:t xml:space="preserve">a (see </w:t>
      </w:r>
      <w:r w:rsidRPr="002565CA">
        <w:rPr>
          <w:b w:val="0"/>
        </w:rPr>
        <w:t>Supporting Information</w:t>
      </w:r>
      <w:r w:rsidR="005B12B5" w:rsidRPr="002565CA">
        <w:rPr>
          <w:b w:val="0"/>
        </w:rPr>
        <w:t xml:space="preserve"> (v)</w:t>
      </w:r>
      <w:r w:rsidRPr="002565CA">
        <w:rPr>
          <w:b w:val="0"/>
        </w:rPr>
        <w:t>).</w:t>
      </w:r>
      <w:r>
        <w:rPr>
          <w:b w:val="0"/>
        </w:rPr>
        <w:t xml:space="preserve">  For </w:t>
      </w:r>
      <w:r>
        <w:rPr>
          <w:b w:val="0"/>
        </w:rPr>
        <w:lastRenderedPageBreak/>
        <w:t xml:space="preserve">vacancy assisted diffusion mechanisms an asymmetry in the diffusion rate across a junction creates pores, known as </w:t>
      </w:r>
      <w:proofErr w:type="spellStart"/>
      <w:r>
        <w:rPr>
          <w:b w:val="0"/>
        </w:rPr>
        <w:t>Kirkendall</w:t>
      </w:r>
      <w:proofErr w:type="spellEnd"/>
      <w:r>
        <w:rPr>
          <w:b w:val="0"/>
        </w:rPr>
        <w:t xml:space="preserve"> voids </w:t>
      </w:r>
      <w:r w:rsidR="00BF2C9C">
        <w:rPr>
          <w:b w:val="0"/>
          <w:vertAlign w:val="superscript"/>
        </w:rPr>
        <w:t>(</w:t>
      </w:r>
      <w:r>
        <w:rPr>
          <w:b w:val="0"/>
          <w:vertAlign w:val="superscript"/>
        </w:rPr>
        <w:t>18</w:t>
      </w:r>
      <w:r w:rsidR="00BF2C9C">
        <w:rPr>
          <w:b w:val="0"/>
          <w:vertAlign w:val="superscript"/>
        </w:rPr>
        <w:t>)</w:t>
      </w:r>
      <w:r>
        <w:rPr>
          <w:b w:val="0"/>
        </w:rPr>
        <w:t>, that form on the side that has the larger diffusion flux, which in this case is Sb</w:t>
      </w:r>
      <w:r>
        <w:rPr>
          <w:b w:val="0"/>
          <w:vertAlign w:val="subscript"/>
        </w:rPr>
        <w:t>2</w:t>
      </w:r>
      <w:r>
        <w:rPr>
          <w:b w:val="0"/>
        </w:rPr>
        <w:t>Se</w:t>
      </w:r>
      <w:r>
        <w:rPr>
          <w:b w:val="0"/>
          <w:vertAlign w:val="subscript"/>
        </w:rPr>
        <w:t>3</w:t>
      </w:r>
      <w:r>
        <w:rPr>
          <w:b w:val="0"/>
        </w:rPr>
        <w:t>. This is likely to be the origin of the Sb</w:t>
      </w:r>
      <w:r>
        <w:rPr>
          <w:b w:val="0"/>
          <w:vertAlign w:val="subscript"/>
        </w:rPr>
        <w:t>2</w:t>
      </w:r>
      <w:r>
        <w:rPr>
          <w:b w:val="0"/>
        </w:rPr>
        <w:t>Se</w:t>
      </w:r>
      <w:r>
        <w:rPr>
          <w:b w:val="0"/>
          <w:vertAlign w:val="subscript"/>
        </w:rPr>
        <w:t>3</w:t>
      </w:r>
      <w:r>
        <w:rPr>
          <w:b w:val="0"/>
        </w:rPr>
        <w:t>-CdS interfacial voiding. For example, in samples where the inter-diffusion is suppressed, either through a lower Sb</w:t>
      </w:r>
      <w:r>
        <w:rPr>
          <w:b w:val="0"/>
          <w:vertAlign w:val="subscript"/>
        </w:rPr>
        <w:t>2</w:t>
      </w:r>
      <w:r>
        <w:rPr>
          <w:b w:val="0"/>
        </w:rPr>
        <w:t>Se</w:t>
      </w:r>
      <w:r>
        <w:rPr>
          <w:b w:val="0"/>
          <w:vertAlign w:val="subscript"/>
        </w:rPr>
        <w:t>3</w:t>
      </w:r>
      <w:r>
        <w:rPr>
          <w:b w:val="0"/>
        </w:rPr>
        <w:t xml:space="preserve"> deposition temperature or by using an inert emitter layer such as TiO</w:t>
      </w:r>
      <w:r>
        <w:rPr>
          <w:b w:val="0"/>
          <w:vertAlign w:val="subscript"/>
        </w:rPr>
        <w:t>2</w:t>
      </w:r>
      <w:r>
        <w:rPr>
          <w:b w:val="0"/>
        </w:rPr>
        <w:t xml:space="preserve">, extensive interfacial voiding is not present (see below). Furthermore, it is unlikely the interfacial voids could have arisen through film delamination, since the network of interfacial voids in Figure </w:t>
      </w:r>
      <w:r w:rsidR="00205749">
        <w:rPr>
          <w:b w:val="0"/>
        </w:rPr>
        <w:t>3</w:t>
      </w:r>
      <w:r>
        <w:rPr>
          <w:b w:val="0"/>
        </w:rPr>
        <w:t>a has a convoluted geometry that resembles the grain structure of the Sb</w:t>
      </w:r>
      <w:r>
        <w:rPr>
          <w:b w:val="0"/>
          <w:vertAlign w:val="subscript"/>
        </w:rPr>
        <w:t>2</w:t>
      </w:r>
      <w:r>
        <w:rPr>
          <w:b w:val="0"/>
        </w:rPr>
        <w:t>Se</w:t>
      </w:r>
      <w:r>
        <w:rPr>
          <w:b w:val="0"/>
          <w:vertAlign w:val="subscript"/>
        </w:rPr>
        <w:t>3</w:t>
      </w:r>
      <w:r>
        <w:rPr>
          <w:b w:val="0"/>
        </w:rPr>
        <w:t xml:space="preserve"> film, which is unlike interfacial delamination where a more planar breakage is expected. </w:t>
      </w:r>
    </w:p>
    <w:p w:rsidR="00E671FF" w:rsidRDefault="00E671FF" w:rsidP="00234C2C">
      <w:pPr>
        <w:pStyle w:val="Head1"/>
        <w:spacing w:line="480" w:lineRule="auto"/>
        <w:rPr>
          <w:b w:val="0"/>
        </w:rPr>
      </w:pPr>
    </w:p>
    <w:p w:rsidR="00E671FF" w:rsidRDefault="00E671FF" w:rsidP="00234C2C">
      <w:pPr>
        <w:pStyle w:val="Head1"/>
        <w:spacing w:line="480" w:lineRule="auto"/>
        <w:rPr>
          <w:b w:val="0"/>
        </w:rPr>
      </w:pPr>
      <w:r w:rsidRPr="00DC0B31">
        <w:rPr>
          <w:b w:val="0"/>
        </w:rPr>
        <w:t xml:space="preserve">Figure </w:t>
      </w:r>
      <w:r w:rsidR="00205749">
        <w:rPr>
          <w:b w:val="0"/>
        </w:rPr>
        <w:t>7</w:t>
      </w:r>
      <w:r w:rsidRPr="00DC0B31">
        <w:rPr>
          <w:b w:val="0"/>
        </w:rPr>
        <w:t>i</w:t>
      </w:r>
      <w:r>
        <w:rPr>
          <w:b w:val="0"/>
        </w:rPr>
        <w:t xml:space="preserve"> is an EDX </w:t>
      </w:r>
      <w:proofErr w:type="spellStart"/>
      <w:r>
        <w:rPr>
          <w:b w:val="0"/>
        </w:rPr>
        <w:t>linescan</w:t>
      </w:r>
      <w:proofErr w:type="spellEnd"/>
      <w:r>
        <w:rPr>
          <w:b w:val="0"/>
        </w:rPr>
        <w:t xml:space="preserve"> of the elements across the CSS Sb</w:t>
      </w:r>
      <w:r>
        <w:rPr>
          <w:b w:val="0"/>
          <w:vertAlign w:val="subscript"/>
        </w:rPr>
        <w:t>2</w:t>
      </w:r>
      <w:r>
        <w:rPr>
          <w:b w:val="0"/>
        </w:rPr>
        <w:t>Se</w:t>
      </w:r>
      <w:r>
        <w:rPr>
          <w:b w:val="0"/>
          <w:vertAlign w:val="subscript"/>
        </w:rPr>
        <w:t>3</w:t>
      </w:r>
      <w:r>
        <w:rPr>
          <w:b w:val="0"/>
        </w:rPr>
        <w:t xml:space="preserve">-CdS interface. The results were acquired along the line annotated in Figure </w:t>
      </w:r>
      <w:r w:rsidR="00205749">
        <w:rPr>
          <w:b w:val="0"/>
        </w:rPr>
        <w:t>7</w:t>
      </w:r>
      <w:r>
        <w:rPr>
          <w:b w:val="0"/>
        </w:rPr>
        <w:t xml:space="preserve">a and the maximum EDX signal for each element was normalized for visual clarity. The relative Se concentration within the </w:t>
      </w:r>
      <w:proofErr w:type="spellStart"/>
      <w:r>
        <w:rPr>
          <w:b w:val="0"/>
        </w:rPr>
        <w:t>CdS</w:t>
      </w:r>
      <w:proofErr w:type="spellEnd"/>
      <w:r>
        <w:rPr>
          <w:b w:val="0"/>
        </w:rPr>
        <w:t xml:space="preserve"> layer is highest towards the Sb</w:t>
      </w:r>
      <w:r>
        <w:rPr>
          <w:b w:val="0"/>
          <w:vertAlign w:val="subscript"/>
        </w:rPr>
        <w:t>2</w:t>
      </w:r>
      <w:r>
        <w:rPr>
          <w:b w:val="0"/>
        </w:rPr>
        <w:t>Se</w:t>
      </w:r>
      <w:r>
        <w:rPr>
          <w:b w:val="0"/>
          <w:vertAlign w:val="subscript"/>
        </w:rPr>
        <w:t>3</w:t>
      </w:r>
      <w:r>
        <w:rPr>
          <w:b w:val="0"/>
        </w:rPr>
        <w:t xml:space="preserve"> side. A clear separation of Se and S profiles is visible in this region and suggests that the local Se concentration may be sufficiently high to form a separate </w:t>
      </w:r>
      <w:proofErr w:type="spellStart"/>
      <w:r>
        <w:rPr>
          <w:b w:val="0"/>
        </w:rPr>
        <w:t>CdSe</w:t>
      </w:r>
      <w:proofErr w:type="spellEnd"/>
      <w:r>
        <w:rPr>
          <w:b w:val="0"/>
        </w:rPr>
        <w:t xml:space="preserve"> layer alongside the Cd(</w:t>
      </w:r>
      <w:proofErr w:type="spellStart"/>
      <w:r>
        <w:rPr>
          <w:b w:val="0"/>
        </w:rPr>
        <w:t>S</w:t>
      </w:r>
      <w:proofErr w:type="gramStart"/>
      <w:r>
        <w:rPr>
          <w:b w:val="0"/>
        </w:rPr>
        <w:t>,Se</w:t>
      </w:r>
      <w:proofErr w:type="spellEnd"/>
      <w:proofErr w:type="gramEnd"/>
      <w:r>
        <w:rPr>
          <w:b w:val="0"/>
        </w:rPr>
        <w:t xml:space="preserve">) inter-diffused region. Further evidence for this is obtained by noting that the Cd map (Figure </w:t>
      </w:r>
      <w:r w:rsidR="00205749">
        <w:rPr>
          <w:b w:val="0"/>
        </w:rPr>
        <w:t>7</w:t>
      </w:r>
      <w:r>
        <w:rPr>
          <w:b w:val="0"/>
        </w:rPr>
        <w:t xml:space="preserve">d) appears thicker than the S map (Figure </w:t>
      </w:r>
      <w:r w:rsidR="00205749">
        <w:rPr>
          <w:b w:val="0"/>
        </w:rPr>
        <w:t>7</w:t>
      </w:r>
      <w:r>
        <w:rPr>
          <w:b w:val="0"/>
        </w:rPr>
        <w:t xml:space="preserve">e). Formation of </w:t>
      </w:r>
      <w:proofErr w:type="spellStart"/>
      <w:r>
        <w:rPr>
          <w:b w:val="0"/>
        </w:rPr>
        <w:t>CdSe</w:t>
      </w:r>
      <w:proofErr w:type="spellEnd"/>
      <w:r>
        <w:rPr>
          <w:b w:val="0"/>
        </w:rPr>
        <w:t xml:space="preserve"> or Cd(</w:t>
      </w:r>
      <w:proofErr w:type="spellStart"/>
      <w:r>
        <w:rPr>
          <w:b w:val="0"/>
        </w:rPr>
        <w:t>S</w:t>
      </w:r>
      <w:proofErr w:type="gramStart"/>
      <w:r>
        <w:rPr>
          <w:b w:val="0"/>
        </w:rPr>
        <w:t>,Se</w:t>
      </w:r>
      <w:proofErr w:type="spellEnd"/>
      <w:proofErr w:type="gramEnd"/>
      <w:r>
        <w:rPr>
          <w:b w:val="0"/>
        </w:rPr>
        <w:t xml:space="preserve">) is not unexpected </w:t>
      </w:r>
      <w:r w:rsidR="00BF2C9C">
        <w:rPr>
          <w:b w:val="0"/>
          <w:vertAlign w:val="superscript"/>
        </w:rPr>
        <w:t>(</w:t>
      </w:r>
      <w:r>
        <w:rPr>
          <w:b w:val="0"/>
          <w:vertAlign w:val="superscript"/>
        </w:rPr>
        <w:t>12</w:t>
      </w:r>
      <w:r w:rsidR="00BF2C9C">
        <w:rPr>
          <w:b w:val="0"/>
          <w:vertAlign w:val="superscript"/>
        </w:rPr>
        <w:t>)</w:t>
      </w:r>
      <w:r>
        <w:rPr>
          <w:b w:val="0"/>
        </w:rPr>
        <w:t xml:space="preserve"> since it has the same crystal structure (i.e. </w:t>
      </w:r>
      <w:proofErr w:type="spellStart"/>
      <w:r>
        <w:rPr>
          <w:b w:val="0"/>
        </w:rPr>
        <w:t>wurtzite</w:t>
      </w:r>
      <w:proofErr w:type="spellEnd"/>
      <w:r>
        <w:rPr>
          <w:b w:val="0"/>
        </w:rPr>
        <w:t xml:space="preserve">) as </w:t>
      </w:r>
      <w:proofErr w:type="spellStart"/>
      <w:r>
        <w:rPr>
          <w:b w:val="0"/>
        </w:rPr>
        <w:t>CdS</w:t>
      </w:r>
      <w:proofErr w:type="spellEnd"/>
      <w:r>
        <w:rPr>
          <w:b w:val="0"/>
        </w:rPr>
        <w:t xml:space="preserve"> and furthermore Se has a high solubility in </w:t>
      </w:r>
      <w:proofErr w:type="spellStart"/>
      <w:r>
        <w:rPr>
          <w:b w:val="0"/>
        </w:rPr>
        <w:t>CdS</w:t>
      </w:r>
      <w:proofErr w:type="spellEnd"/>
      <w:r>
        <w:rPr>
          <w:b w:val="0"/>
        </w:rPr>
        <w:t xml:space="preserve"> </w:t>
      </w:r>
      <w:r w:rsidR="00BF2C9C">
        <w:rPr>
          <w:b w:val="0"/>
          <w:vertAlign w:val="superscript"/>
        </w:rPr>
        <w:t>(</w:t>
      </w:r>
      <w:r>
        <w:rPr>
          <w:b w:val="0"/>
          <w:vertAlign w:val="superscript"/>
        </w:rPr>
        <w:t>23</w:t>
      </w:r>
      <w:r w:rsidR="00BF2C9C">
        <w:rPr>
          <w:b w:val="0"/>
          <w:vertAlign w:val="superscript"/>
        </w:rPr>
        <w:t>)</w:t>
      </w:r>
      <w:r>
        <w:rPr>
          <w:b w:val="0"/>
        </w:rPr>
        <w:t xml:space="preserve">. In Figure </w:t>
      </w:r>
      <w:r w:rsidR="00205749">
        <w:rPr>
          <w:b w:val="0"/>
        </w:rPr>
        <w:t>7</w:t>
      </w:r>
      <w:r>
        <w:rPr>
          <w:b w:val="0"/>
        </w:rPr>
        <w:t>i the inter-diffused Sb has the highest concentration in approximately the same region as S, which could suggest the formation of a Sb</w:t>
      </w:r>
      <w:r>
        <w:rPr>
          <w:b w:val="0"/>
          <w:vertAlign w:val="subscript"/>
        </w:rPr>
        <w:t>2</w:t>
      </w:r>
      <w:r>
        <w:rPr>
          <w:b w:val="0"/>
        </w:rPr>
        <w:t>S</w:t>
      </w:r>
      <w:r>
        <w:rPr>
          <w:b w:val="0"/>
          <w:vertAlign w:val="subscript"/>
        </w:rPr>
        <w:t>3</w:t>
      </w:r>
      <w:r>
        <w:rPr>
          <w:b w:val="0"/>
        </w:rPr>
        <w:t xml:space="preserve"> layer at the </w:t>
      </w:r>
      <w:proofErr w:type="spellStart"/>
      <w:r>
        <w:rPr>
          <w:b w:val="0"/>
        </w:rPr>
        <w:t>CdS-ZnO</w:t>
      </w:r>
      <w:proofErr w:type="spellEnd"/>
      <w:r>
        <w:rPr>
          <w:b w:val="0"/>
        </w:rPr>
        <w:t xml:space="preserve"> interface. However, there is no direct correlation between the Sb (Figure </w:t>
      </w:r>
      <w:r w:rsidR="00205749">
        <w:rPr>
          <w:b w:val="0"/>
        </w:rPr>
        <w:t>7</w:t>
      </w:r>
      <w:r>
        <w:rPr>
          <w:b w:val="0"/>
        </w:rPr>
        <w:t xml:space="preserve">c) and S (Figure </w:t>
      </w:r>
      <w:r w:rsidR="00205749">
        <w:rPr>
          <w:b w:val="0"/>
        </w:rPr>
        <w:t>7</w:t>
      </w:r>
      <w:r>
        <w:rPr>
          <w:b w:val="0"/>
        </w:rPr>
        <w:t xml:space="preserve">e) maps which eliminates this possibility. The fact that the Sb is concentrated towards the </w:t>
      </w:r>
      <w:proofErr w:type="spellStart"/>
      <w:r>
        <w:rPr>
          <w:b w:val="0"/>
        </w:rPr>
        <w:t>ZnO</w:t>
      </w:r>
      <w:proofErr w:type="spellEnd"/>
      <w:r>
        <w:rPr>
          <w:b w:val="0"/>
        </w:rPr>
        <w:t xml:space="preserve"> interface suggests that it is not very soluble in Cd(</w:t>
      </w:r>
      <w:proofErr w:type="spellStart"/>
      <w:r>
        <w:rPr>
          <w:b w:val="0"/>
        </w:rPr>
        <w:t>S</w:t>
      </w:r>
      <w:proofErr w:type="gramStart"/>
      <w:r>
        <w:rPr>
          <w:b w:val="0"/>
        </w:rPr>
        <w:t>,Se</w:t>
      </w:r>
      <w:proofErr w:type="spellEnd"/>
      <w:proofErr w:type="gramEnd"/>
      <w:r>
        <w:rPr>
          <w:b w:val="0"/>
        </w:rPr>
        <w:t>).</w:t>
      </w:r>
    </w:p>
    <w:p w:rsidR="00E671FF" w:rsidRDefault="00E671FF" w:rsidP="00234C2C">
      <w:pPr>
        <w:pStyle w:val="Head1"/>
        <w:spacing w:line="480" w:lineRule="auto"/>
        <w:rPr>
          <w:b w:val="0"/>
        </w:rPr>
      </w:pPr>
    </w:p>
    <w:p w:rsidR="00E671FF" w:rsidRDefault="00E671FF" w:rsidP="00234C2C">
      <w:pPr>
        <w:pStyle w:val="Head1"/>
        <w:spacing w:line="480" w:lineRule="auto"/>
        <w:rPr>
          <w:b w:val="0"/>
        </w:rPr>
      </w:pPr>
      <w:r>
        <w:rPr>
          <w:b w:val="0"/>
        </w:rPr>
        <w:lastRenderedPageBreak/>
        <w:t xml:space="preserve">EDX maps and </w:t>
      </w:r>
      <w:proofErr w:type="spellStart"/>
      <w:r>
        <w:rPr>
          <w:b w:val="0"/>
        </w:rPr>
        <w:t>linescans</w:t>
      </w:r>
      <w:proofErr w:type="spellEnd"/>
      <w:r>
        <w:rPr>
          <w:b w:val="0"/>
        </w:rPr>
        <w:t xml:space="preserve"> were also acquired from the TE Sb</w:t>
      </w:r>
      <w:r>
        <w:rPr>
          <w:b w:val="0"/>
          <w:vertAlign w:val="subscript"/>
        </w:rPr>
        <w:t>2</w:t>
      </w:r>
      <w:r>
        <w:rPr>
          <w:b w:val="0"/>
        </w:rPr>
        <w:t>Se</w:t>
      </w:r>
      <w:r>
        <w:rPr>
          <w:b w:val="0"/>
          <w:vertAlign w:val="subscript"/>
        </w:rPr>
        <w:t>3</w:t>
      </w:r>
      <w:r>
        <w:rPr>
          <w:b w:val="0"/>
        </w:rPr>
        <w:t>-CdS device. This sample had a lower Sb</w:t>
      </w:r>
      <w:r>
        <w:rPr>
          <w:b w:val="0"/>
          <w:vertAlign w:val="subscript"/>
        </w:rPr>
        <w:t>2</w:t>
      </w:r>
      <w:r>
        <w:rPr>
          <w:b w:val="0"/>
        </w:rPr>
        <w:t>Se</w:t>
      </w:r>
      <w:r>
        <w:rPr>
          <w:b w:val="0"/>
          <w:vertAlign w:val="subscript"/>
        </w:rPr>
        <w:t>3</w:t>
      </w:r>
      <w:r>
        <w:rPr>
          <w:b w:val="0"/>
        </w:rPr>
        <w:t xml:space="preserve"> deposition temperature and only minor interface voids (Figure </w:t>
      </w:r>
      <w:r w:rsidR="00205749">
        <w:rPr>
          <w:b w:val="0"/>
        </w:rPr>
        <w:t>3</w:t>
      </w:r>
      <w:r>
        <w:rPr>
          <w:b w:val="0"/>
        </w:rPr>
        <w:t xml:space="preserve">b). The EDX results (see </w:t>
      </w:r>
      <w:r w:rsidRPr="002565CA">
        <w:rPr>
          <w:b w:val="0"/>
        </w:rPr>
        <w:t>Supporting Information</w:t>
      </w:r>
      <w:r w:rsidR="005B12B5" w:rsidRPr="002565CA">
        <w:rPr>
          <w:b w:val="0"/>
        </w:rPr>
        <w:t xml:space="preserve"> (</w:t>
      </w:r>
      <w:proofErr w:type="gramStart"/>
      <w:r w:rsidR="005B12B5" w:rsidRPr="002565CA">
        <w:rPr>
          <w:b w:val="0"/>
        </w:rPr>
        <w:t>vi</w:t>
      </w:r>
      <w:proofErr w:type="gramEnd"/>
      <w:r w:rsidR="005B12B5" w:rsidRPr="002565CA">
        <w:rPr>
          <w:b w:val="0"/>
        </w:rPr>
        <w:t>)</w:t>
      </w:r>
      <w:r w:rsidRPr="002565CA">
        <w:rPr>
          <w:b w:val="0"/>
        </w:rPr>
        <w:t>)</w:t>
      </w:r>
      <w:r>
        <w:rPr>
          <w:b w:val="0"/>
        </w:rPr>
        <w:t xml:space="preserve"> did not show any evidence for inter-diffusion to within the measurement sensitivity and spatial resolution of the microscope, which was a non-corrected, field emission gun transmission electron microscope (FEG TEM). AC-STEM can however produce atomic sized beams </w:t>
      </w:r>
      <w:r w:rsidR="00BF2C9C">
        <w:rPr>
          <w:b w:val="0"/>
          <w:vertAlign w:val="superscript"/>
        </w:rPr>
        <w:t>(</w:t>
      </w:r>
      <w:r>
        <w:rPr>
          <w:b w:val="0"/>
          <w:vertAlign w:val="superscript"/>
        </w:rPr>
        <w:t>2</w:t>
      </w:r>
      <w:r w:rsidR="00BF2C9C">
        <w:rPr>
          <w:b w:val="0"/>
          <w:vertAlign w:val="superscript"/>
        </w:rPr>
        <w:t>4)</w:t>
      </w:r>
      <w:r>
        <w:rPr>
          <w:b w:val="0"/>
        </w:rPr>
        <w:t xml:space="preserve"> and therefore has a higher resolution and sensitivity. </w:t>
      </w:r>
      <w:r w:rsidRPr="00E671FF">
        <w:rPr>
          <w:b w:val="0"/>
        </w:rPr>
        <w:t xml:space="preserve">Figure </w:t>
      </w:r>
      <w:r w:rsidR="00205749">
        <w:rPr>
          <w:b w:val="0"/>
        </w:rPr>
        <w:t>8</w:t>
      </w:r>
      <w:r w:rsidRPr="00E671FF">
        <w:rPr>
          <w:b w:val="0"/>
        </w:rPr>
        <w:t>a</w:t>
      </w:r>
      <w:r>
        <w:rPr>
          <w:b w:val="0"/>
        </w:rPr>
        <w:t xml:space="preserve"> shows a medium angle annular dark field (MAADF) image of the TE Sb</w:t>
      </w:r>
      <w:r>
        <w:rPr>
          <w:b w:val="0"/>
          <w:vertAlign w:val="subscript"/>
        </w:rPr>
        <w:t>2</w:t>
      </w:r>
      <w:r>
        <w:rPr>
          <w:b w:val="0"/>
        </w:rPr>
        <w:t>Se</w:t>
      </w:r>
      <w:r>
        <w:rPr>
          <w:b w:val="0"/>
          <w:vertAlign w:val="subscript"/>
        </w:rPr>
        <w:t>3</w:t>
      </w:r>
      <w:r>
        <w:rPr>
          <w:b w:val="0"/>
        </w:rPr>
        <w:t>-CdS interface acquired using an AC-STEM microscope. The Sb</w:t>
      </w:r>
      <w:r>
        <w:rPr>
          <w:b w:val="0"/>
          <w:vertAlign w:val="subscript"/>
        </w:rPr>
        <w:t>2</w:t>
      </w:r>
      <w:r>
        <w:rPr>
          <w:b w:val="0"/>
        </w:rPr>
        <w:t>Se</w:t>
      </w:r>
      <w:r>
        <w:rPr>
          <w:b w:val="0"/>
          <w:vertAlign w:val="subscript"/>
        </w:rPr>
        <w:t>3</w:t>
      </w:r>
      <w:r>
        <w:rPr>
          <w:b w:val="0"/>
        </w:rPr>
        <w:t xml:space="preserve"> region in the image consists of a single grain in the </w:t>
      </w:r>
      <m:oMath>
        <m:r>
          <m:rPr>
            <m:sty m:val="bi"/>
          </m:rPr>
          <w:rPr>
            <w:rFonts w:ascii="Cambria Math" w:hAnsi="Cambria Math"/>
          </w:rPr>
          <m:t>[</m:t>
        </m:r>
        <m:acc>
          <m:accPr>
            <m:chr m:val="̅"/>
            <m:ctrlPr>
              <w:rPr>
                <w:rFonts w:ascii="Cambria Math" w:hAnsi="Cambria Math"/>
                <w:b w:val="0"/>
              </w:rPr>
            </m:ctrlPr>
          </m:accPr>
          <m:e>
            <m:r>
              <m:rPr>
                <m:sty m:val="p"/>
              </m:rPr>
              <w:rPr>
                <w:rFonts w:ascii="Cambria Math" w:hAnsi="Cambria Math"/>
              </w:rPr>
              <m:t>1</m:t>
            </m:r>
          </m:e>
        </m:acc>
        <m:r>
          <m:rPr>
            <m:sty m:val="p"/>
          </m:rPr>
          <w:rPr>
            <w:rFonts w:ascii="Cambria Math" w:hAnsi="Cambria Math"/>
          </w:rPr>
          <m:t>10</m:t>
        </m:r>
        <m:r>
          <m:rPr>
            <m:sty m:val="bi"/>
          </m:rPr>
          <w:rPr>
            <w:rFonts w:ascii="Cambria Math" w:hAnsi="Cambria Math"/>
          </w:rPr>
          <m:t>]</m:t>
        </m:r>
      </m:oMath>
      <w:r>
        <w:rPr>
          <w:b w:val="0"/>
        </w:rPr>
        <w:t xml:space="preserve"> orientation. The lattice structure of the CdS region is also visible. In between these two crystalline layers there is a ~8 nm thick region with no resolved atomic structure, labelled ‘intermediate layer’. The distribution of Sb and Cd ov</w:t>
      </w:r>
      <w:bookmarkStart w:id="0" w:name="_GoBack"/>
      <w:bookmarkEnd w:id="0"/>
      <w:r>
        <w:rPr>
          <w:b w:val="0"/>
        </w:rPr>
        <w:t xml:space="preserve">er the entire region in Figure </w:t>
      </w:r>
      <w:r w:rsidR="00205749">
        <w:rPr>
          <w:b w:val="0"/>
        </w:rPr>
        <w:t>8</w:t>
      </w:r>
      <w:r>
        <w:rPr>
          <w:b w:val="0"/>
        </w:rPr>
        <w:t xml:space="preserve">a was mapped using electron energy loss spectroscopy (EELS) spectrum imaging </w:t>
      </w:r>
      <w:r w:rsidR="00BF2C9C">
        <w:rPr>
          <w:b w:val="0"/>
          <w:vertAlign w:val="superscript"/>
        </w:rPr>
        <w:t>(25)</w:t>
      </w:r>
      <w:r>
        <w:rPr>
          <w:b w:val="0"/>
        </w:rPr>
        <w:t>. From the area maps line profiles for Sb and Cd were obtained by integrating the EELS signal in the horizontal direction, i.e. parallel to the Sb</w:t>
      </w:r>
      <w:r>
        <w:rPr>
          <w:b w:val="0"/>
          <w:vertAlign w:val="subscript"/>
        </w:rPr>
        <w:t>2</w:t>
      </w:r>
      <w:r>
        <w:rPr>
          <w:b w:val="0"/>
        </w:rPr>
        <w:t>Se</w:t>
      </w:r>
      <w:r>
        <w:rPr>
          <w:b w:val="0"/>
          <w:vertAlign w:val="subscript"/>
        </w:rPr>
        <w:t>3</w:t>
      </w:r>
      <w:r>
        <w:rPr>
          <w:b w:val="0"/>
        </w:rPr>
        <w:t xml:space="preserve">-CdS interface, and are shown superimposed in Figure </w:t>
      </w:r>
      <w:r w:rsidR="00205749">
        <w:rPr>
          <w:b w:val="0"/>
        </w:rPr>
        <w:t>8</w:t>
      </w:r>
      <w:r>
        <w:rPr>
          <w:b w:val="0"/>
        </w:rPr>
        <w:t xml:space="preserve">b. There is a peak in the Sb signal (vertical arrow) at the interface between the ‘intermediate layer’ and </w:t>
      </w:r>
      <w:proofErr w:type="spellStart"/>
      <w:r>
        <w:rPr>
          <w:b w:val="0"/>
        </w:rPr>
        <w:t>CdS</w:t>
      </w:r>
      <w:proofErr w:type="spellEnd"/>
      <w:r>
        <w:rPr>
          <w:b w:val="0"/>
        </w:rPr>
        <w:t xml:space="preserve">; the location of this peak is indicated by the horizontal white line in Figure </w:t>
      </w:r>
      <w:r w:rsidR="00205749">
        <w:rPr>
          <w:b w:val="0"/>
        </w:rPr>
        <w:t>8</w:t>
      </w:r>
      <w:r>
        <w:rPr>
          <w:b w:val="0"/>
        </w:rPr>
        <w:t xml:space="preserve">a. The ‘intermediate layer’ contains Sb but not Cd, indicating that it was initially part of the </w:t>
      </w:r>
      <m:oMath>
        <m:d>
          <m:dPr>
            <m:begChr m:val="["/>
            <m:endChr m:val="]"/>
            <m:ctrlPr>
              <w:rPr>
                <w:rFonts w:ascii="Cambria Math" w:hAnsi="Cambria Math"/>
                <w:b w:val="0"/>
                <w:i/>
              </w:rPr>
            </m:ctrlPr>
          </m:dPr>
          <m:e>
            <m:acc>
              <m:accPr>
                <m:chr m:val="̅"/>
                <m:ctrlPr>
                  <w:rPr>
                    <w:rFonts w:ascii="Cambria Math" w:hAnsi="Cambria Math"/>
                    <w:b w:val="0"/>
                  </w:rPr>
                </m:ctrlPr>
              </m:accPr>
              <m:e>
                <m:r>
                  <m:rPr>
                    <m:sty m:val="p"/>
                  </m:rPr>
                  <w:rPr>
                    <w:rFonts w:ascii="Cambria Math" w:hAnsi="Cambria Math"/>
                  </w:rPr>
                  <m:t>1</m:t>
                </m:r>
              </m:e>
            </m:acc>
            <m:r>
              <m:rPr>
                <m:sty m:val="p"/>
              </m:rPr>
              <w:rPr>
                <w:rFonts w:ascii="Cambria Math" w:hAnsi="Cambria Math"/>
              </w:rPr>
              <m:t>10</m:t>
            </m:r>
          </m:e>
        </m:d>
      </m:oMath>
      <w:r>
        <w:rPr>
          <w:b w:val="0"/>
        </w:rPr>
        <w:t>-oriented Sb</w:t>
      </w:r>
      <w:r>
        <w:rPr>
          <w:b w:val="0"/>
          <w:vertAlign w:val="subscript"/>
        </w:rPr>
        <w:t>2</w:t>
      </w:r>
      <w:r>
        <w:rPr>
          <w:b w:val="0"/>
        </w:rPr>
        <w:t>Se</w:t>
      </w:r>
      <w:r>
        <w:rPr>
          <w:b w:val="0"/>
          <w:vertAlign w:val="subscript"/>
        </w:rPr>
        <w:t>3</w:t>
      </w:r>
      <w:r>
        <w:rPr>
          <w:b w:val="0"/>
        </w:rPr>
        <w:t xml:space="preserve"> grain. The absence of </w:t>
      </w:r>
      <m:oMath>
        <m:d>
          <m:dPr>
            <m:begChr m:val="["/>
            <m:endChr m:val="]"/>
            <m:ctrlPr>
              <w:rPr>
                <w:rFonts w:ascii="Cambria Math" w:hAnsi="Cambria Math"/>
                <w:b w:val="0"/>
                <w:i/>
              </w:rPr>
            </m:ctrlPr>
          </m:dPr>
          <m:e>
            <m:acc>
              <m:accPr>
                <m:chr m:val="̅"/>
                <m:ctrlPr>
                  <w:rPr>
                    <w:rFonts w:ascii="Cambria Math" w:hAnsi="Cambria Math"/>
                    <w:b w:val="0"/>
                  </w:rPr>
                </m:ctrlPr>
              </m:accPr>
              <m:e>
                <m:r>
                  <m:rPr>
                    <m:sty m:val="p"/>
                  </m:rPr>
                  <w:rPr>
                    <w:rFonts w:ascii="Cambria Math" w:hAnsi="Cambria Math"/>
                  </w:rPr>
                  <m:t>1</m:t>
                </m:r>
              </m:e>
            </m:acc>
            <m:r>
              <m:rPr>
                <m:sty m:val="p"/>
              </m:rPr>
              <w:rPr>
                <w:rFonts w:ascii="Cambria Math" w:hAnsi="Cambria Math"/>
              </w:rPr>
              <m:t>10</m:t>
            </m:r>
          </m:e>
        </m:d>
        <m:r>
          <m:rPr>
            <m:sty m:val="bi"/>
          </m:rPr>
          <w:rPr>
            <w:rFonts w:ascii="Cambria Math" w:hAnsi="Cambria Math"/>
          </w:rPr>
          <m:t xml:space="preserve"> </m:t>
        </m:r>
      </m:oMath>
      <w:r>
        <w:rPr>
          <w:b w:val="0"/>
        </w:rPr>
        <w:t xml:space="preserve">atomic resolution contrast in the ‘intermediate layer’ implies that the crystal structure has broken down due to diffusion of Sb (and possibly Se) towards CdS. </w:t>
      </w:r>
    </w:p>
    <w:p w:rsidR="00E671FF" w:rsidRDefault="00E671FF" w:rsidP="00234C2C">
      <w:pPr>
        <w:pStyle w:val="Head1"/>
        <w:spacing w:line="480" w:lineRule="auto"/>
        <w:rPr>
          <w:b w:val="0"/>
        </w:rPr>
      </w:pPr>
    </w:p>
    <w:p w:rsidR="00E671FF" w:rsidRPr="001437D2" w:rsidRDefault="00E671FF" w:rsidP="00234C2C">
      <w:pPr>
        <w:pStyle w:val="Head1"/>
        <w:spacing w:line="480" w:lineRule="auto"/>
        <w:rPr>
          <w:b w:val="0"/>
        </w:rPr>
      </w:pPr>
      <w:r>
        <w:rPr>
          <w:b w:val="0"/>
        </w:rPr>
        <w:t xml:space="preserve">Although the lower deposition temperature of the thermal evaporation process had largely eliminated </w:t>
      </w:r>
      <w:proofErr w:type="spellStart"/>
      <w:r>
        <w:rPr>
          <w:b w:val="0"/>
        </w:rPr>
        <w:t>Kirkendall</w:t>
      </w:r>
      <w:proofErr w:type="spellEnd"/>
      <w:r>
        <w:rPr>
          <w:b w:val="0"/>
        </w:rPr>
        <w:t xml:space="preserve"> voiding there is still some diffusion that takes place, giving rise to a highly defective Sb</w:t>
      </w:r>
      <w:r>
        <w:rPr>
          <w:b w:val="0"/>
          <w:vertAlign w:val="subscript"/>
        </w:rPr>
        <w:t>2</w:t>
      </w:r>
      <w:r>
        <w:rPr>
          <w:b w:val="0"/>
        </w:rPr>
        <w:t>Se</w:t>
      </w:r>
      <w:r>
        <w:rPr>
          <w:b w:val="0"/>
          <w:vertAlign w:val="subscript"/>
        </w:rPr>
        <w:t xml:space="preserve">3 </w:t>
      </w:r>
      <w:r>
        <w:rPr>
          <w:b w:val="0"/>
        </w:rPr>
        <w:t xml:space="preserve">intermediate layer few nanometers in thickness. This is consistent with previous electrical measurements </w:t>
      </w:r>
      <w:r w:rsidR="00BF2C9C">
        <w:rPr>
          <w:b w:val="0"/>
          <w:vertAlign w:val="superscript"/>
        </w:rPr>
        <w:t>(</w:t>
      </w:r>
      <w:r>
        <w:rPr>
          <w:b w:val="0"/>
          <w:vertAlign w:val="superscript"/>
        </w:rPr>
        <w:t>11</w:t>
      </w:r>
      <w:proofErr w:type="gramStart"/>
      <w:r>
        <w:rPr>
          <w:b w:val="0"/>
          <w:vertAlign w:val="superscript"/>
        </w:rPr>
        <w:t>,13</w:t>
      </w:r>
      <w:proofErr w:type="gramEnd"/>
      <w:r w:rsidR="00BF2C9C">
        <w:rPr>
          <w:b w:val="0"/>
          <w:vertAlign w:val="superscript"/>
        </w:rPr>
        <w:t>)</w:t>
      </w:r>
      <w:r>
        <w:rPr>
          <w:b w:val="0"/>
        </w:rPr>
        <w:t xml:space="preserve"> that reported a high interfacial defect density for </w:t>
      </w:r>
      <w:r>
        <w:rPr>
          <w:b w:val="0"/>
        </w:rPr>
        <w:lastRenderedPageBreak/>
        <w:t>Sb</w:t>
      </w:r>
      <w:r>
        <w:rPr>
          <w:b w:val="0"/>
          <w:vertAlign w:val="subscript"/>
        </w:rPr>
        <w:t>2</w:t>
      </w:r>
      <w:r>
        <w:rPr>
          <w:b w:val="0"/>
        </w:rPr>
        <w:t>Se</w:t>
      </w:r>
      <w:r>
        <w:rPr>
          <w:b w:val="0"/>
          <w:vertAlign w:val="subscript"/>
        </w:rPr>
        <w:t>3</w:t>
      </w:r>
      <w:r>
        <w:rPr>
          <w:b w:val="0"/>
        </w:rPr>
        <w:t>-CdS devices. The defective Sb</w:t>
      </w:r>
      <w:r>
        <w:rPr>
          <w:b w:val="0"/>
          <w:vertAlign w:val="subscript"/>
        </w:rPr>
        <w:t>2</w:t>
      </w:r>
      <w:r>
        <w:rPr>
          <w:b w:val="0"/>
        </w:rPr>
        <w:t>Se</w:t>
      </w:r>
      <w:r>
        <w:rPr>
          <w:b w:val="0"/>
          <w:vertAlign w:val="subscript"/>
        </w:rPr>
        <w:t xml:space="preserve">3 </w:t>
      </w:r>
      <w:r>
        <w:rPr>
          <w:b w:val="0"/>
        </w:rPr>
        <w:t xml:space="preserve">layer can result in higher rates of interfacial recombination, thereby reducing device efficiency. Our results demonstrate that </w:t>
      </w:r>
      <w:proofErr w:type="spellStart"/>
      <w:r>
        <w:rPr>
          <w:b w:val="0"/>
        </w:rPr>
        <w:t>CdS</w:t>
      </w:r>
      <w:proofErr w:type="spellEnd"/>
      <w:r>
        <w:rPr>
          <w:b w:val="0"/>
        </w:rPr>
        <w:t xml:space="preserve"> is not a suitable emitter layer for Sb</w:t>
      </w:r>
      <w:r>
        <w:rPr>
          <w:b w:val="0"/>
          <w:vertAlign w:val="subscript"/>
        </w:rPr>
        <w:t>2</w:t>
      </w:r>
      <w:r>
        <w:rPr>
          <w:b w:val="0"/>
        </w:rPr>
        <w:t>Se</w:t>
      </w:r>
      <w:r>
        <w:rPr>
          <w:b w:val="0"/>
          <w:vertAlign w:val="subscript"/>
        </w:rPr>
        <w:t>3</w:t>
      </w:r>
      <w:r>
        <w:rPr>
          <w:b w:val="0"/>
        </w:rPr>
        <w:t>, since even under favorable conditions the inter-diffusion is unlikely to be fully suppressed at the atomic scale. Empirically it has been shown that device performance can be improved by using TiO</w:t>
      </w:r>
      <w:r>
        <w:rPr>
          <w:b w:val="0"/>
          <w:vertAlign w:val="subscript"/>
        </w:rPr>
        <w:t>2</w:t>
      </w:r>
      <w:r>
        <w:rPr>
          <w:b w:val="0"/>
        </w:rPr>
        <w:t xml:space="preserve"> as either a barrier layer </w:t>
      </w:r>
      <w:r w:rsidR="00BF2C9C">
        <w:rPr>
          <w:b w:val="0"/>
          <w:vertAlign w:val="superscript"/>
        </w:rPr>
        <w:t>(</w:t>
      </w:r>
      <w:r>
        <w:rPr>
          <w:b w:val="0"/>
          <w:vertAlign w:val="superscript"/>
        </w:rPr>
        <w:t>13</w:t>
      </w:r>
      <w:r w:rsidR="00BF2C9C">
        <w:rPr>
          <w:b w:val="0"/>
          <w:vertAlign w:val="superscript"/>
        </w:rPr>
        <w:t>)</w:t>
      </w:r>
      <w:r>
        <w:rPr>
          <w:b w:val="0"/>
        </w:rPr>
        <w:t xml:space="preserve"> or to fully replace </w:t>
      </w:r>
      <w:proofErr w:type="spellStart"/>
      <w:r>
        <w:rPr>
          <w:b w:val="0"/>
        </w:rPr>
        <w:t>CdS</w:t>
      </w:r>
      <w:proofErr w:type="spellEnd"/>
      <w:r>
        <w:rPr>
          <w:b w:val="0"/>
        </w:rPr>
        <w:t xml:space="preserve"> as the emitter layer </w:t>
      </w:r>
      <w:r w:rsidR="00BF2C9C">
        <w:rPr>
          <w:b w:val="0"/>
          <w:vertAlign w:val="superscript"/>
        </w:rPr>
        <w:t>(12)</w:t>
      </w:r>
      <w:r>
        <w:rPr>
          <w:b w:val="0"/>
        </w:rPr>
        <w:t xml:space="preserve">. EDX maps and </w:t>
      </w:r>
      <w:proofErr w:type="spellStart"/>
      <w:r>
        <w:rPr>
          <w:b w:val="0"/>
        </w:rPr>
        <w:t>linescans</w:t>
      </w:r>
      <w:proofErr w:type="spellEnd"/>
      <w:r>
        <w:rPr>
          <w:b w:val="0"/>
        </w:rPr>
        <w:t xml:space="preserve"> (</w:t>
      </w:r>
      <w:r w:rsidRPr="00E671FF">
        <w:rPr>
          <w:b w:val="0"/>
        </w:rPr>
        <w:t xml:space="preserve">Figure </w:t>
      </w:r>
      <w:r w:rsidR="00205749">
        <w:rPr>
          <w:b w:val="0"/>
        </w:rPr>
        <w:t>9</w:t>
      </w:r>
      <w:r>
        <w:rPr>
          <w:b w:val="0"/>
        </w:rPr>
        <w:t>) have been acquired from the CSS Sb</w:t>
      </w:r>
      <w:r>
        <w:rPr>
          <w:b w:val="0"/>
          <w:vertAlign w:val="subscript"/>
        </w:rPr>
        <w:t>2</w:t>
      </w:r>
      <w:r>
        <w:rPr>
          <w:b w:val="0"/>
        </w:rPr>
        <w:t>Se</w:t>
      </w:r>
      <w:r>
        <w:rPr>
          <w:b w:val="0"/>
          <w:vertAlign w:val="subscript"/>
        </w:rPr>
        <w:t>3</w:t>
      </w:r>
      <w:r>
        <w:rPr>
          <w:b w:val="0"/>
        </w:rPr>
        <w:t>-TiO</w:t>
      </w:r>
      <w:r>
        <w:rPr>
          <w:b w:val="0"/>
          <w:vertAlign w:val="subscript"/>
        </w:rPr>
        <w:t>2</w:t>
      </w:r>
      <w:r>
        <w:rPr>
          <w:b w:val="0"/>
        </w:rPr>
        <w:t xml:space="preserve"> device using a non-corrected FEG TEM and show no evidence for inter-diffusion to within the sensitivity and resolution of the technique. For example, the Sb and Se line profiles (Figure </w:t>
      </w:r>
      <w:r w:rsidR="00205749">
        <w:rPr>
          <w:b w:val="0"/>
        </w:rPr>
        <w:t>9</w:t>
      </w:r>
      <w:r>
        <w:rPr>
          <w:b w:val="0"/>
        </w:rPr>
        <w:t>g) show strong overlap at the Sb</w:t>
      </w:r>
      <w:r>
        <w:rPr>
          <w:b w:val="0"/>
          <w:vertAlign w:val="subscript"/>
        </w:rPr>
        <w:t>2</w:t>
      </w:r>
      <w:r>
        <w:rPr>
          <w:b w:val="0"/>
        </w:rPr>
        <w:t>Se</w:t>
      </w:r>
      <w:r>
        <w:rPr>
          <w:b w:val="0"/>
          <w:vertAlign w:val="subscript"/>
        </w:rPr>
        <w:t>3</w:t>
      </w:r>
      <w:r>
        <w:rPr>
          <w:b w:val="0"/>
        </w:rPr>
        <w:t>-TiO</w:t>
      </w:r>
      <w:r>
        <w:rPr>
          <w:b w:val="0"/>
          <w:vertAlign w:val="subscript"/>
        </w:rPr>
        <w:t>2</w:t>
      </w:r>
      <w:r>
        <w:rPr>
          <w:b w:val="0"/>
        </w:rPr>
        <w:t xml:space="preserve"> interface (the subsequent increase in Sb signal is a processing artefact due to overlap of the Sb and Sn X-ray peaks from the FTO layer). The lack of any observable inter-diffusion is consistent with the higher reported efficiencies of Sb</w:t>
      </w:r>
      <w:r>
        <w:rPr>
          <w:b w:val="0"/>
          <w:vertAlign w:val="subscript"/>
        </w:rPr>
        <w:t>2</w:t>
      </w:r>
      <w:r>
        <w:rPr>
          <w:b w:val="0"/>
        </w:rPr>
        <w:t>Se</w:t>
      </w:r>
      <w:r>
        <w:rPr>
          <w:b w:val="0"/>
          <w:vertAlign w:val="subscript"/>
        </w:rPr>
        <w:t>3</w:t>
      </w:r>
      <w:r>
        <w:rPr>
          <w:b w:val="0"/>
        </w:rPr>
        <w:t>-TiO</w:t>
      </w:r>
      <w:r>
        <w:rPr>
          <w:b w:val="0"/>
          <w:vertAlign w:val="subscript"/>
        </w:rPr>
        <w:t xml:space="preserve">2 </w:t>
      </w:r>
      <w:r>
        <w:rPr>
          <w:b w:val="0"/>
        </w:rPr>
        <w:t xml:space="preserve">devices (see also Table 1), although higher resolution AC-STEM measurements are required to confirm that the interface region remains defect free even at the atomic scale. </w:t>
      </w:r>
      <w:r w:rsidR="006037CC" w:rsidRPr="002565CA">
        <w:rPr>
          <w:b w:val="0"/>
        </w:rPr>
        <w:t>Another strategy to reduce the deleterious effects of interfacial recombination is to use multiple emitter layers with systematic conduction band offsets</w:t>
      </w:r>
      <w:r w:rsidR="00437C67" w:rsidRPr="002565CA">
        <w:rPr>
          <w:b w:val="0"/>
        </w:rPr>
        <w:t xml:space="preserve">, </w:t>
      </w:r>
      <w:r w:rsidR="005A149B" w:rsidRPr="002565CA">
        <w:rPr>
          <w:b w:val="0"/>
        </w:rPr>
        <w:t>so</w:t>
      </w:r>
      <w:r w:rsidR="006037CC" w:rsidRPr="002565CA">
        <w:rPr>
          <w:b w:val="0"/>
        </w:rPr>
        <w:t xml:space="preserve"> that a cascading energy landscape</w:t>
      </w:r>
      <w:r w:rsidR="00437C67" w:rsidRPr="002565CA">
        <w:rPr>
          <w:b w:val="0"/>
        </w:rPr>
        <w:t xml:space="preserve"> is created</w:t>
      </w:r>
      <w:r w:rsidR="006037CC" w:rsidRPr="002565CA">
        <w:rPr>
          <w:b w:val="0"/>
        </w:rPr>
        <w:t xml:space="preserve"> for electron transport, such as</w:t>
      </w:r>
      <w:r w:rsidR="00437C67" w:rsidRPr="002565CA">
        <w:rPr>
          <w:b w:val="0"/>
        </w:rPr>
        <w:t xml:space="preserve"> in</w:t>
      </w:r>
      <w:r w:rsidR="006037CC" w:rsidRPr="002565CA">
        <w:rPr>
          <w:b w:val="0"/>
        </w:rPr>
        <w:t xml:space="preserve">, for example, </w:t>
      </w:r>
      <w:r w:rsidR="00D47A7E" w:rsidRPr="002565CA">
        <w:rPr>
          <w:b w:val="0"/>
        </w:rPr>
        <w:t>a</w:t>
      </w:r>
      <w:r w:rsidR="001437D2" w:rsidRPr="002565CA">
        <w:rPr>
          <w:b w:val="0"/>
        </w:rPr>
        <w:t xml:space="preserve"> double TiO</w:t>
      </w:r>
      <w:r w:rsidR="001437D2" w:rsidRPr="002565CA">
        <w:rPr>
          <w:b w:val="0"/>
          <w:vertAlign w:val="subscript"/>
        </w:rPr>
        <w:t>2</w:t>
      </w:r>
      <w:r w:rsidR="006037CC" w:rsidRPr="002565CA">
        <w:rPr>
          <w:b w:val="0"/>
        </w:rPr>
        <w:t>/</w:t>
      </w:r>
      <w:proofErr w:type="spellStart"/>
      <w:r w:rsidR="006037CC" w:rsidRPr="002565CA">
        <w:rPr>
          <w:b w:val="0"/>
        </w:rPr>
        <w:t>CdS</w:t>
      </w:r>
      <w:proofErr w:type="spellEnd"/>
      <w:r w:rsidR="001437D2" w:rsidRPr="002565CA">
        <w:rPr>
          <w:b w:val="0"/>
        </w:rPr>
        <w:t xml:space="preserve"> emitter </w:t>
      </w:r>
      <w:r w:rsidR="006037CC" w:rsidRPr="002565CA">
        <w:rPr>
          <w:b w:val="0"/>
        </w:rPr>
        <w:t>paired</w:t>
      </w:r>
      <w:r w:rsidR="001437D2" w:rsidRPr="002565CA">
        <w:rPr>
          <w:b w:val="0"/>
        </w:rPr>
        <w:t xml:space="preserve"> with mixed anion Sb</w:t>
      </w:r>
      <w:r w:rsidR="001437D2" w:rsidRPr="002565CA">
        <w:rPr>
          <w:b w:val="0"/>
          <w:vertAlign w:val="subscript"/>
        </w:rPr>
        <w:t>2</w:t>
      </w:r>
      <w:r w:rsidR="001437D2" w:rsidRPr="002565CA">
        <w:rPr>
          <w:b w:val="0"/>
        </w:rPr>
        <w:t>(</w:t>
      </w:r>
      <w:proofErr w:type="spellStart"/>
      <w:r w:rsidR="001437D2" w:rsidRPr="002565CA">
        <w:rPr>
          <w:b w:val="0"/>
        </w:rPr>
        <w:t>S,Se</w:t>
      </w:r>
      <w:proofErr w:type="spellEnd"/>
      <w:r w:rsidR="001437D2" w:rsidRPr="002565CA">
        <w:rPr>
          <w:b w:val="0"/>
        </w:rPr>
        <w:t>)</w:t>
      </w:r>
      <w:r w:rsidR="001437D2" w:rsidRPr="002565CA">
        <w:rPr>
          <w:b w:val="0"/>
          <w:vertAlign w:val="subscript"/>
        </w:rPr>
        <w:t>3</w:t>
      </w:r>
      <w:r w:rsidR="00437C67" w:rsidRPr="002565CA">
        <w:rPr>
          <w:b w:val="0"/>
        </w:rPr>
        <w:t xml:space="preserve"> absorber layer</w:t>
      </w:r>
      <w:r w:rsidR="001437D2" w:rsidRPr="002565CA">
        <w:rPr>
          <w:b w:val="0"/>
        </w:rPr>
        <w:t xml:space="preserve"> </w:t>
      </w:r>
      <w:r w:rsidR="00BF2C9C">
        <w:rPr>
          <w:b w:val="0"/>
          <w:vertAlign w:val="superscript"/>
        </w:rPr>
        <w:t>(</w:t>
      </w:r>
      <w:r w:rsidR="001437D2" w:rsidRPr="002565CA">
        <w:rPr>
          <w:b w:val="0"/>
          <w:vertAlign w:val="superscript"/>
        </w:rPr>
        <w:t>26-28</w:t>
      </w:r>
      <w:r w:rsidR="00BF2C9C">
        <w:rPr>
          <w:b w:val="0"/>
          <w:vertAlign w:val="superscript"/>
        </w:rPr>
        <w:t>)</w:t>
      </w:r>
      <w:r w:rsidR="001437D2" w:rsidRPr="002565CA">
        <w:rPr>
          <w:b w:val="0"/>
        </w:rPr>
        <w:t>.</w:t>
      </w:r>
    </w:p>
    <w:p w:rsidR="00E671FF" w:rsidRDefault="00E671FF" w:rsidP="00234C2C">
      <w:pPr>
        <w:pStyle w:val="Head1"/>
        <w:spacing w:line="480" w:lineRule="auto"/>
        <w:rPr>
          <w:b w:val="0"/>
        </w:rPr>
      </w:pPr>
    </w:p>
    <w:p w:rsidR="00E671FF" w:rsidRPr="00783DAC" w:rsidRDefault="00E671FF" w:rsidP="00234C2C">
      <w:pPr>
        <w:pStyle w:val="Head1"/>
        <w:spacing w:line="480" w:lineRule="auto"/>
      </w:pPr>
      <w:r>
        <w:t>3. Conclusions</w:t>
      </w:r>
    </w:p>
    <w:p w:rsidR="00E671FF" w:rsidRDefault="00E671FF" w:rsidP="00234C2C">
      <w:pPr>
        <w:pStyle w:val="Head1"/>
        <w:spacing w:line="480" w:lineRule="auto"/>
        <w:rPr>
          <w:b w:val="0"/>
        </w:rPr>
      </w:pPr>
    </w:p>
    <w:p w:rsidR="00E671FF" w:rsidRPr="009D4BE6" w:rsidRDefault="00E671FF" w:rsidP="00234C2C">
      <w:pPr>
        <w:pStyle w:val="Head1"/>
        <w:spacing w:line="480" w:lineRule="auto"/>
        <w:rPr>
          <w:b w:val="0"/>
        </w:rPr>
      </w:pPr>
      <w:r>
        <w:rPr>
          <w:b w:val="0"/>
        </w:rPr>
        <w:t>A combined electron microscopy and DFT study has revealed several unexpected properties about Sb</w:t>
      </w:r>
      <w:r>
        <w:rPr>
          <w:b w:val="0"/>
          <w:vertAlign w:val="subscript"/>
        </w:rPr>
        <w:t>2</w:t>
      </w:r>
      <w:r>
        <w:rPr>
          <w:b w:val="0"/>
        </w:rPr>
        <w:t>Se</w:t>
      </w:r>
      <w:r>
        <w:rPr>
          <w:b w:val="0"/>
          <w:vertAlign w:val="subscript"/>
        </w:rPr>
        <w:t>3</w:t>
      </w:r>
      <w:r>
        <w:rPr>
          <w:b w:val="0"/>
        </w:rPr>
        <w:t xml:space="preserve"> thin-film photovoltaic devices. The first is the self-healing property of Sb</w:t>
      </w:r>
      <w:r>
        <w:rPr>
          <w:b w:val="0"/>
          <w:vertAlign w:val="subscript"/>
        </w:rPr>
        <w:t>2</w:t>
      </w:r>
      <w:r>
        <w:rPr>
          <w:b w:val="0"/>
        </w:rPr>
        <w:t>Se</w:t>
      </w:r>
      <w:r>
        <w:rPr>
          <w:b w:val="0"/>
          <w:vertAlign w:val="subscript"/>
        </w:rPr>
        <w:t xml:space="preserve">3 </w:t>
      </w:r>
      <w:r>
        <w:rPr>
          <w:b w:val="0"/>
        </w:rPr>
        <w:t>grain boundaries, where electronic states deep within the band gap due to dangling bonds are removed by grain boundary atom relaxation. The assumption of rapid recombination at grain boundaries where the covalent bonding along the (Sb</w:t>
      </w:r>
      <w:r>
        <w:rPr>
          <w:b w:val="0"/>
          <w:vertAlign w:val="subscript"/>
        </w:rPr>
        <w:t>4</w:t>
      </w:r>
      <w:r>
        <w:rPr>
          <w:b w:val="0"/>
        </w:rPr>
        <w:t>Se</w:t>
      </w:r>
      <w:r>
        <w:rPr>
          <w:b w:val="0"/>
          <w:vertAlign w:val="subscript"/>
        </w:rPr>
        <w:t>6</w:t>
      </w:r>
      <w:proofErr w:type="gramStart"/>
      <w:r>
        <w:rPr>
          <w:b w:val="0"/>
        </w:rPr>
        <w:t>)</w:t>
      </w:r>
      <w:r w:rsidRPr="00A773D0">
        <w:rPr>
          <w:b w:val="0"/>
          <w:vertAlign w:val="subscript"/>
        </w:rPr>
        <w:t>n</w:t>
      </w:r>
      <w:proofErr w:type="gramEnd"/>
      <w:r>
        <w:rPr>
          <w:b w:val="0"/>
        </w:rPr>
        <w:t xml:space="preserve"> ribbons is disrupted must </w:t>
      </w:r>
      <w:r>
        <w:rPr>
          <w:b w:val="0"/>
        </w:rPr>
        <w:lastRenderedPageBreak/>
        <w:t>therefore be revised. However, grain boundaries can still influence device performance through anisotropic charge transport which occurs predominantly along the (Sb</w:t>
      </w:r>
      <w:r>
        <w:rPr>
          <w:b w:val="0"/>
          <w:vertAlign w:val="subscript"/>
        </w:rPr>
        <w:t>4</w:t>
      </w:r>
      <w:r>
        <w:rPr>
          <w:b w:val="0"/>
        </w:rPr>
        <w:t>Se</w:t>
      </w:r>
      <w:r>
        <w:rPr>
          <w:b w:val="0"/>
          <w:vertAlign w:val="subscript"/>
        </w:rPr>
        <w:t>6</w:t>
      </w:r>
      <w:proofErr w:type="gramStart"/>
      <w:r>
        <w:rPr>
          <w:b w:val="0"/>
        </w:rPr>
        <w:t>)</w:t>
      </w:r>
      <w:r w:rsidRPr="00A773D0">
        <w:rPr>
          <w:b w:val="0"/>
          <w:vertAlign w:val="subscript"/>
        </w:rPr>
        <w:t>n</w:t>
      </w:r>
      <w:proofErr w:type="gramEnd"/>
      <w:r>
        <w:rPr>
          <w:b w:val="0"/>
        </w:rPr>
        <w:t xml:space="preserve"> ribbons. </w:t>
      </w:r>
      <w:proofErr w:type="spellStart"/>
      <w:r>
        <w:rPr>
          <w:b w:val="0"/>
        </w:rPr>
        <w:t>Misorientation</w:t>
      </w:r>
      <w:proofErr w:type="spellEnd"/>
      <w:r>
        <w:rPr>
          <w:b w:val="0"/>
        </w:rPr>
        <w:t xml:space="preserve"> of the ribbons either side of the boundary means that certain grain boundaries impede charge transport to either the space charge region (electrons) or back contact (holes). The ideal film texture therefore consists of (001) oriented grains. [001] is shown to be a fast crystal growth direction and results in columnar grains, although in practice most Sb</w:t>
      </w:r>
      <w:r>
        <w:rPr>
          <w:b w:val="0"/>
          <w:vertAlign w:val="subscript"/>
        </w:rPr>
        <w:t>2</w:t>
      </w:r>
      <w:r>
        <w:rPr>
          <w:b w:val="0"/>
        </w:rPr>
        <w:t>Se</w:t>
      </w:r>
      <w:r>
        <w:rPr>
          <w:b w:val="0"/>
          <w:vertAlign w:val="subscript"/>
        </w:rPr>
        <w:t>3</w:t>
      </w:r>
      <w:r>
        <w:rPr>
          <w:b w:val="0"/>
        </w:rPr>
        <w:t xml:space="preserve"> thin-films are found to have a (211)</w:t>
      </w:r>
      <w:proofErr w:type="gramStart"/>
      <w:r>
        <w:rPr>
          <w:b w:val="0"/>
        </w:rPr>
        <w:t>/(</w:t>
      </w:r>
      <w:proofErr w:type="gramEnd"/>
      <w:r>
        <w:rPr>
          <w:b w:val="0"/>
        </w:rPr>
        <w:t xml:space="preserve">221) texture. Strategies to promote (001) grain texture are therefore a direct route to optimizing device efficiency. It has also been demonstrated that </w:t>
      </w:r>
      <w:proofErr w:type="spellStart"/>
      <w:r>
        <w:rPr>
          <w:b w:val="0"/>
        </w:rPr>
        <w:t>CdS</w:t>
      </w:r>
      <w:proofErr w:type="spellEnd"/>
      <w:r>
        <w:rPr>
          <w:b w:val="0"/>
        </w:rPr>
        <w:t xml:space="preserve"> is not a suitable emitter material due to rapid inter-diffusion of Sb and Se from Sb</w:t>
      </w:r>
      <w:r>
        <w:rPr>
          <w:b w:val="0"/>
          <w:vertAlign w:val="subscript"/>
        </w:rPr>
        <w:t>2</w:t>
      </w:r>
      <w:r>
        <w:rPr>
          <w:b w:val="0"/>
        </w:rPr>
        <w:t>Se</w:t>
      </w:r>
      <w:r>
        <w:rPr>
          <w:b w:val="0"/>
          <w:vertAlign w:val="subscript"/>
        </w:rPr>
        <w:t>3</w:t>
      </w:r>
      <w:r>
        <w:rPr>
          <w:b w:val="0"/>
        </w:rPr>
        <w:t>. Even when the diffusion is largely suppressed, such as by lowering the deposition temperature, a highly defective interfacial layer of Sb</w:t>
      </w:r>
      <w:r>
        <w:rPr>
          <w:b w:val="0"/>
          <w:vertAlign w:val="subscript"/>
        </w:rPr>
        <w:t>2</w:t>
      </w:r>
      <w:r>
        <w:rPr>
          <w:b w:val="0"/>
        </w:rPr>
        <w:t>Se</w:t>
      </w:r>
      <w:r>
        <w:rPr>
          <w:b w:val="0"/>
          <w:vertAlign w:val="subscript"/>
        </w:rPr>
        <w:t>3</w:t>
      </w:r>
      <w:r>
        <w:rPr>
          <w:b w:val="0"/>
        </w:rPr>
        <w:t xml:space="preserve"> can form on the atomic scale. The increased interfacial recombination results in lower device efficiencies. Achieving high efficiencies would therefore require a diffusion barrier layer between the </w:t>
      </w:r>
      <w:proofErr w:type="spellStart"/>
      <w:r>
        <w:rPr>
          <w:b w:val="0"/>
        </w:rPr>
        <w:t>CdS</w:t>
      </w:r>
      <w:proofErr w:type="spellEnd"/>
      <w:r>
        <w:rPr>
          <w:b w:val="0"/>
        </w:rPr>
        <w:t xml:space="preserve"> and Sb</w:t>
      </w:r>
      <w:r>
        <w:rPr>
          <w:b w:val="0"/>
          <w:vertAlign w:val="subscript"/>
        </w:rPr>
        <w:t>2</w:t>
      </w:r>
      <w:r>
        <w:rPr>
          <w:b w:val="0"/>
        </w:rPr>
        <w:t>Se</w:t>
      </w:r>
      <w:r>
        <w:rPr>
          <w:b w:val="0"/>
          <w:vertAlign w:val="subscript"/>
        </w:rPr>
        <w:t>3</w:t>
      </w:r>
      <w:r>
        <w:rPr>
          <w:b w:val="0"/>
        </w:rPr>
        <w:t xml:space="preserve"> or the use of alternative, chemically inert emitter layers. </w:t>
      </w:r>
    </w:p>
    <w:p w:rsidR="00E671FF" w:rsidRDefault="00E671FF" w:rsidP="00E671FF">
      <w:pPr>
        <w:rPr>
          <w:lang w:val="en-US"/>
        </w:rPr>
      </w:pPr>
    </w:p>
    <w:p w:rsidR="00E671FF" w:rsidRDefault="00E671FF" w:rsidP="00E671FF">
      <w:pPr>
        <w:pStyle w:val="Head1"/>
      </w:pPr>
      <w:r>
        <w:t>4. Experimental Method</w:t>
      </w:r>
    </w:p>
    <w:p w:rsidR="00E671FF" w:rsidRDefault="00E671FF" w:rsidP="00E671FF">
      <w:pPr>
        <w:pStyle w:val="Head1"/>
      </w:pPr>
    </w:p>
    <w:p w:rsidR="00E671FF" w:rsidRDefault="00E671FF" w:rsidP="00E671FF">
      <w:pPr>
        <w:pStyle w:val="ExperimentalText"/>
      </w:pPr>
      <w:r>
        <w:rPr>
          <w:i/>
        </w:rPr>
        <w:t>Device fabrication</w:t>
      </w:r>
      <w:r w:rsidRPr="002E1B8F">
        <w:t xml:space="preserve">: </w:t>
      </w:r>
      <w:r>
        <w:t>For the CSS Sb</w:t>
      </w:r>
      <w:r>
        <w:rPr>
          <w:vertAlign w:val="subscript"/>
        </w:rPr>
        <w:t>2</w:t>
      </w:r>
      <w:r>
        <w:t>Se</w:t>
      </w:r>
      <w:r>
        <w:rPr>
          <w:vertAlign w:val="subscript"/>
        </w:rPr>
        <w:t>3</w:t>
      </w:r>
      <w:r>
        <w:t xml:space="preserve">-CdS device a high resistive </w:t>
      </w:r>
      <w:proofErr w:type="spellStart"/>
      <w:r>
        <w:t>ZnO</w:t>
      </w:r>
      <w:proofErr w:type="spellEnd"/>
      <w:r>
        <w:t xml:space="preserve"> layer was used in between the FTO and </w:t>
      </w:r>
      <w:proofErr w:type="spellStart"/>
      <w:r>
        <w:t>CdS</w:t>
      </w:r>
      <w:proofErr w:type="spellEnd"/>
      <w:r>
        <w:t xml:space="preserve"> so that a thinner </w:t>
      </w:r>
      <w:proofErr w:type="spellStart"/>
      <w:r>
        <w:t>CdS</w:t>
      </w:r>
      <w:proofErr w:type="spellEnd"/>
      <w:r>
        <w:t xml:space="preserve"> layer could be deposited, which has the effect of reducing parasitic absorption of high energy photons. Both </w:t>
      </w:r>
      <w:proofErr w:type="spellStart"/>
      <w:r>
        <w:t>ZnO</w:t>
      </w:r>
      <w:proofErr w:type="spellEnd"/>
      <w:r>
        <w:t xml:space="preserve"> and </w:t>
      </w:r>
      <w:proofErr w:type="spellStart"/>
      <w:r>
        <w:t>CdS</w:t>
      </w:r>
      <w:proofErr w:type="spellEnd"/>
      <w:r>
        <w:t xml:space="preserve"> were deposited by sputtering. The conditions were 150 W power for 50 minutes at room temperature (</w:t>
      </w:r>
      <w:proofErr w:type="spellStart"/>
      <w:r>
        <w:t>ZnO</w:t>
      </w:r>
      <w:proofErr w:type="spellEnd"/>
      <w:r>
        <w:t>) and 60 W for 15 minutes at 200</w:t>
      </w:r>
      <w:r>
        <w:rPr>
          <w:vertAlign w:val="superscript"/>
        </w:rPr>
        <w:t>o</w:t>
      </w:r>
      <w:r>
        <w:t>C (</w:t>
      </w:r>
      <w:proofErr w:type="spellStart"/>
      <w:r>
        <w:t>CdS</w:t>
      </w:r>
      <w:proofErr w:type="spellEnd"/>
      <w:r>
        <w:t>).  CSS deposition of Sb</w:t>
      </w:r>
      <w:r>
        <w:rPr>
          <w:vertAlign w:val="subscript"/>
        </w:rPr>
        <w:t>2</w:t>
      </w:r>
      <w:r>
        <w:t>Se</w:t>
      </w:r>
      <w:r>
        <w:rPr>
          <w:vertAlign w:val="subscript"/>
        </w:rPr>
        <w:t>3</w:t>
      </w:r>
      <w:r>
        <w:t xml:space="preserve"> took place for 15 minutes with a source temperature of 460</w:t>
      </w:r>
      <w:r>
        <w:rPr>
          <w:vertAlign w:val="superscript"/>
        </w:rPr>
        <w:t>o</w:t>
      </w:r>
      <w:r>
        <w:t xml:space="preserve"> under 13 mbar N</w:t>
      </w:r>
      <w:r>
        <w:rPr>
          <w:vertAlign w:val="subscript"/>
        </w:rPr>
        <w:t>2</w:t>
      </w:r>
      <w:r>
        <w:t xml:space="preserve"> atmosphere. In order to halt film deposition the pressure was increased to 400 mbar and the heating switched off. The TE Sb</w:t>
      </w:r>
      <w:r>
        <w:rPr>
          <w:vertAlign w:val="subscript"/>
        </w:rPr>
        <w:t>2</w:t>
      </w:r>
      <w:r>
        <w:t>Se</w:t>
      </w:r>
      <w:r>
        <w:rPr>
          <w:vertAlign w:val="subscript"/>
        </w:rPr>
        <w:t>3</w:t>
      </w:r>
      <w:r>
        <w:t xml:space="preserve">-CdS samples were deposited on sputtered </w:t>
      </w:r>
      <w:proofErr w:type="spellStart"/>
      <w:r>
        <w:t>CdS</w:t>
      </w:r>
      <w:proofErr w:type="spellEnd"/>
      <w:r>
        <w:t xml:space="preserve"> (with no underlying </w:t>
      </w:r>
      <w:proofErr w:type="spellStart"/>
      <w:r>
        <w:t>ZnO</w:t>
      </w:r>
      <w:proofErr w:type="spellEnd"/>
      <w:r>
        <w:t xml:space="preserve"> layer) with the unheated substrate under vacuum (5x10</w:t>
      </w:r>
      <w:r>
        <w:rPr>
          <w:vertAlign w:val="superscript"/>
        </w:rPr>
        <w:t>-5</w:t>
      </w:r>
      <w:r>
        <w:t xml:space="preserve"> mbar) and a source-substrate </w:t>
      </w:r>
      <w:r>
        <w:lastRenderedPageBreak/>
        <w:t>distance of 20 cm. The resulting absorber layer was of poor quality and therefore had to be hot plate annealed under N</w:t>
      </w:r>
      <w:r>
        <w:rPr>
          <w:vertAlign w:val="subscript"/>
        </w:rPr>
        <w:t>2</w:t>
      </w:r>
      <w:r>
        <w:t xml:space="preserve"> atmosphere in a glove box at 350</w:t>
      </w:r>
      <w:r>
        <w:rPr>
          <w:vertAlign w:val="superscript"/>
        </w:rPr>
        <w:t>o</w:t>
      </w:r>
      <w:r>
        <w:t>C for 30 minutes. For the two-stage CSS Sb</w:t>
      </w:r>
      <w:r>
        <w:rPr>
          <w:vertAlign w:val="subscript"/>
        </w:rPr>
        <w:t>2</w:t>
      </w:r>
      <w:r>
        <w:t>Se</w:t>
      </w:r>
      <w:r>
        <w:rPr>
          <w:vertAlign w:val="subscript"/>
        </w:rPr>
        <w:t>3</w:t>
      </w:r>
      <w:r>
        <w:t>-TiO</w:t>
      </w:r>
      <w:r>
        <w:rPr>
          <w:vertAlign w:val="subscript"/>
        </w:rPr>
        <w:t>2</w:t>
      </w:r>
      <w:r>
        <w:t xml:space="preserve"> device the TiO</w:t>
      </w:r>
      <w:r>
        <w:rPr>
          <w:vertAlign w:val="subscript"/>
        </w:rPr>
        <w:t>2</w:t>
      </w:r>
      <w:r>
        <w:t xml:space="preserve"> was spin coated at 3000 rpm for 30 s using a 0.15 M and 0.30 M titanium </w:t>
      </w:r>
      <w:proofErr w:type="spellStart"/>
      <w:r>
        <w:t>isopropoxide</w:t>
      </w:r>
      <w:proofErr w:type="spellEnd"/>
      <w:r>
        <w:t xml:space="preserve"> in ethanol solution with drying at 120</w:t>
      </w:r>
      <w:r>
        <w:rPr>
          <w:vertAlign w:val="superscript"/>
        </w:rPr>
        <w:t>o</w:t>
      </w:r>
      <w:r>
        <w:t>C for 10 minutes in N</w:t>
      </w:r>
      <w:r>
        <w:rPr>
          <w:vertAlign w:val="subscript"/>
        </w:rPr>
        <w:t>2</w:t>
      </w:r>
      <w:r>
        <w:t xml:space="preserve"> after each deposition. The TiO</w:t>
      </w:r>
      <w:r>
        <w:rPr>
          <w:vertAlign w:val="subscript"/>
        </w:rPr>
        <w:t>2</w:t>
      </w:r>
      <w:r>
        <w:t xml:space="preserve"> was then sintered in air at 500</w:t>
      </w:r>
      <w:r>
        <w:rPr>
          <w:vertAlign w:val="superscript"/>
        </w:rPr>
        <w:t>o</w:t>
      </w:r>
      <w:r>
        <w:t xml:space="preserve">C for </w:t>
      </w:r>
      <w:r w:rsidRPr="00CA6E84">
        <w:t>30 minutes</w:t>
      </w:r>
      <w:r>
        <w:t>. The two-stage CSS growth first involved depositing a Sb</w:t>
      </w:r>
      <w:r>
        <w:rPr>
          <w:vertAlign w:val="subscript"/>
        </w:rPr>
        <w:t>2</w:t>
      </w:r>
      <w:r>
        <w:t>Se</w:t>
      </w:r>
      <w:r>
        <w:rPr>
          <w:vertAlign w:val="subscript"/>
        </w:rPr>
        <w:t>3</w:t>
      </w:r>
      <w:r>
        <w:t xml:space="preserve"> seed layer with source and substrate temperatures of 340</w:t>
      </w:r>
      <w:r>
        <w:rPr>
          <w:vertAlign w:val="superscript"/>
        </w:rPr>
        <w:t>o</w:t>
      </w:r>
      <w:r>
        <w:t xml:space="preserve"> and 390</w:t>
      </w:r>
      <w:r>
        <w:rPr>
          <w:vertAlign w:val="superscript"/>
        </w:rPr>
        <w:t>o</w:t>
      </w:r>
      <w:r>
        <w:t>C respectively under 0.05 mbar N</w:t>
      </w:r>
      <w:r>
        <w:rPr>
          <w:vertAlign w:val="subscript"/>
        </w:rPr>
        <w:t>2</w:t>
      </w:r>
      <w:r>
        <w:t xml:space="preserve"> for 2 minutes. The seed layer was annealed for 10 minutes with the N</w:t>
      </w:r>
      <w:r>
        <w:rPr>
          <w:vertAlign w:val="subscript"/>
        </w:rPr>
        <w:t>2</w:t>
      </w:r>
      <w:r>
        <w:t xml:space="preserve"> pressure increased to 260 mbar. The second stage of Sb</w:t>
      </w:r>
      <w:r>
        <w:rPr>
          <w:vertAlign w:val="subscript"/>
        </w:rPr>
        <w:t>2</w:t>
      </w:r>
      <w:r>
        <w:t>Se</w:t>
      </w:r>
      <w:r>
        <w:rPr>
          <w:vertAlign w:val="subscript"/>
        </w:rPr>
        <w:t xml:space="preserve">3 </w:t>
      </w:r>
      <w:r>
        <w:t>deposition took place for 15 minutes under 13 mbar N</w:t>
      </w:r>
      <w:r>
        <w:rPr>
          <w:vertAlign w:val="subscript"/>
        </w:rPr>
        <w:t>2</w:t>
      </w:r>
      <w:r>
        <w:t xml:space="preserve"> pressure with the source temperature increased to 460</w:t>
      </w:r>
      <w:r>
        <w:rPr>
          <w:vertAlign w:val="superscript"/>
        </w:rPr>
        <w:t>o</w:t>
      </w:r>
      <w:r>
        <w:t>C. All devices were grown on NSG TEC10 glass. F</w:t>
      </w:r>
      <w:r w:rsidR="00AF2B29">
        <w:t>urther details can be found in</w:t>
      </w:r>
      <w:r w:rsidR="00F3784D">
        <w:t xml:space="preserve"> references</w:t>
      </w:r>
      <w:r w:rsidR="00AF2B29">
        <w:t xml:space="preserve"> (</w:t>
      </w:r>
      <w:r>
        <w:t>9</w:t>
      </w:r>
      <w:r w:rsidR="00AF2B29">
        <w:t>), (</w:t>
      </w:r>
      <w:r>
        <w:t>12</w:t>
      </w:r>
      <w:r w:rsidR="00AF2B29">
        <w:t>) and (</w:t>
      </w:r>
      <w:r>
        <w:t>2</w:t>
      </w:r>
      <w:r w:rsidR="00E83149">
        <w:t>9</w:t>
      </w:r>
      <w:r>
        <w:t>-</w:t>
      </w:r>
      <w:r w:rsidR="00E83149">
        <w:t>30</w:t>
      </w:r>
      <w:r w:rsidR="00AF2B29">
        <w:t>)</w:t>
      </w:r>
      <w:r>
        <w:t>.</w:t>
      </w:r>
    </w:p>
    <w:p w:rsidR="00E671FF" w:rsidRDefault="00E671FF" w:rsidP="00E671FF">
      <w:pPr>
        <w:pStyle w:val="ExperimentalText"/>
      </w:pPr>
      <w:r>
        <w:rPr>
          <w:i/>
        </w:rPr>
        <w:t>Electron Microscopy</w:t>
      </w:r>
      <w:r w:rsidRPr="002E1B8F">
        <w:t>:</w:t>
      </w:r>
      <w:r>
        <w:t xml:space="preserve"> TEM cross-section samples were prepared using an FEI H</w:t>
      </w:r>
      <w:r w:rsidR="00945AF4">
        <w:t xml:space="preserve">elios 600 </w:t>
      </w:r>
      <w:proofErr w:type="spellStart"/>
      <w:r w:rsidR="00945AF4">
        <w:t>Nanolab</w:t>
      </w:r>
      <w:proofErr w:type="spellEnd"/>
      <w:r w:rsidR="00945AF4">
        <w:t xml:space="preserve"> dual-beam FIB </w:t>
      </w:r>
      <w:r w:rsidR="00945AF4">
        <w:rPr>
          <w:vertAlign w:val="superscript"/>
        </w:rPr>
        <w:t>(</w:t>
      </w:r>
      <w:r w:rsidR="00E83149">
        <w:rPr>
          <w:vertAlign w:val="superscript"/>
        </w:rPr>
        <w:t>31</w:t>
      </w:r>
      <w:r w:rsidR="00945AF4">
        <w:rPr>
          <w:vertAlign w:val="superscript"/>
        </w:rPr>
        <w:t>)</w:t>
      </w:r>
      <w:r w:rsidR="00945AF4">
        <w:t>.</w:t>
      </w:r>
      <w:r>
        <w:t xml:space="preserve"> The Sb</w:t>
      </w:r>
      <w:r>
        <w:rPr>
          <w:vertAlign w:val="subscript"/>
        </w:rPr>
        <w:t>2</w:t>
      </w:r>
      <w:r>
        <w:t>Se</w:t>
      </w:r>
      <w:r>
        <w:rPr>
          <w:vertAlign w:val="subscript"/>
        </w:rPr>
        <w:t>3</w:t>
      </w:r>
      <w:r>
        <w:t xml:space="preserve"> layer back surface was carbon coated to minimize charging followed by platinum layer deposition to prevent gallium ion-beam damage during milling. A 2 kV ion-beam voltage was used for the final thinning of the TEM lamellae. The FIB was also used to acquire plan-view and cross-sectional SEM images at 3 kV electron beam voltage. TEM/STEM </w:t>
      </w:r>
      <w:proofErr w:type="spellStart"/>
      <w:r>
        <w:t>characterisation</w:t>
      </w:r>
      <w:proofErr w:type="spellEnd"/>
      <w:r>
        <w:t xml:space="preserve"> was carried out in a JEOL 2100F FEG TEM operating at 200 kV and Oxford Instruments X-Max 65T silicon drift detector for EDX analysis. High resolution AC-STEM analysis was carried out in a </w:t>
      </w:r>
      <w:proofErr w:type="spellStart"/>
      <w:r>
        <w:t>Nion</w:t>
      </w:r>
      <w:proofErr w:type="spellEnd"/>
      <w:r>
        <w:t xml:space="preserve"> </w:t>
      </w:r>
      <w:proofErr w:type="spellStart"/>
      <w:r>
        <w:t>UltraSTEM</w:t>
      </w:r>
      <w:proofErr w:type="spellEnd"/>
      <w:r>
        <w:t xml:space="preserve"> 100 MC Hermes Microscope at the </w:t>
      </w:r>
      <w:proofErr w:type="spellStart"/>
      <w:r>
        <w:t>SuperSTEM</w:t>
      </w:r>
      <w:proofErr w:type="spellEnd"/>
      <w:r>
        <w:t xml:space="preserve"> facility, Daresbury UK. The operating voltage was 60 kV and the STEM probe convergence semi-angle was 31 </w:t>
      </w:r>
      <w:proofErr w:type="spellStart"/>
      <w:r>
        <w:t>mrad</w:t>
      </w:r>
      <w:proofErr w:type="spellEnd"/>
      <w:r>
        <w:t xml:space="preserve">. The detector inner and outer angles were 55, 82 </w:t>
      </w:r>
      <w:proofErr w:type="spellStart"/>
      <w:r>
        <w:t>mrad</w:t>
      </w:r>
      <w:proofErr w:type="spellEnd"/>
      <w:r>
        <w:t xml:space="preserve"> for MAADF imaging and 82,180 </w:t>
      </w:r>
      <w:proofErr w:type="spellStart"/>
      <w:r>
        <w:t>mrad</w:t>
      </w:r>
      <w:proofErr w:type="spellEnd"/>
      <w:r>
        <w:t xml:space="preserve"> for HAADF imaging. </w:t>
      </w:r>
      <w:proofErr w:type="gramStart"/>
      <w:r>
        <w:t>EELS</w:t>
      </w:r>
      <w:proofErr w:type="gramEnd"/>
      <w:r>
        <w:t xml:space="preserve"> spectra were acquired on a </w:t>
      </w:r>
      <w:proofErr w:type="spellStart"/>
      <w:r>
        <w:t>Gatan</w:t>
      </w:r>
      <w:proofErr w:type="spellEnd"/>
      <w:r>
        <w:t xml:space="preserve"> </w:t>
      </w:r>
      <w:proofErr w:type="spellStart"/>
      <w:r>
        <w:t>Enfinium</w:t>
      </w:r>
      <w:proofErr w:type="spellEnd"/>
      <w:r>
        <w:t xml:space="preserve"> spectrometer with 0.2 eV/channel dispersion and 44 </w:t>
      </w:r>
      <w:proofErr w:type="spellStart"/>
      <w:r>
        <w:t>mrad</w:t>
      </w:r>
      <w:proofErr w:type="spellEnd"/>
      <w:r>
        <w:t xml:space="preserve"> spectrometer collection semi-angle. Standard power law </w:t>
      </w:r>
      <w:proofErr w:type="gramStart"/>
      <w:r>
        <w:t>fitting</w:t>
      </w:r>
      <w:r w:rsidR="00B51E01">
        <w:rPr>
          <w:vertAlign w:val="superscript"/>
        </w:rPr>
        <w:t>(</w:t>
      </w:r>
      <w:proofErr w:type="gramEnd"/>
      <w:r w:rsidR="00E83149">
        <w:rPr>
          <w:vertAlign w:val="superscript"/>
        </w:rPr>
        <w:t>32</w:t>
      </w:r>
      <w:r w:rsidR="00B51E01">
        <w:rPr>
          <w:vertAlign w:val="superscript"/>
        </w:rPr>
        <w:t>)</w:t>
      </w:r>
      <w:r>
        <w:t xml:space="preserve"> was used to subtract the background from core loss edges. </w:t>
      </w:r>
    </w:p>
    <w:p w:rsidR="00E671FF" w:rsidRDefault="00E671FF" w:rsidP="00E671FF">
      <w:pPr>
        <w:pStyle w:val="ExperimentalText"/>
        <w:rPr>
          <w:color w:val="FF0000"/>
        </w:rPr>
      </w:pPr>
      <w:r w:rsidRPr="00646495">
        <w:rPr>
          <w:i/>
          <w:color w:val="000000" w:themeColor="text1"/>
        </w:rPr>
        <w:lastRenderedPageBreak/>
        <w:t>DFT simulations</w:t>
      </w:r>
      <w:r w:rsidRPr="00646495">
        <w:rPr>
          <w:color w:val="000000" w:themeColor="text1"/>
        </w:rPr>
        <w:t xml:space="preserve">: </w:t>
      </w:r>
      <w:r w:rsidRPr="00C05C6F">
        <w:t>Spin polarized density functional theory calculations were carried out using the projector augmented wave method and a plane wave basis as implemented in the Vienna Ab initio Simulation Package (VASP)</w:t>
      </w:r>
      <w:r>
        <w:t xml:space="preserve"> </w:t>
      </w:r>
      <w:r w:rsidR="00B51E01">
        <w:rPr>
          <w:vertAlign w:val="superscript"/>
        </w:rPr>
        <w:t>(</w:t>
      </w:r>
      <w:r>
        <w:rPr>
          <w:vertAlign w:val="superscript"/>
        </w:rPr>
        <w:t>3</w:t>
      </w:r>
      <w:r w:rsidR="00E83149">
        <w:rPr>
          <w:vertAlign w:val="superscript"/>
        </w:rPr>
        <w:t>3</w:t>
      </w:r>
      <w:r>
        <w:rPr>
          <w:vertAlign w:val="superscript"/>
        </w:rPr>
        <w:t>-3</w:t>
      </w:r>
      <w:r w:rsidR="00E83149">
        <w:rPr>
          <w:vertAlign w:val="superscript"/>
        </w:rPr>
        <w:t>4</w:t>
      </w:r>
      <w:r w:rsidR="00B51E01">
        <w:rPr>
          <w:vertAlign w:val="superscript"/>
        </w:rPr>
        <w:t>)</w:t>
      </w:r>
      <w:r w:rsidRPr="00BB3B37">
        <w:t>.</w:t>
      </w:r>
      <w:r w:rsidRPr="00502096">
        <w:rPr>
          <w:color w:val="FF0000"/>
        </w:rPr>
        <w:t xml:space="preserve"> </w:t>
      </w:r>
      <w:r w:rsidRPr="00BB3B37">
        <w:t xml:space="preserve">We employ the HSE06 hybrid functional together with the D3 </w:t>
      </w:r>
      <w:proofErr w:type="spellStart"/>
      <w:r w:rsidRPr="00BB3B37">
        <w:t>Grimme</w:t>
      </w:r>
      <w:proofErr w:type="spellEnd"/>
      <w:r w:rsidRPr="00BB3B37">
        <w:t xml:space="preserve"> dispersion correction to describe the Van der Waals interactions between the (Sb</w:t>
      </w:r>
      <w:r w:rsidRPr="00BB3B37">
        <w:rPr>
          <w:vertAlign w:val="subscript"/>
        </w:rPr>
        <w:t>4</w:t>
      </w:r>
      <w:r w:rsidRPr="00BB3B37">
        <w:t>Se</w:t>
      </w:r>
      <w:r w:rsidRPr="00BB3B37">
        <w:rPr>
          <w:vertAlign w:val="subscript"/>
        </w:rPr>
        <w:t>6</w:t>
      </w:r>
      <w:proofErr w:type="gramStart"/>
      <w:r w:rsidRPr="00BB3B37">
        <w:t>)</w:t>
      </w:r>
      <w:r w:rsidRPr="00BB3B37">
        <w:rPr>
          <w:vertAlign w:val="subscript"/>
        </w:rPr>
        <w:t>n</w:t>
      </w:r>
      <w:proofErr w:type="gramEnd"/>
      <w:r w:rsidRPr="00BB3B37">
        <w:t xml:space="preserve"> ribbons (HSE+D3)</w:t>
      </w:r>
      <w:r>
        <w:t xml:space="preserve"> </w:t>
      </w:r>
      <w:r w:rsidR="00B51E01">
        <w:rPr>
          <w:vertAlign w:val="superscript"/>
        </w:rPr>
        <w:t>(</w:t>
      </w:r>
      <w:r>
        <w:rPr>
          <w:vertAlign w:val="superscript"/>
        </w:rPr>
        <w:t>20, 3</w:t>
      </w:r>
      <w:r w:rsidR="00E83149">
        <w:rPr>
          <w:vertAlign w:val="superscript"/>
        </w:rPr>
        <w:t>5</w:t>
      </w:r>
      <w:r w:rsidR="00B51E01">
        <w:rPr>
          <w:vertAlign w:val="superscript"/>
        </w:rPr>
        <w:t>)</w:t>
      </w:r>
      <w:r w:rsidRPr="002063A7">
        <w:t>.</w:t>
      </w:r>
      <w:r w:rsidRPr="00502096">
        <w:rPr>
          <w:color w:val="FF0000"/>
        </w:rPr>
        <w:t xml:space="preserve"> </w:t>
      </w:r>
      <w:r w:rsidRPr="002063A7">
        <w:t xml:space="preserve">The bulk crystal was optimized using a 350 eV plane wave cut off and a 2x2x6 gamma-centered k-point grid for Brillouin zone sampling, yielding lattice constants of </w:t>
      </w:r>
      <w:r w:rsidRPr="007E02EE">
        <w:rPr>
          <w:i/>
        </w:rPr>
        <w:t>a</w:t>
      </w:r>
      <w:r>
        <w:rPr>
          <w:i/>
        </w:rPr>
        <w:t xml:space="preserve"> </w:t>
      </w:r>
      <w:r w:rsidRPr="002063A7">
        <w:t xml:space="preserve">= 11.52 Å, </w:t>
      </w:r>
      <w:r w:rsidRPr="007E02EE">
        <w:rPr>
          <w:i/>
        </w:rPr>
        <w:t>b</w:t>
      </w:r>
      <w:r>
        <w:rPr>
          <w:i/>
        </w:rPr>
        <w:t xml:space="preserve"> </w:t>
      </w:r>
      <w:r w:rsidRPr="002063A7">
        <w:t xml:space="preserve">= 11.91 Å and </w:t>
      </w:r>
      <w:r w:rsidRPr="007E02EE">
        <w:rPr>
          <w:i/>
        </w:rPr>
        <w:t>c</w:t>
      </w:r>
      <w:r>
        <w:rPr>
          <w:i/>
        </w:rPr>
        <w:t xml:space="preserve"> </w:t>
      </w:r>
      <w:r w:rsidRPr="002063A7">
        <w:t>=3.98 Å. Surface supercells were constructed based on the optimized structure at the HSE+D3 level and including a vacuum gap of at least 10 Å. For the (001) and (041) surface we sample the Brillouin zone with a 1x3x3 k-point grid and for the (273) we employ a 1x2x1 k-point grid. The</w:t>
      </w:r>
      <w:r w:rsidRPr="002063A7">
        <w:rPr>
          <w:lang w:val="de-DE"/>
        </w:rPr>
        <w:t xml:space="preserve"> Hartree-Fock kernel </w:t>
      </w:r>
      <w:r w:rsidRPr="002063A7">
        <w:t>is sampled at the gamma point only in the surface calculations. The (001) and (410) surface supercells are optimized at the HSE+D3 level until all forces are less than 0.05 eV/Å. The (273) surface supercell is instead optimized using the PBE exchange correlation functional however keeping the supercell dimensions corresponding to the HSE+D3 optimized bulk until cell. All surface structures were visualized using the VESTA code</w:t>
      </w:r>
      <w:r>
        <w:t xml:space="preserve"> </w:t>
      </w:r>
      <w:r w:rsidR="00B51E01">
        <w:rPr>
          <w:vertAlign w:val="superscript"/>
        </w:rPr>
        <w:t>(</w:t>
      </w:r>
      <w:r>
        <w:rPr>
          <w:vertAlign w:val="superscript"/>
        </w:rPr>
        <w:t>3</w:t>
      </w:r>
      <w:r w:rsidR="00E83149">
        <w:rPr>
          <w:vertAlign w:val="superscript"/>
        </w:rPr>
        <w:t>6</w:t>
      </w:r>
      <w:r w:rsidR="00B51E01">
        <w:rPr>
          <w:vertAlign w:val="superscript"/>
        </w:rPr>
        <w:t>)</w:t>
      </w:r>
      <w:r>
        <w:t>.</w:t>
      </w:r>
      <w:r>
        <w:rPr>
          <w:color w:val="FF0000"/>
        </w:rPr>
        <w:t xml:space="preserve"> </w:t>
      </w:r>
    </w:p>
    <w:p w:rsidR="00234C2C" w:rsidRPr="00DD7C8B" w:rsidRDefault="00234C2C" w:rsidP="00E671FF">
      <w:pPr>
        <w:pStyle w:val="ExperimentalText"/>
        <w:rPr>
          <w:color w:val="000000" w:themeColor="text1"/>
        </w:rPr>
      </w:pPr>
    </w:p>
    <w:p w:rsidR="00E671FF" w:rsidRPr="00A35E4A" w:rsidRDefault="00E671FF" w:rsidP="00234C2C">
      <w:pPr>
        <w:pStyle w:val="Acknowledgements"/>
        <w:spacing w:line="480" w:lineRule="auto"/>
        <w:rPr>
          <w:i/>
        </w:rPr>
      </w:pPr>
      <w:r>
        <w:rPr>
          <w:b/>
        </w:rPr>
        <w:t xml:space="preserve">5. </w:t>
      </w:r>
      <w:r w:rsidRPr="005167E5">
        <w:rPr>
          <w:b/>
        </w:rPr>
        <w:t>Supporting Information</w:t>
      </w:r>
    </w:p>
    <w:p w:rsidR="00E671FF" w:rsidRDefault="00E671FF" w:rsidP="00234C2C">
      <w:pPr>
        <w:pStyle w:val="Acknowledgements"/>
        <w:spacing w:line="480" w:lineRule="auto"/>
      </w:pPr>
    </w:p>
    <w:p w:rsidR="002B0DCE" w:rsidRPr="00CC6641" w:rsidRDefault="002B0DCE" w:rsidP="00234C2C">
      <w:pPr>
        <w:pStyle w:val="Acknowledgements"/>
        <w:spacing w:line="480" w:lineRule="auto"/>
      </w:pPr>
      <w:r>
        <w:t>Includes (</w:t>
      </w:r>
      <w:proofErr w:type="spellStart"/>
      <w:r>
        <w:t>i</w:t>
      </w:r>
      <w:proofErr w:type="spellEnd"/>
      <w:r>
        <w:t>) FIB</w:t>
      </w:r>
      <w:r w:rsidR="00CC6641">
        <w:t xml:space="preserve"> cross-sectional images of devices, (ii) Measuring the orientation of Sb</w:t>
      </w:r>
      <w:r w:rsidR="00CC6641">
        <w:rPr>
          <w:vertAlign w:val="subscript"/>
        </w:rPr>
        <w:t>2</w:t>
      </w:r>
      <w:r w:rsidR="00CC6641">
        <w:t>Se</w:t>
      </w:r>
      <w:r w:rsidR="00CC6641">
        <w:rPr>
          <w:vertAlign w:val="subscript"/>
        </w:rPr>
        <w:t xml:space="preserve">3 </w:t>
      </w:r>
      <w:r w:rsidR="00CC6641">
        <w:t>ribbons relative to the substrate, (iii) X-ray diffraction plots, (iv) Electronic Density of States (DOS) for the (273) free surface and (041) tilt boundary, (v) EDX chemical mapping across an intact CSS Sb</w:t>
      </w:r>
      <w:r w:rsidR="00CC6641">
        <w:rPr>
          <w:vertAlign w:val="subscript"/>
        </w:rPr>
        <w:t>2</w:t>
      </w:r>
      <w:r w:rsidR="00CC6641">
        <w:t>Se</w:t>
      </w:r>
      <w:r w:rsidR="00CC6641">
        <w:rPr>
          <w:vertAlign w:val="subscript"/>
        </w:rPr>
        <w:t>3</w:t>
      </w:r>
      <w:r w:rsidR="00CC6641">
        <w:t>-CdS interface, and (vi) EDX chemical mapping across the TE Sb</w:t>
      </w:r>
      <w:r w:rsidR="00CC6641">
        <w:rPr>
          <w:vertAlign w:val="subscript"/>
        </w:rPr>
        <w:t>2</w:t>
      </w:r>
      <w:r w:rsidR="00CC6641">
        <w:t>Se</w:t>
      </w:r>
      <w:r w:rsidR="00CC6641">
        <w:rPr>
          <w:vertAlign w:val="subscript"/>
        </w:rPr>
        <w:t>3</w:t>
      </w:r>
      <w:r w:rsidR="00CC6641">
        <w:t>-CdS interface</w:t>
      </w:r>
      <w:r w:rsidR="00A07F7A">
        <w:t>.</w:t>
      </w:r>
    </w:p>
    <w:p w:rsidR="00E671FF" w:rsidRDefault="00E671FF" w:rsidP="00234C2C">
      <w:pPr>
        <w:pStyle w:val="Acknowledgements"/>
        <w:spacing w:line="480" w:lineRule="auto"/>
      </w:pPr>
    </w:p>
    <w:p w:rsidR="00E671FF" w:rsidRDefault="00E671FF" w:rsidP="00234C2C">
      <w:pPr>
        <w:pStyle w:val="Head1"/>
        <w:spacing w:line="480" w:lineRule="auto"/>
      </w:pPr>
      <w:r>
        <w:lastRenderedPageBreak/>
        <w:t>6. Acknowledgements</w:t>
      </w:r>
    </w:p>
    <w:p w:rsidR="00A16A0E" w:rsidRDefault="00A16A0E" w:rsidP="00234C2C">
      <w:pPr>
        <w:pStyle w:val="Head1"/>
        <w:spacing w:line="480" w:lineRule="auto"/>
      </w:pPr>
    </w:p>
    <w:p w:rsidR="00E671FF" w:rsidRPr="006D420A" w:rsidRDefault="00E671FF" w:rsidP="00234C2C">
      <w:pPr>
        <w:pStyle w:val="MainText"/>
        <w:rPr>
          <w:color w:val="FF0000"/>
        </w:rPr>
      </w:pPr>
      <w:r>
        <w:t xml:space="preserve">Instrument time at the EPSRC National Research Facility for Advanced Electron Microscopy, </w:t>
      </w:r>
      <w:proofErr w:type="spellStart"/>
      <w:r>
        <w:t>SuperSTEM</w:t>
      </w:r>
      <w:proofErr w:type="spellEnd"/>
      <w:r>
        <w:t xml:space="preserve">, is gratefully acknowledged. BGM would like to thank the North East Centre for Energy Materials (NECEM) for funding (EPSRC grant EP/R021503/1). </w:t>
      </w:r>
      <w:r w:rsidRPr="0074745F">
        <w:t xml:space="preserve">KPM acknowledges support from the EPSRC (EP/P023843/1). This work made use of the facilities of Archer, the UK's national high-performance computing service, via our membership in the UK HPC Materials Chemistry Consortium, which is funded by the EPSRC (EP/L000202, EP/R029431) and </w:t>
      </w:r>
      <w:r w:rsidRPr="0074745F">
        <w:rPr>
          <w:rFonts w:hint="eastAsia"/>
        </w:rPr>
        <w:t>the Viking Cluster, which is a high</w:t>
      </w:r>
      <w:r w:rsidRPr="0074745F">
        <w:rPr>
          <w:rFonts w:hint="eastAsia"/>
        </w:rPr>
        <w:t>‐</w:t>
      </w:r>
      <w:r w:rsidRPr="0074745F">
        <w:rPr>
          <w:rFonts w:hint="eastAsia"/>
        </w:rPr>
        <w:t>performance compute</w:t>
      </w:r>
      <w:r w:rsidRPr="0074745F">
        <w:t>r</w:t>
      </w:r>
      <w:r w:rsidRPr="0074745F">
        <w:rPr>
          <w:rFonts w:hint="eastAsia"/>
        </w:rPr>
        <w:t xml:space="preserve"> facility provided by the University of York</w:t>
      </w:r>
      <w:r w:rsidRPr="0074745F">
        <w:t>. All data relating to the density functional theory calculations created during this research are available on request from the University of York Research database (https://doi.org/TBC).</w:t>
      </w:r>
    </w:p>
    <w:p w:rsidR="00E671FF" w:rsidRDefault="00E671FF" w:rsidP="00E671FF">
      <w:pPr>
        <w:pStyle w:val="MainText"/>
      </w:pPr>
    </w:p>
    <w:p w:rsidR="00E671FF" w:rsidRPr="000A7F9A" w:rsidRDefault="00E671FF" w:rsidP="000A7F9A">
      <w:pPr>
        <w:spacing w:line="480" w:lineRule="auto"/>
        <w:jc w:val="both"/>
        <w:rPr>
          <w:b/>
        </w:rPr>
      </w:pPr>
      <w:r w:rsidRPr="000A7F9A">
        <w:rPr>
          <w:b/>
        </w:rPr>
        <w:t>7. References</w:t>
      </w:r>
    </w:p>
    <w:p w:rsidR="009F5C4A" w:rsidRPr="006E251B" w:rsidRDefault="009F5C4A" w:rsidP="000A7F9A">
      <w:pPr>
        <w:spacing w:line="480" w:lineRule="auto"/>
        <w:jc w:val="both"/>
      </w:pPr>
    </w:p>
    <w:p w:rsidR="009F5C4A" w:rsidRPr="006E251B" w:rsidRDefault="008901B4" w:rsidP="003E40C4">
      <w:pPr>
        <w:spacing w:line="480" w:lineRule="auto"/>
      </w:pPr>
      <w:r>
        <w:t>(1)</w:t>
      </w:r>
      <w:r w:rsidR="00E671FF" w:rsidRPr="006E251B">
        <w:t xml:space="preserve"> Major,</w:t>
      </w:r>
      <w:r w:rsidR="009E3B73" w:rsidRPr="006E251B">
        <w:t xml:space="preserve"> </w:t>
      </w:r>
      <w:r w:rsidR="00A31A1A" w:rsidRPr="006E251B">
        <w:t>J.D.</w:t>
      </w:r>
      <w:r w:rsidR="000B7EFA" w:rsidRPr="006E251B">
        <w:t>;</w:t>
      </w:r>
      <w:r w:rsidR="00E671FF" w:rsidRPr="006E251B">
        <w:t xml:space="preserve"> Proskuryakov,</w:t>
      </w:r>
      <w:r w:rsidR="009E3B73" w:rsidRPr="006E251B">
        <w:t xml:space="preserve"> Y.Y.;</w:t>
      </w:r>
      <w:r w:rsidR="00E671FF" w:rsidRPr="006E251B">
        <w:t xml:space="preserve"> Durose,</w:t>
      </w:r>
      <w:r w:rsidR="009E3B73" w:rsidRPr="006E251B">
        <w:t xml:space="preserve"> K.;</w:t>
      </w:r>
      <w:r w:rsidR="00E671FF" w:rsidRPr="006E251B">
        <w:t xml:space="preserve"> Zoppi,</w:t>
      </w:r>
      <w:r w:rsidR="009E3B73" w:rsidRPr="006E251B">
        <w:t xml:space="preserve"> G.;</w:t>
      </w:r>
      <w:r w:rsidR="00E671FF" w:rsidRPr="006E251B">
        <w:t xml:space="preserve"> Forbes,</w:t>
      </w:r>
      <w:r w:rsidR="00C03D1F" w:rsidRPr="006E251B">
        <w:t xml:space="preserve"> I.</w:t>
      </w:r>
      <w:r w:rsidR="009E3B73" w:rsidRPr="006E251B">
        <w:t xml:space="preserve"> </w:t>
      </w:r>
      <w:r w:rsidR="000B7EFA" w:rsidRPr="006E251B">
        <w:t>Contro</w:t>
      </w:r>
      <w:r w:rsidR="00A16B34">
        <w:t>l of Grain Size in Sublimation-G</w:t>
      </w:r>
      <w:r w:rsidR="000B7EFA" w:rsidRPr="006E251B">
        <w:t xml:space="preserve">rown CdTe, and the Improvement in Performance of Devices with Systematically Increased Grain Size </w:t>
      </w:r>
      <w:r w:rsidR="00E671FF" w:rsidRPr="006E251B">
        <w:t xml:space="preserve"> </w:t>
      </w:r>
      <w:r w:rsidR="00E671FF" w:rsidRPr="006E251B">
        <w:rPr>
          <w:i/>
        </w:rPr>
        <w:t xml:space="preserve">Sol. Energy Mat. Sol. Cells </w:t>
      </w:r>
      <w:r w:rsidR="00E671FF" w:rsidRPr="006E251B">
        <w:t>2010, 94, 1107</w:t>
      </w:r>
      <w:r w:rsidR="000B7EFA" w:rsidRPr="006E251B">
        <w:t>-11</w:t>
      </w:r>
      <w:r w:rsidR="00D80865">
        <w:t>1</w:t>
      </w:r>
      <w:r w:rsidR="000B7EFA" w:rsidRPr="006E251B">
        <w:t>2</w:t>
      </w:r>
      <w:r w:rsidR="00E671FF" w:rsidRPr="006E251B">
        <w:t>.</w:t>
      </w:r>
    </w:p>
    <w:p w:rsidR="009F5C4A" w:rsidRPr="006E251B" w:rsidRDefault="009F5C4A" w:rsidP="003E40C4">
      <w:pPr>
        <w:spacing w:line="480" w:lineRule="auto"/>
      </w:pPr>
    </w:p>
    <w:p w:rsidR="009F5C4A" w:rsidRPr="006E251B" w:rsidRDefault="008901B4" w:rsidP="003E40C4">
      <w:pPr>
        <w:spacing w:line="480" w:lineRule="auto"/>
      </w:pPr>
      <w:r>
        <w:t>(2)</w:t>
      </w:r>
      <w:r w:rsidR="00E671FF" w:rsidRPr="006E251B">
        <w:t xml:space="preserve"> Mendis,</w:t>
      </w:r>
      <w:r w:rsidR="00C03D1F" w:rsidRPr="006E251B">
        <w:t xml:space="preserve"> B.G.;</w:t>
      </w:r>
      <w:r w:rsidR="00E671FF" w:rsidRPr="006E251B">
        <w:t xml:space="preserve"> Gachet,</w:t>
      </w:r>
      <w:r w:rsidR="00C03D1F" w:rsidRPr="006E251B">
        <w:t xml:space="preserve"> D.;</w:t>
      </w:r>
      <w:r w:rsidR="00E671FF" w:rsidRPr="006E251B">
        <w:t xml:space="preserve"> Major,</w:t>
      </w:r>
      <w:r w:rsidR="00C03D1F" w:rsidRPr="006E251B">
        <w:t xml:space="preserve"> J.D.;</w:t>
      </w:r>
      <w:r w:rsidR="00E671FF" w:rsidRPr="006E251B">
        <w:t xml:space="preserve"> Durose,</w:t>
      </w:r>
      <w:r w:rsidR="00C03D1F" w:rsidRPr="006E251B">
        <w:t xml:space="preserve"> K.</w:t>
      </w:r>
      <w:r w:rsidR="00C46861" w:rsidRPr="006E251B">
        <w:t xml:space="preserve"> </w:t>
      </w:r>
      <w:r w:rsidR="00C46861" w:rsidRPr="006E251B">
        <w:rPr>
          <w:rFonts w:eastAsiaTheme="minorHAnsi"/>
          <w:color w:val="231F20"/>
          <w:lang w:val="en-GB" w:eastAsia="en-US"/>
        </w:rPr>
        <w:t xml:space="preserve">Long Lifetime </w:t>
      </w:r>
      <w:proofErr w:type="gramStart"/>
      <w:r w:rsidR="00C46861" w:rsidRPr="006E251B">
        <w:rPr>
          <w:rFonts w:eastAsiaTheme="minorHAnsi"/>
          <w:color w:val="231F20"/>
          <w:lang w:val="en-GB" w:eastAsia="en-US"/>
        </w:rPr>
        <w:t>Hole</w:t>
      </w:r>
      <w:proofErr w:type="gramEnd"/>
      <w:r w:rsidR="00C46861" w:rsidRPr="006E251B">
        <w:rPr>
          <w:rFonts w:eastAsiaTheme="minorHAnsi"/>
          <w:color w:val="231F20"/>
          <w:lang w:val="en-GB" w:eastAsia="en-US"/>
        </w:rPr>
        <w:t xml:space="preserve"> Traps at Grain Boundaries in CdTe Thin-Film Photovoltaics</w:t>
      </w:r>
      <w:r w:rsidR="00E671FF" w:rsidRPr="006E251B">
        <w:t xml:space="preserve"> </w:t>
      </w:r>
      <w:r w:rsidR="00E671FF" w:rsidRPr="006E251B">
        <w:rPr>
          <w:i/>
        </w:rPr>
        <w:t xml:space="preserve">Phys. Rev. Lett. </w:t>
      </w:r>
      <w:r w:rsidR="00E671FF" w:rsidRPr="006E251B">
        <w:t>2015, 115, 218701</w:t>
      </w:r>
      <w:r w:rsidR="00C46861" w:rsidRPr="006E251B">
        <w:t xml:space="preserve"> (5 pages)</w:t>
      </w:r>
      <w:r w:rsidR="00E671FF" w:rsidRPr="006E251B">
        <w:t>.</w:t>
      </w:r>
    </w:p>
    <w:p w:rsidR="009F5C4A" w:rsidRPr="006E251B" w:rsidRDefault="009F5C4A" w:rsidP="003E40C4">
      <w:pPr>
        <w:spacing w:line="480" w:lineRule="auto"/>
      </w:pPr>
    </w:p>
    <w:p w:rsidR="009F5C4A" w:rsidRPr="006E251B" w:rsidRDefault="008901B4" w:rsidP="003E40C4">
      <w:pPr>
        <w:spacing w:line="480" w:lineRule="auto"/>
      </w:pPr>
      <w:r>
        <w:t>(3)</w:t>
      </w:r>
      <w:r w:rsidR="00E671FF" w:rsidRPr="006E251B">
        <w:t xml:space="preserve"> Persson,</w:t>
      </w:r>
      <w:r w:rsidR="00642269" w:rsidRPr="006E251B">
        <w:t xml:space="preserve"> C.;</w:t>
      </w:r>
      <w:r w:rsidR="00E671FF" w:rsidRPr="006E251B">
        <w:t xml:space="preserve"> Zunger,</w:t>
      </w:r>
      <w:r w:rsidR="004C6C79" w:rsidRPr="006E251B">
        <w:t xml:space="preserve"> A. </w:t>
      </w:r>
      <w:r w:rsidR="004C6C79" w:rsidRPr="006E251B">
        <w:rPr>
          <w:rFonts w:eastAsiaTheme="minorHAnsi"/>
          <w:bCs/>
          <w:lang w:val="en-GB" w:eastAsia="en-US"/>
        </w:rPr>
        <w:t>Anomalous Grain Boundary Physics in Polycrystalline CuInSe</w:t>
      </w:r>
      <w:r w:rsidR="004C6C79" w:rsidRPr="006E251B">
        <w:rPr>
          <w:rFonts w:eastAsiaTheme="minorHAnsi"/>
          <w:bCs/>
          <w:vertAlign w:val="subscript"/>
          <w:lang w:val="en-GB" w:eastAsia="en-US"/>
        </w:rPr>
        <w:t>2</w:t>
      </w:r>
      <w:r w:rsidR="004C6C79" w:rsidRPr="006E251B">
        <w:rPr>
          <w:rFonts w:eastAsiaTheme="minorHAnsi"/>
          <w:bCs/>
          <w:lang w:val="en-GB" w:eastAsia="en-US"/>
        </w:rPr>
        <w:t>:</w:t>
      </w:r>
      <w:r w:rsidR="009F5C4A" w:rsidRPr="006E251B">
        <w:rPr>
          <w:rFonts w:eastAsiaTheme="minorHAnsi"/>
          <w:bCs/>
          <w:lang w:val="en-GB" w:eastAsia="en-US"/>
        </w:rPr>
        <w:t xml:space="preserve"> </w:t>
      </w:r>
      <w:r w:rsidR="004C6C79" w:rsidRPr="006E251B">
        <w:rPr>
          <w:rFonts w:eastAsiaTheme="minorHAnsi"/>
          <w:bCs/>
          <w:lang w:val="en-GB" w:eastAsia="en-US"/>
        </w:rPr>
        <w:t>The Existence of a Hole Barrier</w:t>
      </w:r>
      <w:r w:rsidR="00E671FF" w:rsidRPr="006E251B">
        <w:t xml:space="preserve"> </w:t>
      </w:r>
      <w:r w:rsidR="00E671FF" w:rsidRPr="006E251B">
        <w:rPr>
          <w:i/>
        </w:rPr>
        <w:t xml:space="preserve">Phys. Rev. Lett. </w:t>
      </w:r>
      <w:r w:rsidR="00E671FF" w:rsidRPr="006E251B">
        <w:t>2003, 91, 266401</w:t>
      </w:r>
      <w:r w:rsidR="004C6C79" w:rsidRPr="006E251B">
        <w:t xml:space="preserve"> (4 pages)</w:t>
      </w:r>
      <w:r w:rsidR="00E671FF" w:rsidRPr="006E251B">
        <w:t>.</w:t>
      </w:r>
    </w:p>
    <w:p w:rsidR="009F5C4A" w:rsidRPr="006E251B" w:rsidRDefault="009F5C4A" w:rsidP="003E40C4">
      <w:pPr>
        <w:spacing w:line="480" w:lineRule="auto"/>
      </w:pPr>
    </w:p>
    <w:p w:rsidR="006B4E80" w:rsidRPr="006E251B" w:rsidRDefault="008901B4" w:rsidP="003E40C4">
      <w:pPr>
        <w:spacing w:line="480" w:lineRule="auto"/>
      </w:pPr>
      <w:r>
        <w:lastRenderedPageBreak/>
        <w:t>(4)</w:t>
      </w:r>
      <w:r w:rsidR="00E671FF" w:rsidRPr="006E251B">
        <w:t xml:space="preserve"> Abou-Ras,</w:t>
      </w:r>
      <w:r w:rsidR="00642269" w:rsidRPr="006E251B">
        <w:t xml:space="preserve"> D.;</w:t>
      </w:r>
      <w:r w:rsidR="00E671FF" w:rsidRPr="006E251B">
        <w:t xml:space="preserve"> Schaffer,</w:t>
      </w:r>
      <w:r w:rsidR="00642269" w:rsidRPr="006E251B">
        <w:t xml:space="preserve"> B.;</w:t>
      </w:r>
      <w:r w:rsidR="00E671FF" w:rsidRPr="006E251B">
        <w:t xml:space="preserve"> Schaffer,</w:t>
      </w:r>
      <w:r w:rsidR="00642269" w:rsidRPr="006E251B">
        <w:t xml:space="preserve"> M.;</w:t>
      </w:r>
      <w:r w:rsidR="00E671FF" w:rsidRPr="006E251B">
        <w:t xml:space="preserve"> Schmidt,</w:t>
      </w:r>
      <w:r w:rsidR="00642269" w:rsidRPr="006E251B">
        <w:t xml:space="preserve"> S.S.;</w:t>
      </w:r>
      <w:r w:rsidR="00E671FF" w:rsidRPr="006E251B">
        <w:t xml:space="preserve"> Caballero, </w:t>
      </w:r>
      <w:r w:rsidR="00642269" w:rsidRPr="006E251B">
        <w:t xml:space="preserve">R.; </w:t>
      </w:r>
      <w:r w:rsidR="00E671FF" w:rsidRPr="006E251B">
        <w:t>Unold,</w:t>
      </w:r>
      <w:r w:rsidR="006B4E80" w:rsidRPr="006E251B">
        <w:t xml:space="preserve"> T. </w:t>
      </w:r>
      <w:r w:rsidR="006B4E80" w:rsidRPr="006E251B">
        <w:rPr>
          <w:rFonts w:eastAsiaTheme="minorHAnsi"/>
          <w:color w:val="231F20"/>
          <w:lang w:val="en-GB" w:eastAsia="en-US"/>
        </w:rPr>
        <w:t xml:space="preserve">Direct Insight into Grain Boundary Reconstruction in Polycrystalline </w:t>
      </w:r>
      <w:proofErr w:type="gramStart"/>
      <w:r w:rsidR="006B4E80" w:rsidRPr="006E251B">
        <w:rPr>
          <w:rFonts w:eastAsiaTheme="minorHAnsi"/>
          <w:color w:val="231F20"/>
          <w:lang w:val="en-GB" w:eastAsia="en-US"/>
        </w:rPr>
        <w:t>Cu(</w:t>
      </w:r>
      <w:proofErr w:type="spellStart"/>
      <w:proofErr w:type="gramEnd"/>
      <w:r w:rsidR="006B4E80" w:rsidRPr="006E251B">
        <w:rPr>
          <w:rFonts w:eastAsiaTheme="minorHAnsi"/>
          <w:color w:val="231F20"/>
          <w:lang w:val="en-GB" w:eastAsia="en-US"/>
        </w:rPr>
        <w:t>In,Ga</w:t>
      </w:r>
      <w:proofErr w:type="spellEnd"/>
      <w:r w:rsidR="006B4E80" w:rsidRPr="006E251B">
        <w:rPr>
          <w:rFonts w:eastAsiaTheme="minorHAnsi"/>
          <w:color w:val="231F20"/>
          <w:lang w:val="en-GB" w:eastAsia="en-US"/>
        </w:rPr>
        <w:t>)Se</w:t>
      </w:r>
      <w:r w:rsidR="006B4E80" w:rsidRPr="006E251B">
        <w:rPr>
          <w:rFonts w:eastAsiaTheme="minorHAnsi"/>
          <w:color w:val="231F20"/>
          <w:vertAlign w:val="subscript"/>
          <w:lang w:val="en-GB" w:eastAsia="en-US"/>
        </w:rPr>
        <w:t>2</w:t>
      </w:r>
      <w:r w:rsidR="006B4E80" w:rsidRPr="006E251B">
        <w:rPr>
          <w:rFonts w:eastAsiaTheme="minorHAnsi"/>
          <w:color w:val="231F20"/>
          <w:lang w:val="en-GB" w:eastAsia="en-US"/>
        </w:rPr>
        <w:t xml:space="preserve"> with Atomic Resolution</w:t>
      </w:r>
      <w:r w:rsidR="00E671FF" w:rsidRPr="006E251B">
        <w:t xml:space="preserve"> </w:t>
      </w:r>
      <w:r w:rsidR="00E671FF" w:rsidRPr="006E251B">
        <w:rPr>
          <w:i/>
        </w:rPr>
        <w:t xml:space="preserve">Phys. Rev. Lett. </w:t>
      </w:r>
      <w:r w:rsidR="00E671FF" w:rsidRPr="006E251B">
        <w:t>2012, 108, 075502</w:t>
      </w:r>
      <w:r w:rsidR="006B4E80" w:rsidRPr="006E251B">
        <w:t xml:space="preserve"> (5 pages)</w:t>
      </w:r>
      <w:r w:rsidR="00E671FF" w:rsidRPr="006E251B">
        <w:t>.</w:t>
      </w:r>
    </w:p>
    <w:p w:rsidR="009F5C4A" w:rsidRPr="006E251B" w:rsidRDefault="009F5C4A" w:rsidP="003E40C4">
      <w:pPr>
        <w:spacing w:line="480" w:lineRule="auto"/>
      </w:pPr>
    </w:p>
    <w:p w:rsidR="00E671FF" w:rsidRPr="006E251B" w:rsidRDefault="008901B4" w:rsidP="003E40C4">
      <w:pPr>
        <w:spacing w:line="480" w:lineRule="auto"/>
      </w:pPr>
      <w:r>
        <w:t>(5)</w:t>
      </w:r>
      <w:r w:rsidR="00E671FF" w:rsidRPr="006E251B">
        <w:t xml:space="preserve"> Zhou, </w:t>
      </w:r>
      <w:r w:rsidR="006B46D8" w:rsidRPr="006E251B">
        <w:t xml:space="preserve">Y.; </w:t>
      </w:r>
      <w:r w:rsidR="00E671FF" w:rsidRPr="006E251B">
        <w:t>Wang,</w:t>
      </w:r>
      <w:r w:rsidR="006B46D8" w:rsidRPr="006E251B">
        <w:t xml:space="preserve"> L.;</w:t>
      </w:r>
      <w:r w:rsidR="00E671FF" w:rsidRPr="006E251B">
        <w:t xml:space="preserve"> Chen,</w:t>
      </w:r>
      <w:r w:rsidR="006B46D8" w:rsidRPr="006E251B">
        <w:t xml:space="preserve"> S.;</w:t>
      </w:r>
      <w:r w:rsidR="00E671FF" w:rsidRPr="006E251B">
        <w:t xml:space="preserve"> Qin,</w:t>
      </w:r>
      <w:r w:rsidR="006B46D8" w:rsidRPr="006E251B">
        <w:t xml:space="preserve"> S.;</w:t>
      </w:r>
      <w:r w:rsidR="00E671FF" w:rsidRPr="006E251B">
        <w:t xml:space="preserve"> Liu,</w:t>
      </w:r>
      <w:r w:rsidR="006B46D8" w:rsidRPr="006E251B">
        <w:t xml:space="preserve"> X.;</w:t>
      </w:r>
      <w:r w:rsidR="00E671FF" w:rsidRPr="006E251B">
        <w:t xml:space="preserve"> Chen,</w:t>
      </w:r>
      <w:r w:rsidR="006B46D8" w:rsidRPr="006E251B">
        <w:t xml:space="preserve"> J.;</w:t>
      </w:r>
      <w:r w:rsidR="00E671FF" w:rsidRPr="006E251B">
        <w:t xml:space="preserve"> Xue,</w:t>
      </w:r>
      <w:r w:rsidR="006B46D8" w:rsidRPr="006E251B">
        <w:t xml:space="preserve"> D-J.;</w:t>
      </w:r>
      <w:r w:rsidR="00E671FF" w:rsidRPr="006E251B">
        <w:t xml:space="preserve"> Luo,</w:t>
      </w:r>
      <w:r w:rsidR="006B46D8" w:rsidRPr="006E251B">
        <w:t xml:space="preserve"> M.;</w:t>
      </w:r>
      <w:r w:rsidR="00E671FF" w:rsidRPr="006E251B">
        <w:t xml:space="preserve"> Cao,</w:t>
      </w:r>
      <w:r w:rsidR="006B46D8" w:rsidRPr="006E251B">
        <w:t xml:space="preserve"> Y.;</w:t>
      </w:r>
      <w:r w:rsidR="00E671FF" w:rsidRPr="006E251B">
        <w:t xml:space="preserve"> Cheng,</w:t>
      </w:r>
      <w:r w:rsidR="006B46D8" w:rsidRPr="006E251B">
        <w:t xml:space="preserve"> Y.;</w:t>
      </w:r>
      <w:r w:rsidR="00E671FF" w:rsidRPr="006E251B">
        <w:t xml:space="preserve"> Sargent,</w:t>
      </w:r>
      <w:r w:rsidR="006B46D8" w:rsidRPr="006E251B">
        <w:t xml:space="preserve"> E.H.;</w:t>
      </w:r>
      <w:r w:rsidR="00E671FF" w:rsidRPr="006E251B">
        <w:t xml:space="preserve"> Tang,</w:t>
      </w:r>
      <w:r w:rsidR="006B46D8" w:rsidRPr="006E251B">
        <w:t xml:space="preserve"> J. </w:t>
      </w:r>
      <w:r w:rsidR="000E205D" w:rsidRPr="006E251B">
        <w:rPr>
          <w:rFonts w:eastAsiaTheme="minorHAnsi"/>
          <w:lang w:val="en-GB" w:eastAsia="en-US"/>
        </w:rPr>
        <w:t>Thin-film Sb</w:t>
      </w:r>
      <w:r w:rsidR="000E205D" w:rsidRPr="006E251B">
        <w:rPr>
          <w:rFonts w:eastAsiaTheme="minorHAnsi"/>
          <w:vertAlign w:val="subscript"/>
          <w:lang w:val="en-GB" w:eastAsia="en-US"/>
        </w:rPr>
        <w:t>2</w:t>
      </w:r>
      <w:r w:rsidR="000E205D" w:rsidRPr="006E251B">
        <w:rPr>
          <w:rFonts w:eastAsiaTheme="minorHAnsi"/>
          <w:lang w:val="en-GB" w:eastAsia="en-US"/>
        </w:rPr>
        <w:t>Se</w:t>
      </w:r>
      <w:r w:rsidR="000E205D" w:rsidRPr="006E251B">
        <w:rPr>
          <w:rFonts w:eastAsiaTheme="minorHAnsi"/>
          <w:vertAlign w:val="subscript"/>
          <w:lang w:val="en-GB" w:eastAsia="en-US"/>
        </w:rPr>
        <w:t>3</w:t>
      </w:r>
      <w:r w:rsidR="000E205D" w:rsidRPr="006E251B">
        <w:rPr>
          <w:rFonts w:eastAsiaTheme="minorHAnsi"/>
          <w:lang w:val="en-GB" w:eastAsia="en-US"/>
        </w:rPr>
        <w:t xml:space="preserve"> Photovoltaics </w:t>
      </w:r>
      <w:r w:rsidR="009F5C4A" w:rsidRPr="006E251B">
        <w:rPr>
          <w:rFonts w:eastAsiaTheme="minorHAnsi"/>
          <w:lang w:val="en-GB" w:eastAsia="en-US"/>
        </w:rPr>
        <w:t>w</w:t>
      </w:r>
      <w:r w:rsidR="000E205D" w:rsidRPr="006E251B">
        <w:rPr>
          <w:rFonts w:eastAsiaTheme="minorHAnsi"/>
          <w:lang w:val="en-GB" w:eastAsia="en-US"/>
        </w:rPr>
        <w:t>ith Oriented</w:t>
      </w:r>
      <w:r w:rsidR="009F5C4A" w:rsidRPr="006E251B">
        <w:rPr>
          <w:rFonts w:eastAsiaTheme="minorHAnsi"/>
          <w:lang w:val="en-GB" w:eastAsia="en-US"/>
        </w:rPr>
        <w:t xml:space="preserve"> </w:t>
      </w:r>
      <w:r w:rsidR="000E205D" w:rsidRPr="006E251B">
        <w:rPr>
          <w:rFonts w:eastAsiaTheme="minorHAnsi"/>
          <w:lang w:val="en-GB" w:eastAsia="en-US"/>
        </w:rPr>
        <w:t>One-Dimensional Ribbons and Benign Grain Boundaries</w:t>
      </w:r>
      <w:r w:rsidR="00E671FF" w:rsidRPr="006E251B">
        <w:t xml:space="preserve"> </w:t>
      </w:r>
      <w:r w:rsidR="00E671FF" w:rsidRPr="006E251B">
        <w:rPr>
          <w:i/>
        </w:rPr>
        <w:t>Nat. Photonics</w:t>
      </w:r>
      <w:r w:rsidR="00E671FF" w:rsidRPr="006E251B">
        <w:t xml:space="preserve"> 2015, 9, 409</w:t>
      </w:r>
      <w:r w:rsidR="002B188C" w:rsidRPr="006E251B">
        <w:t>-416</w:t>
      </w:r>
      <w:r w:rsidR="00E671FF" w:rsidRPr="006E251B">
        <w:t>.</w:t>
      </w:r>
    </w:p>
    <w:p w:rsidR="000E205D" w:rsidRPr="006E251B" w:rsidRDefault="000E205D" w:rsidP="003E40C4">
      <w:pPr>
        <w:spacing w:line="480" w:lineRule="auto"/>
      </w:pPr>
    </w:p>
    <w:p w:rsidR="009F5C4A" w:rsidRPr="006E251B" w:rsidRDefault="008901B4" w:rsidP="003E40C4">
      <w:pPr>
        <w:spacing w:line="480" w:lineRule="auto"/>
      </w:pPr>
      <w:r>
        <w:t>(</w:t>
      </w:r>
      <w:r w:rsidR="00E671FF" w:rsidRPr="006E251B">
        <w:t>6</w:t>
      </w:r>
      <w:r>
        <w:t>)</w:t>
      </w:r>
      <w:r w:rsidR="00E671FF" w:rsidRPr="006E251B">
        <w:t xml:space="preserve"> Sinsermsuksakul,</w:t>
      </w:r>
      <w:r w:rsidR="00A03B4B" w:rsidRPr="006E251B">
        <w:t xml:space="preserve"> P.;</w:t>
      </w:r>
      <w:r w:rsidR="00E671FF" w:rsidRPr="006E251B">
        <w:t xml:space="preserve"> Sun,</w:t>
      </w:r>
      <w:r w:rsidR="00A03B4B" w:rsidRPr="006E251B">
        <w:t xml:space="preserve"> L.;</w:t>
      </w:r>
      <w:r w:rsidR="00E671FF" w:rsidRPr="006E251B">
        <w:t xml:space="preserve"> Lee, </w:t>
      </w:r>
      <w:r w:rsidR="00A03B4B" w:rsidRPr="006E251B">
        <w:t xml:space="preserve">S.W.; </w:t>
      </w:r>
      <w:r w:rsidR="00E671FF" w:rsidRPr="006E251B">
        <w:t>Park,</w:t>
      </w:r>
      <w:r w:rsidR="00A03B4B" w:rsidRPr="006E251B">
        <w:t xml:space="preserve"> H.H.;</w:t>
      </w:r>
      <w:r w:rsidR="00E671FF" w:rsidRPr="006E251B">
        <w:t xml:space="preserve"> Kim,</w:t>
      </w:r>
      <w:r w:rsidR="00A03B4B" w:rsidRPr="006E251B">
        <w:t xml:space="preserve"> S.B.;</w:t>
      </w:r>
      <w:r w:rsidR="00E671FF" w:rsidRPr="006E251B">
        <w:t xml:space="preserve"> Yang, </w:t>
      </w:r>
      <w:r w:rsidR="00A03B4B" w:rsidRPr="006E251B">
        <w:t xml:space="preserve">C.; </w:t>
      </w:r>
      <w:r w:rsidR="00E671FF" w:rsidRPr="006E251B">
        <w:t>Gordon,</w:t>
      </w:r>
      <w:r w:rsidR="00A03B4B" w:rsidRPr="006E251B">
        <w:t xml:space="preserve"> R.G.</w:t>
      </w:r>
      <w:r w:rsidR="007D5140" w:rsidRPr="006E251B">
        <w:t xml:space="preserve"> </w:t>
      </w:r>
      <w:r w:rsidR="007D5140" w:rsidRPr="006E251B">
        <w:rPr>
          <w:rFonts w:eastAsiaTheme="minorHAnsi"/>
          <w:bCs/>
          <w:lang w:val="en-GB" w:eastAsia="en-US"/>
        </w:rPr>
        <w:t xml:space="preserve">Overcoming Efficiency Limitations of </w:t>
      </w:r>
      <w:proofErr w:type="spellStart"/>
      <w:r w:rsidR="007D5140" w:rsidRPr="006E251B">
        <w:rPr>
          <w:rFonts w:eastAsiaTheme="minorHAnsi"/>
          <w:bCs/>
          <w:lang w:val="en-GB" w:eastAsia="en-US"/>
        </w:rPr>
        <w:t>SnS</w:t>
      </w:r>
      <w:proofErr w:type="spellEnd"/>
      <w:r w:rsidR="007D5140" w:rsidRPr="006E251B">
        <w:rPr>
          <w:rFonts w:eastAsiaTheme="minorHAnsi"/>
          <w:bCs/>
          <w:lang w:val="en-GB" w:eastAsia="en-US"/>
        </w:rPr>
        <w:t>-Based Solar Cells</w:t>
      </w:r>
      <w:r w:rsidR="00A03B4B" w:rsidRPr="006E251B">
        <w:t xml:space="preserve"> </w:t>
      </w:r>
      <w:r w:rsidR="00E671FF" w:rsidRPr="006E251B">
        <w:t xml:space="preserve"> </w:t>
      </w:r>
      <w:r w:rsidR="00E671FF" w:rsidRPr="006E251B">
        <w:rPr>
          <w:i/>
        </w:rPr>
        <w:t xml:space="preserve">Adv. Energy Mater. </w:t>
      </w:r>
      <w:r w:rsidR="00E671FF" w:rsidRPr="006E251B">
        <w:t>2014, 4, 1400496</w:t>
      </w:r>
      <w:r w:rsidR="007D5140" w:rsidRPr="006E251B">
        <w:t xml:space="preserve"> (7 pages)</w:t>
      </w:r>
      <w:r w:rsidR="00E671FF" w:rsidRPr="006E251B">
        <w:t>.</w:t>
      </w:r>
    </w:p>
    <w:p w:rsidR="009F5C4A" w:rsidRPr="006E251B" w:rsidRDefault="009F5C4A" w:rsidP="003E40C4">
      <w:pPr>
        <w:spacing w:line="480" w:lineRule="auto"/>
      </w:pPr>
    </w:p>
    <w:p w:rsidR="009F5C4A" w:rsidRPr="006E251B" w:rsidRDefault="008901B4" w:rsidP="003E40C4">
      <w:pPr>
        <w:spacing w:line="480" w:lineRule="auto"/>
      </w:pPr>
      <w:r>
        <w:t>(7)</w:t>
      </w:r>
      <w:r w:rsidR="00E671FF" w:rsidRPr="006E251B">
        <w:t xml:space="preserve"> Tiwari,</w:t>
      </w:r>
      <w:r w:rsidR="00607848" w:rsidRPr="006E251B">
        <w:t xml:space="preserve"> D.; </w:t>
      </w:r>
      <w:r w:rsidR="00E671FF" w:rsidRPr="006E251B">
        <w:t>Cardoso-Delgado,</w:t>
      </w:r>
      <w:r w:rsidR="00607848" w:rsidRPr="006E251B">
        <w:t xml:space="preserve"> F.;</w:t>
      </w:r>
      <w:r w:rsidR="00E671FF" w:rsidRPr="006E251B">
        <w:t xml:space="preserve"> Alibhai,</w:t>
      </w:r>
      <w:r w:rsidR="00607848" w:rsidRPr="006E251B">
        <w:t xml:space="preserve"> D.;</w:t>
      </w:r>
      <w:r w:rsidR="00E671FF" w:rsidRPr="006E251B">
        <w:t xml:space="preserve"> Mombrú,</w:t>
      </w:r>
      <w:r w:rsidR="00607848" w:rsidRPr="006E251B">
        <w:t xml:space="preserve"> M.;</w:t>
      </w:r>
      <w:r w:rsidR="00E671FF" w:rsidRPr="006E251B">
        <w:t xml:space="preserve"> Fermin,</w:t>
      </w:r>
      <w:r w:rsidR="00607848" w:rsidRPr="006E251B">
        <w:t xml:space="preserve"> D.J. </w:t>
      </w:r>
      <w:r w:rsidR="00381C33" w:rsidRPr="006E251B">
        <w:rPr>
          <w:rFonts w:eastAsiaTheme="minorHAnsi"/>
          <w:lang w:val="en-GB" w:eastAsia="en-US"/>
        </w:rPr>
        <w:t xml:space="preserve">Photovoltaic Performance of Phase-Pure Orthorhombic </w:t>
      </w:r>
      <w:proofErr w:type="spellStart"/>
      <w:r w:rsidR="00381C33" w:rsidRPr="006E251B">
        <w:rPr>
          <w:rFonts w:eastAsiaTheme="minorHAnsi"/>
          <w:lang w:val="en-GB" w:eastAsia="en-US"/>
        </w:rPr>
        <w:t>BiSI</w:t>
      </w:r>
      <w:proofErr w:type="spellEnd"/>
      <w:r w:rsidR="00381C33" w:rsidRPr="006E251B">
        <w:rPr>
          <w:rFonts w:eastAsiaTheme="minorHAnsi"/>
          <w:lang w:val="en-GB" w:eastAsia="en-US"/>
        </w:rPr>
        <w:t xml:space="preserve"> Thin-Films </w:t>
      </w:r>
      <w:r w:rsidR="00E671FF" w:rsidRPr="006E251B">
        <w:rPr>
          <w:i/>
        </w:rPr>
        <w:t xml:space="preserve">ACS Appl. Energy Mater. </w:t>
      </w:r>
      <w:r w:rsidR="00E671FF" w:rsidRPr="006E251B">
        <w:t>2019, 2, 3878</w:t>
      </w:r>
      <w:r w:rsidR="00381C33" w:rsidRPr="006E251B">
        <w:t>-3885</w:t>
      </w:r>
      <w:r w:rsidR="00E671FF" w:rsidRPr="006E251B">
        <w:t>.</w:t>
      </w:r>
    </w:p>
    <w:p w:rsidR="009F5C4A" w:rsidRPr="006E251B" w:rsidRDefault="009F5C4A" w:rsidP="003E40C4">
      <w:pPr>
        <w:spacing w:line="480" w:lineRule="auto"/>
      </w:pPr>
    </w:p>
    <w:p w:rsidR="009F5C4A" w:rsidRPr="006E251B" w:rsidRDefault="008901B4" w:rsidP="003E40C4">
      <w:pPr>
        <w:spacing w:line="480" w:lineRule="auto"/>
      </w:pPr>
      <w:r>
        <w:t>(</w:t>
      </w:r>
      <w:r w:rsidR="00E671FF" w:rsidRPr="006E251B">
        <w:t>8</w:t>
      </w:r>
      <w:r>
        <w:t>)</w:t>
      </w:r>
      <w:r w:rsidR="00E671FF" w:rsidRPr="006E251B">
        <w:t xml:space="preserve"> Chen,</w:t>
      </w:r>
      <w:r w:rsidR="00421CAB" w:rsidRPr="006E251B">
        <w:t xml:space="preserve"> C.;</w:t>
      </w:r>
      <w:r w:rsidR="00E671FF" w:rsidRPr="006E251B">
        <w:t xml:space="preserve"> Wang,</w:t>
      </w:r>
      <w:r w:rsidR="00421CAB" w:rsidRPr="006E251B">
        <w:t xml:space="preserve"> L.;</w:t>
      </w:r>
      <w:r w:rsidR="00E671FF" w:rsidRPr="006E251B">
        <w:t xml:space="preserve"> Gao,</w:t>
      </w:r>
      <w:r w:rsidR="00421CAB" w:rsidRPr="006E251B">
        <w:t xml:space="preserve"> L.;</w:t>
      </w:r>
      <w:r w:rsidR="00E671FF" w:rsidRPr="006E251B">
        <w:t xml:space="preserve"> Nam,</w:t>
      </w:r>
      <w:r w:rsidR="00421CAB" w:rsidRPr="006E251B">
        <w:t xml:space="preserve"> D.;</w:t>
      </w:r>
      <w:r w:rsidR="00E671FF" w:rsidRPr="006E251B">
        <w:t xml:space="preserve"> Li,</w:t>
      </w:r>
      <w:r w:rsidR="00421CAB" w:rsidRPr="006E251B">
        <w:t xml:space="preserve"> D.;</w:t>
      </w:r>
      <w:r w:rsidR="00E671FF" w:rsidRPr="006E251B">
        <w:t xml:space="preserve"> Li,</w:t>
      </w:r>
      <w:r w:rsidR="00421CAB" w:rsidRPr="006E251B">
        <w:t xml:space="preserve"> K.;</w:t>
      </w:r>
      <w:r w:rsidR="00E671FF" w:rsidRPr="006E251B">
        <w:t xml:space="preserve"> Zhao,</w:t>
      </w:r>
      <w:r w:rsidR="00421CAB" w:rsidRPr="006E251B">
        <w:t xml:space="preserve"> Y.;</w:t>
      </w:r>
      <w:r w:rsidR="00E671FF" w:rsidRPr="006E251B">
        <w:t xml:space="preserve"> Ge,</w:t>
      </w:r>
      <w:r w:rsidR="00421CAB" w:rsidRPr="006E251B">
        <w:t xml:space="preserve"> C.;</w:t>
      </w:r>
      <w:r w:rsidR="00E671FF" w:rsidRPr="006E251B">
        <w:t xml:space="preserve"> Cheong,</w:t>
      </w:r>
      <w:r w:rsidR="00421CAB" w:rsidRPr="006E251B">
        <w:t xml:space="preserve"> H.;</w:t>
      </w:r>
      <w:r w:rsidR="00E671FF" w:rsidRPr="006E251B">
        <w:t xml:space="preserve"> Liu,</w:t>
      </w:r>
      <w:r w:rsidR="00421CAB" w:rsidRPr="006E251B">
        <w:t xml:space="preserve"> H.;</w:t>
      </w:r>
      <w:r w:rsidR="00E671FF" w:rsidRPr="006E251B">
        <w:t xml:space="preserve"> Song,</w:t>
      </w:r>
      <w:r w:rsidR="00421CAB" w:rsidRPr="006E251B">
        <w:t xml:space="preserve"> H.;</w:t>
      </w:r>
      <w:r w:rsidR="00E671FF" w:rsidRPr="006E251B">
        <w:t xml:space="preserve"> Tang,</w:t>
      </w:r>
      <w:r w:rsidR="00421CAB" w:rsidRPr="006E251B">
        <w:t xml:space="preserve"> J.</w:t>
      </w:r>
      <w:r w:rsidR="000B321E" w:rsidRPr="006E251B">
        <w:t xml:space="preserve"> 6.5% Certified Efficiency Sb</w:t>
      </w:r>
      <w:r w:rsidR="000B321E" w:rsidRPr="006E251B">
        <w:rPr>
          <w:vertAlign w:val="subscript"/>
        </w:rPr>
        <w:t>2</w:t>
      </w:r>
      <w:r w:rsidR="000B321E" w:rsidRPr="006E251B">
        <w:t>Se</w:t>
      </w:r>
      <w:r w:rsidR="000B321E" w:rsidRPr="006E251B">
        <w:rPr>
          <w:vertAlign w:val="subscript"/>
        </w:rPr>
        <w:t>3</w:t>
      </w:r>
      <w:r w:rsidR="000B321E" w:rsidRPr="006E251B">
        <w:t xml:space="preserve"> Solar Cells Using PbS Colloidal Quantum Dot Film as Hole-Transporting Layer </w:t>
      </w:r>
      <w:r w:rsidR="00E671FF" w:rsidRPr="006E251B">
        <w:rPr>
          <w:i/>
        </w:rPr>
        <w:t xml:space="preserve">ACS Energy Lett. </w:t>
      </w:r>
      <w:r w:rsidR="00E671FF" w:rsidRPr="006E251B">
        <w:t>2017, 2, 2125</w:t>
      </w:r>
      <w:r w:rsidR="000B321E" w:rsidRPr="006E251B">
        <w:t>-2132</w:t>
      </w:r>
      <w:r w:rsidR="00E671FF" w:rsidRPr="006E251B">
        <w:t>.</w:t>
      </w:r>
    </w:p>
    <w:p w:rsidR="009F5C4A" w:rsidRPr="006E251B" w:rsidRDefault="009F5C4A" w:rsidP="003E40C4">
      <w:pPr>
        <w:spacing w:line="480" w:lineRule="auto"/>
      </w:pPr>
    </w:p>
    <w:p w:rsidR="009F5C4A" w:rsidRPr="006E251B" w:rsidRDefault="008901B4" w:rsidP="003E40C4">
      <w:pPr>
        <w:spacing w:line="480" w:lineRule="auto"/>
      </w:pPr>
      <w:r>
        <w:t>(9)</w:t>
      </w:r>
      <w:r w:rsidR="00E671FF" w:rsidRPr="006E251B">
        <w:t xml:space="preserve"> Hutter,</w:t>
      </w:r>
      <w:r w:rsidR="007A188E" w:rsidRPr="006E251B">
        <w:t xml:space="preserve"> O.S.;</w:t>
      </w:r>
      <w:r w:rsidR="00E671FF" w:rsidRPr="006E251B">
        <w:t xml:space="preserve"> Phillips,</w:t>
      </w:r>
      <w:r w:rsidR="007A188E" w:rsidRPr="006E251B">
        <w:t xml:space="preserve"> L.J.;</w:t>
      </w:r>
      <w:r w:rsidR="00E671FF" w:rsidRPr="006E251B">
        <w:t xml:space="preserve"> Durose,</w:t>
      </w:r>
      <w:r w:rsidR="007A188E" w:rsidRPr="006E251B">
        <w:t xml:space="preserve"> K.;</w:t>
      </w:r>
      <w:r w:rsidR="00E671FF" w:rsidRPr="006E251B">
        <w:t xml:space="preserve"> Major,</w:t>
      </w:r>
      <w:r w:rsidR="007A188E" w:rsidRPr="006E251B">
        <w:t xml:space="preserve"> J.D.</w:t>
      </w:r>
      <w:r w:rsidR="00FB5A02" w:rsidRPr="006E251B">
        <w:t xml:space="preserve"> </w:t>
      </w:r>
      <w:r w:rsidR="00FB5A02" w:rsidRPr="006E251B">
        <w:rPr>
          <w:rFonts w:eastAsiaTheme="minorHAnsi"/>
          <w:lang w:val="en-GB" w:eastAsia="en-US"/>
        </w:rPr>
        <w:t xml:space="preserve">6.6% </w:t>
      </w:r>
      <w:r w:rsidR="00D2518A" w:rsidRPr="006E251B">
        <w:rPr>
          <w:rFonts w:eastAsiaTheme="minorHAnsi"/>
          <w:lang w:val="en-GB" w:eastAsia="en-US"/>
        </w:rPr>
        <w:t>E</w:t>
      </w:r>
      <w:r w:rsidR="00FB5A02" w:rsidRPr="006E251B">
        <w:rPr>
          <w:rFonts w:eastAsiaTheme="minorHAnsi"/>
          <w:lang w:val="en-GB" w:eastAsia="en-US"/>
        </w:rPr>
        <w:t xml:space="preserve">fficient </w:t>
      </w:r>
      <w:r w:rsidR="00D2518A" w:rsidRPr="006E251B">
        <w:rPr>
          <w:rFonts w:eastAsiaTheme="minorHAnsi"/>
          <w:lang w:val="en-GB" w:eastAsia="en-US"/>
        </w:rPr>
        <w:t>A</w:t>
      </w:r>
      <w:r w:rsidR="00FB5A02" w:rsidRPr="006E251B">
        <w:rPr>
          <w:rFonts w:eastAsiaTheme="minorHAnsi"/>
          <w:lang w:val="en-GB" w:eastAsia="en-US"/>
        </w:rPr>
        <w:t xml:space="preserve">ntimony </w:t>
      </w:r>
      <w:r w:rsidR="00D2518A" w:rsidRPr="006E251B">
        <w:rPr>
          <w:rFonts w:eastAsiaTheme="minorHAnsi"/>
          <w:lang w:val="en-GB" w:eastAsia="en-US"/>
        </w:rPr>
        <w:t>S</w:t>
      </w:r>
      <w:r w:rsidR="00FB5A02" w:rsidRPr="006E251B">
        <w:rPr>
          <w:rFonts w:eastAsiaTheme="minorHAnsi"/>
          <w:lang w:val="en-GB" w:eastAsia="en-US"/>
        </w:rPr>
        <w:t xml:space="preserve">elenide </w:t>
      </w:r>
      <w:r w:rsidR="00D2518A" w:rsidRPr="006E251B">
        <w:rPr>
          <w:rFonts w:eastAsiaTheme="minorHAnsi"/>
          <w:lang w:val="en-GB" w:eastAsia="en-US"/>
        </w:rPr>
        <w:t>S</w:t>
      </w:r>
      <w:r w:rsidR="00FB5A02" w:rsidRPr="006E251B">
        <w:rPr>
          <w:rFonts w:eastAsiaTheme="minorHAnsi"/>
          <w:lang w:val="en-GB" w:eastAsia="en-US"/>
        </w:rPr>
        <w:t xml:space="preserve">olar </w:t>
      </w:r>
      <w:r w:rsidR="00D2518A" w:rsidRPr="006E251B">
        <w:rPr>
          <w:rFonts w:eastAsiaTheme="minorHAnsi"/>
          <w:lang w:val="en-GB" w:eastAsia="en-US"/>
        </w:rPr>
        <w:t>C</w:t>
      </w:r>
      <w:r w:rsidR="00FB5A02" w:rsidRPr="006E251B">
        <w:rPr>
          <w:rFonts w:eastAsiaTheme="minorHAnsi"/>
          <w:lang w:val="en-GB" w:eastAsia="en-US"/>
        </w:rPr>
        <w:t xml:space="preserve">ells </w:t>
      </w:r>
      <w:r w:rsidR="00D2518A" w:rsidRPr="006E251B">
        <w:rPr>
          <w:rFonts w:eastAsiaTheme="minorHAnsi"/>
          <w:lang w:val="en-GB" w:eastAsia="en-US"/>
        </w:rPr>
        <w:t>U</w:t>
      </w:r>
      <w:r w:rsidR="00FB5A02" w:rsidRPr="006E251B">
        <w:rPr>
          <w:rFonts w:eastAsiaTheme="minorHAnsi"/>
          <w:lang w:val="en-GB" w:eastAsia="en-US"/>
        </w:rPr>
        <w:t xml:space="preserve">sing </w:t>
      </w:r>
      <w:r w:rsidR="00D2518A" w:rsidRPr="006E251B">
        <w:rPr>
          <w:rFonts w:eastAsiaTheme="minorHAnsi"/>
          <w:lang w:val="en-GB" w:eastAsia="en-US"/>
        </w:rPr>
        <w:t>G</w:t>
      </w:r>
      <w:r w:rsidR="00FB5A02" w:rsidRPr="006E251B">
        <w:rPr>
          <w:rFonts w:eastAsiaTheme="minorHAnsi"/>
          <w:lang w:val="en-GB" w:eastAsia="en-US"/>
        </w:rPr>
        <w:t xml:space="preserve">rain </w:t>
      </w:r>
      <w:r w:rsidR="00D2518A" w:rsidRPr="006E251B">
        <w:rPr>
          <w:rFonts w:eastAsiaTheme="minorHAnsi"/>
          <w:lang w:val="en-GB" w:eastAsia="en-US"/>
        </w:rPr>
        <w:t>S</w:t>
      </w:r>
      <w:r w:rsidR="00FB5A02" w:rsidRPr="006E251B">
        <w:rPr>
          <w:rFonts w:eastAsiaTheme="minorHAnsi"/>
          <w:lang w:val="en-GB" w:eastAsia="en-US"/>
        </w:rPr>
        <w:t xml:space="preserve">tructure </w:t>
      </w:r>
      <w:r w:rsidR="00D2518A" w:rsidRPr="006E251B">
        <w:rPr>
          <w:rFonts w:eastAsiaTheme="minorHAnsi"/>
          <w:lang w:val="en-GB" w:eastAsia="en-US"/>
        </w:rPr>
        <w:t>C</w:t>
      </w:r>
      <w:r w:rsidR="00FB5A02" w:rsidRPr="006E251B">
        <w:rPr>
          <w:rFonts w:eastAsiaTheme="minorHAnsi"/>
          <w:lang w:val="en-GB" w:eastAsia="en-US"/>
        </w:rPr>
        <w:t xml:space="preserve">ontrol and an </w:t>
      </w:r>
      <w:r w:rsidR="00D2518A" w:rsidRPr="006E251B">
        <w:rPr>
          <w:rFonts w:eastAsiaTheme="minorHAnsi"/>
          <w:lang w:val="en-GB" w:eastAsia="en-US"/>
        </w:rPr>
        <w:t>O</w:t>
      </w:r>
      <w:r w:rsidR="00FB5A02" w:rsidRPr="006E251B">
        <w:rPr>
          <w:rFonts w:eastAsiaTheme="minorHAnsi"/>
          <w:lang w:val="en-GB" w:eastAsia="en-US"/>
        </w:rPr>
        <w:t xml:space="preserve">rganic </w:t>
      </w:r>
      <w:r w:rsidR="00D2518A" w:rsidRPr="006E251B">
        <w:rPr>
          <w:rFonts w:eastAsiaTheme="minorHAnsi"/>
          <w:lang w:val="en-GB" w:eastAsia="en-US"/>
        </w:rPr>
        <w:t>C</w:t>
      </w:r>
      <w:r w:rsidR="00FB5A02" w:rsidRPr="006E251B">
        <w:rPr>
          <w:rFonts w:eastAsiaTheme="minorHAnsi"/>
          <w:lang w:val="en-GB" w:eastAsia="en-US"/>
        </w:rPr>
        <w:t xml:space="preserve">ontact </w:t>
      </w:r>
      <w:r w:rsidR="00D2518A" w:rsidRPr="006E251B">
        <w:rPr>
          <w:rFonts w:eastAsiaTheme="minorHAnsi"/>
          <w:lang w:val="en-GB" w:eastAsia="en-US"/>
        </w:rPr>
        <w:t>L</w:t>
      </w:r>
      <w:r w:rsidR="00FB5A02" w:rsidRPr="006E251B">
        <w:rPr>
          <w:rFonts w:eastAsiaTheme="minorHAnsi"/>
          <w:lang w:val="en-GB" w:eastAsia="en-US"/>
        </w:rPr>
        <w:t>ayer</w:t>
      </w:r>
      <w:r w:rsidR="007A188E" w:rsidRPr="006E251B">
        <w:t xml:space="preserve"> </w:t>
      </w:r>
      <w:r w:rsidR="00E671FF" w:rsidRPr="006E251B">
        <w:rPr>
          <w:i/>
        </w:rPr>
        <w:t xml:space="preserve">Sol. Energy Mat. Sol. Cells </w:t>
      </w:r>
      <w:r w:rsidR="00E671FF" w:rsidRPr="006E251B">
        <w:t>2018, 188, 177</w:t>
      </w:r>
      <w:r w:rsidR="00FB5A02" w:rsidRPr="006E251B">
        <w:t>-181</w:t>
      </w:r>
      <w:r w:rsidR="00E671FF" w:rsidRPr="006E251B">
        <w:t>.</w:t>
      </w:r>
    </w:p>
    <w:p w:rsidR="009F5C4A" w:rsidRPr="006E251B" w:rsidRDefault="009F5C4A" w:rsidP="003E40C4">
      <w:pPr>
        <w:spacing w:line="480" w:lineRule="auto"/>
      </w:pPr>
    </w:p>
    <w:p w:rsidR="00E671FF" w:rsidRPr="006E251B" w:rsidRDefault="008901B4" w:rsidP="003E40C4">
      <w:pPr>
        <w:spacing w:line="480" w:lineRule="auto"/>
      </w:pPr>
      <w:r>
        <w:lastRenderedPageBreak/>
        <w:t>(10)</w:t>
      </w:r>
      <w:r w:rsidR="00E671FF" w:rsidRPr="006E251B">
        <w:t xml:space="preserve"> Li,</w:t>
      </w:r>
      <w:r w:rsidR="00C03EBE" w:rsidRPr="006E251B">
        <w:t xml:space="preserve"> D-B.;</w:t>
      </w:r>
      <w:r w:rsidR="00E671FF" w:rsidRPr="006E251B">
        <w:t xml:space="preserve"> Yin,</w:t>
      </w:r>
      <w:r w:rsidR="00C03EBE" w:rsidRPr="006E251B">
        <w:t xml:space="preserve"> X.;</w:t>
      </w:r>
      <w:r w:rsidR="00E671FF" w:rsidRPr="006E251B">
        <w:t xml:space="preserve"> Grice,</w:t>
      </w:r>
      <w:r w:rsidR="00C03EBE" w:rsidRPr="006E251B">
        <w:t xml:space="preserve"> C.R.;</w:t>
      </w:r>
      <w:r w:rsidR="00E671FF" w:rsidRPr="006E251B">
        <w:t xml:space="preserve"> Guan,</w:t>
      </w:r>
      <w:r w:rsidR="00C03EBE" w:rsidRPr="006E251B">
        <w:t xml:space="preserve"> L.;</w:t>
      </w:r>
      <w:r w:rsidR="00E671FF" w:rsidRPr="006E251B">
        <w:t xml:space="preserve"> Song, </w:t>
      </w:r>
      <w:r w:rsidR="00C03EBE" w:rsidRPr="006E251B">
        <w:t xml:space="preserve">Z.; </w:t>
      </w:r>
      <w:r w:rsidR="00E671FF" w:rsidRPr="006E251B">
        <w:t>Wang,</w:t>
      </w:r>
      <w:r w:rsidR="00C03EBE" w:rsidRPr="006E251B">
        <w:t xml:space="preserve"> C.;</w:t>
      </w:r>
      <w:r w:rsidR="00E671FF" w:rsidRPr="006E251B">
        <w:t xml:space="preserve"> Chen,</w:t>
      </w:r>
      <w:r w:rsidR="00C03EBE" w:rsidRPr="006E251B">
        <w:t xml:space="preserve"> C.;</w:t>
      </w:r>
      <w:r w:rsidR="00E671FF" w:rsidRPr="006E251B">
        <w:t xml:space="preserve"> Li,</w:t>
      </w:r>
      <w:r w:rsidR="00C03EBE" w:rsidRPr="006E251B">
        <w:t xml:space="preserve"> K.;</w:t>
      </w:r>
      <w:r w:rsidR="00E671FF" w:rsidRPr="006E251B">
        <w:t xml:space="preserve"> Cimaroli,</w:t>
      </w:r>
      <w:r w:rsidR="00C03EBE" w:rsidRPr="006E251B">
        <w:t xml:space="preserve"> A.J.;</w:t>
      </w:r>
      <w:r w:rsidR="00E671FF" w:rsidRPr="006E251B">
        <w:t xml:space="preserve"> Awni,</w:t>
      </w:r>
      <w:r w:rsidR="00C03EBE" w:rsidRPr="006E251B">
        <w:t xml:space="preserve"> R.A.;</w:t>
      </w:r>
      <w:r w:rsidR="00E671FF" w:rsidRPr="006E251B">
        <w:t xml:space="preserve"> Zhao,</w:t>
      </w:r>
      <w:r w:rsidR="00C03EBE" w:rsidRPr="006E251B">
        <w:t xml:space="preserve"> D.;</w:t>
      </w:r>
      <w:r w:rsidR="00E671FF" w:rsidRPr="006E251B">
        <w:t xml:space="preserve"> Song,</w:t>
      </w:r>
      <w:r w:rsidR="00C03EBE" w:rsidRPr="006E251B">
        <w:t xml:space="preserve"> H.;</w:t>
      </w:r>
      <w:r w:rsidR="00E671FF" w:rsidRPr="006E251B">
        <w:t xml:space="preserve"> Tang,</w:t>
      </w:r>
      <w:r w:rsidR="00C03EBE" w:rsidRPr="006E251B">
        <w:t xml:space="preserve"> W.;</w:t>
      </w:r>
      <w:r w:rsidR="00E671FF" w:rsidRPr="006E251B">
        <w:t xml:space="preserve"> Yan,</w:t>
      </w:r>
      <w:r w:rsidR="00C03EBE" w:rsidRPr="006E251B">
        <w:t xml:space="preserve"> Y.; </w:t>
      </w:r>
      <w:r w:rsidR="00E671FF" w:rsidRPr="006E251B">
        <w:t xml:space="preserve"> Tang,</w:t>
      </w:r>
      <w:r w:rsidR="00C03EBE" w:rsidRPr="006E251B">
        <w:t xml:space="preserve"> J.</w:t>
      </w:r>
      <w:r w:rsidR="00E36671" w:rsidRPr="006E251B">
        <w:t xml:space="preserve"> </w:t>
      </w:r>
      <w:hyperlink r:id="rId5" w:history="1">
        <w:r w:rsidR="00E36671" w:rsidRPr="006E251B">
          <w:rPr>
            <w:rStyle w:val="js-article-title"/>
          </w:rPr>
          <w:t>Stable and Efficient CdS/Sb</w:t>
        </w:r>
        <w:r w:rsidR="00E36671" w:rsidRPr="006E251B">
          <w:rPr>
            <w:rStyle w:val="js-article-title"/>
            <w:vertAlign w:val="subscript"/>
          </w:rPr>
          <w:t>2</w:t>
        </w:r>
        <w:r w:rsidR="00E36671" w:rsidRPr="006E251B">
          <w:rPr>
            <w:rStyle w:val="js-article-title"/>
          </w:rPr>
          <w:t>Se</w:t>
        </w:r>
        <w:r w:rsidR="00E36671" w:rsidRPr="006E251B">
          <w:rPr>
            <w:rStyle w:val="js-article-title"/>
            <w:vertAlign w:val="subscript"/>
          </w:rPr>
          <w:t>3</w:t>
        </w:r>
        <w:r w:rsidR="00E36671" w:rsidRPr="006E251B">
          <w:rPr>
            <w:rStyle w:val="js-article-title"/>
          </w:rPr>
          <w:t xml:space="preserve"> Solar Cells Prepared by Scalable Close Space Sublimation</w:t>
        </w:r>
      </w:hyperlink>
      <w:r w:rsidR="00E36671" w:rsidRPr="006E251B">
        <w:t xml:space="preserve"> </w:t>
      </w:r>
      <w:r w:rsidR="00E671FF" w:rsidRPr="006E251B">
        <w:rPr>
          <w:i/>
        </w:rPr>
        <w:t>Nano Energy</w:t>
      </w:r>
      <w:r w:rsidR="00E671FF" w:rsidRPr="006E251B">
        <w:t xml:space="preserve"> 2018, 49, 346</w:t>
      </w:r>
      <w:r w:rsidR="00E36671" w:rsidRPr="006E251B">
        <w:t>-353</w:t>
      </w:r>
      <w:r w:rsidR="00E671FF" w:rsidRPr="006E251B">
        <w:t>.</w:t>
      </w:r>
    </w:p>
    <w:p w:rsidR="00E36671" w:rsidRPr="006E251B" w:rsidRDefault="00E36671" w:rsidP="003E40C4">
      <w:pPr>
        <w:spacing w:line="480" w:lineRule="auto"/>
      </w:pPr>
    </w:p>
    <w:p w:rsidR="00E671FF" w:rsidRDefault="008901B4" w:rsidP="003E40C4">
      <w:pPr>
        <w:spacing w:line="480" w:lineRule="auto"/>
      </w:pPr>
      <w:r>
        <w:t>(11)</w:t>
      </w:r>
      <w:r w:rsidR="00E671FF" w:rsidRPr="006E251B">
        <w:t xml:space="preserve"> Wen,</w:t>
      </w:r>
      <w:r w:rsidR="0042178B" w:rsidRPr="006E251B">
        <w:t xml:space="preserve"> </w:t>
      </w:r>
      <w:r w:rsidR="005B7472" w:rsidRPr="006E251B">
        <w:t>X.;</w:t>
      </w:r>
      <w:r w:rsidR="00E671FF" w:rsidRPr="006E251B">
        <w:t xml:space="preserve"> Chen,</w:t>
      </w:r>
      <w:r w:rsidR="005B7472" w:rsidRPr="006E251B">
        <w:t xml:space="preserve"> C.;</w:t>
      </w:r>
      <w:r w:rsidR="00E671FF" w:rsidRPr="006E251B">
        <w:t xml:space="preserve"> Lu,</w:t>
      </w:r>
      <w:r w:rsidR="005B7472" w:rsidRPr="006E251B">
        <w:t xml:space="preserve"> S.;</w:t>
      </w:r>
      <w:r w:rsidR="00E671FF" w:rsidRPr="006E251B">
        <w:t xml:space="preserve"> Li, </w:t>
      </w:r>
      <w:r w:rsidR="005B7472" w:rsidRPr="006E251B">
        <w:t xml:space="preserve">K.; </w:t>
      </w:r>
      <w:r w:rsidR="00E671FF" w:rsidRPr="006E251B">
        <w:t>Kondrotas,</w:t>
      </w:r>
      <w:r w:rsidR="005B7472" w:rsidRPr="006E251B">
        <w:t xml:space="preserve"> R.;</w:t>
      </w:r>
      <w:r w:rsidR="00E671FF" w:rsidRPr="006E251B">
        <w:t xml:space="preserve"> Zhao,</w:t>
      </w:r>
      <w:r w:rsidR="005B7472" w:rsidRPr="006E251B">
        <w:t xml:space="preserve"> Y.;</w:t>
      </w:r>
      <w:r w:rsidR="00E671FF" w:rsidRPr="006E251B">
        <w:t xml:space="preserve"> Chen,</w:t>
      </w:r>
      <w:r w:rsidR="005B7472" w:rsidRPr="006E251B">
        <w:t xml:space="preserve"> W.;</w:t>
      </w:r>
      <w:r w:rsidR="00E671FF" w:rsidRPr="006E251B">
        <w:t xml:space="preserve"> Gao,</w:t>
      </w:r>
      <w:r w:rsidR="005B7472" w:rsidRPr="006E251B">
        <w:t xml:space="preserve"> L.;</w:t>
      </w:r>
      <w:r w:rsidR="00E671FF" w:rsidRPr="006E251B">
        <w:t xml:space="preserve"> Wang,</w:t>
      </w:r>
      <w:r w:rsidR="005B7472" w:rsidRPr="006E251B">
        <w:t xml:space="preserve"> C.;</w:t>
      </w:r>
      <w:r w:rsidR="00E671FF" w:rsidRPr="006E251B">
        <w:t xml:space="preserve"> Zhang,</w:t>
      </w:r>
      <w:r w:rsidR="005B7472" w:rsidRPr="006E251B">
        <w:t xml:space="preserve"> J.;</w:t>
      </w:r>
      <w:r w:rsidR="00E671FF" w:rsidRPr="006E251B">
        <w:t xml:space="preserve"> Niu,</w:t>
      </w:r>
      <w:r w:rsidR="005B7472" w:rsidRPr="006E251B">
        <w:t xml:space="preserve"> G.;</w:t>
      </w:r>
      <w:r w:rsidR="00E671FF" w:rsidRPr="006E251B">
        <w:t xml:space="preserve"> Tang, </w:t>
      </w:r>
      <w:r w:rsidR="005B7472" w:rsidRPr="006E251B">
        <w:t>J.</w:t>
      </w:r>
      <w:r w:rsidR="008D52AC" w:rsidRPr="006E251B">
        <w:t xml:space="preserve"> </w:t>
      </w:r>
      <w:proofErr w:type="spellStart"/>
      <w:r w:rsidR="008D52AC" w:rsidRPr="006E251B">
        <w:rPr>
          <w:rFonts w:eastAsiaTheme="minorHAnsi"/>
          <w:lang w:val="en-GB" w:eastAsia="en-US"/>
        </w:rPr>
        <w:t>Vapor</w:t>
      </w:r>
      <w:proofErr w:type="spellEnd"/>
      <w:r w:rsidR="008D52AC" w:rsidRPr="006E251B">
        <w:rPr>
          <w:rFonts w:eastAsiaTheme="minorHAnsi"/>
          <w:lang w:val="en-GB" w:eastAsia="en-US"/>
        </w:rPr>
        <w:t xml:space="preserve"> Transport Deposition of Antimony Selenide</w:t>
      </w:r>
      <w:r w:rsidR="009F5C4A" w:rsidRPr="006E251B">
        <w:rPr>
          <w:rFonts w:eastAsiaTheme="minorHAnsi"/>
          <w:lang w:val="en-GB" w:eastAsia="en-US"/>
        </w:rPr>
        <w:t xml:space="preserve"> </w:t>
      </w:r>
      <w:r w:rsidR="008D52AC" w:rsidRPr="006E251B">
        <w:rPr>
          <w:rFonts w:eastAsiaTheme="minorHAnsi"/>
          <w:lang w:val="en-GB" w:eastAsia="en-US"/>
        </w:rPr>
        <w:t>Thin Film Solar Cells With 7.6% Efficiency</w:t>
      </w:r>
      <w:r w:rsidR="005B7472" w:rsidRPr="006E251B">
        <w:t xml:space="preserve"> </w:t>
      </w:r>
      <w:r w:rsidR="00E671FF" w:rsidRPr="006E251B">
        <w:rPr>
          <w:i/>
        </w:rPr>
        <w:t xml:space="preserve">Nature Comms. </w:t>
      </w:r>
      <w:r w:rsidR="00E671FF" w:rsidRPr="006E251B">
        <w:t>2018, 9, 2179</w:t>
      </w:r>
      <w:r w:rsidR="00DA22DB" w:rsidRPr="006E251B">
        <w:t>-2189</w:t>
      </w:r>
      <w:r w:rsidR="009F5C4A" w:rsidRPr="006E251B">
        <w:t>.</w:t>
      </w:r>
    </w:p>
    <w:p w:rsidR="004B1446" w:rsidRPr="006E251B" w:rsidRDefault="004B1446" w:rsidP="003E40C4">
      <w:pPr>
        <w:spacing w:line="480" w:lineRule="auto"/>
      </w:pPr>
    </w:p>
    <w:p w:rsidR="00E671FF" w:rsidRPr="006E251B" w:rsidRDefault="008901B4" w:rsidP="003E40C4">
      <w:pPr>
        <w:spacing w:line="480" w:lineRule="auto"/>
      </w:pPr>
      <w:r>
        <w:t>(12)</w:t>
      </w:r>
      <w:r w:rsidR="00E671FF" w:rsidRPr="006E251B">
        <w:t xml:space="preserve"> Phillips, </w:t>
      </w:r>
      <w:r w:rsidR="00C54FD7" w:rsidRPr="006E251B">
        <w:t>L.J.;</w:t>
      </w:r>
      <w:r w:rsidR="00E671FF" w:rsidRPr="006E251B">
        <w:t xml:space="preserve"> Savory,</w:t>
      </w:r>
      <w:r w:rsidR="00C54FD7" w:rsidRPr="006E251B">
        <w:t xml:space="preserve"> C.N.;</w:t>
      </w:r>
      <w:r w:rsidR="00E671FF" w:rsidRPr="006E251B">
        <w:t xml:space="preserve"> Hutter,</w:t>
      </w:r>
      <w:r w:rsidR="00C54FD7" w:rsidRPr="006E251B">
        <w:t xml:space="preserve"> O.S.;</w:t>
      </w:r>
      <w:r w:rsidR="00E671FF" w:rsidRPr="006E251B">
        <w:t xml:space="preserve"> Yates,</w:t>
      </w:r>
      <w:r w:rsidR="00C54FD7" w:rsidRPr="006E251B">
        <w:t xml:space="preserve"> P.J.;</w:t>
      </w:r>
      <w:r w:rsidR="00E671FF" w:rsidRPr="006E251B">
        <w:t xml:space="preserve"> Shiel,</w:t>
      </w:r>
      <w:r w:rsidR="00C54FD7" w:rsidRPr="006E251B">
        <w:t xml:space="preserve"> H.;</w:t>
      </w:r>
      <w:r w:rsidR="00E671FF" w:rsidRPr="006E251B">
        <w:t xml:space="preserve"> Mariotti,</w:t>
      </w:r>
      <w:r w:rsidR="00C54FD7" w:rsidRPr="006E251B">
        <w:t xml:space="preserve"> S.; </w:t>
      </w:r>
      <w:r w:rsidR="00E671FF" w:rsidRPr="006E251B">
        <w:t xml:space="preserve"> Bowen,</w:t>
      </w:r>
      <w:r w:rsidR="00C54FD7" w:rsidRPr="006E251B">
        <w:t xml:space="preserve"> L.;</w:t>
      </w:r>
      <w:r w:rsidR="00E671FF" w:rsidRPr="006E251B">
        <w:t xml:space="preserve"> Birkett,</w:t>
      </w:r>
      <w:r w:rsidR="00C54FD7" w:rsidRPr="006E251B">
        <w:t xml:space="preserve"> M.;</w:t>
      </w:r>
      <w:r w:rsidR="00E671FF" w:rsidRPr="006E251B">
        <w:t xml:space="preserve"> Durose,</w:t>
      </w:r>
      <w:r w:rsidR="00C54FD7" w:rsidRPr="006E251B">
        <w:t xml:space="preserve"> K.;</w:t>
      </w:r>
      <w:r w:rsidR="00E671FF" w:rsidRPr="006E251B">
        <w:t xml:space="preserve"> Scanlon,</w:t>
      </w:r>
      <w:r w:rsidR="00C54FD7" w:rsidRPr="006E251B">
        <w:t xml:space="preserve"> D.O.; </w:t>
      </w:r>
      <w:r w:rsidR="00E671FF" w:rsidRPr="006E251B">
        <w:t xml:space="preserve"> Major,</w:t>
      </w:r>
      <w:r w:rsidR="00C54FD7" w:rsidRPr="006E251B">
        <w:t xml:space="preserve"> J.D.</w:t>
      </w:r>
      <w:r w:rsidR="00D23709" w:rsidRPr="006E251B">
        <w:t xml:space="preserve"> </w:t>
      </w:r>
      <w:r w:rsidR="00D23709" w:rsidRPr="006E251B">
        <w:rPr>
          <w:rFonts w:eastAsiaTheme="minorHAnsi"/>
          <w:lang w:val="en-GB" w:eastAsia="en-US"/>
        </w:rPr>
        <w:t xml:space="preserve">Current Enhancement </w:t>
      </w:r>
      <w:r w:rsidR="00C40CE1">
        <w:rPr>
          <w:rFonts w:eastAsiaTheme="minorHAnsi"/>
          <w:lang w:val="en-GB" w:eastAsia="en-US"/>
        </w:rPr>
        <w:t>V</w:t>
      </w:r>
      <w:r w:rsidR="00D23709" w:rsidRPr="006E251B">
        <w:rPr>
          <w:rFonts w:eastAsiaTheme="minorHAnsi"/>
          <w:lang w:val="en-GB" w:eastAsia="en-US"/>
        </w:rPr>
        <w:t xml:space="preserve">ia a TiO2 Window Layer </w:t>
      </w:r>
      <w:r w:rsidR="00A13CDA">
        <w:rPr>
          <w:rFonts w:eastAsiaTheme="minorHAnsi"/>
          <w:lang w:val="en-GB" w:eastAsia="en-US"/>
        </w:rPr>
        <w:t>f</w:t>
      </w:r>
      <w:r w:rsidR="00D23709" w:rsidRPr="006E251B">
        <w:rPr>
          <w:rFonts w:eastAsiaTheme="minorHAnsi"/>
          <w:lang w:val="en-GB" w:eastAsia="en-US"/>
        </w:rPr>
        <w:t xml:space="preserve">or CSS Sb2Se3 Solar Cells: Performance Limits and High </w:t>
      </w:r>
      <w:proofErr w:type="spellStart"/>
      <w:r w:rsidR="00D23709" w:rsidRPr="006E251B">
        <w:rPr>
          <w:rFonts w:eastAsiaTheme="minorHAnsi"/>
          <w:i/>
          <w:iCs/>
          <w:lang w:val="en-GB" w:eastAsia="en-US"/>
        </w:rPr>
        <w:t>V</w:t>
      </w:r>
      <w:r w:rsidR="00D23709" w:rsidRPr="006E251B">
        <w:rPr>
          <w:rFonts w:eastAsiaTheme="minorHAnsi"/>
          <w:lang w:val="en-GB" w:eastAsia="en-US"/>
        </w:rPr>
        <w:t>oc</w:t>
      </w:r>
      <w:proofErr w:type="spellEnd"/>
      <w:r w:rsidR="00C54FD7" w:rsidRPr="006E251B">
        <w:t xml:space="preserve"> </w:t>
      </w:r>
      <w:r w:rsidR="00E671FF" w:rsidRPr="006E251B">
        <w:t xml:space="preserve"> </w:t>
      </w:r>
      <w:r w:rsidR="00E671FF" w:rsidRPr="006E251B">
        <w:rPr>
          <w:i/>
        </w:rPr>
        <w:t xml:space="preserve">IEEE J. Photovoltaics </w:t>
      </w:r>
      <w:r w:rsidR="00E671FF" w:rsidRPr="006E251B">
        <w:t>2019, 9, 544</w:t>
      </w:r>
      <w:r w:rsidR="00D23709" w:rsidRPr="006E251B">
        <w:t>-551</w:t>
      </w:r>
      <w:r w:rsidR="00E671FF" w:rsidRPr="006E251B">
        <w:t>.</w:t>
      </w:r>
    </w:p>
    <w:p w:rsidR="00D23709" w:rsidRPr="006E251B" w:rsidRDefault="00D23709" w:rsidP="003E40C4">
      <w:pPr>
        <w:spacing w:line="480" w:lineRule="auto"/>
      </w:pPr>
    </w:p>
    <w:p w:rsidR="00E671FF" w:rsidRPr="006E251B" w:rsidRDefault="008901B4" w:rsidP="003E40C4">
      <w:pPr>
        <w:spacing w:line="480" w:lineRule="auto"/>
      </w:pPr>
      <w:r>
        <w:t>(</w:t>
      </w:r>
      <w:r w:rsidR="00E671FF" w:rsidRPr="006E251B">
        <w:t>13</w:t>
      </w:r>
      <w:r>
        <w:t>)</w:t>
      </w:r>
      <w:r w:rsidR="00E671FF" w:rsidRPr="006E251B">
        <w:t xml:space="preserve"> Li,</w:t>
      </w:r>
      <w:r w:rsidR="00F207B2" w:rsidRPr="006E251B">
        <w:t xml:space="preserve"> Z.;</w:t>
      </w:r>
      <w:r w:rsidR="00E671FF" w:rsidRPr="006E251B">
        <w:t xml:space="preserve"> Liang,</w:t>
      </w:r>
      <w:r w:rsidR="00F207B2" w:rsidRPr="006E251B">
        <w:t xml:space="preserve"> X.;</w:t>
      </w:r>
      <w:r w:rsidR="00E671FF" w:rsidRPr="006E251B">
        <w:t xml:space="preserve"> Li,</w:t>
      </w:r>
      <w:r w:rsidR="00F207B2" w:rsidRPr="006E251B">
        <w:t xml:space="preserve"> G.;</w:t>
      </w:r>
      <w:r w:rsidR="00E671FF" w:rsidRPr="006E251B">
        <w:t xml:space="preserve"> Liu,</w:t>
      </w:r>
      <w:r w:rsidR="00F207B2" w:rsidRPr="006E251B">
        <w:t xml:space="preserve"> H.;</w:t>
      </w:r>
      <w:r w:rsidR="00E671FF" w:rsidRPr="006E251B">
        <w:t xml:space="preserve"> Zhang,</w:t>
      </w:r>
      <w:r w:rsidR="00F207B2" w:rsidRPr="006E251B">
        <w:t xml:space="preserve"> H.;</w:t>
      </w:r>
      <w:r w:rsidR="00E671FF" w:rsidRPr="006E251B">
        <w:t xml:space="preserve"> Guo,</w:t>
      </w:r>
      <w:r w:rsidR="00F207B2" w:rsidRPr="006E251B">
        <w:t xml:space="preserve"> J.;</w:t>
      </w:r>
      <w:r w:rsidR="00E671FF" w:rsidRPr="006E251B">
        <w:t xml:space="preserve"> Chen,</w:t>
      </w:r>
      <w:r w:rsidR="00F207B2" w:rsidRPr="006E251B">
        <w:t xml:space="preserve"> J.;</w:t>
      </w:r>
      <w:r w:rsidR="00E671FF" w:rsidRPr="006E251B">
        <w:t xml:space="preserve"> Shen,</w:t>
      </w:r>
      <w:r w:rsidR="00F207B2" w:rsidRPr="006E251B">
        <w:t xml:space="preserve"> K.;</w:t>
      </w:r>
      <w:r w:rsidR="00E671FF" w:rsidRPr="006E251B">
        <w:t xml:space="preserve"> San,</w:t>
      </w:r>
      <w:r w:rsidR="00F207B2" w:rsidRPr="006E251B">
        <w:t xml:space="preserve"> X.;</w:t>
      </w:r>
      <w:r w:rsidR="00E671FF" w:rsidRPr="006E251B">
        <w:t xml:space="preserve"> Yu,</w:t>
      </w:r>
      <w:r w:rsidR="00F207B2" w:rsidRPr="006E251B">
        <w:t xml:space="preserve"> W.;</w:t>
      </w:r>
      <w:r w:rsidR="00E671FF" w:rsidRPr="006E251B">
        <w:t xml:space="preserve"> Schropp,</w:t>
      </w:r>
      <w:r w:rsidR="00F207B2" w:rsidRPr="006E251B">
        <w:t xml:space="preserve"> R.E.I.;</w:t>
      </w:r>
      <w:r w:rsidR="00E671FF" w:rsidRPr="006E251B">
        <w:t xml:space="preserve"> Mai,</w:t>
      </w:r>
      <w:r w:rsidR="00F207B2" w:rsidRPr="006E251B">
        <w:t xml:space="preserve"> Y.</w:t>
      </w:r>
      <w:r w:rsidR="009B405F" w:rsidRPr="006E251B">
        <w:t xml:space="preserve"> </w:t>
      </w:r>
      <w:r w:rsidR="009B405F" w:rsidRPr="006E251B">
        <w:rPr>
          <w:rFonts w:eastAsiaTheme="minorHAnsi"/>
          <w:lang w:val="en-GB" w:eastAsia="en-US"/>
        </w:rPr>
        <w:t xml:space="preserve">9.2%-Efficient Core-Shell Structured Antimony Selenide </w:t>
      </w:r>
      <w:proofErr w:type="spellStart"/>
      <w:r w:rsidR="009B405F" w:rsidRPr="006E251B">
        <w:rPr>
          <w:rFonts w:eastAsiaTheme="minorHAnsi"/>
          <w:lang w:val="en-GB" w:eastAsia="en-US"/>
        </w:rPr>
        <w:t>Nanorod</w:t>
      </w:r>
      <w:proofErr w:type="spellEnd"/>
      <w:r w:rsidR="009B405F" w:rsidRPr="006E251B">
        <w:rPr>
          <w:rFonts w:eastAsiaTheme="minorHAnsi"/>
          <w:lang w:val="en-GB" w:eastAsia="en-US"/>
        </w:rPr>
        <w:t xml:space="preserve"> Array Solar Cells</w:t>
      </w:r>
      <w:r w:rsidR="00F207B2" w:rsidRPr="006E251B">
        <w:t xml:space="preserve"> </w:t>
      </w:r>
      <w:r w:rsidR="00E671FF" w:rsidRPr="006E251B">
        <w:rPr>
          <w:i/>
        </w:rPr>
        <w:t xml:space="preserve">Nature Comms. </w:t>
      </w:r>
      <w:r w:rsidR="00E671FF" w:rsidRPr="006E251B">
        <w:t>2019, 10, 125</w:t>
      </w:r>
      <w:r w:rsidR="009B405F" w:rsidRPr="006E251B">
        <w:t>-133</w:t>
      </w:r>
      <w:r w:rsidR="00E671FF" w:rsidRPr="006E251B">
        <w:t>.</w:t>
      </w:r>
    </w:p>
    <w:p w:rsidR="009B405F" w:rsidRPr="006E251B" w:rsidRDefault="009B405F" w:rsidP="003E40C4">
      <w:pPr>
        <w:spacing w:line="480" w:lineRule="auto"/>
      </w:pPr>
    </w:p>
    <w:p w:rsidR="00E671FF" w:rsidRPr="006E251B" w:rsidRDefault="008901B4" w:rsidP="003E40C4">
      <w:pPr>
        <w:spacing w:line="480" w:lineRule="auto"/>
      </w:pPr>
      <w:r>
        <w:t>(14)</w:t>
      </w:r>
      <w:r w:rsidR="00E671FF" w:rsidRPr="006E251B">
        <w:t xml:space="preserve"> Tideswell, </w:t>
      </w:r>
      <w:r w:rsidR="001E419B" w:rsidRPr="006E251B">
        <w:t xml:space="preserve">N.W.; </w:t>
      </w:r>
      <w:r w:rsidR="00E671FF" w:rsidRPr="006E251B">
        <w:t>Kruse,</w:t>
      </w:r>
      <w:r w:rsidR="001E419B" w:rsidRPr="006E251B">
        <w:t xml:space="preserve"> F.H.;</w:t>
      </w:r>
      <w:r w:rsidR="00E671FF" w:rsidRPr="006E251B">
        <w:t xml:space="preserve"> McCullough,</w:t>
      </w:r>
      <w:r w:rsidR="001E419B" w:rsidRPr="006E251B">
        <w:t xml:space="preserve"> J.D.</w:t>
      </w:r>
      <w:r w:rsidR="00431909" w:rsidRPr="006E251B">
        <w:t xml:space="preserve"> </w:t>
      </w:r>
      <w:hyperlink r:id="rId6" w:history="1">
        <w:r w:rsidR="00431909" w:rsidRPr="006E251B">
          <w:rPr>
            <w:rStyle w:val="Hyperlink"/>
            <w:color w:val="auto"/>
            <w:u w:val="none"/>
          </w:rPr>
          <w:t>The Crystal Structure of Antimony Selenide, Sb</w:t>
        </w:r>
        <w:r w:rsidR="00431909" w:rsidRPr="006E251B">
          <w:rPr>
            <w:rStyle w:val="inf"/>
            <w:vertAlign w:val="subscript"/>
          </w:rPr>
          <w:t>2</w:t>
        </w:r>
        <w:r w:rsidR="00431909" w:rsidRPr="006E251B">
          <w:rPr>
            <w:rStyle w:val="Hyperlink"/>
            <w:color w:val="auto"/>
            <w:u w:val="none"/>
          </w:rPr>
          <w:t>Se</w:t>
        </w:r>
        <w:r w:rsidR="00431909" w:rsidRPr="006E251B">
          <w:rPr>
            <w:rStyle w:val="inf"/>
            <w:vertAlign w:val="subscript"/>
          </w:rPr>
          <w:t>3</w:t>
        </w:r>
      </w:hyperlink>
      <w:r w:rsidR="00E671FF" w:rsidRPr="006E251B">
        <w:t xml:space="preserve"> </w:t>
      </w:r>
      <w:r w:rsidR="00E671FF" w:rsidRPr="006E251B">
        <w:rPr>
          <w:i/>
        </w:rPr>
        <w:t xml:space="preserve">Acta Crystallogr. </w:t>
      </w:r>
      <w:r w:rsidR="00E671FF" w:rsidRPr="006E251B">
        <w:t>1957, 10, 99</w:t>
      </w:r>
      <w:r w:rsidR="00431909" w:rsidRPr="006E251B">
        <w:t>-102</w:t>
      </w:r>
      <w:r w:rsidR="00E671FF" w:rsidRPr="006E251B">
        <w:t>.</w:t>
      </w:r>
    </w:p>
    <w:p w:rsidR="00431909" w:rsidRPr="006E251B" w:rsidRDefault="00431909" w:rsidP="003E40C4">
      <w:pPr>
        <w:spacing w:line="480" w:lineRule="auto"/>
      </w:pPr>
    </w:p>
    <w:p w:rsidR="00E671FF" w:rsidRPr="006E251B" w:rsidRDefault="008901B4" w:rsidP="003E40C4">
      <w:pPr>
        <w:spacing w:line="480" w:lineRule="auto"/>
      </w:pPr>
      <w:r>
        <w:t>(15)</w:t>
      </w:r>
      <w:r w:rsidR="00E671FF" w:rsidRPr="006E251B">
        <w:t xml:space="preserve"> Chen,</w:t>
      </w:r>
      <w:r w:rsidR="00192B62" w:rsidRPr="006E251B">
        <w:t xml:space="preserve"> C.;</w:t>
      </w:r>
      <w:r w:rsidR="00E671FF" w:rsidRPr="006E251B">
        <w:t xml:space="preserve"> Bobela,</w:t>
      </w:r>
      <w:r w:rsidR="00192B62" w:rsidRPr="006E251B">
        <w:t xml:space="preserve"> D.C.;</w:t>
      </w:r>
      <w:r w:rsidR="00E671FF" w:rsidRPr="006E251B">
        <w:t xml:space="preserve"> Yang,</w:t>
      </w:r>
      <w:r w:rsidR="00192B62" w:rsidRPr="006E251B">
        <w:t xml:space="preserve"> Y.;</w:t>
      </w:r>
      <w:r w:rsidR="00E671FF" w:rsidRPr="006E251B">
        <w:t xml:space="preserve"> Lu,</w:t>
      </w:r>
      <w:r w:rsidR="00192B62" w:rsidRPr="006E251B">
        <w:t xml:space="preserve"> S.;</w:t>
      </w:r>
      <w:r w:rsidR="00E671FF" w:rsidRPr="006E251B">
        <w:t xml:space="preserve"> Zeng,</w:t>
      </w:r>
      <w:r w:rsidR="00192B62" w:rsidRPr="006E251B">
        <w:t xml:space="preserve"> K.;</w:t>
      </w:r>
      <w:r w:rsidR="00E671FF" w:rsidRPr="006E251B">
        <w:t xml:space="preserve"> Ge, </w:t>
      </w:r>
      <w:r w:rsidR="00192B62" w:rsidRPr="006E251B">
        <w:t>C.;</w:t>
      </w:r>
      <w:r w:rsidR="00E671FF" w:rsidRPr="006E251B">
        <w:t xml:space="preserve"> Yang,</w:t>
      </w:r>
      <w:r w:rsidR="00192B62" w:rsidRPr="006E251B">
        <w:t xml:space="preserve"> B.;</w:t>
      </w:r>
      <w:r w:rsidR="00E671FF" w:rsidRPr="006E251B">
        <w:t xml:space="preserve"> Gao,</w:t>
      </w:r>
      <w:r w:rsidR="00192B62" w:rsidRPr="006E251B">
        <w:t xml:space="preserve"> L.;</w:t>
      </w:r>
      <w:r w:rsidR="00E671FF" w:rsidRPr="006E251B">
        <w:t xml:space="preserve"> Zhao,</w:t>
      </w:r>
      <w:r w:rsidR="00192B62" w:rsidRPr="006E251B">
        <w:t xml:space="preserve"> Y.;</w:t>
      </w:r>
      <w:r w:rsidR="00E671FF" w:rsidRPr="006E251B">
        <w:t xml:space="preserve"> Beard,</w:t>
      </w:r>
      <w:r w:rsidR="00192B62" w:rsidRPr="006E251B">
        <w:t xml:space="preserve"> M.C.;</w:t>
      </w:r>
      <w:r w:rsidR="00E671FF" w:rsidRPr="006E251B">
        <w:t xml:space="preserve"> Tang,</w:t>
      </w:r>
      <w:r w:rsidR="00192B62" w:rsidRPr="006E251B">
        <w:t xml:space="preserve"> J.</w:t>
      </w:r>
      <w:r w:rsidR="00A3380E" w:rsidRPr="006E251B">
        <w:t xml:space="preserve"> </w:t>
      </w:r>
      <w:r w:rsidR="00A3380E" w:rsidRPr="006E251B">
        <w:rPr>
          <w:rFonts w:eastAsiaTheme="minorHAnsi"/>
          <w:lang w:val="en-GB" w:eastAsia="en-US"/>
        </w:rPr>
        <w:t>Characterization of Basic Physical Properties of Sb</w:t>
      </w:r>
      <w:r w:rsidR="00A3380E" w:rsidRPr="006E251B">
        <w:rPr>
          <w:rFonts w:eastAsiaTheme="minorHAnsi"/>
          <w:vertAlign w:val="subscript"/>
          <w:lang w:val="en-GB" w:eastAsia="en-US"/>
        </w:rPr>
        <w:t>2</w:t>
      </w:r>
      <w:r w:rsidR="00A3380E" w:rsidRPr="006E251B">
        <w:rPr>
          <w:rFonts w:eastAsiaTheme="minorHAnsi"/>
          <w:lang w:val="en-GB" w:eastAsia="en-US"/>
        </w:rPr>
        <w:t>Se</w:t>
      </w:r>
      <w:r w:rsidR="00A3380E" w:rsidRPr="006E251B">
        <w:rPr>
          <w:rFonts w:eastAsiaTheme="minorHAnsi"/>
          <w:vertAlign w:val="subscript"/>
          <w:lang w:val="en-GB" w:eastAsia="en-US"/>
        </w:rPr>
        <w:t>3</w:t>
      </w:r>
      <w:r w:rsidR="00A3380E" w:rsidRPr="006E251B">
        <w:rPr>
          <w:rFonts w:eastAsiaTheme="minorHAnsi"/>
          <w:lang w:val="en-GB" w:eastAsia="en-US"/>
        </w:rPr>
        <w:t xml:space="preserve"> and</w:t>
      </w:r>
      <w:r w:rsidR="009F5C4A" w:rsidRPr="006E251B">
        <w:rPr>
          <w:rFonts w:eastAsiaTheme="minorHAnsi"/>
          <w:lang w:val="en-GB" w:eastAsia="en-US"/>
        </w:rPr>
        <w:t xml:space="preserve"> </w:t>
      </w:r>
      <w:r w:rsidR="00A3380E" w:rsidRPr="006E251B">
        <w:rPr>
          <w:rFonts w:eastAsiaTheme="minorHAnsi"/>
          <w:lang w:val="en-GB" w:eastAsia="en-US"/>
        </w:rPr>
        <w:t>Its Relevance for Photovoltaics</w:t>
      </w:r>
      <w:r w:rsidR="00192B62" w:rsidRPr="006E251B">
        <w:t xml:space="preserve"> </w:t>
      </w:r>
      <w:r w:rsidR="00E671FF" w:rsidRPr="006E251B">
        <w:rPr>
          <w:i/>
        </w:rPr>
        <w:t xml:space="preserve">Front. Optoelectron. </w:t>
      </w:r>
      <w:r w:rsidR="00E671FF" w:rsidRPr="006E251B">
        <w:t>2017, 10, 18</w:t>
      </w:r>
      <w:r w:rsidR="00A3380E" w:rsidRPr="006E251B">
        <w:t>-30</w:t>
      </w:r>
      <w:r w:rsidR="00E671FF" w:rsidRPr="006E251B">
        <w:t>.</w:t>
      </w:r>
    </w:p>
    <w:p w:rsidR="009F5C4A" w:rsidRPr="006E251B" w:rsidRDefault="009F5C4A" w:rsidP="003E40C4">
      <w:pPr>
        <w:spacing w:line="480" w:lineRule="auto"/>
      </w:pPr>
    </w:p>
    <w:p w:rsidR="00E671FF" w:rsidRPr="006E251B" w:rsidRDefault="008901B4" w:rsidP="003E40C4">
      <w:pPr>
        <w:spacing w:line="480" w:lineRule="auto"/>
      </w:pPr>
      <w:r>
        <w:lastRenderedPageBreak/>
        <w:t>(16)</w:t>
      </w:r>
      <w:r w:rsidR="00E671FF" w:rsidRPr="006E251B">
        <w:t xml:space="preserve"> Taylor,</w:t>
      </w:r>
      <w:r w:rsidR="00823F47" w:rsidRPr="006E251B">
        <w:t xml:space="preserve"> A.A.;</w:t>
      </w:r>
      <w:r w:rsidR="00E671FF" w:rsidRPr="006E251B">
        <w:t xml:space="preserve"> Major,</w:t>
      </w:r>
      <w:r w:rsidR="00823F47" w:rsidRPr="006E251B">
        <w:t xml:space="preserve"> J.D.;</w:t>
      </w:r>
      <w:r w:rsidR="00E671FF" w:rsidRPr="006E251B">
        <w:t xml:space="preserve"> Kartopu,</w:t>
      </w:r>
      <w:r w:rsidR="00823F47" w:rsidRPr="006E251B">
        <w:t xml:space="preserve"> G.;</w:t>
      </w:r>
      <w:r w:rsidR="00E671FF" w:rsidRPr="006E251B">
        <w:t xml:space="preserve"> Lamb,</w:t>
      </w:r>
      <w:r w:rsidR="00823F47" w:rsidRPr="006E251B">
        <w:t xml:space="preserve"> D.;</w:t>
      </w:r>
      <w:r w:rsidR="00E671FF" w:rsidRPr="006E251B">
        <w:t xml:space="preserve"> Duenow,</w:t>
      </w:r>
      <w:r w:rsidR="00823F47" w:rsidRPr="006E251B">
        <w:t xml:space="preserve"> J.;</w:t>
      </w:r>
      <w:r w:rsidR="00E671FF" w:rsidRPr="006E251B">
        <w:t xml:space="preserve"> Dhere,</w:t>
      </w:r>
      <w:r w:rsidR="00823F47" w:rsidRPr="006E251B">
        <w:t xml:space="preserve"> R.G.;</w:t>
      </w:r>
      <w:r w:rsidR="00E671FF" w:rsidRPr="006E251B">
        <w:t xml:space="preserve"> Maeder, </w:t>
      </w:r>
      <w:r w:rsidR="00823F47" w:rsidRPr="006E251B">
        <w:t xml:space="preserve">X.; </w:t>
      </w:r>
      <w:r w:rsidR="00E671FF" w:rsidRPr="006E251B">
        <w:t xml:space="preserve">Irvine, </w:t>
      </w:r>
      <w:r w:rsidR="00823F47" w:rsidRPr="006E251B">
        <w:t xml:space="preserve">S.J.C.; </w:t>
      </w:r>
      <w:r w:rsidR="00E671FF" w:rsidRPr="006E251B">
        <w:t>Durose,</w:t>
      </w:r>
      <w:r w:rsidR="00823F47" w:rsidRPr="006E251B">
        <w:t xml:space="preserve"> K.;</w:t>
      </w:r>
      <w:r w:rsidR="00E671FF" w:rsidRPr="006E251B">
        <w:t xml:space="preserve"> Mendis,</w:t>
      </w:r>
      <w:r w:rsidR="00823F47" w:rsidRPr="006E251B">
        <w:t xml:space="preserve"> B.G.</w:t>
      </w:r>
      <w:r w:rsidR="00FC1A88" w:rsidRPr="006E251B">
        <w:t xml:space="preserve"> A Comparative Study of Microstructural Stability and Sulphur Diffusion in CdS/CdTe Photovoltaic Devices </w:t>
      </w:r>
      <w:r w:rsidR="00E671FF" w:rsidRPr="006E251B">
        <w:rPr>
          <w:i/>
        </w:rPr>
        <w:t xml:space="preserve">Sol. Energy Mat. Sol. Cells </w:t>
      </w:r>
      <w:r w:rsidR="00E671FF" w:rsidRPr="006E251B">
        <w:t>2015, 141, 341</w:t>
      </w:r>
      <w:r w:rsidR="00FC1A88" w:rsidRPr="006E251B">
        <w:t>-349</w:t>
      </w:r>
      <w:r w:rsidR="00E671FF" w:rsidRPr="006E251B">
        <w:t>.</w:t>
      </w:r>
    </w:p>
    <w:p w:rsidR="009F5C4A" w:rsidRPr="006E251B" w:rsidRDefault="009F5C4A" w:rsidP="003E40C4">
      <w:pPr>
        <w:spacing w:line="480" w:lineRule="auto"/>
      </w:pPr>
    </w:p>
    <w:p w:rsidR="00E671FF" w:rsidRPr="006E251B" w:rsidRDefault="008901B4" w:rsidP="003E40C4">
      <w:pPr>
        <w:spacing w:line="480" w:lineRule="auto"/>
      </w:pPr>
      <w:r>
        <w:t>(</w:t>
      </w:r>
      <w:r w:rsidR="00E671FF" w:rsidRPr="006E251B">
        <w:t>17</w:t>
      </w:r>
      <w:r>
        <w:t>)</w:t>
      </w:r>
      <w:r w:rsidR="00E671FF" w:rsidRPr="006E251B">
        <w:t xml:space="preserve"> Zhou,</w:t>
      </w:r>
      <w:r w:rsidR="00B602C7" w:rsidRPr="006E251B">
        <w:t xml:space="preserve"> Y.;</w:t>
      </w:r>
      <w:r w:rsidR="00E671FF" w:rsidRPr="006E251B">
        <w:t xml:space="preserve"> Li,</w:t>
      </w:r>
      <w:r w:rsidR="00B602C7" w:rsidRPr="006E251B">
        <w:t xml:space="preserve"> Y.;</w:t>
      </w:r>
      <w:r w:rsidR="00E671FF" w:rsidRPr="006E251B">
        <w:t xml:space="preserve"> Luo, </w:t>
      </w:r>
      <w:r w:rsidR="00B602C7" w:rsidRPr="006E251B">
        <w:t xml:space="preserve">J.; </w:t>
      </w:r>
      <w:r w:rsidR="00E671FF" w:rsidRPr="006E251B">
        <w:t>Li,</w:t>
      </w:r>
      <w:r w:rsidR="00B602C7" w:rsidRPr="006E251B">
        <w:t xml:space="preserve"> D.;</w:t>
      </w:r>
      <w:r w:rsidR="00E671FF" w:rsidRPr="006E251B">
        <w:t xml:space="preserve"> Liu,</w:t>
      </w:r>
      <w:r w:rsidR="00B602C7" w:rsidRPr="006E251B">
        <w:t xml:space="preserve"> X.;</w:t>
      </w:r>
      <w:r w:rsidR="00E671FF" w:rsidRPr="006E251B">
        <w:t xml:space="preserve"> Chen,</w:t>
      </w:r>
      <w:r w:rsidR="00B602C7" w:rsidRPr="006E251B">
        <w:t xml:space="preserve"> C.;</w:t>
      </w:r>
      <w:r w:rsidR="00E671FF" w:rsidRPr="006E251B">
        <w:t xml:space="preserve"> Song,</w:t>
      </w:r>
      <w:r w:rsidR="00B602C7" w:rsidRPr="006E251B">
        <w:t xml:space="preserve"> H.;</w:t>
      </w:r>
      <w:r w:rsidR="00E671FF" w:rsidRPr="006E251B">
        <w:t xml:space="preserve"> Ma,</w:t>
      </w:r>
      <w:r w:rsidR="00B602C7" w:rsidRPr="006E251B">
        <w:t xml:space="preserve"> J.;</w:t>
      </w:r>
      <w:r w:rsidR="00E671FF" w:rsidRPr="006E251B">
        <w:t xml:space="preserve"> Xue,</w:t>
      </w:r>
      <w:r w:rsidR="00B602C7" w:rsidRPr="006E251B">
        <w:t xml:space="preserve"> D-J.;</w:t>
      </w:r>
      <w:r w:rsidR="00E671FF" w:rsidRPr="006E251B">
        <w:t xml:space="preserve"> Yang,</w:t>
      </w:r>
      <w:r w:rsidR="00B602C7" w:rsidRPr="006E251B">
        <w:t xml:space="preserve"> B.;</w:t>
      </w:r>
      <w:r w:rsidR="00E671FF" w:rsidRPr="006E251B">
        <w:t xml:space="preserve"> Tang,</w:t>
      </w:r>
      <w:r w:rsidR="00B602C7" w:rsidRPr="006E251B">
        <w:t xml:space="preserve"> J.</w:t>
      </w:r>
      <w:r w:rsidR="003210EB" w:rsidRPr="006E251B">
        <w:t xml:space="preserve"> </w:t>
      </w:r>
      <w:r w:rsidR="003210EB" w:rsidRPr="006E251B">
        <w:rPr>
          <w:rFonts w:eastAsiaTheme="minorHAnsi"/>
          <w:bCs/>
          <w:lang w:val="en-GB" w:eastAsia="en-US"/>
        </w:rPr>
        <w:t xml:space="preserve">Buried </w:t>
      </w:r>
      <w:proofErr w:type="spellStart"/>
      <w:r w:rsidR="003210EB" w:rsidRPr="006E251B">
        <w:rPr>
          <w:rFonts w:eastAsiaTheme="minorHAnsi"/>
          <w:bCs/>
          <w:lang w:val="en-GB" w:eastAsia="en-US"/>
        </w:rPr>
        <w:t>Homojunction</w:t>
      </w:r>
      <w:proofErr w:type="spellEnd"/>
      <w:r w:rsidR="003210EB" w:rsidRPr="006E251B">
        <w:rPr>
          <w:rFonts w:eastAsiaTheme="minorHAnsi"/>
          <w:bCs/>
          <w:lang w:val="en-GB" w:eastAsia="en-US"/>
        </w:rPr>
        <w:t xml:space="preserve"> in </w:t>
      </w:r>
      <w:proofErr w:type="spellStart"/>
      <w:r w:rsidR="003210EB" w:rsidRPr="006E251B">
        <w:rPr>
          <w:rFonts w:eastAsiaTheme="minorHAnsi"/>
          <w:bCs/>
          <w:lang w:val="en-GB" w:eastAsia="en-US"/>
        </w:rPr>
        <w:t>CdS</w:t>
      </w:r>
      <w:proofErr w:type="spellEnd"/>
      <w:r w:rsidR="003210EB" w:rsidRPr="006E251B">
        <w:rPr>
          <w:rFonts w:eastAsiaTheme="minorHAnsi"/>
          <w:bCs/>
          <w:lang w:val="en-GB" w:eastAsia="en-US"/>
        </w:rPr>
        <w:t>/Sb</w:t>
      </w:r>
      <w:r w:rsidR="003210EB" w:rsidRPr="006E251B">
        <w:rPr>
          <w:rFonts w:eastAsiaTheme="minorHAnsi"/>
          <w:bCs/>
          <w:vertAlign w:val="subscript"/>
          <w:lang w:val="en-GB" w:eastAsia="en-US"/>
        </w:rPr>
        <w:t>2</w:t>
      </w:r>
      <w:r w:rsidR="003210EB" w:rsidRPr="006E251B">
        <w:rPr>
          <w:rFonts w:eastAsiaTheme="minorHAnsi"/>
          <w:bCs/>
          <w:lang w:val="en-GB" w:eastAsia="en-US"/>
        </w:rPr>
        <w:t>Se</w:t>
      </w:r>
      <w:r w:rsidR="003210EB" w:rsidRPr="006E251B">
        <w:rPr>
          <w:rFonts w:eastAsiaTheme="minorHAnsi"/>
          <w:bCs/>
          <w:vertAlign w:val="subscript"/>
          <w:lang w:val="en-GB" w:eastAsia="en-US"/>
        </w:rPr>
        <w:t>3</w:t>
      </w:r>
      <w:r w:rsidR="003210EB" w:rsidRPr="006E251B">
        <w:rPr>
          <w:rFonts w:eastAsiaTheme="minorHAnsi"/>
          <w:bCs/>
          <w:lang w:val="en-GB" w:eastAsia="en-US"/>
        </w:rPr>
        <w:t xml:space="preserve"> Thin Film Photovoltaics Generated By Interfacial Diffusion</w:t>
      </w:r>
      <w:r w:rsidR="00B602C7" w:rsidRPr="006E251B">
        <w:t xml:space="preserve"> </w:t>
      </w:r>
      <w:r w:rsidR="00E671FF" w:rsidRPr="006E251B">
        <w:rPr>
          <w:i/>
        </w:rPr>
        <w:t xml:space="preserve">Appl. Phys. Lett.  </w:t>
      </w:r>
      <w:r w:rsidR="00E671FF" w:rsidRPr="006E251B">
        <w:t>2017, 111, 013901</w:t>
      </w:r>
      <w:r w:rsidR="003210EB" w:rsidRPr="006E251B">
        <w:t xml:space="preserve"> (5 pages)</w:t>
      </w:r>
      <w:r w:rsidR="00E671FF" w:rsidRPr="006E251B">
        <w:t>.</w:t>
      </w:r>
    </w:p>
    <w:p w:rsidR="003210EB" w:rsidRPr="006E251B" w:rsidRDefault="003210EB" w:rsidP="003E40C4">
      <w:pPr>
        <w:spacing w:line="480" w:lineRule="auto"/>
      </w:pPr>
    </w:p>
    <w:p w:rsidR="00E671FF" w:rsidRPr="006E251B" w:rsidRDefault="00E671FF" w:rsidP="003E40C4">
      <w:pPr>
        <w:spacing w:line="480" w:lineRule="auto"/>
      </w:pPr>
      <w:r w:rsidRPr="006E251B">
        <w:t xml:space="preserve"> </w:t>
      </w:r>
      <w:r w:rsidR="008901B4">
        <w:t>(</w:t>
      </w:r>
      <w:r w:rsidRPr="006E251B">
        <w:t>18</w:t>
      </w:r>
      <w:r w:rsidR="008901B4">
        <w:t>)</w:t>
      </w:r>
      <w:r w:rsidRPr="006E251B">
        <w:t xml:space="preserve"> Porter, </w:t>
      </w:r>
      <w:r w:rsidR="00A571B0" w:rsidRPr="006E251B">
        <w:t xml:space="preserve">D.A.; </w:t>
      </w:r>
      <w:r w:rsidRPr="006E251B">
        <w:t>Easterling,</w:t>
      </w:r>
      <w:r w:rsidR="00A571B0" w:rsidRPr="006E251B">
        <w:t xml:space="preserve"> K.E.;</w:t>
      </w:r>
      <w:r w:rsidRPr="006E251B">
        <w:t xml:space="preserve"> Sherif,</w:t>
      </w:r>
      <w:r w:rsidR="00A571B0" w:rsidRPr="006E251B">
        <w:t xml:space="preserve"> M.Y. </w:t>
      </w:r>
      <w:r w:rsidRPr="006E251B">
        <w:t xml:space="preserve"> </w:t>
      </w:r>
      <w:r w:rsidRPr="006E251B">
        <w:rPr>
          <w:i/>
        </w:rPr>
        <w:t>Phase Transformations in Metals and Alloys</w:t>
      </w:r>
      <w:r w:rsidRPr="006E251B">
        <w:t>, 3</w:t>
      </w:r>
      <w:r w:rsidRPr="006E251B">
        <w:rPr>
          <w:vertAlign w:val="superscript"/>
        </w:rPr>
        <w:t>rd</w:t>
      </w:r>
      <w:r w:rsidRPr="006E251B">
        <w:t xml:space="preserve"> Edition, CRC Press, USA 2009.</w:t>
      </w:r>
    </w:p>
    <w:p w:rsidR="006E251B" w:rsidRPr="006E251B" w:rsidRDefault="006E251B" w:rsidP="003E40C4">
      <w:pPr>
        <w:spacing w:line="480" w:lineRule="auto"/>
      </w:pPr>
    </w:p>
    <w:p w:rsidR="00E671FF" w:rsidRPr="006E251B" w:rsidRDefault="008901B4" w:rsidP="003E40C4">
      <w:pPr>
        <w:spacing w:line="480" w:lineRule="auto"/>
      </w:pPr>
      <w:r>
        <w:t>(19)</w:t>
      </w:r>
      <w:r w:rsidR="00E671FF" w:rsidRPr="006E251B">
        <w:t xml:space="preserve"> Wang, </w:t>
      </w:r>
      <w:r w:rsidR="00166C0F" w:rsidRPr="006E251B">
        <w:t xml:space="preserve">L.; </w:t>
      </w:r>
      <w:r w:rsidR="00E671FF" w:rsidRPr="006E251B">
        <w:t>Li,</w:t>
      </w:r>
      <w:r w:rsidR="00166C0F" w:rsidRPr="006E251B">
        <w:t xml:space="preserve"> D-B.;</w:t>
      </w:r>
      <w:r w:rsidR="00E671FF" w:rsidRPr="006E251B">
        <w:t xml:space="preserve"> Li, </w:t>
      </w:r>
      <w:r w:rsidR="00166C0F" w:rsidRPr="006E251B">
        <w:t xml:space="preserve">K.; </w:t>
      </w:r>
      <w:r w:rsidR="00E671FF" w:rsidRPr="006E251B">
        <w:t>Chen,</w:t>
      </w:r>
      <w:r w:rsidR="00166C0F" w:rsidRPr="006E251B">
        <w:t xml:space="preserve"> C.;</w:t>
      </w:r>
      <w:r w:rsidR="00E671FF" w:rsidRPr="006E251B">
        <w:t xml:space="preserve"> Deng,</w:t>
      </w:r>
      <w:r w:rsidR="00166C0F" w:rsidRPr="006E251B">
        <w:t xml:space="preserve"> H-X.;</w:t>
      </w:r>
      <w:r w:rsidR="00E671FF" w:rsidRPr="006E251B">
        <w:t xml:space="preserve"> Gao,</w:t>
      </w:r>
      <w:r w:rsidR="00166C0F" w:rsidRPr="006E251B">
        <w:t xml:space="preserve"> L.;</w:t>
      </w:r>
      <w:r w:rsidR="00E671FF" w:rsidRPr="006E251B">
        <w:t xml:space="preserve"> Zhao,</w:t>
      </w:r>
      <w:r w:rsidR="00166C0F" w:rsidRPr="006E251B">
        <w:t xml:space="preserve"> Y.;</w:t>
      </w:r>
      <w:r w:rsidR="00E671FF" w:rsidRPr="006E251B">
        <w:t xml:space="preserve"> Jiang,</w:t>
      </w:r>
      <w:r w:rsidR="00166C0F" w:rsidRPr="006E251B">
        <w:t xml:space="preserve"> F.;</w:t>
      </w:r>
      <w:r w:rsidR="00E671FF" w:rsidRPr="006E251B">
        <w:t xml:space="preserve"> Li,</w:t>
      </w:r>
      <w:r w:rsidR="00166C0F" w:rsidRPr="006E251B">
        <w:t xml:space="preserve"> L.;</w:t>
      </w:r>
      <w:r w:rsidR="00E671FF" w:rsidRPr="006E251B">
        <w:t xml:space="preserve"> Huang,</w:t>
      </w:r>
      <w:r w:rsidR="00166C0F" w:rsidRPr="006E251B">
        <w:t xml:space="preserve"> F.;</w:t>
      </w:r>
      <w:r w:rsidR="00E671FF" w:rsidRPr="006E251B">
        <w:t xml:space="preserve"> He,</w:t>
      </w:r>
      <w:r w:rsidR="00166C0F" w:rsidRPr="006E251B">
        <w:t xml:space="preserve"> Y.;</w:t>
      </w:r>
      <w:r w:rsidR="00E671FF" w:rsidRPr="006E251B">
        <w:t xml:space="preserve"> Song,</w:t>
      </w:r>
      <w:r w:rsidR="00166C0F" w:rsidRPr="006E251B">
        <w:t xml:space="preserve"> H.;</w:t>
      </w:r>
      <w:r w:rsidR="00E671FF" w:rsidRPr="006E251B">
        <w:t xml:space="preserve"> Niu,</w:t>
      </w:r>
      <w:r w:rsidR="00166C0F" w:rsidRPr="006E251B">
        <w:t xml:space="preserve"> G.;</w:t>
      </w:r>
      <w:r w:rsidR="00E671FF" w:rsidRPr="006E251B">
        <w:t xml:space="preserve"> Tang,</w:t>
      </w:r>
      <w:r w:rsidR="00166C0F" w:rsidRPr="006E251B">
        <w:t xml:space="preserve"> J.</w:t>
      </w:r>
      <w:r w:rsidR="00E671FF" w:rsidRPr="006E251B">
        <w:t xml:space="preserve"> </w:t>
      </w:r>
      <w:r w:rsidR="001531F2" w:rsidRPr="006E251B">
        <w:t>Stable 6%-E</w:t>
      </w:r>
      <w:r w:rsidR="00225D4C" w:rsidRPr="006E251B">
        <w:t>fficient Sb</w:t>
      </w:r>
      <w:r w:rsidR="00225D4C" w:rsidRPr="006E251B">
        <w:rPr>
          <w:vertAlign w:val="subscript"/>
        </w:rPr>
        <w:t>2</w:t>
      </w:r>
      <w:r w:rsidR="00225D4C" w:rsidRPr="006E251B">
        <w:t>Se</w:t>
      </w:r>
      <w:r w:rsidR="00225D4C" w:rsidRPr="006E251B">
        <w:rPr>
          <w:vertAlign w:val="subscript"/>
        </w:rPr>
        <w:t>3</w:t>
      </w:r>
      <w:r w:rsidR="00225D4C" w:rsidRPr="006E251B">
        <w:t xml:space="preserve"> </w:t>
      </w:r>
      <w:r w:rsidR="001531F2" w:rsidRPr="006E251B">
        <w:t>S</w:t>
      </w:r>
      <w:r w:rsidR="00225D4C" w:rsidRPr="006E251B">
        <w:t xml:space="preserve">olar </w:t>
      </w:r>
      <w:r w:rsidR="001531F2" w:rsidRPr="006E251B">
        <w:t>C</w:t>
      </w:r>
      <w:r w:rsidR="00225D4C" w:rsidRPr="006E251B">
        <w:t xml:space="preserve">ells </w:t>
      </w:r>
      <w:r w:rsidR="001531F2" w:rsidRPr="006E251B">
        <w:t>W</w:t>
      </w:r>
      <w:r w:rsidR="00225D4C" w:rsidRPr="006E251B">
        <w:t xml:space="preserve">ith a ZnO </w:t>
      </w:r>
      <w:r w:rsidR="001531F2" w:rsidRPr="006E251B">
        <w:t>B</w:t>
      </w:r>
      <w:r w:rsidR="00225D4C" w:rsidRPr="006E251B">
        <w:t xml:space="preserve">uffer </w:t>
      </w:r>
      <w:r w:rsidR="001531F2" w:rsidRPr="006E251B">
        <w:t>L</w:t>
      </w:r>
      <w:r w:rsidR="00225D4C" w:rsidRPr="006E251B">
        <w:t xml:space="preserve">ayer </w:t>
      </w:r>
      <w:r w:rsidR="00E671FF" w:rsidRPr="006E251B">
        <w:rPr>
          <w:i/>
        </w:rPr>
        <w:t xml:space="preserve">Nat. Energy </w:t>
      </w:r>
      <w:r w:rsidR="00E671FF" w:rsidRPr="006E251B">
        <w:t>2017, 2, 17046</w:t>
      </w:r>
      <w:r w:rsidR="00220643">
        <w:t xml:space="preserve"> (9 pages)</w:t>
      </w:r>
      <w:r w:rsidR="00E671FF" w:rsidRPr="006E251B">
        <w:t>.</w:t>
      </w:r>
    </w:p>
    <w:p w:rsidR="006E251B" w:rsidRPr="006E251B" w:rsidRDefault="006E251B" w:rsidP="003E40C4">
      <w:pPr>
        <w:spacing w:line="480" w:lineRule="auto"/>
      </w:pPr>
    </w:p>
    <w:p w:rsidR="006E251B" w:rsidRDefault="008901B4" w:rsidP="003E40C4">
      <w:pPr>
        <w:spacing w:line="480" w:lineRule="auto"/>
      </w:pPr>
      <w:r>
        <w:t>(20)</w:t>
      </w:r>
      <w:r w:rsidR="00E671FF" w:rsidRPr="006E251B">
        <w:t xml:space="preserve"> Krukau,</w:t>
      </w:r>
      <w:r w:rsidR="00352056" w:rsidRPr="006E251B">
        <w:t xml:space="preserve"> A.V.;</w:t>
      </w:r>
      <w:r w:rsidR="00E671FF" w:rsidRPr="006E251B">
        <w:t xml:space="preserve"> Vydrov, </w:t>
      </w:r>
      <w:r w:rsidR="00352056" w:rsidRPr="006E251B">
        <w:t xml:space="preserve">O.A.; </w:t>
      </w:r>
      <w:r w:rsidR="00E671FF" w:rsidRPr="006E251B">
        <w:t>Izmaylov,</w:t>
      </w:r>
      <w:r w:rsidR="00352056" w:rsidRPr="006E251B">
        <w:t xml:space="preserve"> A.F.;</w:t>
      </w:r>
      <w:r w:rsidR="00E671FF" w:rsidRPr="006E251B">
        <w:t xml:space="preserve"> Scuseria,</w:t>
      </w:r>
      <w:r w:rsidR="00352056" w:rsidRPr="006E251B">
        <w:t xml:space="preserve"> G.E.</w:t>
      </w:r>
      <w:r w:rsidR="004B5A87" w:rsidRPr="006E251B">
        <w:t xml:space="preserve"> Influence of the Exchange Screening Parameter on the Performance of Screened Hybrid Functionals </w:t>
      </w:r>
      <w:r w:rsidR="00E671FF" w:rsidRPr="006E251B">
        <w:rPr>
          <w:i/>
        </w:rPr>
        <w:t xml:space="preserve">J. Chem. Phys. </w:t>
      </w:r>
      <w:r w:rsidR="00E671FF" w:rsidRPr="006E251B">
        <w:t>2006, 125, 224106</w:t>
      </w:r>
      <w:r w:rsidR="004B5A87" w:rsidRPr="006E251B">
        <w:t xml:space="preserve"> (5 pages)</w:t>
      </w:r>
      <w:r w:rsidR="00E671FF" w:rsidRPr="006E251B">
        <w:t>.</w:t>
      </w:r>
    </w:p>
    <w:p w:rsidR="00D24893" w:rsidRPr="006E251B" w:rsidRDefault="00D24893" w:rsidP="003E40C4">
      <w:pPr>
        <w:spacing w:line="480" w:lineRule="auto"/>
      </w:pPr>
    </w:p>
    <w:p w:rsidR="00E671FF" w:rsidRDefault="008901B4" w:rsidP="003E40C4">
      <w:pPr>
        <w:spacing w:line="480" w:lineRule="auto"/>
      </w:pPr>
      <w:r>
        <w:t>(21)</w:t>
      </w:r>
      <w:r w:rsidR="00E671FF" w:rsidRPr="006E251B">
        <w:t xml:space="preserve"> Savory,</w:t>
      </w:r>
      <w:r w:rsidR="00801D93" w:rsidRPr="006E251B">
        <w:t xml:space="preserve"> C.N.;</w:t>
      </w:r>
      <w:r w:rsidR="00E671FF" w:rsidRPr="006E251B">
        <w:t xml:space="preserve"> Scanlon,</w:t>
      </w:r>
      <w:r w:rsidR="00801D93" w:rsidRPr="006E251B">
        <w:t xml:space="preserve"> D.O.</w:t>
      </w:r>
      <w:r w:rsidR="004B5A87" w:rsidRPr="006E251B">
        <w:t xml:space="preserve"> The Complex Defect Chemistry of Antimony Selenide</w:t>
      </w:r>
      <w:r w:rsidR="00D24893">
        <w:t xml:space="preserve"> </w:t>
      </w:r>
      <w:r w:rsidR="00E671FF" w:rsidRPr="006E251B">
        <w:rPr>
          <w:i/>
        </w:rPr>
        <w:t>J. Mater. Chem. A</w:t>
      </w:r>
      <w:r w:rsidR="00E671FF" w:rsidRPr="006E251B">
        <w:t xml:space="preserve"> 2019, 7, 10739</w:t>
      </w:r>
      <w:r w:rsidR="004B5A87" w:rsidRPr="006E251B">
        <w:t>-10744</w:t>
      </w:r>
      <w:r w:rsidR="00E671FF" w:rsidRPr="006E251B">
        <w:t>.</w:t>
      </w:r>
    </w:p>
    <w:p w:rsidR="00D24893" w:rsidRPr="006E251B" w:rsidRDefault="00D24893" w:rsidP="003E40C4">
      <w:pPr>
        <w:spacing w:line="480" w:lineRule="auto"/>
      </w:pPr>
    </w:p>
    <w:p w:rsidR="00E671FF" w:rsidRDefault="008901B4" w:rsidP="003E40C4">
      <w:pPr>
        <w:spacing w:line="480" w:lineRule="auto"/>
      </w:pPr>
      <w:r>
        <w:t>(22)</w:t>
      </w:r>
      <w:r w:rsidR="00E671FF" w:rsidRPr="006E251B">
        <w:t xml:space="preserve"> Landsberg,</w:t>
      </w:r>
      <w:r w:rsidR="003766C4" w:rsidRPr="006E251B">
        <w:t xml:space="preserve"> P.T. </w:t>
      </w:r>
      <w:r w:rsidR="00E671FF" w:rsidRPr="006E251B">
        <w:rPr>
          <w:i/>
        </w:rPr>
        <w:t>Recombination in Semiconductors</w:t>
      </w:r>
      <w:r w:rsidR="00E671FF" w:rsidRPr="006E251B">
        <w:t>, Cambridge University Press, Cambridge 1991.</w:t>
      </w:r>
    </w:p>
    <w:p w:rsidR="00D24893" w:rsidRPr="006E251B" w:rsidRDefault="00D24893" w:rsidP="003E40C4">
      <w:pPr>
        <w:spacing w:line="480" w:lineRule="auto"/>
      </w:pPr>
    </w:p>
    <w:p w:rsidR="00E671FF" w:rsidRPr="006E251B" w:rsidRDefault="008901B4" w:rsidP="003E40C4">
      <w:pPr>
        <w:spacing w:line="480" w:lineRule="auto"/>
      </w:pPr>
      <w:r>
        <w:t>(23)</w:t>
      </w:r>
      <w:r w:rsidR="00E671FF" w:rsidRPr="006E251B">
        <w:t xml:space="preserve"> Hassanien,</w:t>
      </w:r>
      <w:r w:rsidR="00271ABA" w:rsidRPr="006E251B">
        <w:t xml:space="preserve"> A.S.;</w:t>
      </w:r>
      <w:r w:rsidR="00E671FF" w:rsidRPr="006E251B">
        <w:t xml:space="preserve"> Akl,</w:t>
      </w:r>
      <w:r w:rsidR="00271ABA" w:rsidRPr="006E251B">
        <w:t xml:space="preserve"> A.A.</w:t>
      </w:r>
      <w:r w:rsidR="001D156D" w:rsidRPr="006E251B">
        <w:t xml:space="preserve"> Effect of Se Addition on Optical and Electrical Properties of Chalcogenide CdSSe Thin Films </w:t>
      </w:r>
      <w:r w:rsidR="00E671FF" w:rsidRPr="006E251B">
        <w:rPr>
          <w:i/>
        </w:rPr>
        <w:t xml:space="preserve">Superlattice and Microstructures </w:t>
      </w:r>
      <w:r w:rsidR="00E671FF" w:rsidRPr="006E251B">
        <w:t>2016, 89, 153</w:t>
      </w:r>
      <w:r w:rsidR="001D156D" w:rsidRPr="006E251B">
        <w:t>-169</w:t>
      </w:r>
      <w:r w:rsidR="00E671FF" w:rsidRPr="006E251B">
        <w:t>.</w:t>
      </w:r>
    </w:p>
    <w:p w:rsidR="001D156D" w:rsidRPr="006E251B" w:rsidRDefault="001D156D" w:rsidP="003E40C4">
      <w:pPr>
        <w:spacing w:line="480" w:lineRule="auto"/>
      </w:pPr>
    </w:p>
    <w:p w:rsidR="00E671FF" w:rsidRPr="006E251B" w:rsidRDefault="008901B4" w:rsidP="003E40C4">
      <w:pPr>
        <w:spacing w:line="480" w:lineRule="auto"/>
      </w:pPr>
      <w:r>
        <w:t>(24)</w:t>
      </w:r>
      <w:r w:rsidR="00E671FF" w:rsidRPr="006E251B">
        <w:t xml:space="preserve"> Krivanek,</w:t>
      </w:r>
      <w:r w:rsidR="004656C9" w:rsidRPr="006E251B">
        <w:t xml:space="preserve"> O.L.;</w:t>
      </w:r>
      <w:r w:rsidR="00E671FF" w:rsidRPr="006E251B">
        <w:t xml:space="preserve"> Ursin,</w:t>
      </w:r>
      <w:r w:rsidR="004656C9" w:rsidRPr="006E251B">
        <w:t xml:space="preserve"> J.P.;</w:t>
      </w:r>
      <w:r w:rsidR="00E671FF" w:rsidRPr="006E251B">
        <w:t xml:space="preserve"> Bacon,</w:t>
      </w:r>
      <w:r w:rsidR="004656C9" w:rsidRPr="006E251B">
        <w:t xml:space="preserve"> N.J.;</w:t>
      </w:r>
      <w:r w:rsidR="00E671FF" w:rsidRPr="006E251B">
        <w:t xml:space="preserve"> Corbin,</w:t>
      </w:r>
      <w:r w:rsidR="004656C9" w:rsidRPr="006E251B">
        <w:t xml:space="preserve"> G.J.;</w:t>
      </w:r>
      <w:r w:rsidR="00E671FF" w:rsidRPr="006E251B">
        <w:t xml:space="preserve"> Dellby,</w:t>
      </w:r>
      <w:r w:rsidR="004656C9" w:rsidRPr="006E251B">
        <w:t xml:space="preserve"> N.;</w:t>
      </w:r>
      <w:r w:rsidR="00E671FF" w:rsidRPr="006E251B">
        <w:t xml:space="preserve"> Hrncirik,</w:t>
      </w:r>
      <w:r w:rsidR="004656C9" w:rsidRPr="006E251B">
        <w:t xml:space="preserve"> P.;</w:t>
      </w:r>
      <w:r w:rsidR="00E671FF" w:rsidRPr="006E251B">
        <w:t xml:space="preserve"> Murfitt,</w:t>
      </w:r>
      <w:r w:rsidR="004656C9" w:rsidRPr="006E251B">
        <w:t xml:space="preserve"> M.F.;</w:t>
      </w:r>
      <w:r w:rsidR="00E671FF" w:rsidRPr="006E251B">
        <w:t xml:space="preserve"> Own,</w:t>
      </w:r>
      <w:r w:rsidR="004656C9" w:rsidRPr="006E251B">
        <w:t xml:space="preserve"> C.S.;</w:t>
      </w:r>
      <w:r w:rsidR="00E671FF" w:rsidRPr="006E251B">
        <w:t xml:space="preserve"> Szilagyi,</w:t>
      </w:r>
      <w:r w:rsidR="004656C9" w:rsidRPr="006E251B">
        <w:t xml:space="preserve"> Z.S.</w:t>
      </w:r>
      <w:r w:rsidR="008773F6" w:rsidRPr="006E251B">
        <w:t xml:space="preserve"> </w:t>
      </w:r>
      <w:r w:rsidR="008773F6" w:rsidRPr="006E251B">
        <w:rPr>
          <w:rFonts w:eastAsiaTheme="minorHAnsi"/>
          <w:bCs/>
          <w:lang w:val="en-GB" w:eastAsia="en-US"/>
        </w:rPr>
        <w:t xml:space="preserve">High-Energy-Resolution </w:t>
      </w:r>
      <w:proofErr w:type="spellStart"/>
      <w:r w:rsidR="008773F6" w:rsidRPr="006E251B">
        <w:rPr>
          <w:rFonts w:eastAsiaTheme="minorHAnsi"/>
          <w:bCs/>
          <w:lang w:val="en-GB" w:eastAsia="en-US"/>
        </w:rPr>
        <w:t>Monochromator</w:t>
      </w:r>
      <w:proofErr w:type="spellEnd"/>
      <w:r w:rsidR="008773F6" w:rsidRPr="006E251B">
        <w:rPr>
          <w:rFonts w:eastAsiaTheme="minorHAnsi"/>
          <w:bCs/>
          <w:lang w:val="en-GB" w:eastAsia="en-US"/>
        </w:rPr>
        <w:t xml:space="preserve"> For Aberration-Corrected Scanning Transmission Electron Microscopy/Electron Energy-Loss Spectroscopy</w:t>
      </w:r>
      <w:r w:rsidR="004656C9" w:rsidRPr="006E251B">
        <w:t xml:space="preserve"> </w:t>
      </w:r>
      <w:r w:rsidR="00E671FF" w:rsidRPr="006E251B">
        <w:rPr>
          <w:i/>
        </w:rPr>
        <w:t xml:space="preserve">Phil. Trans. R. Soc. A </w:t>
      </w:r>
      <w:r w:rsidR="00E671FF" w:rsidRPr="006E251B">
        <w:t>2009, 367, 3683</w:t>
      </w:r>
      <w:r w:rsidR="008773F6" w:rsidRPr="006E251B">
        <w:t>-3697</w:t>
      </w:r>
      <w:r w:rsidR="00E671FF" w:rsidRPr="006E251B">
        <w:t>.</w:t>
      </w:r>
    </w:p>
    <w:p w:rsidR="008773F6" w:rsidRPr="006E251B" w:rsidRDefault="008773F6" w:rsidP="003E40C4">
      <w:pPr>
        <w:spacing w:line="480" w:lineRule="auto"/>
      </w:pPr>
    </w:p>
    <w:p w:rsidR="00E671FF" w:rsidRDefault="008901B4" w:rsidP="003E40C4">
      <w:pPr>
        <w:spacing w:line="480" w:lineRule="auto"/>
      </w:pPr>
      <w:r>
        <w:t>(</w:t>
      </w:r>
      <w:r w:rsidR="00E671FF" w:rsidRPr="006E251B">
        <w:t>25</w:t>
      </w:r>
      <w:r>
        <w:t>)</w:t>
      </w:r>
      <w:r w:rsidR="00E671FF" w:rsidRPr="006E251B">
        <w:t xml:space="preserve"> Jeanguillaume,</w:t>
      </w:r>
      <w:r w:rsidR="00CB046D" w:rsidRPr="006E251B">
        <w:t xml:space="preserve"> C.;</w:t>
      </w:r>
      <w:r w:rsidR="00E671FF" w:rsidRPr="006E251B">
        <w:t xml:space="preserve"> Colliex,</w:t>
      </w:r>
      <w:r w:rsidR="00CB046D" w:rsidRPr="006E251B">
        <w:t xml:space="preserve"> C.</w:t>
      </w:r>
      <w:r w:rsidR="00587001" w:rsidRPr="006E251B">
        <w:t xml:space="preserve"> </w:t>
      </w:r>
      <w:r w:rsidR="00587001" w:rsidRPr="006E251B">
        <w:rPr>
          <w:rStyle w:val="title-text"/>
        </w:rPr>
        <w:t xml:space="preserve">Spectrum-Image: The Next Step in EELS Digital Acquisition and Processing </w:t>
      </w:r>
      <w:r w:rsidR="00E671FF" w:rsidRPr="006E251B">
        <w:rPr>
          <w:i/>
        </w:rPr>
        <w:t>Ultramicroscopy</w:t>
      </w:r>
      <w:r w:rsidR="00E671FF" w:rsidRPr="006E251B">
        <w:t xml:space="preserve"> 1989, 28, 252</w:t>
      </w:r>
      <w:r w:rsidR="00587001" w:rsidRPr="006E251B">
        <w:t>-257</w:t>
      </w:r>
      <w:r w:rsidR="00E671FF" w:rsidRPr="006E251B">
        <w:t>.</w:t>
      </w:r>
    </w:p>
    <w:p w:rsidR="00465341" w:rsidRDefault="00465341" w:rsidP="003E40C4">
      <w:pPr>
        <w:spacing w:line="480" w:lineRule="auto"/>
      </w:pPr>
    </w:p>
    <w:p w:rsidR="00465341" w:rsidRPr="002565CA" w:rsidRDefault="008901B4" w:rsidP="003E40C4">
      <w:pPr>
        <w:spacing w:line="480" w:lineRule="auto"/>
      </w:pPr>
      <w:r>
        <w:t>(</w:t>
      </w:r>
      <w:r w:rsidR="00465341" w:rsidRPr="002565CA">
        <w:t>26</w:t>
      </w:r>
      <w:r>
        <w:t>)</w:t>
      </w:r>
      <w:r w:rsidR="00465341" w:rsidRPr="002565CA">
        <w:t xml:space="preserve"> Jaramillo-Quintero, O.A.; Rincón, M.E.; Vásquez-García, G.; Nair, P.K. Influence of the Electron Buffer Layer on the Photovoltaic Performance of Planar Sb</w:t>
      </w:r>
      <w:r w:rsidR="00465341" w:rsidRPr="002565CA">
        <w:rPr>
          <w:vertAlign w:val="subscript"/>
        </w:rPr>
        <w:t>2</w:t>
      </w:r>
      <w:r w:rsidR="00465341" w:rsidRPr="002565CA">
        <w:t>(S</w:t>
      </w:r>
      <w:r w:rsidR="00465341" w:rsidRPr="002565CA">
        <w:rPr>
          <w:vertAlign w:val="subscript"/>
        </w:rPr>
        <w:t>x</w:t>
      </w:r>
      <w:r w:rsidR="00465341" w:rsidRPr="002565CA">
        <w:t>Se</w:t>
      </w:r>
      <w:r w:rsidR="00465341" w:rsidRPr="002565CA">
        <w:rPr>
          <w:vertAlign w:val="subscript"/>
        </w:rPr>
        <w:t>1-x</w:t>
      </w:r>
      <w:r w:rsidR="00465341" w:rsidRPr="002565CA">
        <w:t>)</w:t>
      </w:r>
      <w:r w:rsidR="00465341" w:rsidRPr="002565CA">
        <w:rPr>
          <w:vertAlign w:val="subscript"/>
        </w:rPr>
        <w:t xml:space="preserve">3 </w:t>
      </w:r>
      <w:r w:rsidR="00465341" w:rsidRPr="002565CA">
        <w:t xml:space="preserve">Solar Cells </w:t>
      </w:r>
      <w:r w:rsidR="00465341" w:rsidRPr="002565CA">
        <w:rPr>
          <w:i/>
        </w:rPr>
        <w:t>Prog. Photo.: Res. Appl.</w:t>
      </w:r>
      <w:r w:rsidR="00465341" w:rsidRPr="002565CA">
        <w:t xml:space="preserve"> 2018, 26, 709-717.</w:t>
      </w:r>
    </w:p>
    <w:p w:rsidR="00465341" w:rsidRPr="002565CA" w:rsidRDefault="00465341" w:rsidP="003E40C4">
      <w:pPr>
        <w:spacing w:line="480" w:lineRule="auto"/>
      </w:pPr>
    </w:p>
    <w:p w:rsidR="004A5C18" w:rsidRPr="002565CA" w:rsidRDefault="008901B4" w:rsidP="003E40C4">
      <w:pPr>
        <w:spacing w:line="480" w:lineRule="auto"/>
      </w:pPr>
      <w:r>
        <w:t>(</w:t>
      </w:r>
      <w:r w:rsidR="00465341" w:rsidRPr="002565CA">
        <w:t>27</w:t>
      </w:r>
      <w:r>
        <w:t>)</w:t>
      </w:r>
      <w:r w:rsidR="00465341" w:rsidRPr="002565CA">
        <w:t xml:space="preserve"> Wang, W.; Wang, X.; Chen, G.; Chen, B.; Cai, H.; Chen, T.; Chen, S.; Huang, Z.; Zhu, C.; Zhang, Y. Promising Sb</w:t>
      </w:r>
      <w:r w:rsidR="00465341" w:rsidRPr="002565CA">
        <w:rPr>
          <w:vertAlign w:val="subscript"/>
        </w:rPr>
        <w:t>2</w:t>
      </w:r>
      <w:r w:rsidR="00465341" w:rsidRPr="002565CA">
        <w:t>(S,Se)</w:t>
      </w:r>
      <w:r w:rsidR="00465341" w:rsidRPr="002565CA">
        <w:rPr>
          <w:vertAlign w:val="subscript"/>
        </w:rPr>
        <w:t>3</w:t>
      </w:r>
      <w:r w:rsidR="00465341" w:rsidRPr="002565CA">
        <w:t xml:space="preserve"> Solar Cells with High Open Circuit Voltage by Application of a TiO</w:t>
      </w:r>
      <w:r w:rsidR="00465341" w:rsidRPr="002565CA">
        <w:rPr>
          <w:vertAlign w:val="subscript"/>
        </w:rPr>
        <w:t>2</w:t>
      </w:r>
      <w:r w:rsidR="00465341" w:rsidRPr="002565CA">
        <w:t xml:space="preserve">/CdS Double Buffer Layer </w:t>
      </w:r>
      <w:r w:rsidR="00465341" w:rsidRPr="002565CA">
        <w:rPr>
          <w:i/>
        </w:rPr>
        <w:t>Solar RRL</w:t>
      </w:r>
      <w:r w:rsidR="00465341" w:rsidRPr="002565CA">
        <w:t xml:space="preserve"> 2018, 2, 1800208</w:t>
      </w:r>
      <w:r w:rsidR="004A5C18" w:rsidRPr="002565CA">
        <w:t xml:space="preserve"> (9 pages).</w:t>
      </w:r>
    </w:p>
    <w:p w:rsidR="004A5C18" w:rsidRPr="002565CA" w:rsidRDefault="004A5C18" w:rsidP="003E40C4">
      <w:pPr>
        <w:spacing w:line="480" w:lineRule="auto"/>
      </w:pPr>
    </w:p>
    <w:p w:rsidR="00465341" w:rsidRPr="00465341" w:rsidRDefault="008901B4" w:rsidP="003E40C4">
      <w:pPr>
        <w:spacing w:line="480" w:lineRule="auto"/>
      </w:pPr>
      <w:r>
        <w:t>(28)</w:t>
      </w:r>
      <w:r w:rsidR="004A5C18" w:rsidRPr="002565CA">
        <w:t xml:space="preserve"> Wang, X.; Tang, R.; Yin, Y.; Ju, H.; Li, S.; Zhu, C.; Chen, T. Interfacial Engineering for High Efficiency Solution Processed Sb</w:t>
      </w:r>
      <w:r w:rsidR="004A5C18" w:rsidRPr="002565CA">
        <w:rPr>
          <w:vertAlign w:val="subscript"/>
        </w:rPr>
        <w:t>2</w:t>
      </w:r>
      <w:r w:rsidR="004A5C18" w:rsidRPr="002565CA">
        <w:t>Se</w:t>
      </w:r>
      <w:r w:rsidR="004A5C18" w:rsidRPr="002565CA">
        <w:rPr>
          <w:vertAlign w:val="subscript"/>
        </w:rPr>
        <w:t>3</w:t>
      </w:r>
      <w:r w:rsidR="004A5C18" w:rsidRPr="002565CA">
        <w:t xml:space="preserve"> Solar Cells </w:t>
      </w:r>
      <w:r w:rsidR="004A5C18" w:rsidRPr="002565CA">
        <w:rPr>
          <w:i/>
        </w:rPr>
        <w:t xml:space="preserve">Sol. Energy Mat. Sol. Cells </w:t>
      </w:r>
      <w:r w:rsidR="004A5C18" w:rsidRPr="002565CA">
        <w:t>2019, 189, 5-10.</w:t>
      </w:r>
      <w:r w:rsidR="004A5C18">
        <w:t xml:space="preserve"> </w:t>
      </w:r>
      <w:r w:rsidR="00465341">
        <w:t xml:space="preserve"> </w:t>
      </w:r>
    </w:p>
    <w:p w:rsidR="00D24893" w:rsidRPr="006E251B" w:rsidRDefault="00D24893" w:rsidP="003E40C4">
      <w:pPr>
        <w:spacing w:line="480" w:lineRule="auto"/>
      </w:pPr>
    </w:p>
    <w:p w:rsidR="00E671FF" w:rsidRPr="006E251B" w:rsidRDefault="008901B4" w:rsidP="003E40C4">
      <w:pPr>
        <w:spacing w:line="480" w:lineRule="auto"/>
      </w:pPr>
      <w:r>
        <w:lastRenderedPageBreak/>
        <w:t>(</w:t>
      </w:r>
      <w:r w:rsidR="00E671FF" w:rsidRPr="006E251B">
        <w:t>2</w:t>
      </w:r>
      <w:r w:rsidR="004A5C18">
        <w:t>9</w:t>
      </w:r>
      <w:r>
        <w:t>)</w:t>
      </w:r>
      <w:r w:rsidR="00E671FF" w:rsidRPr="006E251B">
        <w:t xml:space="preserve"> Yates,</w:t>
      </w:r>
      <w:r w:rsidR="00CB046D" w:rsidRPr="006E251B">
        <w:t xml:space="preserve"> P.J.</w:t>
      </w:r>
      <w:r w:rsidR="00E671FF" w:rsidRPr="006E251B">
        <w:t xml:space="preserve"> </w:t>
      </w:r>
      <w:r w:rsidR="00E671FF" w:rsidRPr="006E251B">
        <w:rPr>
          <w:i/>
        </w:rPr>
        <w:t>Emerging Absorber Materials for Sustainable Photovoltaics</w:t>
      </w:r>
      <w:r w:rsidR="00E671FF" w:rsidRPr="006E251B">
        <w:t>, PhD Thesis, University of Liverpool, UK 2018.</w:t>
      </w:r>
    </w:p>
    <w:p w:rsidR="009F5C4A" w:rsidRPr="006E251B" w:rsidRDefault="009F5C4A" w:rsidP="003E40C4">
      <w:pPr>
        <w:spacing w:line="480" w:lineRule="auto"/>
      </w:pPr>
    </w:p>
    <w:p w:rsidR="00E671FF" w:rsidRPr="006E251B" w:rsidRDefault="008901B4" w:rsidP="003E40C4">
      <w:pPr>
        <w:spacing w:line="480" w:lineRule="auto"/>
      </w:pPr>
      <w:r>
        <w:t>(</w:t>
      </w:r>
      <w:r w:rsidR="004A5C18">
        <w:t>30</w:t>
      </w:r>
      <w:r>
        <w:t>)</w:t>
      </w:r>
      <w:r w:rsidR="00E671FF" w:rsidRPr="006E251B">
        <w:t xml:space="preserve"> Williams,</w:t>
      </w:r>
      <w:r w:rsidR="00CB046D" w:rsidRPr="006E251B">
        <w:t xml:space="preserve"> R.E. </w:t>
      </w:r>
      <w:r w:rsidR="00E671FF" w:rsidRPr="006E251B">
        <w:rPr>
          <w:i/>
        </w:rPr>
        <w:t>Microstructural Defects in Antimony Selenide Solar Cells</w:t>
      </w:r>
      <w:r w:rsidR="00E671FF" w:rsidRPr="006E251B">
        <w:t xml:space="preserve">, MRes Thesis, Durham University, UK 2019. </w:t>
      </w:r>
    </w:p>
    <w:p w:rsidR="009F5C4A" w:rsidRPr="006E251B" w:rsidRDefault="009F5C4A" w:rsidP="003E40C4">
      <w:pPr>
        <w:spacing w:line="480" w:lineRule="auto"/>
      </w:pPr>
    </w:p>
    <w:p w:rsidR="00E671FF" w:rsidRPr="006E251B" w:rsidRDefault="008901B4" w:rsidP="003E40C4">
      <w:pPr>
        <w:spacing w:line="480" w:lineRule="auto"/>
      </w:pPr>
      <w:r>
        <w:t>(</w:t>
      </w:r>
      <w:r w:rsidR="004A5C18">
        <w:t>31</w:t>
      </w:r>
      <w:r>
        <w:t>)</w:t>
      </w:r>
      <w:r w:rsidR="00E671FF" w:rsidRPr="006E251B">
        <w:t xml:space="preserve"> Schaffer,</w:t>
      </w:r>
      <w:r w:rsidR="00E43E91" w:rsidRPr="006E251B">
        <w:t xml:space="preserve"> M.;</w:t>
      </w:r>
      <w:r w:rsidR="00E671FF" w:rsidRPr="006E251B">
        <w:t xml:space="preserve"> Schaffer,</w:t>
      </w:r>
      <w:r w:rsidR="00E43E91" w:rsidRPr="006E251B">
        <w:t xml:space="preserve"> B.;</w:t>
      </w:r>
      <w:r w:rsidR="00E671FF" w:rsidRPr="006E251B">
        <w:t xml:space="preserve"> Ramasse,</w:t>
      </w:r>
      <w:r w:rsidR="00E43E91" w:rsidRPr="006E251B">
        <w:t xml:space="preserve"> Q.</w:t>
      </w:r>
      <w:r w:rsidR="005B6072" w:rsidRPr="006E251B">
        <w:t xml:space="preserve"> Sample Preparation </w:t>
      </w:r>
      <w:r w:rsidR="00845CF4" w:rsidRPr="006E251B">
        <w:t>f</w:t>
      </w:r>
      <w:r w:rsidR="005B6072" w:rsidRPr="006E251B">
        <w:t xml:space="preserve">or Atomic-Resolution STEM at Low Voltages by FIB </w:t>
      </w:r>
      <w:r w:rsidR="00E671FF" w:rsidRPr="006E251B">
        <w:rPr>
          <w:i/>
        </w:rPr>
        <w:t xml:space="preserve">Ultramicroscopy </w:t>
      </w:r>
      <w:r w:rsidR="00E671FF" w:rsidRPr="006E251B">
        <w:t>2012, 114, 62</w:t>
      </w:r>
      <w:r w:rsidR="005B6072" w:rsidRPr="006E251B">
        <w:t>-71</w:t>
      </w:r>
      <w:r w:rsidR="00E671FF" w:rsidRPr="006E251B">
        <w:t>.</w:t>
      </w:r>
    </w:p>
    <w:p w:rsidR="009F5C4A" w:rsidRPr="006E251B" w:rsidRDefault="009F5C4A" w:rsidP="003E40C4">
      <w:pPr>
        <w:spacing w:line="480" w:lineRule="auto"/>
      </w:pPr>
    </w:p>
    <w:p w:rsidR="00E671FF" w:rsidRPr="006E251B" w:rsidRDefault="008901B4" w:rsidP="003E40C4">
      <w:pPr>
        <w:spacing w:line="480" w:lineRule="auto"/>
      </w:pPr>
      <w:r>
        <w:t>(</w:t>
      </w:r>
      <w:r w:rsidR="004A5C18">
        <w:t>32</w:t>
      </w:r>
      <w:r>
        <w:t>)</w:t>
      </w:r>
      <w:r w:rsidR="00E671FF" w:rsidRPr="006E251B">
        <w:t xml:space="preserve"> Egerton, </w:t>
      </w:r>
      <w:r w:rsidR="000B7FDA" w:rsidRPr="006E251B">
        <w:t xml:space="preserve">R.F. </w:t>
      </w:r>
      <w:r w:rsidR="00E671FF" w:rsidRPr="006E251B">
        <w:rPr>
          <w:i/>
        </w:rPr>
        <w:t>Electron Energy Loss Spectroscopy in the Electron Microscope</w:t>
      </w:r>
      <w:r w:rsidR="00E671FF" w:rsidRPr="006E251B">
        <w:t>, 2</w:t>
      </w:r>
      <w:r w:rsidR="00E671FF" w:rsidRPr="006E251B">
        <w:rPr>
          <w:vertAlign w:val="superscript"/>
        </w:rPr>
        <w:t>nd</w:t>
      </w:r>
      <w:r w:rsidR="00E671FF" w:rsidRPr="006E251B">
        <w:t xml:space="preserve"> Edition, Plenum Press, New York 1996. </w:t>
      </w:r>
    </w:p>
    <w:p w:rsidR="009F5C4A" w:rsidRPr="006E251B" w:rsidRDefault="009F5C4A" w:rsidP="003E40C4">
      <w:pPr>
        <w:spacing w:line="480" w:lineRule="auto"/>
      </w:pPr>
    </w:p>
    <w:p w:rsidR="00E671FF" w:rsidRPr="006E251B" w:rsidRDefault="008901B4" w:rsidP="003E40C4">
      <w:pPr>
        <w:spacing w:line="480" w:lineRule="auto"/>
      </w:pPr>
      <w:r>
        <w:t>(</w:t>
      </w:r>
      <w:r w:rsidR="00E671FF" w:rsidRPr="006E251B">
        <w:t>3</w:t>
      </w:r>
      <w:r w:rsidR="004A5C18">
        <w:t>3</w:t>
      </w:r>
      <w:r>
        <w:t>)</w:t>
      </w:r>
      <w:r w:rsidR="00E671FF" w:rsidRPr="006E251B">
        <w:t xml:space="preserve"> Kresse,</w:t>
      </w:r>
      <w:r w:rsidR="00D3102D" w:rsidRPr="006E251B">
        <w:t xml:space="preserve"> G.;</w:t>
      </w:r>
      <w:r w:rsidR="00E671FF" w:rsidRPr="006E251B">
        <w:t xml:space="preserve"> Furthmüller,</w:t>
      </w:r>
      <w:r w:rsidR="00D3102D" w:rsidRPr="006E251B">
        <w:t xml:space="preserve"> J.</w:t>
      </w:r>
      <w:r w:rsidR="00334B88" w:rsidRPr="006E251B">
        <w:t xml:space="preserve"> Efficient Iterative Schemes for </w:t>
      </w:r>
      <w:r w:rsidR="00334B88" w:rsidRPr="006E251B">
        <w:rPr>
          <w:i/>
          <w:iCs/>
        </w:rPr>
        <w:t>Ab Initio</w:t>
      </w:r>
      <w:r w:rsidR="00334B88" w:rsidRPr="006E251B">
        <w:t xml:space="preserve"> Total-Energy Calculations Using a Plane-Wave Basis Set </w:t>
      </w:r>
      <w:r w:rsidR="00E671FF" w:rsidRPr="006E251B">
        <w:rPr>
          <w:i/>
        </w:rPr>
        <w:t>Phys. Rev. B</w:t>
      </w:r>
      <w:r w:rsidR="00E671FF" w:rsidRPr="006E251B">
        <w:t xml:space="preserve"> 1996, 54, 11169</w:t>
      </w:r>
      <w:r w:rsidR="00334B88" w:rsidRPr="006E251B">
        <w:t>-11186</w:t>
      </w:r>
      <w:r w:rsidR="00E671FF" w:rsidRPr="006E251B">
        <w:t>.</w:t>
      </w:r>
    </w:p>
    <w:p w:rsidR="00334B88" w:rsidRPr="006E251B" w:rsidRDefault="00334B88" w:rsidP="003E40C4">
      <w:pPr>
        <w:spacing w:line="480" w:lineRule="auto"/>
      </w:pPr>
    </w:p>
    <w:p w:rsidR="00E671FF" w:rsidRPr="006E251B" w:rsidRDefault="008901B4" w:rsidP="003E40C4">
      <w:pPr>
        <w:spacing w:line="480" w:lineRule="auto"/>
      </w:pPr>
      <w:r>
        <w:t>(</w:t>
      </w:r>
      <w:r w:rsidR="00E671FF" w:rsidRPr="006E251B">
        <w:t>3</w:t>
      </w:r>
      <w:r w:rsidR="004A5C18">
        <w:t>4</w:t>
      </w:r>
      <w:r>
        <w:t>)</w:t>
      </w:r>
      <w:r w:rsidR="00E671FF" w:rsidRPr="006E251B">
        <w:t xml:space="preserve"> Kresse, </w:t>
      </w:r>
      <w:r w:rsidR="00D3102D" w:rsidRPr="006E251B">
        <w:t xml:space="preserve">G.; </w:t>
      </w:r>
      <w:r w:rsidR="00E671FF" w:rsidRPr="006E251B">
        <w:t>Furthmüller,</w:t>
      </w:r>
      <w:r w:rsidR="00D3102D" w:rsidRPr="006E251B">
        <w:t xml:space="preserve"> J. </w:t>
      </w:r>
      <w:r w:rsidR="00D32E3F" w:rsidRPr="006E251B">
        <w:rPr>
          <w:rStyle w:val="title-text"/>
        </w:rPr>
        <w:t xml:space="preserve">Efficiency of Ab-Initio Total Energy Calculations For Metals and Semiconductors Using a Plane-Wave Basis Set </w:t>
      </w:r>
      <w:r w:rsidR="00E671FF" w:rsidRPr="006E251B">
        <w:rPr>
          <w:i/>
        </w:rPr>
        <w:t>Comput. Mater. Sci</w:t>
      </w:r>
      <w:r w:rsidR="00E671FF" w:rsidRPr="006E251B">
        <w:t>. 1996, 6, 15</w:t>
      </w:r>
      <w:r w:rsidR="00D32E3F" w:rsidRPr="006E251B">
        <w:t>-50</w:t>
      </w:r>
      <w:r w:rsidR="00E671FF" w:rsidRPr="006E251B">
        <w:t>.</w:t>
      </w:r>
    </w:p>
    <w:p w:rsidR="009F5C4A" w:rsidRPr="006E251B" w:rsidRDefault="009F5C4A" w:rsidP="003E40C4">
      <w:pPr>
        <w:spacing w:line="480" w:lineRule="auto"/>
      </w:pPr>
    </w:p>
    <w:p w:rsidR="00E671FF" w:rsidRPr="006E251B" w:rsidRDefault="008901B4" w:rsidP="003E40C4">
      <w:pPr>
        <w:spacing w:line="480" w:lineRule="auto"/>
      </w:pPr>
      <w:r>
        <w:t>(</w:t>
      </w:r>
      <w:r w:rsidR="00E671FF" w:rsidRPr="006E251B">
        <w:t>3</w:t>
      </w:r>
      <w:r w:rsidR="004A5C18">
        <w:t>5</w:t>
      </w:r>
      <w:r>
        <w:t>)</w:t>
      </w:r>
      <w:r w:rsidR="00E671FF" w:rsidRPr="006E251B">
        <w:t xml:space="preserve"> Grimme,</w:t>
      </w:r>
      <w:r w:rsidR="00D3102D" w:rsidRPr="006E251B">
        <w:t xml:space="preserve"> S.</w:t>
      </w:r>
      <w:r w:rsidR="005F0CE6" w:rsidRPr="006E251B">
        <w:t xml:space="preserve"> Accurate Description of Van Der Waals Complexes by Density Functional Theory Including Empirical Corrections </w:t>
      </w:r>
      <w:r w:rsidR="00E671FF" w:rsidRPr="006E251B">
        <w:rPr>
          <w:i/>
        </w:rPr>
        <w:t>J. Comput. Chem</w:t>
      </w:r>
      <w:r w:rsidR="00E671FF" w:rsidRPr="006E251B">
        <w:t>. 2004, 25, 1463</w:t>
      </w:r>
      <w:r w:rsidR="005F0CE6" w:rsidRPr="006E251B">
        <w:t>-1473</w:t>
      </w:r>
      <w:r w:rsidR="00E671FF" w:rsidRPr="006E251B">
        <w:t>.</w:t>
      </w:r>
    </w:p>
    <w:p w:rsidR="009F5C4A" w:rsidRPr="006E251B" w:rsidRDefault="009F5C4A" w:rsidP="003E40C4">
      <w:pPr>
        <w:spacing w:line="480" w:lineRule="auto"/>
      </w:pPr>
    </w:p>
    <w:p w:rsidR="00E671FF" w:rsidRPr="006E251B" w:rsidRDefault="008901B4" w:rsidP="003E40C4">
      <w:pPr>
        <w:spacing w:line="480" w:lineRule="auto"/>
      </w:pPr>
      <w:r>
        <w:t>(</w:t>
      </w:r>
      <w:r w:rsidR="00E671FF" w:rsidRPr="006E251B">
        <w:t>3</w:t>
      </w:r>
      <w:r w:rsidR="004A5C18">
        <w:t>6</w:t>
      </w:r>
      <w:r>
        <w:t>)</w:t>
      </w:r>
      <w:r w:rsidR="00E671FF" w:rsidRPr="006E251B">
        <w:t xml:space="preserve"> Momma,</w:t>
      </w:r>
      <w:r w:rsidR="00D3102D" w:rsidRPr="006E251B">
        <w:t xml:space="preserve"> K.;</w:t>
      </w:r>
      <w:r w:rsidR="00E671FF" w:rsidRPr="006E251B">
        <w:t xml:space="preserve"> Izumi, </w:t>
      </w:r>
      <w:r w:rsidR="00D3102D" w:rsidRPr="006E251B">
        <w:t>F.</w:t>
      </w:r>
      <w:r w:rsidR="00815F42" w:rsidRPr="006E251B">
        <w:t xml:space="preserve"> </w:t>
      </w:r>
      <w:hyperlink r:id="rId7" w:history="1">
        <w:r w:rsidR="00815F42" w:rsidRPr="006E251B">
          <w:rPr>
            <w:rStyle w:val="it"/>
            <w:i/>
            <w:iCs/>
          </w:rPr>
          <w:t>VESTA 3</w:t>
        </w:r>
        <w:r w:rsidR="00815F42" w:rsidRPr="006E251B">
          <w:rPr>
            <w:rStyle w:val="Hyperlink"/>
            <w:color w:val="auto"/>
            <w:u w:val="none"/>
          </w:rPr>
          <w:t xml:space="preserve"> for Three-Dimensional Visualization of Crystal, Volumetric and Morphology Data</w:t>
        </w:r>
      </w:hyperlink>
      <w:r w:rsidR="00815F42" w:rsidRPr="006E251B">
        <w:t xml:space="preserve"> </w:t>
      </w:r>
      <w:r w:rsidR="00D3102D" w:rsidRPr="006E251B">
        <w:t xml:space="preserve"> </w:t>
      </w:r>
      <w:r w:rsidR="00E671FF" w:rsidRPr="006E251B">
        <w:rPr>
          <w:i/>
        </w:rPr>
        <w:t>J. Appl. Crystallogr</w:t>
      </w:r>
      <w:r w:rsidR="00E671FF" w:rsidRPr="006E251B">
        <w:t>. 2011, 44, 1272</w:t>
      </w:r>
      <w:r w:rsidR="00815F42" w:rsidRPr="006E251B">
        <w:t>-1276</w:t>
      </w:r>
      <w:r w:rsidR="00E671FF" w:rsidRPr="006E251B">
        <w:t>.</w:t>
      </w:r>
    </w:p>
    <w:p w:rsidR="00234C2C" w:rsidRDefault="00234C2C" w:rsidP="00E671FF">
      <w:pPr>
        <w:pStyle w:val="MainText"/>
      </w:pPr>
    </w:p>
    <w:p w:rsidR="00AF3451" w:rsidRDefault="00AF3451" w:rsidP="00E671FF">
      <w:pPr>
        <w:pStyle w:val="MainText"/>
      </w:pPr>
    </w:p>
    <w:p w:rsidR="00AF3451" w:rsidRDefault="00AF3451" w:rsidP="00E671FF">
      <w:pPr>
        <w:pStyle w:val="MainText"/>
      </w:pPr>
    </w:p>
    <w:p w:rsidR="00AF3451" w:rsidRDefault="00AF3451" w:rsidP="00E671FF">
      <w:pPr>
        <w:pStyle w:val="MainText"/>
      </w:pPr>
    </w:p>
    <w:p w:rsidR="00AF3451" w:rsidRDefault="00AF3451" w:rsidP="00E671FF">
      <w:pPr>
        <w:pStyle w:val="MainText"/>
      </w:pPr>
    </w:p>
    <w:p w:rsidR="00AF3451" w:rsidRDefault="00AF3451" w:rsidP="00E671FF">
      <w:pPr>
        <w:pStyle w:val="MainText"/>
      </w:pPr>
    </w:p>
    <w:p w:rsidR="00AF3451" w:rsidRDefault="00AF3451" w:rsidP="00E671FF">
      <w:pPr>
        <w:pStyle w:val="MainText"/>
      </w:pPr>
    </w:p>
    <w:p w:rsidR="00E671FF" w:rsidRDefault="00AF3451" w:rsidP="00234C2C">
      <w:pPr>
        <w:pStyle w:val="Legend"/>
        <w:spacing w:line="480" w:lineRule="auto"/>
      </w:pPr>
      <w:r>
        <w:rPr>
          <w:b/>
        </w:rPr>
        <w:t>T</w:t>
      </w:r>
      <w:r w:rsidR="00E671FF" w:rsidRPr="00EF4114">
        <w:rPr>
          <w:b/>
        </w:rPr>
        <w:t>able 1.</w:t>
      </w:r>
      <w:r w:rsidR="00E671FF" w:rsidRPr="00EF4114">
        <w:t xml:space="preserve"> </w:t>
      </w:r>
      <w:r w:rsidR="00E671FF">
        <w:t>Sb</w:t>
      </w:r>
      <w:r w:rsidR="00E671FF">
        <w:rPr>
          <w:vertAlign w:val="subscript"/>
        </w:rPr>
        <w:t>2</w:t>
      </w:r>
      <w:r w:rsidR="00E671FF">
        <w:t>Se</w:t>
      </w:r>
      <w:r w:rsidR="00E671FF">
        <w:rPr>
          <w:vertAlign w:val="subscript"/>
        </w:rPr>
        <w:t>3</w:t>
      </w:r>
      <w:r w:rsidR="00E671FF">
        <w:t xml:space="preserve"> thin-film devices and their electrical properties (</w:t>
      </w:r>
      <w:proofErr w:type="spellStart"/>
      <w:r w:rsidR="00E671FF" w:rsidRPr="00B24D00">
        <w:rPr>
          <w:i/>
        </w:rPr>
        <w:t>V</w:t>
      </w:r>
      <w:r w:rsidR="00E671FF">
        <w:rPr>
          <w:vertAlign w:val="subscript"/>
        </w:rPr>
        <w:t>oc</w:t>
      </w:r>
      <w:proofErr w:type="spellEnd"/>
      <w:r w:rsidR="00590740">
        <w:t xml:space="preserve"> is the open circuit voltage, </w:t>
      </w:r>
      <w:proofErr w:type="spellStart"/>
      <w:r w:rsidR="00E671FF" w:rsidRPr="00B24D00">
        <w:rPr>
          <w:i/>
        </w:rPr>
        <w:t>J</w:t>
      </w:r>
      <w:r w:rsidR="00E671FF">
        <w:rPr>
          <w:vertAlign w:val="subscript"/>
        </w:rPr>
        <w:t>sc</w:t>
      </w:r>
      <w:proofErr w:type="spellEnd"/>
      <w:r w:rsidR="00E671FF">
        <w:t xml:space="preserve"> is the short circuit current density</w:t>
      </w:r>
      <w:r w:rsidR="00590740">
        <w:t xml:space="preserve"> and </w:t>
      </w:r>
      <w:proofErr w:type="spellStart"/>
      <w:r w:rsidR="00590740" w:rsidRPr="002565CA">
        <w:rPr>
          <w:i/>
        </w:rPr>
        <w:t>R</w:t>
      </w:r>
      <w:r w:rsidR="00590740" w:rsidRPr="002565CA">
        <w:rPr>
          <w:i/>
          <w:vertAlign w:val="subscript"/>
        </w:rPr>
        <w:t>s</w:t>
      </w:r>
      <w:proofErr w:type="spellEnd"/>
      <w:r w:rsidR="00590740" w:rsidRPr="002565CA">
        <w:t xml:space="preserve">, </w:t>
      </w:r>
      <w:proofErr w:type="spellStart"/>
      <w:r w:rsidR="00590740" w:rsidRPr="002565CA">
        <w:rPr>
          <w:i/>
        </w:rPr>
        <w:t>R</w:t>
      </w:r>
      <w:r w:rsidR="00590740" w:rsidRPr="002565CA">
        <w:rPr>
          <w:i/>
          <w:vertAlign w:val="subscript"/>
        </w:rPr>
        <w:t>sh</w:t>
      </w:r>
      <w:proofErr w:type="spellEnd"/>
      <w:r w:rsidR="00590740" w:rsidRPr="002565CA">
        <w:t xml:space="preserve"> are series and shunt resistances respectively</w:t>
      </w:r>
      <w:r w:rsidR="00E671FF">
        <w:t xml:space="preserve">). ‘CSS’ and ‘TE’ are abbreviations for close space sublimation and thermal evaporation. </w:t>
      </w:r>
    </w:p>
    <w:p w:rsidR="00E671FF" w:rsidRPr="00FA6D70" w:rsidRDefault="00E671FF" w:rsidP="00E671FF">
      <w:pPr>
        <w:pStyle w:val="Legend"/>
      </w:pPr>
    </w:p>
    <w:tbl>
      <w:tblPr>
        <w:tblW w:w="0" w:type="auto"/>
        <w:tblLayout w:type="fixed"/>
        <w:tblLook w:val="01E0" w:firstRow="1" w:lastRow="1" w:firstColumn="1" w:lastColumn="1" w:noHBand="0" w:noVBand="0"/>
      </w:tblPr>
      <w:tblGrid>
        <w:gridCol w:w="1560"/>
        <w:gridCol w:w="992"/>
        <w:gridCol w:w="992"/>
        <w:gridCol w:w="992"/>
        <w:gridCol w:w="1134"/>
        <w:gridCol w:w="1134"/>
        <w:gridCol w:w="1134"/>
      </w:tblGrid>
      <w:tr w:rsidR="005E4B0C" w:rsidRPr="00EF4114" w:rsidTr="005632EA">
        <w:tc>
          <w:tcPr>
            <w:tcW w:w="1560" w:type="dxa"/>
            <w:tcBorders>
              <w:top w:val="single" w:sz="4" w:space="0" w:color="000000"/>
              <w:bottom w:val="single" w:sz="4" w:space="0" w:color="000000"/>
            </w:tcBorders>
            <w:shd w:val="clear" w:color="auto" w:fill="auto"/>
          </w:tcPr>
          <w:p w:rsidR="005E4B0C" w:rsidRPr="00EF4114" w:rsidRDefault="005E4B0C" w:rsidP="006E251B">
            <w:pPr>
              <w:pStyle w:val="TableHead"/>
              <w:jc w:val="left"/>
              <w:rPr>
                <w:lang w:val="en-US"/>
              </w:rPr>
            </w:pPr>
            <w:r>
              <w:rPr>
                <w:lang w:val="en-US"/>
              </w:rPr>
              <w:t>Device</w:t>
            </w:r>
          </w:p>
        </w:tc>
        <w:tc>
          <w:tcPr>
            <w:tcW w:w="992" w:type="dxa"/>
            <w:tcBorders>
              <w:top w:val="single" w:sz="4" w:space="0" w:color="000000"/>
              <w:bottom w:val="single" w:sz="4" w:space="0" w:color="000000"/>
            </w:tcBorders>
            <w:shd w:val="clear" w:color="auto" w:fill="auto"/>
          </w:tcPr>
          <w:p w:rsidR="005E4B0C" w:rsidRDefault="005E4B0C" w:rsidP="006E251B">
            <w:pPr>
              <w:pStyle w:val="TableHead"/>
              <w:jc w:val="center"/>
              <w:rPr>
                <w:lang w:val="en-US"/>
              </w:rPr>
            </w:pPr>
            <w:r>
              <w:rPr>
                <w:lang w:val="en-US"/>
              </w:rPr>
              <w:t>Efficiency</w:t>
            </w:r>
          </w:p>
          <w:p w:rsidR="005E4B0C" w:rsidRPr="00EF4114" w:rsidRDefault="005E4B0C" w:rsidP="006E251B">
            <w:pPr>
              <w:pStyle w:val="TableHead"/>
              <w:jc w:val="center"/>
              <w:rPr>
                <w:lang w:val="en-US"/>
              </w:rPr>
            </w:pPr>
            <w:r>
              <w:rPr>
                <w:lang w:val="en-US"/>
              </w:rPr>
              <w:t>(%)</w:t>
            </w:r>
          </w:p>
        </w:tc>
        <w:tc>
          <w:tcPr>
            <w:tcW w:w="992" w:type="dxa"/>
            <w:tcBorders>
              <w:top w:val="single" w:sz="4" w:space="0" w:color="000000"/>
              <w:bottom w:val="single" w:sz="4" w:space="0" w:color="000000"/>
            </w:tcBorders>
            <w:shd w:val="clear" w:color="auto" w:fill="auto"/>
          </w:tcPr>
          <w:p w:rsidR="005E4B0C" w:rsidRDefault="005E4B0C" w:rsidP="006E251B">
            <w:pPr>
              <w:pStyle w:val="TableHead"/>
              <w:jc w:val="center"/>
              <w:rPr>
                <w:lang w:val="en-US"/>
              </w:rPr>
            </w:pPr>
            <w:proofErr w:type="spellStart"/>
            <w:r w:rsidRPr="007E3D80">
              <w:rPr>
                <w:i/>
                <w:lang w:val="en-US"/>
              </w:rPr>
              <w:t>V</w:t>
            </w:r>
            <w:r>
              <w:rPr>
                <w:vertAlign w:val="subscript"/>
                <w:lang w:val="en-US"/>
              </w:rPr>
              <w:t>oc</w:t>
            </w:r>
            <w:proofErr w:type="spellEnd"/>
            <w:r>
              <w:rPr>
                <w:lang w:val="en-US"/>
              </w:rPr>
              <w:t xml:space="preserve"> </w:t>
            </w:r>
          </w:p>
          <w:p w:rsidR="005E4B0C" w:rsidRPr="007E3D80" w:rsidRDefault="005E4B0C" w:rsidP="006E251B">
            <w:pPr>
              <w:pStyle w:val="TableHead"/>
              <w:jc w:val="center"/>
              <w:rPr>
                <w:vertAlign w:val="subscript"/>
                <w:lang w:val="en-US"/>
              </w:rPr>
            </w:pPr>
            <w:r>
              <w:rPr>
                <w:lang w:val="en-US"/>
              </w:rPr>
              <w:t>(V)</w:t>
            </w:r>
          </w:p>
        </w:tc>
        <w:tc>
          <w:tcPr>
            <w:tcW w:w="992" w:type="dxa"/>
            <w:tcBorders>
              <w:top w:val="single" w:sz="4" w:space="0" w:color="000000"/>
              <w:bottom w:val="single" w:sz="4" w:space="0" w:color="000000"/>
            </w:tcBorders>
            <w:shd w:val="clear" w:color="auto" w:fill="auto"/>
          </w:tcPr>
          <w:p w:rsidR="005E4B0C" w:rsidRPr="007E3D80" w:rsidRDefault="005E4B0C" w:rsidP="006E251B">
            <w:pPr>
              <w:pStyle w:val="TableHead"/>
              <w:jc w:val="center"/>
              <w:rPr>
                <w:lang w:val="en-US"/>
              </w:rPr>
            </w:pPr>
            <w:proofErr w:type="spellStart"/>
            <w:r w:rsidRPr="007E3D80">
              <w:rPr>
                <w:i/>
                <w:lang w:val="en-US"/>
              </w:rPr>
              <w:t>J</w:t>
            </w:r>
            <w:r>
              <w:rPr>
                <w:vertAlign w:val="subscript"/>
                <w:lang w:val="en-US"/>
              </w:rPr>
              <w:t>sc</w:t>
            </w:r>
            <w:proofErr w:type="spellEnd"/>
            <w:r>
              <w:rPr>
                <w:lang w:val="en-US"/>
              </w:rPr>
              <w:t xml:space="preserve"> (mA/cm</w:t>
            </w:r>
            <w:r>
              <w:rPr>
                <w:vertAlign w:val="superscript"/>
                <w:lang w:val="en-US"/>
              </w:rPr>
              <w:t>2</w:t>
            </w:r>
            <w:r>
              <w:rPr>
                <w:lang w:val="en-US"/>
              </w:rPr>
              <w:t>)</w:t>
            </w:r>
          </w:p>
        </w:tc>
        <w:tc>
          <w:tcPr>
            <w:tcW w:w="1134" w:type="dxa"/>
            <w:tcBorders>
              <w:top w:val="single" w:sz="4" w:space="0" w:color="000000"/>
              <w:bottom w:val="single" w:sz="4" w:space="0" w:color="000000"/>
            </w:tcBorders>
            <w:shd w:val="clear" w:color="auto" w:fill="auto"/>
          </w:tcPr>
          <w:p w:rsidR="005E4B0C" w:rsidRDefault="005E4B0C" w:rsidP="006E251B">
            <w:pPr>
              <w:pStyle w:val="TableHead"/>
              <w:jc w:val="center"/>
              <w:rPr>
                <w:lang w:val="en-US"/>
              </w:rPr>
            </w:pPr>
            <w:r>
              <w:rPr>
                <w:lang w:val="en-US"/>
              </w:rPr>
              <w:t>Fill factor</w:t>
            </w:r>
          </w:p>
          <w:p w:rsidR="005E4B0C" w:rsidRPr="00EF4114" w:rsidRDefault="005E4B0C" w:rsidP="006E251B">
            <w:pPr>
              <w:pStyle w:val="TableHead"/>
              <w:jc w:val="center"/>
              <w:rPr>
                <w:lang w:val="en-US"/>
              </w:rPr>
            </w:pPr>
            <w:r>
              <w:rPr>
                <w:lang w:val="en-US"/>
              </w:rPr>
              <w:t>(%)</w:t>
            </w:r>
          </w:p>
        </w:tc>
        <w:tc>
          <w:tcPr>
            <w:tcW w:w="1134" w:type="dxa"/>
            <w:tcBorders>
              <w:top w:val="single" w:sz="4" w:space="0" w:color="000000"/>
              <w:bottom w:val="single" w:sz="4" w:space="0" w:color="000000"/>
            </w:tcBorders>
          </w:tcPr>
          <w:p w:rsidR="005E4B0C" w:rsidRDefault="005E4B0C" w:rsidP="006E251B">
            <w:pPr>
              <w:pStyle w:val="TableHead"/>
              <w:jc w:val="center"/>
              <w:rPr>
                <w:i/>
                <w:lang w:val="en-US"/>
              </w:rPr>
            </w:pPr>
            <w:proofErr w:type="spellStart"/>
            <w:r>
              <w:rPr>
                <w:i/>
                <w:lang w:val="en-US"/>
              </w:rPr>
              <w:t>R</w:t>
            </w:r>
            <w:r>
              <w:rPr>
                <w:i/>
                <w:vertAlign w:val="subscript"/>
                <w:lang w:val="en-US"/>
              </w:rPr>
              <w:t>s</w:t>
            </w:r>
            <w:proofErr w:type="spellEnd"/>
          </w:p>
          <w:p w:rsidR="005E4B0C" w:rsidRPr="005E4B0C" w:rsidRDefault="005E4B0C" w:rsidP="006E251B">
            <w:pPr>
              <w:pStyle w:val="TableHead"/>
              <w:jc w:val="center"/>
              <w:rPr>
                <w:lang w:val="en-US"/>
              </w:rPr>
            </w:pPr>
            <w:r>
              <w:rPr>
                <w:lang w:val="en-US"/>
              </w:rPr>
              <w:t>(</w:t>
            </w:r>
            <w:r>
              <w:rPr>
                <w:lang w:val="en-US"/>
              </w:rPr>
              <w:sym w:font="Symbol" w:char="F057"/>
            </w:r>
            <w:r>
              <w:rPr>
                <w:lang w:val="en-US"/>
              </w:rPr>
              <w:t>cm</w:t>
            </w:r>
            <w:r>
              <w:rPr>
                <w:vertAlign w:val="superscript"/>
                <w:lang w:val="en-US"/>
              </w:rPr>
              <w:t>2</w:t>
            </w:r>
            <w:r>
              <w:rPr>
                <w:lang w:val="en-US"/>
              </w:rPr>
              <w:t>)</w:t>
            </w:r>
          </w:p>
        </w:tc>
        <w:tc>
          <w:tcPr>
            <w:tcW w:w="1134" w:type="dxa"/>
            <w:tcBorders>
              <w:top w:val="single" w:sz="4" w:space="0" w:color="000000"/>
              <w:bottom w:val="single" w:sz="4" w:space="0" w:color="000000"/>
            </w:tcBorders>
          </w:tcPr>
          <w:p w:rsidR="005E4B0C" w:rsidRDefault="005E4B0C" w:rsidP="005E4B0C">
            <w:pPr>
              <w:pStyle w:val="TableHead"/>
              <w:jc w:val="center"/>
              <w:rPr>
                <w:i/>
                <w:lang w:val="en-US"/>
              </w:rPr>
            </w:pPr>
            <w:proofErr w:type="spellStart"/>
            <w:r>
              <w:rPr>
                <w:i/>
                <w:lang w:val="en-US"/>
              </w:rPr>
              <w:t>R</w:t>
            </w:r>
            <w:r>
              <w:rPr>
                <w:i/>
                <w:vertAlign w:val="subscript"/>
                <w:lang w:val="en-US"/>
              </w:rPr>
              <w:t>sh</w:t>
            </w:r>
            <w:proofErr w:type="spellEnd"/>
          </w:p>
          <w:p w:rsidR="005E4B0C" w:rsidRDefault="005E4B0C" w:rsidP="005E4B0C">
            <w:pPr>
              <w:pStyle w:val="TableHead"/>
              <w:jc w:val="center"/>
              <w:rPr>
                <w:lang w:val="en-US"/>
              </w:rPr>
            </w:pPr>
            <w:r>
              <w:rPr>
                <w:lang w:val="en-US"/>
              </w:rPr>
              <w:t>(</w:t>
            </w:r>
            <w:r>
              <w:rPr>
                <w:lang w:val="en-US"/>
              </w:rPr>
              <w:sym w:font="Symbol" w:char="F057"/>
            </w:r>
            <w:r>
              <w:rPr>
                <w:lang w:val="en-US"/>
              </w:rPr>
              <w:t>cm</w:t>
            </w:r>
            <w:r>
              <w:rPr>
                <w:vertAlign w:val="superscript"/>
                <w:lang w:val="en-US"/>
              </w:rPr>
              <w:t>2</w:t>
            </w:r>
            <w:r>
              <w:rPr>
                <w:lang w:val="en-US"/>
              </w:rPr>
              <w:t>)</w:t>
            </w:r>
          </w:p>
        </w:tc>
      </w:tr>
      <w:tr w:rsidR="005E4B0C" w:rsidRPr="00EF4114" w:rsidTr="005632EA">
        <w:tc>
          <w:tcPr>
            <w:tcW w:w="1560" w:type="dxa"/>
            <w:tcBorders>
              <w:top w:val="single" w:sz="4" w:space="0" w:color="000000"/>
            </w:tcBorders>
            <w:shd w:val="clear" w:color="auto" w:fill="auto"/>
          </w:tcPr>
          <w:p w:rsidR="005E4B0C" w:rsidRPr="007E3D80" w:rsidRDefault="005E4B0C" w:rsidP="006E251B">
            <w:pPr>
              <w:pStyle w:val="TableBody"/>
              <w:jc w:val="left"/>
              <w:rPr>
                <w:lang w:val="en-US"/>
              </w:rPr>
            </w:pPr>
            <w:r>
              <w:rPr>
                <w:lang w:val="en-US"/>
              </w:rPr>
              <w:t>CSS Sb</w:t>
            </w:r>
            <w:r>
              <w:rPr>
                <w:vertAlign w:val="subscript"/>
                <w:lang w:val="en-US"/>
              </w:rPr>
              <w:t>2</w:t>
            </w:r>
            <w:r>
              <w:rPr>
                <w:lang w:val="en-US"/>
              </w:rPr>
              <w:t>Se</w:t>
            </w:r>
            <w:r>
              <w:rPr>
                <w:vertAlign w:val="subscript"/>
                <w:lang w:val="en-US"/>
              </w:rPr>
              <w:t>3</w:t>
            </w:r>
            <w:r>
              <w:rPr>
                <w:lang w:val="en-US"/>
              </w:rPr>
              <w:t xml:space="preserve">- </w:t>
            </w:r>
            <w:proofErr w:type="spellStart"/>
            <w:r>
              <w:rPr>
                <w:lang w:val="en-US"/>
              </w:rPr>
              <w:t>CdS</w:t>
            </w:r>
            <w:proofErr w:type="spellEnd"/>
          </w:p>
        </w:tc>
        <w:tc>
          <w:tcPr>
            <w:tcW w:w="992" w:type="dxa"/>
            <w:tcBorders>
              <w:top w:val="single" w:sz="4" w:space="0" w:color="000000"/>
            </w:tcBorders>
            <w:shd w:val="clear" w:color="auto" w:fill="auto"/>
          </w:tcPr>
          <w:p w:rsidR="005E4B0C" w:rsidRPr="00EF4114" w:rsidRDefault="005E4B0C" w:rsidP="006E251B">
            <w:pPr>
              <w:pStyle w:val="TableBody"/>
              <w:jc w:val="center"/>
              <w:rPr>
                <w:lang w:val="en-US"/>
              </w:rPr>
            </w:pPr>
            <w:r>
              <w:rPr>
                <w:lang w:val="en-US"/>
              </w:rPr>
              <w:t>1.44</w:t>
            </w:r>
          </w:p>
        </w:tc>
        <w:tc>
          <w:tcPr>
            <w:tcW w:w="992" w:type="dxa"/>
            <w:tcBorders>
              <w:top w:val="single" w:sz="4" w:space="0" w:color="000000"/>
            </w:tcBorders>
            <w:shd w:val="clear" w:color="auto" w:fill="auto"/>
          </w:tcPr>
          <w:p w:rsidR="005E4B0C" w:rsidRPr="00EF4114" w:rsidRDefault="005E4B0C" w:rsidP="006E251B">
            <w:pPr>
              <w:pStyle w:val="TableBody"/>
              <w:jc w:val="center"/>
              <w:rPr>
                <w:lang w:val="en-US"/>
              </w:rPr>
            </w:pPr>
            <w:r>
              <w:rPr>
                <w:lang w:val="en-US"/>
              </w:rPr>
              <w:t>0.42</w:t>
            </w:r>
          </w:p>
        </w:tc>
        <w:tc>
          <w:tcPr>
            <w:tcW w:w="992" w:type="dxa"/>
            <w:tcBorders>
              <w:top w:val="single" w:sz="4" w:space="0" w:color="000000"/>
            </w:tcBorders>
            <w:shd w:val="clear" w:color="auto" w:fill="auto"/>
          </w:tcPr>
          <w:p w:rsidR="005E4B0C" w:rsidRPr="00EF4114" w:rsidRDefault="005E4B0C" w:rsidP="006E251B">
            <w:pPr>
              <w:pStyle w:val="TableBody"/>
              <w:jc w:val="center"/>
              <w:rPr>
                <w:lang w:val="en-US"/>
              </w:rPr>
            </w:pPr>
            <w:r>
              <w:rPr>
                <w:lang w:val="en-US"/>
              </w:rPr>
              <w:t>7.57</w:t>
            </w:r>
          </w:p>
        </w:tc>
        <w:tc>
          <w:tcPr>
            <w:tcW w:w="1134" w:type="dxa"/>
            <w:tcBorders>
              <w:top w:val="single" w:sz="4" w:space="0" w:color="000000"/>
            </w:tcBorders>
            <w:shd w:val="clear" w:color="auto" w:fill="auto"/>
          </w:tcPr>
          <w:p w:rsidR="005E4B0C" w:rsidRPr="00EF4114" w:rsidRDefault="005E4B0C" w:rsidP="006E251B">
            <w:pPr>
              <w:pStyle w:val="TableBody"/>
              <w:jc w:val="center"/>
              <w:rPr>
                <w:lang w:val="en-US"/>
              </w:rPr>
            </w:pPr>
            <w:r>
              <w:rPr>
                <w:lang w:val="en-US"/>
              </w:rPr>
              <w:t>45.48</w:t>
            </w:r>
          </w:p>
        </w:tc>
        <w:tc>
          <w:tcPr>
            <w:tcW w:w="1134" w:type="dxa"/>
            <w:tcBorders>
              <w:top w:val="single" w:sz="4" w:space="0" w:color="000000"/>
            </w:tcBorders>
          </w:tcPr>
          <w:p w:rsidR="005E4B0C" w:rsidRDefault="005E4B0C" w:rsidP="006E251B">
            <w:pPr>
              <w:pStyle w:val="TableBody"/>
              <w:jc w:val="center"/>
              <w:rPr>
                <w:lang w:val="en-US"/>
              </w:rPr>
            </w:pPr>
            <w:r>
              <w:rPr>
                <w:lang w:val="en-US"/>
              </w:rPr>
              <w:t>18.40</w:t>
            </w:r>
          </w:p>
        </w:tc>
        <w:tc>
          <w:tcPr>
            <w:tcW w:w="1134" w:type="dxa"/>
            <w:tcBorders>
              <w:top w:val="single" w:sz="4" w:space="0" w:color="000000"/>
            </w:tcBorders>
          </w:tcPr>
          <w:p w:rsidR="005E4B0C" w:rsidRDefault="005E4B0C" w:rsidP="006E251B">
            <w:pPr>
              <w:pStyle w:val="TableBody"/>
              <w:jc w:val="center"/>
              <w:rPr>
                <w:lang w:val="en-US"/>
              </w:rPr>
            </w:pPr>
            <w:r>
              <w:rPr>
                <w:lang w:val="en-US"/>
              </w:rPr>
              <w:t>183.72</w:t>
            </w:r>
          </w:p>
        </w:tc>
      </w:tr>
      <w:tr w:rsidR="005E4B0C" w:rsidRPr="00EF4114" w:rsidTr="005632EA">
        <w:tc>
          <w:tcPr>
            <w:tcW w:w="1560" w:type="dxa"/>
            <w:shd w:val="clear" w:color="auto" w:fill="auto"/>
          </w:tcPr>
          <w:p w:rsidR="005E4B0C" w:rsidRPr="007E3D80" w:rsidRDefault="005E4B0C" w:rsidP="006E251B">
            <w:pPr>
              <w:pStyle w:val="TableBody"/>
              <w:jc w:val="left"/>
              <w:rPr>
                <w:lang w:val="en-US"/>
              </w:rPr>
            </w:pPr>
            <w:r>
              <w:rPr>
                <w:lang w:val="en-US"/>
              </w:rPr>
              <w:t>TE Sb</w:t>
            </w:r>
            <w:r>
              <w:rPr>
                <w:vertAlign w:val="subscript"/>
                <w:lang w:val="en-US"/>
              </w:rPr>
              <w:t>2</w:t>
            </w:r>
            <w:r>
              <w:rPr>
                <w:lang w:val="en-US"/>
              </w:rPr>
              <w:t>Se</w:t>
            </w:r>
            <w:r>
              <w:rPr>
                <w:vertAlign w:val="subscript"/>
                <w:lang w:val="en-US"/>
              </w:rPr>
              <w:t>3</w:t>
            </w:r>
            <w:r>
              <w:rPr>
                <w:lang w:val="en-US"/>
              </w:rPr>
              <w:t xml:space="preserve">- </w:t>
            </w:r>
            <w:proofErr w:type="spellStart"/>
            <w:r>
              <w:rPr>
                <w:lang w:val="en-US"/>
              </w:rPr>
              <w:t>CdS</w:t>
            </w:r>
            <w:proofErr w:type="spellEnd"/>
          </w:p>
        </w:tc>
        <w:tc>
          <w:tcPr>
            <w:tcW w:w="992" w:type="dxa"/>
            <w:shd w:val="clear" w:color="auto" w:fill="auto"/>
          </w:tcPr>
          <w:p w:rsidR="005E4B0C" w:rsidRPr="00EF4114" w:rsidRDefault="005E4B0C" w:rsidP="006E251B">
            <w:pPr>
              <w:pStyle w:val="TableBody"/>
              <w:jc w:val="center"/>
              <w:rPr>
                <w:lang w:val="en-US"/>
              </w:rPr>
            </w:pPr>
            <w:r>
              <w:rPr>
                <w:lang w:val="en-US"/>
              </w:rPr>
              <w:t>2.85</w:t>
            </w:r>
          </w:p>
        </w:tc>
        <w:tc>
          <w:tcPr>
            <w:tcW w:w="992" w:type="dxa"/>
            <w:shd w:val="clear" w:color="auto" w:fill="auto"/>
          </w:tcPr>
          <w:p w:rsidR="005E4B0C" w:rsidRPr="00EF4114" w:rsidRDefault="005E4B0C" w:rsidP="006E251B">
            <w:pPr>
              <w:pStyle w:val="TableBody"/>
              <w:jc w:val="center"/>
              <w:rPr>
                <w:lang w:val="en-US"/>
              </w:rPr>
            </w:pPr>
            <w:r>
              <w:rPr>
                <w:lang w:val="en-US"/>
              </w:rPr>
              <w:t>0.38</w:t>
            </w:r>
          </w:p>
        </w:tc>
        <w:tc>
          <w:tcPr>
            <w:tcW w:w="992" w:type="dxa"/>
            <w:shd w:val="clear" w:color="auto" w:fill="auto"/>
          </w:tcPr>
          <w:p w:rsidR="005E4B0C" w:rsidRPr="00EF4114" w:rsidRDefault="005E4B0C" w:rsidP="006E251B">
            <w:pPr>
              <w:pStyle w:val="TableBody"/>
              <w:jc w:val="center"/>
              <w:rPr>
                <w:lang w:val="en-US"/>
              </w:rPr>
            </w:pPr>
            <w:r>
              <w:rPr>
                <w:lang w:val="en-US"/>
              </w:rPr>
              <w:t>20.20</w:t>
            </w:r>
          </w:p>
        </w:tc>
        <w:tc>
          <w:tcPr>
            <w:tcW w:w="1134" w:type="dxa"/>
            <w:shd w:val="clear" w:color="auto" w:fill="auto"/>
          </w:tcPr>
          <w:p w:rsidR="005E4B0C" w:rsidRPr="00EF4114" w:rsidRDefault="005E4B0C" w:rsidP="006E251B">
            <w:pPr>
              <w:pStyle w:val="TableBody"/>
              <w:jc w:val="center"/>
              <w:rPr>
                <w:lang w:val="en-US"/>
              </w:rPr>
            </w:pPr>
            <w:r>
              <w:rPr>
                <w:lang w:val="en-US"/>
              </w:rPr>
              <w:t>37.10</w:t>
            </w:r>
          </w:p>
        </w:tc>
        <w:tc>
          <w:tcPr>
            <w:tcW w:w="1134" w:type="dxa"/>
          </w:tcPr>
          <w:p w:rsidR="005E4B0C" w:rsidRDefault="005E4B0C" w:rsidP="006E251B">
            <w:pPr>
              <w:pStyle w:val="TableBody"/>
              <w:jc w:val="center"/>
              <w:rPr>
                <w:lang w:val="en-US"/>
              </w:rPr>
            </w:pPr>
            <w:r>
              <w:rPr>
                <w:lang w:val="en-US"/>
              </w:rPr>
              <w:t>11.25</w:t>
            </w:r>
          </w:p>
        </w:tc>
        <w:tc>
          <w:tcPr>
            <w:tcW w:w="1134" w:type="dxa"/>
          </w:tcPr>
          <w:p w:rsidR="005E4B0C" w:rsidRDefault="005E4B0C" w:rsidP="006E251B">
            <w:pPr>
              <w:pStyle w:val="TableBody"/>
              <w:jc w:val="center"/>
              <w:rPr>
                <w:lang w:val="en-US"/>
              </w:rPr>
            </w:pPr>
            <w:r>
              <w:rPr>
                <w:lang w:val="en-US"/>
              </w:rPr>
              <w:t>37.90</w:t>
            </w:r>
          </w:p>
        </w:tc>
      </w:tr>
      <w:tr w:rsidR="005E4B0C" w:rsidRPr="00EF4114" w:rsidTr="005632EA">
        <w:tc>
          <w:tcPr>
            <w:tcW w:w="1560" w:type="dxa"/>
            <w:tcBorders>
              <w:bottom w:val="single" w:sz="4" w:space="0" w:color="auto"/>
            </w:tcBorders>
            <w:shd w:val="clear" w:color="auto" w:fill="auto"/>
          </w:tcPr>
          <w:p w:rsidR="005E4B0C" w:rsidRPr="007E3D80" w:rsidRDefault="005E4B0C" w:rsidP="006E251B">
            <w:pPr>
              <w:pStyle w:val="TableBody"/>
              <w:jc w:val="left"/>
              <w:rPr>
                <w:lang w:val="en-US"/>
              </w:rPr>
            </w:pPr>
            <w:r>
              <w:rPr>
                <w:lang w:val="en-US"/>
              </w:rPr>
              <w:t>Two-stage CSS Sb</w:t>
            </w:r>
            <w:r>
              <w:rPr>
                <w:vertAlign w:val="subscript"/>
                <w:lang w:val="en-US"/>
              </w:rPr>
              <w:t>2</w:t>
            </w:r>
            <w:r>
              <w:rPr>
                <w:lang w:val="en-US"/>
              </w:rPr>
              <w:t>Se</w:t>
            </w:r>
            <w:r>
              <w:rPr>
                <w:vertAlign w:val="subscript"/>
                <w:lang w:val="en-US"/>
              </w:rPr>
              <w:t>3</w:t>
            </w:r>
            <w:r>
              <w:rPr>
                <w:lang w:val="en-US"/>
              </w:rPr>
              <w:t>-TiO</w:t>
            </w:r>
            <w:r>
              <w:rPr>
                <w:vertAlign w:val="subscript"/>
                <w:lang w:val="en-US"/>
              </w:rPr>
              <w:t>2</w:t>
            </w:r>
          </w:p>
        </w:tc>
        <w:tc>
          <w:tcPr>
            <w:tcW w:w="992" w:type="dxa"/>
            <w:tcBorders>
              <w:bottom w:val="single" w:sz="4" w:space="0" w:color="auto"/>
            </w:tcBorders>
            <w:shd w:val="clear" w:color="auto" w:fill="auto"/>
          </w:tcPr>
          <w:p w:rsidR="005E4B0C" w:rsidRPr="00EF4114" w:rsidRDefault="005E4B0C" w:rsidP="006E251B">
            <w:pPr>
              <w:pStyle w:val="TableBody"/>
              <w:jc w:val="center"/>
              <w:rPr>
                <w:lang w:val="en-US"/>
              </w:rPr>
            </w:pPr>
            <w:r>
              <w:rPr>
                <w:lang w:val="en-US"/>
              </w:rPr>
              <w:t>6.18</w:t>
            </w:r>
          </w:p>
        </w:tc>
        <w:tc>
          <w:tcPr>
            <w:tcW w:w="992" w:type="dxa"/>
            <w:tcBorders>
              <w:bottom w:val="single" w:sz="4" w:space="0" w:color="auto"/>
            </w:tcBorders>
            <w:shd w:val="clear" w:color="auto" w:fill="auto"/>
          </w:tcPr>
          <w:p w:rsidR="005E4B0C" w:rsidRPr="00EF4114" w:rsidRDefault="005E4B0C" w:rsidP="006E251B">
            <w:pPr>
              <w:pStyle w:val="TableBody"/>
              <w:jc w:val="center"/>
              <w:rPr>
                <w:lang w:val="en-US"/>
              </w:rPr>
            </w:pPr>
            <w:r>
              <w:rPr>
                <w:lang w:val="en-US"/>
              </w:rPr>
              <w:t>0.40</w:t>
            </w:r>
          </w:p>
        </w:tc>
        <w:tc>
          <w:tcPr>
            <w:tcW w:w="992" w:type="dxa"/>
            <w:tcBorders>
              <w:bottom w:val="single" w:sz="4" w:space="0" w:color="auto"/>
            </w:tcBorders>
            <w:shd w:val="clear" w:color="auto" w:fill="auto"/>
          </w:tcPr>
          <w:p w:rsidR="005E4B0C" w:rsidRPr="00EF4114" w:rsidRDefault="005E4B0C" w:rsidP="006E251B">
            <w:pPr>
              <w:pStyle w:val="TableBody"/>
              <w:jc w:val="center"/>
              <w:rPr>
                <w:lang w:val="en-US"/>
              </w:rPr>
            </w:pPr>
            <w:r>
              <w:rPr>
                <w:lang w:val="en-US"/>
              </w:rPr>
              <w:t>31.44</w:t>
            </w:r>
          </w:p>
        </w:tc>
        <w:tc>
          <w:tcPr>
            <w:tcW w:w="1134" w:type="dxa"/>
            <w:tcBorders>
              <w:bottom w:val="single" w:sz="4" w:space="0" w:color="auto"/>
            </w:tcBorders>
            <w:shd w:val="clear" w:color="auto" w:fill="auto"/>
          </w:tcPr>
          <w:p w:rsidR="005E4B0C" w:rsidRPr="00EF4114" w:rsidRDefault="005E4B0C" w:rsidP="006E251B">
            <w:pPr>
              <w:pStyle w:val="TableBody"/>
              <w:jc w:val="center"/>
              <w:rPr>
                <w:lang w:val="en-US"/>
              </w:rPr>
            </w:pPr>
            <w:r>
              <w:rPr>
                <w:lang w:val="en-US"/>
              </w:rPr>
              <w:t>49.20</w:t>
            </w:r>
          </w:p>
        </w:tc>
        <w:tc>
          <w:tcPr>
            <w:tcW w:w="1134" w:type="dxa"/>
            <w:tcBorders>
              <w:bottom w:val="single" w:sz="4" w:space="0" w:color="auto"/>
            </w:tcBorders>
          </w:tcPr>
          <w:p w:rsidR="005E4B0C" w:rsidRDefault="005E4B0C" w:rsidP="006E251B">
            <w:pPr>
              <w:pStyle w:val="TableBody"/>
              <w:jc w:val="center"/>
              <w:rPr>
                <w:lang w:val="en-US"/>
              </w:rPr>
            </w:pPr>
            <w:r>
              <w:rPr>
                <w:lang w:val="en-US"/>
              </w:rPr>
              <w:t>3.25</w:t>
            </w:r>
          </w:p>
        </w:tc>
        <w:tc>
          <w:tcPr>
            <w:tcW w:w="1134" w:type="dxa"/>
            <w:tcBorders>
              <w:bottom w:val="single" w:sz="4" w:space="0" w:color="auto"/>
            </w:tcBorders>
          </w:tcPr>
          <w:p w:rsidR="005E4B0C" w:rsidRDefault="005E4B0C" w:rsidP="006E251B">
            <w:pPr>
              <w:pStyle w:val="TableBody"/>
              <w:jc w:val="center"/>
              <w:rPr>
                <w:lang w:val="en-US"/>
              </w:rPr>
            </w:pPr>
            <w:r>
              <w:rPr>
                <w:lang w:val="en-US"/>
              </w:rPr>
              <w:t>61.64</w:t>
            </w:r>
          </w:p>
        </w:tc>
      </w:tr>
    </w:tbl>
    <w:p w:rsidR="00E671FF" w:rsidRDefault="00E671FF" w:rsidP="00E671FF">
      <w:pPr>
        <w:rPr>
          <w:lang w:val="en-US"/>
        </w:rPr>
      </w:pPr>
    </w:p>
    <w:p w:rsidR="00AF3451" w:rsidRDefault="00AF3451" w:rsidP="00E671FF">
      <w:pPr>
        <w:rPr>
          <w:lang w:val="en-US"/>
        </w:rPr>
      </w:pPr>
    </w:p>
    <w:p w:rsidR="00AF3451" w:rsidRDefault="00AF3451" w:rsidP="00E671FF">
      <w:pPr>
        <w:rPr>
          <w:lang w:val="en-US"/>
        </w:rPr>
      </w:pPr>
    </w:p>
    <w:p w:rsidR="00AF3451" w:rsidRDefault="00AF3451" w:rsidP="00E671FF">
      <w:pPr>
        <w:rPr>
          <w:lang w:val="en-US"/>
        </w:rPr>
      </w:pPr>
    </w:p>
    <w:p w:rsidR="00AF3451" w:rsidRDefault="00AF3451" w:rsidP="00E671FF">
      <w:pPr>
        <w:rPr>
          <w:lang w:val="en-US"/>
        </w:rPr>
      </w:pPr>
    </w:p>
    <w:p w:rsidR="00AF3451" w:rsidRDefault="00AF3451" w:rsidP="00E671FF">
      <w:pPr>
        <w:rPr>
          <w:lang w:val="en-US"/>
        </w:rPr>
      </w:pPr>
    </w:p>
    <w:p w:rsidR="00AF3451" w:rsidRDefault="00AF3451" w:rsidP="00E671FF">
      <w:pPr>
        <w:rPr>
          <w:lang w:val="en-US"/>
        </w:rPr>
      </w:pPr>
    </w:p>
    <w:p w:rsidR="00AF3451" w:rsidRDefault="00AF3451" w:rsidP="00E671FF">
      <w:pPr>
        <w:rPr>
          <w:lang w:val="en-US"/>
        </w:rPr>
      </w:pPr>
    </w:p>
    <w:p w:rsidR="00AF3451" w:rsidRDefault="00AF3451" w:rsidP="00E671FF">
      <w:pPr>
        <w:rPr>
          <w:lang w:val="en-US"/>
        </w:rPr>
      </w:pPr>
    </w:p>
    <w:p w:rsidR="00AF3451" w:rsidRDefault="00AF3451" w:rsidP="00E671FF">
      <w:pPr>
        <w:rPr>
          <w:lang w:val="en-US"/>
        </w:rPr>
      </w:pPr>
    </w:p>
    <w:p w:rsidR="00AF3451" w:rsidRDefault="00AF3451" w:rsidP="00E671FF">
      <w:pPr>
        <w:rPr>
          <w:lang w:val="en-US"/>
        </w:rPr>
      </w:pPr>
    </w:p>
    <w:p w:rsidR="00AF3451" w:rsidRDefault="00AF3451" w:rsidP="00E671FF">
      <w:pPr>
        <w:rPr>
          <w:lang w:val="en-US"/>
        </w:rPr>
      </w:pPr>
    </w:p>
    <w:p w:rsidR="00AF3451" w:rsidRDefault="00AF3451" w:rsidP="00E671FF">
      <w:pPr>
        <w:rPr>
          <w:lang w:val="en-US"/>
        </w:rPr>
      </w:pPr>
    </w:p>
    <w:p w:rsidR="00AF3451" w:rsidRDefault="00AF3451" w:rsidP="00E671FF">
      <w:pPr>
        <w:rPr>
          <w:lang w:val="en-US"/>
        </w:rPr>
      </w:pPr>
    </w:p>
    <w:p w:rsidR="00AF3451" w:rsidRDefault="00AF3451" w:rsidP="00E671FF">
      <w:pPr>
        <w:rPr>
          <w:lang w:val="en-US"/>
        </w:rPr>
      </w:pPr>
    </w:p>
    <w:p w:rsidR="00AF3451" w:rsidRDefault="00AF3451" w:rsidP="00E671FF">
      <w:pPr>
        <w:rPr>
          <w:lang w:val="en-US"/>
        </w:rPr>
      </w:pPr>
    </w:p>
    <w:p w:rsidR="00AF3451" w:rsidRDefault="00AF3451" w:rsidP="00E671FF">
      <w:pPr>
        <w:rPr>
          <w:lang w:val="en-US"/>
        </w:rPr>
      </w:pPr>
    </w:p>
    <w:p w:rsidR="00AF3451" w:rsidRDefault="00AF3451" w:rsidP="00E671FF">
      <w:pPr>
        <w:rPr>
          <w:lang w:val="en-US"/>
        </w:rPr>
      </w:pPr>
    </w:p>
    <w:p w:rsidR="00AF3451" w:rsidRDefault="00AF3451" w:rsidP="00E671FF">
      <w:pPr>
        <w:rPr>
          <w:lang w:val="en-US"/>
        </w:rPr>
      </w:pPr>
    </w:p>
    <w:p w:rsidR="00AF3451" w:rsidRDefault="00AF3451" w:rsidP="00E671FF">
      <w:pPr>
        <w:rPr>
          <w:lang w:val="en-US"/>
        </w:rPr>
      </w:pPr>
    </w:p>
    <w:p w:rsidR="00AF3451" w:rsidRDefault="00AF3451" w:rsidP="00E671FF">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F4295" w:rsidTr="000C2826">
        <w:tc>
          <w:tcPr>
            <w:tcW w:w="4508" w:type="dxa"/>
          </w:tcPr>
          <w:p w:rsidR="000F4295" w:rsidRDefault="000F4295" w:rsidP="000F4295">
            <w:pPr>
              <w:pStyle w:val="MainText"/>
              <w:jc w:val="center"/>
            </w:pPr>
            <w:r>
              <w:rPr>
                <w:noProof/>
                <w:lang w:val="en-GB" w:eastAsia="en-GB"/>
              </w:rPr>
              <w:lastRenderedPageBreak/>
              <w:drawing>
                <wp:inline distT="0" distB="0" distL="0" distR="0">
                  <wp:extent cx="2186154" cy="2520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6154" cy="2520000"/>
                          </a:xfrm>
                          <a:prstGeom prst="rect">
                            <a:avLst/>
                          </a:prstGeom>
                        </pic:spPr>
                      </pic:pic>
                    </a:graphicData>
                  </a:graphic>
                </wp:inline>
              </w:drawing>
            </w:r>
          </w:p>
        </w:tc>
        <w:tc>
          <w:tcPr>
            <w:tcW w:w="4508" w:type="dxa"/>
          </w:tcPr>
          <w:p w:rsidR="000F4295" w:rsidRDefault="000F4295" w:rsidP="000F4295">
            <w:pPr>
              <w:pStyle w:val="MainText"/>
              <w:jc w:val="center"/>
            </w:pPr>
            <w:r>
              <w:rPr>
                <w:noProof/>
                <w:lang w:val="en-GB" w:eastAsia="en-GB"/>
              </w:rPr>
              <w:drawing>
                <wp:inline distT="0" distB="0" distL="0" distR="0">
                  <wp:extent cx="2215652" cy="252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1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5652" cy="2520000"/>
                          </a:xfrm>
                          <a:prstGeom prst="rect">
                            <a:avLst/>
                          </a:prstGeom>
                        </pic:spPr>
                      </pic:pic>
                    </a:graphicData>
                  </a:graphic>
                </wp:inline>
              </w:drawing>
            </w:r>
          </w:p>
        </w:tc>
      </w:tr>
      <w:tr w:rsidR="000F4295" w:rsidTr="000C2826">
        <w:trPr>
          <w:trHeight w:hRule="exact" w:val="284"/>
        </w:trPr>
        <w:tc>
          <w:tcPr>
            <w:tcW w:w="4508" w:type="dxa"/>
          </w:tcPr>
          <w:p w:rsidR="000F4295" w:rsidRPr="000F4295" w:rsidRDefault="000F4295" w:rsidP="000F4295">
            <w:pPr>
              <w:pStyle w:val="MainText"/>
              <w:jc w:val="center"/>
              <w:rPr>
                <w:b/>
              </w:rPr>
            </w:pPr>
            <w:r w:rsidRPr="000F4295">
              <w:rPr>
                <w:b/>
              </w:rPr>
              <w:t>(a)</w:t>
            </w:r>
          </w:p>
        </w:tc>
        <w:tc>
          <w:tcPr>
            <w:tcW w:w="4508" w:type="dxa"/>
          </w:tcPr>
          <w:p w:rsidR="000F4295" w:rsidRPr="000F4295" w:rsidRDefault="000F4295" w:rsidP="000F4295">
            <w:pPr>
              <w:pStyle w:val="MainText"/>
              <w:jc w:val="center"/>
              <w:rPr>
                <w:b/>
              </w:rPr>
            </w:pPr>
            <w:r w:rsidRPr="000F4295">
              <w:rPr>
                <w:b/>
              </w:rPr>
              <w:t>(b)</w:t>
            </w:r>
          </w:p>
        </w:tc>
      </w:tr>
    </w:tbl>
    <w:p w:rsidR="00D24893" w:rsidRDefault="00D24893" w:rsidP="00E671FF">
      <w:pPr>
        <w:pStyle w:val="MainText"/>
      </w:pPr>
    </w:p>
    <w:p w:rsidR="00AF3451" w:rsidRDefault="00AF3451" w:rsidP="00AF3451">
      <w:pPr>
        <w:pStyle w:val="Legend"/>
        <w:spacing w:line="480" w:lineRule="auto"/>
        <w:jc w:val="center"/>
        <w:rPr>
          <w:b/>
          <w:highlight w:val="yellow"/>
        </w:rPr>
      </w:pPr>
      <w:r>
        <w:rPr>
          <w:b/>
          <w:noProof/>
          <w:lang w:val="en-GB" w:eastAsia="en-GB"/>
        </w:rPr>
        <w:drawing>
          <wp:inline distT="0" distB="0" distL="0" distR="0">
            <wp:extent cx="3646800" cy="265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1c.jpg"/>
                    <pic:cNvPicPr/>
                  </pic:nvPicPr>
                  <pic:blipFill>
                    <a:blip r:embed="rId10">
                      <a:extLst>
                        <a:ext uri="{28A0092B-C50C-407E-A947-70E740481C1C}">
                          <a14:useLocalDpi xmlns:a14="http://schemas.microsoft.com/office/drawing/2010/main" val="0"/>
                        </a:ext>
                      </a:extLst>
                    </a:blip>
                    <a:stretch>
                      <a:fillRect/>
                    </a:stretch>
                  </pic:blipFill>
                  <pic:spPr>
                    <a:xfrm>
                      <a:off x="0" y="0"/>
                      <a:ext cx="3646800" cy="2653200"/>
                    </a:xfrm>
                    <a:prstGeom prst="rect">
                      <a:avLst/>
                    </a:prstGeom>
                  </pic:spPr>
                </pic:pic>
              </a:graphicData>
            </a:graphic>
          </wp:inline>
        </w:drawing>
      </w:r>
    </w:p>
    <w:p w:rsidR="00AF3451" w:rsidRPr="00AF3451" w:rsidRDefault="00AF3451" w:rsidP="00AF3451">
      <w:pPr>
        <w:pStyle w:val="Legend"/>
        <w:spacing w:line="480" w:lineRule="auto"/>
        <w:jc w:val="center"/>
        <w:rPr>
          <w:b/>
        </w:rPr>
      </w:pPr>
      <w:r w:rsidRPr="00AF3451">
        <w:rPr>
          <w:b/>
        </w:rPr>
        <w:t>(c)</w:t>
      </w:r>
    </w:p>
    <w:p w:rsidR="00AF3451" w:rsidRDefault="00AF3451" w:rsidP="000F4295">
      <w:pPr>
        <w:pStyle w:val="Legend"/>
        <w:spacing w:line="480" w:lineRule="auto"/>
        <w:rPr>
          <w:b/>
          <w:highlight w:val="yellow"/>
        </w:rPr>
      </w:pPr>
    </w:p>
    <w:p w:rsidR="000F4295" w:rsidRPr="00AF3451" w:rsidRDefault="000F4295" w:rsidP="000F4295">
      <w:pPr>
        <w:pStyle w:val="Legend"/>
        <w:spacing w:line="480" w:lineRule="auto"/>
      </w:pPr>
      <w:r w:rsidRPr="002565CA">
        <w:rPr>
          <w:b/>
        </w:rPr>
        <w:t>Figure 1.</w:t>
      </w:r>
      <w:r w:rsidRPr="002565CA">
        <w:t xml:space="preserve"> Schematic illustration of (a) Sb</w:t>
      </w:r>
      <w:r w:rsidRPr="002565CA">
        <w:rPr>
          <w:vertAlign w:val="subscript"/>
        </w:rPr>
        <w:t>2</w:t>
      </w:r>
      <w:r w:rsidRPr="002565CA">
        <w:t>Se</w:t>
      </w:r>
      <w:r w:rsidRPr="002565CA">
        <w:rPr>
          <w:vertAlign w:val="subscript"/>
        </w:rPr>
        <w:t>3</w:t>
      </w:r>
      <w:r w:rsidRPr="002565CA">
        <w:t>-CdS and (b) Sb</w:t>
      </w:r>
      <w:r w:rsidRPr="002565CA">
        <w:rPr>
          <w:vertAlign w:val="subscript"/>
        </w:rPr>
        <w:t>2</w:t>
      </w:r>
      <w:r w:rsidRPr="002565CA">
        <w:t>Se</w:t>
      </w:r>
      <w:r w:rsidRPr="002565CA">
        <w:rPr>
          <w:vertAlign w:val="subscript"/>
        </w:rPr>
        <w:t>3</w:t>
      </w:r>
      <w:r w:rsidRPr="002565CA">
        <w:t>-TiO</w:t>
      </w:r>
      <w:r w:rsidRPr="002565CA">
        <w:rPr>
          <w:vertAlign w:val="subscript"/>
        </w:rPr>
        <w:t>2</w:t>
      </w:r>
      <w:r w:rsidRPr="002565CA">
        <w:t xml:space="preserve"> device structures. The individual layers are not drawn to scale. Devices are fabricated in the superstrate configuration with light entering through the glass.</w:t>
      </w:r>
      <w:r w:rsidR="00AF3451" w:rsidRPr="002565CA">
        <w:t xml:space="preserve"> (c) </w:t>
      </w:r>
      <w:proofErr w:type="gramStart"/>
      <w:r w:rsidR="00AF3451" w:rsidRPr="002565CA">
        <w:t>plots</w:t>
      </w:r>
      <w:proofErr w:type="gramEnd"/>
      <w:r w:rsidR="00AF3451" w:rsidRPr="002565CA">
        <w:t xml:space="preserve"> </w:t>
      </w:r>
      <w:r w:rsidR="00AF3451" w:rsidRPr="002565CA">
        <w:rPr>
          <w:i/>
        </w:rPr>
        <w:t>JV</w:t>
      </w:r>
      <w:r w:rsidR="00AF3451" w:rsidRPr="002565CA">
        <w:t>-curves for the different devices. ‘CSS’ and ‘TE’ are abbreviations for close space sublimation and thermal evaporation.</w:t>
      </w:r>
    </w:p>
    <w:p w:rsidR="00D24893" w:rsidRDefault="00D24893" w:rsidP="00E671FF">
      <w:pPr>
        <w:pStyle w:val="MainText"/>
      </w:pPr>
    </w:p>
    <w:p w:rsidR="00E671FF" w:rsidRDefault="00E671FF" w:rsidP="00E671FF">
      <w:pPr>
        <w:pStyle w:val="MainText"/>
      </w:pPr>
    </w:p>
    <w:p w:rsidR="000F4295" w:rsidRPr="005D216C" w:rsidRDefault="000F4295" w:rsidP="00E671FF">
      <w:pPr>
        <w:pStyle w:val="Main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2"/>
      </w:tblGrid>
      <w:tr w:rsidR="00E671FF" w:rsidTr="006E251B">
        <w:tc>
          <w:tcPr>
            <w:tcW w:w="4531" w:type="dxa"/>
          </w:tcPr>
          <w:p w:rsidR="00E671FF" w:rsidRDefault="00E671FF" w:rsidP="006E251B">
            <w:pPr>
              <w:pStyle w:val="MainText"/>
              <w:jc w:val="center"/>
            </w:pPr>
            <w:r>
              <w:rPr>
                <w:noProof/>
                <w:lang w:val="en-GB" w:eastAsia="en-GB"/>
              </w:rPr>
              <w:drawing>
                <wp:inline distT="0" distB="0" distL="0" distR="0" wp14:anchorId="44B911E0" wp14:editId="0AEF912D">
                  <wp:extent cx="2502940" cy="216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2940" cy="2160000"/>
                          </a:xfrm>
                          <a:prstGeom prst="rect">
                            <a:avLst/>
                          </a:prstGeom>
                        </pic:spPr>
                      </pic:pic>
                    </a:graphicData>
                  </a:graphic>
                </wp:inline>
              </w:drawing>
            </w:r>
          </w:p>
        </w:tc>
        <w:tc>
          <w:tcPr>
            <w:tcW w:w="4531" w:type="dxa"/>
          </w:tcPr>
          <w:p w:rsidR="00E671FF" w:rsidRDefault="00E671FF" w:rsidP="006E251B">
            <w:pPr>
              <w:pStyle w:val="MainText"/>
              <w:jc w:val="center"/>
            </w:pPr>
            <w:r>
              <w:rPr>
                <w:noProof/>
                <w:lang w:val="en-GB" w:eastAsia="en-GB"/>
              </w:rPr>
              <w:drawing>
                <wp:inline distT="0" distB="0" distL="0" distR="0" wp14:anchorId="23A113D0" wp14:editId="7581C955">
                  <wp:extent cx="2497199" cy="216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1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7199" cy="2160000"/>
                          </a:xfrm>
                          <a:prstGeom prst="rect">
                            <a:avLst/>
                          </a:prstGeom>
                        </pic:spPr>
                      </pic:pic>
                    </a:graphicData>
                  </a:graphic>
                </wp:inline>
              </w:drawing>
            </w:r>
          </w:p>
        </w:tc>
      </w:tr>
      <w:tr w:rsidR="00E671FF" w:rsidTr="006E251B">
        <w:trPr>
          <w:trHeight w:hRule="exact" w:val="397"/>
        </w:trPr>
        <w:tc>
          <w:tcPr>
            <w:tcW w:w="4531" w:type="dxa"/>
          </w:tcPr>
          <w:p w:rsidR="00E671FF" w:rsidRPr="00A0331D" w:rsidRDefault="00E671FF" w:rsidP="006E251B">
            <w:pPr>
              <w:pStyle w:val="MainText"/>
              <w:jc w:val="center"/>
              <w:rPr>
                <w:b/>
              </w:rPr>
            </w:pPr>
            <w:r>
              <w:rPr>
                <w:b/>
              </w:rPr>
              <w:t>(a)</w:t>
            </w:r>
          </w:p>
        </w:tc>
        <w:tc>
          <w:tcPr>
            <w:tcW w:w="4531" w:type="dxa"/>
          </w:tcPr>
          <w:p w:rsidR="00E671FF" w:rsidRPr="00A0331D" w:rsidRDefault="00E671FF" w:rsidP="006E251B">
            <w:pPr>
              <w:pStyle w:val="MainText"/>
              <w:jc w:val="center"/>
              <w:rPr>
                <w:b/>
              </w:rPr>
            </w:pPr>
            <w:r w:rsidRPr="00A0331D">
              <w:rPr>
                <w:b/>
              </w:rPr>
              <w:t>(b)</w:t>
            </w:r>
          </w:p>
        </w:tc>
      </w:tr>
      <w:tr w:rsidR="00E671FF" w:rsidTr="006E251B">
        <w:tc>
          <w:tcPr>
            <w:tcW w:w="4531" w:type="dxa"/>
          </w:tcPr>
          <w:p w:rsidR="00E671FF" w:rsidRDefault="00E671FF" w:rsidP="006E251B">
            <w:pPr>
              <w:pStyle w:val="MainText"/>
              <w:jc w:val="center"/>
            </w:pPr>
            <w:r>
              <w:rPr>
                <w:noProof/>
                <w:lang w:val="en-GB" w:eastAsia="en-GB"/>
              </w:rPr>
              <w:drawing>
                <wp:inline distT="0" distB="0" distL="0" distR="0" wp14:anchorId="0F15B99E" wp14:editId="4F7EA010">
                  <wp:extent cx="2505821" cy="21600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1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5821" cy="2160000"/>
                          </a:xfrm>
                          <a:prstGeom prst="rect">
                            <a:avLst/>
                          </a:prstGeom>
                        </pic:spPr>
                      </pic:pic>
                    </a:graphicData>
                  </a:graphic>
                </wp:inline>
              </w:drawing>
            </w:r>
          </w:p>
        </w:tc>
        <w:tc>
          <w:tcPr>
            <w:tcW w:w="4531" w:type="dxa"/>
          </w:tcPr>
          <w:p w:rsidR="00E671FF" w:rsidRDefault="00E671FF" w:rsidP="006E251B">
            <w:pPr>
              <w:pStyle w:val="MainText"/>
              <w:jc w:val="center"/>
            </w:pPr>
            <w:r>
              <w:rPr>
                <w:noProof/>
                <w:lang w:val="en-GB" w:eastAsia="en-GB"/>
              </w:rPr>
              <w:drawing>
                <wp:inline distT="0" distB="0" distL="0" distR="0" wp14:anchorId="47CF7275" wp14:editId="7C66DAE0">
                  <wp:extent cx="2497199" cy="216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1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7199" cy="2160000"/>
                          </a:xfrm>
                          <a:prstGeom prst="rect">
                            <a:avLst/>
                          </a:prstGeom>
                        </pic:spPr>
                      </pic:pic>
                    </a:graphicData>
                  </a:graphic>
                </wp:inline>
              </w:drawing>
            </w:r>
          </w:p>
        </w:tc>
      </w:tr>
      <w:tr w:rsidR="00E671FF" w:rsidTr="006E251B">
        <w:trPr>
          <w:trHeight w:hRule="exact" w:val="397"/>
        </w:trPr>
        <w:tc>
          <w:tcPr>
            <w:tcW w:w="4531" w:type="dxa"/>
          </w:tcPr>
          <w:p w:rsidR="00E671FF" w:rsidRPr="00A0331D" w:rsidRDefault="00E671FF" w:rsidP="006E251B">
            <w:pPr>
              <w:pStyle w:val="MainText"/>
              <w:jc w:val="center"/>
              <w:rPr>
                <w:b/>
              </w:rPr>
            </w:pPr>
            <w:r>
              <w:rPr>
                <w:b/>
              </w:rPr>
              <w:t>(c)</w:t>
            </w:r>
          </w:p>
        </w:tc>
        <w:tc>
          <w:tcPr>
            <w:tcW w:w="4531" w:type="dxa"/>
          </w:tcPr>
          <w:p w:rsidR="00E671FF" w:rsidRPr="00A0331D" w:rsidRDefault="00E671FF" w:rsidP="006E251B">
            <w:pPr>
              <w:pStyle w:val="MainText"/>
              <w:jc w:val="center"/>
              <w:rPr>
                <w:b/>
              </w:rPr>
            </w:pPr>
            <w:r>
              <w:rPr>
                <w:b/>
              </w:rPr>
              <w:t>(d)</w:t>
            </w:r>
          </w:p>
        </w:tc>
      </w:tr>
    </w:tbl>
    <w:p w:rsidR="00E671FF" w:rsidRPr="00EF4114" w:rsidRDefault="00E671FF" w:rsidP="00E671FF">
      <w:pPr>
        <w:pStyle w:val="Legend"/>
      </w:pPr>
    </w:p>
    <w:p w:rsidR="00234C2C" w:rsidRDefault="00234C2C" w:rsidP="00234C2C">
      <w:pPr>
        <w:pStyle w:val="Legend"/>
        <w:spacing w:line="480" w:lineRule="auto"/>
        <w:rPr>
          <w:b/>
        </w:rPr>
      </w:pPr>
    </w:p>
    <w:p w:rsidR="00E671FF" w:rsidRDefault="00E671FF" w:rsidP="00234C2C">
      <w:pPr>
        <w:pStyle w:val="Legend"/>
        <w:spacing w:line="480" w:lineRule="auto"/>
      </w:pPr>
      <w:r w:rsidRPr="00EF4114">
        <w:rPr>
          <w:b/>
        </w:rPr>
        <w:t xml:space="preserve">Figure </w:t>
      </w:r>
      <w:r w:rsidR="000F4295">
        <w:rPr>
          <w:b/>
        </w:rPr>
        <w:t>2</w:t>
      </w:r>
      <w:r w:rsidRPr="00EF4114">
        <w:rPr>
          <w:b/>
        </w:rPr>
        <w:t>.</w:t>
      </w:r>
      <w:r w:rsidRPr="00EF4114">
        <w:t xml:space="preserve"> </w:t>
      </w:r>
      <w:r>
        <w:t>Secondary electron SEM images of the Sb</w:t>
      </w:r>
      <w:r>
        <w:rPr>
          <w:vertAlign w:val="subscript"/>
        </w:rPr>
        <w:t>2</w:t>
      </w:r>
      <w:r>
        <w:t>Se</w:t>
      </w:r>
      <w:r>
        <w:rPr>
          <w:vertAlign w:val="subscript"/>
        </w:rPr>
        <w:t>3</w:t>
      </w:r>
      <w:r>
        <w:t xml:space="preserve"> absorber layer back surface. The devices are (a) CSS Sb</w:t>
      </w:r>
      <w:r>
        <w:rPr>
          <w:vertAlign w:val="subscript"/>
        </w:rPr>
        <w:t>2</w:t>
      </w:r>
      <w:r>
        <w:t>Se</w:t>
      </w:r>
      <w:r>
        <w:rPr>
          <w:vertAlign w:val="subscript"/>
        </w:rPr>
        <w:t>3</w:t>
      </w:r>
      <w:r>
        <w:t>-CdS, (b) TE Sb</w:t>
      </w:r>
      <w:r>
        <w:rPr>
          <w:vertAlign w:val="subscript"/>
        </w:rPr>
        <w:t>2</w:t>
      </w:r>
      <w:r>
        <w:t>Se</w:t>
      </w:r>
      <w:r>
        <w:rPr>
          <w:vertAlign w:val="subscript"/>
        </w:rPr>
        <w:t>3</w:t>
      </w:r>
      <w:r>
        <w:t>-CdS, (c) seed layer CSS Sb</w:t>
      </w:r>
      <w:r>
        <w:rPr>
          <w:vertAlign w:val="subscript"/>
        </w:rPr>
        <w:t>2</w:t>
      </w:r>
      <w:r>
        <w:t>Se</w:t>
      </w:r>
      <w:r>
        <w:rPr>
          <w:vertAlign w:val="subscript"/>
        </w:rPr>
        <w:t>3</w:t>
      </w:r>
      <w:r>
        <w:t>-TiO</w:t>
      </w:r>
      <w:r>
        <w:rPr>
          <w:vertAlign w:val="subscript"/>
        </w:rPr>
        <w:t>2</w:t>
      </w:r>
      <w:r>
        <w:t xml:space="preserve"> and (d) two-stage CSS Sb</w:t>
      </w:r>
      <w:r>
        <w:rPr>
          <w:vertAlign w:val="subscript"/>
        </w:rPr>
        <w:t>2</w:t>
      </w:r>
      <w:r>
        <w:t>Se</w:t>
      </w:r>
      <w:r>
        <w:rPr>
          <w:vertAlign w:val="subscript"/>
        </w:rPr>
        <w:t>3</w:t>
      </w:r>
      <w:r>
        <w:t>-TiO</w:t>
      </w:r>
      <w:r>
        <w:rPr>
          <w:vertAlign w:val="subscript"/>
        </w:rPr>
        <w:t>2</w:t>
      </w:r>
      <w:r>
        <w:t>, where CSS is close space sublimation and TE is thermal evaporation.</w:t>
      </w:r>
    </w:p>
    <w:p w:rsidR="00E671FF" w:rsidRDefault="00E671FF" w:rsidP="00E671FF">
      <w:pPr>
        <w:pStyle w:val="Legend"/>
      </w:pPr>
    </w:p>
    <w:p w:rsidR="00E671FF" w:rsidRDefault="00E671FF" w:rsidP="00E671FF">
      <w:pPr>
        <w:pStyle w:val="Legend"/>
      </w:pPr>
    </w:p>
    <w:p w:rsidR="00E671FF" w:rsidRDefault="00E671FF" w:rsidP="00E671FF">
      <w:pPr>
        <w:pStyle w:val="Legend"/>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E671FF" w:rsidTr="006E251B">
        <w:tc>
          <w:tcPr>
            <w:tcW w:w="4531" w:type="dxa"/>
          </w:tcPr>
          <w:p w:rsidR="00E671FF" w:rsidRDefault="00E671FF" w:rsidP="006E251B">
            <w:pPr>
              <w:pStyle w:val="Legend"/>
              <w:jc w:val="center"/>
              <w:rPr>
                <w:b/>
              </w:rPr>
            </w:pPr>
            <w:r>
              <w:rPr>
                <w:b/>
                <w:noProof/>
                <w:lang w:val="en-GB" w:eastAsia="en-GB"/>
              </w:rPr>
              <w:lastRenderedPageBreak/>
              <w:drawing>
                <wp:inline distT="0" distB="0" distL="0" distR="0" wp14:anchorId="10E7C48E" wp14:editId="266C34C2">
                  <wp:extent cx="2520000"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2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c>
          <w:tcPr>
            <w:tcW w:w="4531" w:type="dxa"/>
          </w:tcPr>
          <w:p w:rsidR="00E671FF" w:rsidRDefault="00E671FF" w:rsidP="006E251B">
            <w:pPr>
              <w:pStyle w:val="Legend"/>
              <w:jc w:val="center"/>
              <w:rPr>
                <w:b/>
              </w:rPr>
            </w:pPr>
            <w:r>
              <w:rPr>
                <w:b/>
                <w:noProof/>
                <w:lang w:val="en-GB" w:eastAsia="en-GB"/>
              </w:rPr>
              <w:drawing>
                <wp:inline distT="0" distB="0" distL="0" distR="0" wp14:anchorId="2030C0A8" wp14:editId="095BC021">
                  <wp:extent cx="2513716" cy="25200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2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3716" cy="2520000"/>
                          </a:xfrm>
                          <a:prstGeom prst="rect">
                            <a:avLst/>
                          </a:prstGeom>
                        </pic:spPr>
                      </pic:pic>
                    </a:graphicData>
                  </a:graphic>
                </wp:inline>
              </w:drawing>
            </w:r>
          </w:p>
        </w:tc>
      </w:tr>
      <w:tr w:rsidR="00E671FF" w:rsidTr="006E251B">
        <w:tc>
          <w:tcPr>
            <w:tcW w:w="4531" w:type="dxa"/>
          </w:tcPr>
          <w:p w:rsidR="00E671FF" w:rsidRDefault="00E671FF" w:rsidP="006E251B">
            <w:pPr>
              <w:pStyle w:val="Legend"/>
              <w:jc w:val="center"/>
              <w:rPr>
                <w:b/>
              </w:rPr>
            </w:pPr>
            <w:r>
              <w:rPr>
                <w:b/>
              </w:rPr>
              <w:t>(a)</w:t>
            </w:r>
          </w:p>
        </w:tc>
        <w:tc>
          <w:tcPr>
            <w:tcW w:w="4531" w:type="dxa"/>
          </w:tcPr>
          <w:p w:rsidR="00E671FF" w:rsidRDefault="00E671FF" w:rsidP="006E251B">
            <w:pPr>
              <w:pStyle w:val="Legend"/>
              <w:jc w:val="center"/>
              <w:rPr>
                <w:b/>
              </w:rPr>
            </w:pPr>
            <w:r>
              <w:rPr>
                <w:b/>
              </w:rPr>
              <w:t>(b)</w:t>
            </w:r>
          </w:p>
        </w:tc>
      </w:tr>
      <w:tr w:rsidR="00E671FF" w:rsidTr="006E251B">
        <w:tc>
          <w:tcPr>
            <w:tcW w:w="4531" w:type="dxa"/>
          </w:tcPr>
          <w:p w:rsidR="00E671FF" w:rsidRDefault="00E671FF" w:rsidP="006E251B">
            <w:pPr>
              <w:pStyle w:val="Legend"/>
              <w:jc w:val="center"/>
              <w:rPr>
                <w:b/>
              </w:rPr>
            </w:pPr>
            <w:r>
              <w:rPr>
                <w:b/>
                <w:noProof/>
                <w:lang w:val="en-GB" w:eastAsia="en-GB"/>
              </w:rPr>
              <w:drawing>
                <wp:inline distT="0" distB="0" distL="0" distR="0" wp14:anchorId="1FE67653" wp14:editId="67561ACD">
                  <wp:extent cx="2520000" cy="252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2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c>
          <w:tcPr>
            <w:tcW w:w="4531" w:type="dxa"/>
          </w:tcPr>
          <w:p w:rsidR="00E671FF" w:rsidRDefault="00E671FF" w:rsidP="006E251B">
            <w:pPr>
              <w:pStyle w:val="Legend"/>
              <w:jc w:val="center"/>
              <w:rPr>
                <w:b/>
              </w:rPr>
            </w:pPr>
            <w:r>
              <w:rPr>
                <w:b/>
                <w:noProof/>
                <w:lang w:val="en-GB" w:eastAsia="en-GB"/>
              </w:rPr>
              <w:drawing>
                <wp:inline distT="0" distB="0" distL="0" distR="0" wp14:anchorId="6D4F23B4" wp14:editId="1019AC8D">
                  <wp:extent cx="2520000" cy="252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2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tc>
      </w:tr>
      <w:tr w:rsidR="00E671FF" w:rsidTr="006E251B">
        <w:tc>
          <w:tcPr>
            <w:tcW w:w="4531" w:type="dxa"/>
          </w:tcPr>
          <w:p w:rsidR="00E671FF" w:rsidRPr="00FB0E32" w:rsidRDefault="00E671FF" w:rsidP="006E251B">
            <w:pPr>
              <w:pStyle w:val="Legend"/>
              <w:jc w:val="center"/>
              <w:rPr>
                <w:b/>
              </w:rPr>
            </w:pPr>
            <w:r w:rsidRPr="00FB0E32">
              <w:rPr>
                <w:b/>
              </w:rPr>
              <w:t>(c)</w:t>
            </w:r>
          </w:p>
        </w:tc>
        <w:tc>
          <w:tcPr>
            <w:tcW w:w="4531" w:type="dxa"/>
          </w:tcPr>
          <w:p w:rsidR="00E671FF" w:rsidRDefault="00E671FF" w:rsidP="006E251B">
            <w:pPr>
              <w:pStyle w:val="Legend"/>
              <w:jc w:val="center"/>
              <w:rPr>
                <w:b/>
              </w:rPr>
            </w:pPr>
            <w:r>
              <w:rPr>
                <w:b/>
              </w:rPr>
              <w:t>(d)</w:t>
            </w:r>
          </w:p>
        </w:tc>
      </w:tr>
    </w:tbl>
    <w:p w:rsidR="00E671FF" w:rsidRDefault="00E671FF" w:rsidP="00E671FF">
      <w:pPr>
        <w:pStyle w:val="Legend"/>
        <w:rPr>
          <w:b/>
        </w:rPr>
      </w:pPr>
    </w:p>
    <w:p w:rsidR="00234C2C" w:rsidRDefault="00234C2C" w:rsidP="00234C2C">
      <w:pPr>
        <w:pStyle w:val="Legend"/>
        <w:spacing w:line="480" w:lineRule="auto"/>
        <w:rPr>
          <w:b/>
        </w:rPr>
      </w:pPr>
    </w:p>
    <w:p w:rsidR="00E671FF" w:rsidRDefault="00E671FF" w:rsidP="00234C2C">
      <w:pPr>
        <w:pStyle w:val="Legend"/>
        <w:spacing w:line="480" w:lineRule="auto"/>
      </w:pPr>
      <w:r w:rsidRPr="00EF4114">
        <w:rPr>
          <w:b/>
        </w:rPr>
        <w:t xml:space="preserve">Figure </w:t>
      </w:r>
      <w:r w:rsidR="000F4295">
        <w:rPr>
          <w:b/>
        </w:rPr>
        <w:t>3</w:t>
      </w:r>
      <w:r w:rsidRPr="00EF4114">
        <w:rPr>
          <w:b/>
        </w:rPr>
        <w:t>.</w:t>
      </w:r>
      <w:r w:rsidRPr="00EF4114">
        <w:t xml:space="preserve"> </w:t>
      </w:r>
      <w:r>
        <w:t>STEM bright field images of Sb</w:t>
      </w:r>
      <w:r>
        <w:rPr>
          <w:vertAlign w:val="subscript"/>
        </w:rPr>
        <w:t>2</w:t>
      </w:r>
      <w:r>
        <w:t>Se</w:t>
      </w:r>
      <w:r>
        <w:rPr>
          <w:vertAlign w:val="subscript"/>
        </w:rPr>
        <w:t>3</w:t>
      </w:r>
      <w:r>
        <w:t xml:space="preserve"> thin-film photovoltaics. The devices are (a) CSS Sb</w:t>
      </w:r>
      <w:r>
        <w:rPr>
          <w:vertAlign w:val="subscript"/>
        </w:rPr>
        <w:t>2</w:t>
      </w:r>
      <w:r>
        <w:t>Se</w:t>
      </w:r>
      <w:r>
        <w:rPr>
          <w:vertAlign w:val="subscript"/>
        </w:rPr>
        <w:t>3</w:t>
      </w:r>
      <w:r>
        <w:t>-CdS, (b) TE Sb</w:t>
      </w:r>
      <w:r>
        <w:rPr>
          <w:vertAlign w:val="subscript"/>
        </w:rPr>
        <w:t>2</w:t>
      </w:r>
      <w:r>
        <w:t>Se</w:t>
      </w:r>
      <w:r>
        <w:rPr>
          <w:vertAlign w:val="subscript"/>
        </w:rPr>
        <w:t>3</w:t>
      </w:r>
      <w:r>
        <w:t>-CdS, (c) seed layer CSS Sb</w:t>
      </w:r>
      <w:r>
        <w:rPr>
          <w:vertAlign w:val="subscript"/>
        </w:rPr>
        <w:t>2</w:t>
      </w:r>
      <w:r>
        <w:t>Se</w:t>
      </w:r>
      <w:r>
        <w:rPr>
          <w:vertAlign w:val="subscript"/>
        </w:rPr>
        <w:t>3</w:t>
      </w:r>
      <w:r>
        <w:t>-TiO</w:t>
      </w:r>
      <w:r>
        <w:rPr>
          <w:vertAlign w:val="subscript"/>
        </w:rPr>
        <w:t>2</w:t>
      </w:r>
      <w:r>
        <w:t xml:space="preserve"> and (d) two-stage CSS Sb</w:t>
      </w:r>
      <w:r>
        <w:rPr>
          <w:vertAlign w:val="subscript"/>
        </w:rPr>
        <w:t>2</w:t>
      </w:r>
      <w:r>
        <w:t>Se</w:t>
      </w:r>
      <w:r>
        <w:rPr>
          <w:vertAlign w:val="subscript"/>
        </w:rPr>
        <w:t>3</w:t>
      </w:r>
      <w:r>
        <w:t>-TiO</w:t>
      </w:r>
      <w:r>
        <w:rPr>
          <w:vertAlign w:val="subscript"/>
        </w:rPr>
        <w:t>2</w:t>
      </w:r>
      <w:r>
        <w:t>, where CSS is close space sublimation and TE is thermal evaporation. The carbon and platinum layers are protective layers used in FIB TEM sample preparation. Note the differences in scale between images.</w:t>
      </w:r>
    </w:p>
    <w:p w:rsidR="00E671FF" w:rsidRDefault="00E671FF" w:rsidP="00E671FF">
      <w:pPr>
        <w:pStyle w:val="Legend"/>
      </w:pPr>
    </w:p>
    <w:p w:rsidR="00E671FF" w:rsidRDefault="00E671FF" w:rsidP="00E671FF">
      <w:pPr>
        <w:pStyle w:val="Legend"/>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9"/>
        <w:gridCol w:w="4507"/>
      </w:tblGrid>
      <w:tr w:rsidR="00E671FF" w:rsidTr="006E251B">
        <w:tc>
          <w:tcPr>
            <w:tcW w:w="4531" w:type="dxa"/>
          </w:tcPr>
          <w:p w:rsidR="00E671FF" w:rsidRDefault="00E671FF" w:rsidP="006E251B">
            <w:pPr>
              <w:pStyle w:val="Legend"/>
              <w:jc w:val="center"/>
            </w:pPr>
            <w:r>
              <w:rPr>
                <w:noProof/>
                <w:lang w:val="en-GB" w:eastAsia="en-GB"/>
              </w:rPr>
              <w:lastRenderedPageBreak/>
              <w:drawing>
                <wp:inline distT="0" distB="0" distL="0" distR="0" wp14:anchorId="43FD4FF3" wp14:editId="67F0F5FE">
                  <wp:extent cx="2634161" cy="216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3a.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4161" cy="2160000"/>
                          </a:xfrm>
                          <a:prstGeom prst="rect">
                            <a:avLst/>
                          </a:prstGeom>
                        </pic:spPr>
                      </pic:pic>
                    </a:graphicData>
                  </a:graphic>
                </wp:inline>
              </w:drawing>
            </w:r>
          </w:p>
        </w:tc>
        <w:tc>
          <w:tcPr>
            <w:tcW w:w="4531" w:type="dxa"/>
          </w:tcPr>
          <w:p w:rsidR="00E671FF" w:rsidRDefault="00E671FF" w:rsidP="006E251B">
            <w:pPr>
              <w:pStyle w:val="Legend"/>
              <w:jc w:val="center"/>
            </w:pPr>
            <w:r>
              <w:rPr>
                <w:noProof/>
                <w:lang w:val="en-GB" w:eastAsia="en-GB"/>
              </w:rPr>
              <w:drawing>
                <wp:inline distT="0" distB="0" distL="0" distR="0" wp14:anchorId="2219ED83" wp14:editId="57B98511">
                  <wp:extent cx="2540255" cy="216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3b.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0255" cy="2160000"/>
                          </a:xfrm>
                          <a:prstGeom prst="rect">
                            <a:avLst/>
                          </a:prstGeom>
                        </pic:spPr>
                      </pic:pic>
                    </a:graphicData>
                  </a:graphic>
                </wp:inline>
              </w:drawing>
            </w:r>
          </w:p>
        </w:tc>
      </w:tr>
      <w:tr w:rsidR="00E671FF" w:rsidTr="006E251B">
        <w:tc>
          <w:tcPr>
            <w:tcW w:w="4531" w:type="dxa"/>
          </w:tcPr>
          <w:p w:rsidR="00E671FF" w:rsidRPr="00D53624" w:rsidRDefault="00E671FF" w:rsidP="006E251B">
            <w:pPr>
              <w:pStyle w:val="Legend"/>
              <w:jc w:val="center"/>
              <w:rPr>
                <w:b/>
              </w:rPr>
            </w:pPr>
            <w:r w:rsidRPr="00D53624">
              <w:rPr>
                <w:b/>
              </w:rPr>
              <w:t>(a)</w:t>
            </w:r>
          </w:p>
        </w:tc>
        <w:tc>
          <w:tcPr>
            <w:tcW w:w="4531" w:type="dxa"/>
          </w:tcPr>
          <w:p w:rsidR="00E671FF" w:rsidRPr="00D53624" w:rsidRDefault="00E671FF" w:rsidP="006E251B">
            <w:pPr>
              <w:pStyle w:val="Legend"/>
              <w:jc w:val="center"/>
              <w:rPr>
                <w:b/>
              </w:rPr>
            </w:pPr>
            <w:r w:rsidRPr="00D53624">
              <w:rPr>
                <w:b/>
              </w:rPr>
              <w:t>(b)</w:t>
            </w:r>
          </w:p>
        </w:tc>
      </w:tr>
    </w:tbl>
    <w:p w:rsidR="00E671FF" w:rsidRDefault="00E671FF" w:rsidP="00E671FF">
      <w:pPr>
        <w:pStyle w:val="Legend"/>
      </w:pPr>
    </w:p>
    <w:p w:rsidR="00E671FF" w:rsidRDefault="00E671FF" w:rsidP="00E671FF">
      <w:pPr>
        <w:pStyle w:val="Legend"/>
      </w:pPr>
    </w:p>
    <w:p w:rsidR="00E671FF" w:rsidRDefault="00E671FF" w:rsidP="00234C2C">
      <w:pPr>
        <w:pStyle w:val="Legend"/>
        <w:spacing w:line="480" w:lineRule="auto"/>
      </w:pPr>
      <w:r w:rsidRPr="00EF4114">
        <w:rPr>
          <w:b/>
        </w:rPr>
        <w:t xml:space="preserve">Figure </w:t>
      </w:r>
      <w:r w:rsidR="000F4295">
        <w:rPr>
          <w:b/>
        </w:rPr>
        <w:t>4</w:t>
      </w:r>
      <w:r w:rsidRPr="00EF4114">
        <w:rPr>
          <w:b/>
        </w:rPr>
        <w:t>.</w:t>
      </w:r>
      <w:r w:rsidRPr="00EF4114">
        <w:t xml:space="preserve"> </w:t>
      </w:r>
      <w:r>
        <w:t>Orientation of (Sb</w:t>
      </w:r>
      <w:r>
        <w:rPr>
          <w:vertAlign w:val="subscript"/>
        </w:rPr>
        <w:t>4</w:t>
      </w:r>
      <w:r>
        <w:t>Se</w:t>
      </w:r>
      <w:r>
        <w:rPr>
          <w:vertAlign w:val="subscript"/>
        </w:rPr>
        <w:t>6</w:t>
      </w:r>
      <w:proofErr w:type="gramStart"/>
      <w:r>
        <w:t>)</w:t>
      </w:r>
      <w:r w:rsidRPr="00A773D0">
        <w:rPr>
          <w:vertAlign w:val="subscript"/>
        </w:rPr>
        <w:t>n</w:t>
      </w:r>
      <w:proofErr w:type="gramEnd"/>
      <w:r>
        <w:t xml:space="preserve"> ribbons plotted as a function of grain ‘height’, i.e. grain dimension along the Sb</w:t>
      </w:r>
      <w:r>
        <w:rPr>
          <w:vertAlign w:val="subscript"/>
        </w:rPr>
        <w:t>2</w:t>
      </w:r>
      <w:r>
        <w:t>Se</w:t>
      </w:r>
      <w:r>
        <w:rPr>
          <w:vertAlign w:val="subscript"/>
        </w:rPr>
        <w:t xml:space="preserve">3 </w:t>
      </w:r>
      <w:r>
        <w:t>film thickness direction. A 0</w:t>
      </w:r>
      <w:r>
        <w:rPr>
          <w:vertAlign w:val="superscript"/>
        </w:rPr>
        <w:t>o</w:t>
      </w:r>
      <w:r>
        <w:t xml:space="preserve"> orientation corresponds to the (Sb</w:t>
      </w:r>
      <w:r>
        <w:rPr>
          <w:vertAlign w:val="subscript"/>
        </w:rPr>
        <w:t>4</w:t>
      </w:r>
      <w:r>
        <w:t>Se</w:t>
      </w:r>
      <w:r>
        <w:rPr>
          <w:vertAlign w:val="subscript"/>
        </w:rPr>
        <w:t>6</w:t>
      </w:r>
      <w:proofErr w:type="gramStart"/>
      <w:r>
        <w:t>)</w:t>
      </w:r>
      <w:r w:rsidRPr="00A773D0">
        <w:rPr>
          <w:vertAlign w:val="subscript"/>
        </w:rPr>
        <w:t>n</w:t>
      </w:r>
      <w:proofErr w:type="gramEnd"/>
      <w:r>
        <w:t xml:space="preserve"> ribbons lying normal to the substrate. The results for the two-stage CSS Sb</w:t>
      </w:r>
      <w:r>
        <w:rPr>
          <w:vertAlign w:val="subscript"/>
        </w:rPr>
        <w:t>2</w:t>
      </w:r>
      <w:r>
        <w:t>Se</w:t>
      </w:r>
      <w:r>
        <w:rPr>
          <w:vertAlign w:val="subscript"/>
        </w:rPr>
        <w:t>3</w:t>
      </w:r>
      <w:r>
        <w:t>-TiO</w:t>
      </w:r>
      <w:r>
        <w:rPr>
          <w:vertAlign w:val="subscript"/>
        </w:rPr>
        <w:t xml:space="preserve">2 </w:t>
      </w:r>
      <w:r>
        <w:t>device are shown in (a) while (b) corresponds to the CSS Sb</w:t>
      </w:r>
      <w:r>
        <w:rPr>
          <w:vertAlign w:val="subscript"/>
        </w:rPr>
        <w:t>2</w:t>
      </w:r>
      <w:r>
        <w:t>Se</w:t>
      </w:r>
      <w:r>
        <w:rPr>
          <w:vertAlign w:val="subscript"/>
        </w:rPr>
        <w:t>3</w:t>
      </w:r>
      <w:r>
        <w:t>-CdS</w:t>
      </w:r>
      <w:r>
        <w:rPr>
          <w:vertAlign w:val="subscript"/>
        </w:rPr>
        <w:t xml:space="preserve"> </w:t>
      </w:r>
      <w:r>
        <w:t>device, where CSS is close space sublimation.</w:t>
      </w:r>
    </w:p>
    <w:p w:rsidR="00037E3E" w:rsidRDefault="00037E3E" w:rsidP="00E671FF">
      <w:pPr>
        <w:pStyle w:val="Legend"/>
      </w:pPr>
    </w:p>
    <w:p w:rsidR="00037E3E" w:rsidRDefault="00037E3E" w:rsidP="00E671FF">
      <w:pPr>
        <w:pStyle w:val="Legend"/>
      </w:pPr>
    </w:p>
    <w:p w:rsidR="00037E3E" w:rsidRDefault="00037E3E" w:rsidP="00E671FF">
      <w:pPr>
        <w:pStyle w:val="Legend"/>
      </w:pPr>
    </w:p>
    <w:p w:rsidR="00037E3E" w:rsidRDefault="00037E3E" w:rsidP="00E671FF">
      <w:pPr>
        <w:pStyle w:val="Legend"/>
      </w:pPr>
    </w:p>
    <w:p w:rsidR="00037E3E" w:rsidRDefault="00037E3E" w:rsidP="00E671FF">
      <w:pPr>
        <w:pStyle w:val="Legend"/>
      </w:pPr>
    </w:p>
    <w:p w:rsidR="00037E3E" w:rsidRDefault="00037E3E" w:rsidP="00E671FF">
      <w:pPr>
        <w:pStyle w:val="Legend"/>
      </w:pPr>
    </w:p>
    <w:p w:rsidR="00037E3E" w:rsidRDefault="00037E3E" w:rsidP="00E671FF">
      <w:pPr>
        <w:pStyle w:val="Legend"/>
      </w:pPr>
    </w:p>
    <w:p w:rsidR="00037E3E" w:rsidRDefault="00037E3E" w:rsidP="00E671FF">
      <w:pPr>
        <w:pStyle w:val="Legend"/>
      </w:pPr>
    </w:p>
    <w:p w:rsidR="00037E3E" w:rsidRDefault="00037E3E" w:rsidP="00E671FF">
      <w:pPr>
        <w:pStyle w:val="Legend"/>
      </w:pPr>
    </w:p>
    <w:p w:rsidR="00037E3E" w:rsidRDefault="00037E3E" w:rsidP="00E671FF">
      <w:pPr>
        <w:pStyle w:val="Legend"/>
      </w:pPr>
    </w:p>
    <w:p w:rsidR="00037E3E" w:rsidRDefault="00037E3E" w:rsidP="00E671FF">
      <w:pPr>
        <w:pStyle w:val="Legend"/>
      </w:pPr>
    </w:p>
    <w:p w:rsidR="00037E3E" w:rsidRDefault="00037E3E" w:rsidP="00E671FF">
      <w:pPr>
        <w:pStyle w:val="Legend"/>
      </w:pPr>
    </w:p>
    <w:p w:rsidR="00037E3E" w:rsidRDefault="00037E3E" w:rsidP="00E671FF">
      <w:pPr>
        <w:pStyle w:val="Legend"/>
      </w:pPr>
    </w:p>
    <w:p w:rsidR="00037E3E" w:rsidRDefault="00037E3E" w:rsidP="00E671FF">
      <w:pPr>
        <w:pStyle w:val="Legend"/>
      </w:pPr>
    </w:p>
    <w:p w:rsidR="00037E3E" w:rsidRDefault="00037E3E" w:rsidP="00E671FF">
      <w:pPr>
        <w:pStyle w:val="Legend"/>
      </w:pPr>
    </w:p>
    <w:p w:rsidR="00037E3E" w:rsidRDefault="00037E3E" w:rsidP="00E671FF">
      <w:pPr>
        <w:pStyle w:val="Legend"/>
      </w:pPr>
    </w:p>
    <w:p w:rsidR="00E671FF" w:rsidRDefault="00E671FF" w:rsidP="00E671FF">
      <w:pPr>
        <w:pStyle w:val="Legend"/>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E671FF" w:rsidTr="006E251B">
        <w:tc>
          <w:tcPr>
            <w:tcW w:w="4531" w:type="dxa"/>
          </w:tcPr>
          <w:p w:rsidR="00E671FF" w:rsidRDefault="00E671FF" w:rsidP="006E251B">
            <w:pPr>
              <w:pStyle w:val="Legend"/>
              <w:jc w:val="center"/>
            </w:pPr>
            <w:r>
              <w:rPr>
                <w:noProof/>
                <w:lang w:val="en-GB" w:eastAsia="en-GB"/>
              </w:rPr>
              <w:lastRenderedPageBreak/>
              <w:drawing>
                <wp:inline distT="0" distB="0" distL="0" distR="0" wp14:anchorId="0332CC26" wp14:editId="4ECE81A8">
                  <wp:extent cx="2340000" cy="2340000"/>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4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pic:spPr>
                      </pic:pic>
                    </a:graphicData>
                  </a:graphic>
                </wp:inline>
              </w:drawing>
            </w:r>
          </w:p>
        </w:tc>
        <w:tc>
          <w:tcPr>
            <w:tcW w:w="4531" w:type="dxa"/>
          </w:tcPr>
          <w:p w:rsidR="00E671FF" w:rsidRDefault="00E671FF" w:rsidP="006E251B">
            <w:pPr>
              <w:pStyle w:val="Legend"/>
              <w:jc w:val="center"/>
            </w:pPr>
            <w:r>
              <w:rPr>
                <w:noProof/>
                <w:lang w:val="en-GB" w:eastAsia="en-GB"/>
              </w:rPr>
              <w:drawing>
                <wp:inline distT="0" distB="0" distL="0" distR="0" wp14:anchorId="6350D82F" wp14:editId="2F825EDD">
                  <wp:extent cx="2340000" cy="2340000"/>
                  <wp:effectExtent l="0" t="0" r="317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4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pic:spPr>
                      </pic:pic>
                    </a:graphicData>
                  </a:graphic>
                </wp:inline>
              </w:drawing>
            </w:r>
          </w:p>
        </w:tc>
      </w:tr>
      <w:tr w:rsidR="00E671FF" w:rsidTr="006E251B">
        <w:tc>
          <w:tcPr>
            <w:tcW w:w="4531" w:type="dxa"/>
          </w:tcPr>
          <w:p w:rsidR="00E671FF" w:rsidRPr="00A36510" w:rsidRDefault="00E671FF" w:rsidP="006E251B">
            <w:pPr>
              <w:pStyle w:val="Legend"/>
              <w:jc w:val="center"/>
              <w:rPr>
                <w:b/>
              </w:rPr>
            </w:pPr>
            <w:r w:rsidRPr="00A36510">
              <w:rPr>
                <w:b/>
              </w:rPr>
              <w:t>(a)</w:t>
            </w:r>
          </w:p>
        </w:tc>
        <w:tc>
          <w:tcPr>
            <w:tcW w:w="4531" w:type="dxa"/>
          </w:tcPr>
          <w:p w:rsidR="00E671FF" w:rsidRPr="00A36510" w:rsidRDefault="00E671FF" w:rsidP="006E251B">
            <w:pPr>
              <w:pStyle w:val="Legend"/>
              <w:jc w:val="center"/>
              <w:rPr>
                <w:b/>
              </w:rPr>
            </w:pPr>
            <w:r w:rsidRPr="00A36510">
              <w:rPr>
                <w:b/>
              </w:rPr>
              <w:t>(b)</w:t>
            </w:r>
          </w:p>
        </w:tc>
      </w:tr>
      <w:tr w:rsidR="00E671FF" w:rsidTr="006E251B">
        <w:tc>
          <w:tcPr>
            <w:tcW w:w="4531" w:type="dxa"/>
          </w:tcPr>
          <w:p w:rsidR="00E671FF" w:rsidRDefault="00E671FF" w:rsidP="006E251B">
            <w:pPr>
              <w:pStyle w:val="Legend"/>
              <w:jc w:val="center"/>
            </w:pPr>
            <w:r>
              <w:rPr>
                <w:noProof/>
                <w:lang w:val="en-GB" w:eastAsia="en-GB"/>
              </w:rPr>
              <w:drawing>
                <wp:inline distT="0" distB="0" distL="0" distR="0" wp14:anchorId="377E0B51" wp14:editId="798503C1">
                  <wp:extent cx="2340000" cy="2340000"/>
                  <wp:effectExtent l="0" t="0" r="317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5c.jpg"/>
                          <pic:cNvPicPr/>
                        </pic:nvPicPr>
                        <pic:blipFill>
                          <a:blip r:embed="rId23">
                            <a:extLst>
                              <a:ext uri="{28A0092B-C50C-407E-A947-70E740481C1C}">
                                <a14:useLocalDpi xmlns:a14="http://schemas.microsoft.com/office/drawing/2010/main" val="0"/>
                              </a:ext>
                            </a:extLst>
                          </a:blip>
                          <a:stretch>
                            <a:fillRect/>
                          </a:stretch>
                        </pic:blipFill>
                        <pic:spPr>
                          <a:xfrm>
                            <a:off x="0" y="0"/>
                            <a:ext cx="2340000" cy="2340000"/>
                          </a:xfrm>
                          <a:prstGeom prst="rect">
                            <a:avLst/>
                          </a:prstGeom>
                        </pic:spPr>
                      </pic:pic>
                    </a:graphicData>
                  </a:graphic>
                </wp:inline>
              </w:drawing>
            </w:r>
          </w:p>
        </w:tc>
        <w:tc>
          <w:tcPr>
            <w:tcW w:w="4531" w:type="dxa"/>
          </w:tcPr>
          <w:p w:rsidR="00E671FF" w:rsidRDefault="00E671FF" w:rsidP="006E251B">
            <w:pPr>
              <w:pStyle w:val="Legend"/>
              <w:jc w:val="center"/>
            </w:pPr>
            <w:r>
              <w:rPr>
                <w:noProof/>
                <w:lang w:val="en-GB" w:eastAsia="en-GB"/>
              </w:rPr>
              <w:drawing>
                <wp:inline distT="0" distB="0" distL="0" distR="0" wp14:anchorId="7EEE0170" wp14:editId="0BBA2F7C">
                  <wp:extent cx="2340000" cy="2340000"/>
                  <wp:effectExtent l="0" t="0" r="317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5d.jpg"/>
                          <pic:cNvPicPr/>
                        </pic:nvPicPr>
                        <pic:blipFill>
                          <a:blip r:embed="rId24">
                            <a:extLst>
                              <a:ext uri="{28A0092B-C50C-407E-A947-70E740481C1C}">
                                <a14:useLocalDpi xmlns:a14="http://schemas.microsoft.com/office/drawing/2010/main" val="0"/>
                              </a:ext>
                            </a:extLst>
                          </a:blip>
                          <a:stretch>
                            <a:fillRect/>
                          </a:stretch>
                        </pic:blipFill>
                        <pic:spPr>
                          <a:xfrm>
                            <a:off x="0" y="0"/>
                            <a:ext cx="2340000" cy="2340000"/>
                          </a:xfrm>
                          <a:prstGeom prst="rect">
                            <a:avLst/>
                          </a:prstGeom>
                        </pic:spPr>
                      </pic:pic>
                    </a:graphicData>
                  </a:graphic>
                </wp:inline>
              </w:drawing>
            </w:r>
          </w:p>
        </w:tc>
      </w:tr>
      <w:tr w:rsidR="00E671FF" w:rsidTr="006E251B">
        <w:tc>
          <w:tcPr>
            <w:tcW w:w="4531" w:type="dxa"/>
          </w:tcPr>
          <w:p w:rsidR="00E671FF" w:rsidRPr="00793DB6" w:rsidRDefault="00E671FF" w:rsidP="006E251B">
            <w:pPr>
              <w:pStyle w:val="Legend"/>
              <w:jc w:val="center"/>
              <w:rPr>
                <w:b/>
              </w:rPr>
            </w:pPr>
            <w:r>
              <w:rPr>
                <w:b/>
              </w:rPr>
              <w:t>(c)</w:t>
            </w:r>
          </w:p>
        </w:tc>
        <w:tc>
          <w:tcPr>
            <w:tcW w:w="4531" w:type="dxa"/>
          </w:tcPr>
          <w:p w:rsidR="00E671FF" w:rsidRPr="00793DB6" w:rsidRDefault="00E671FF" w:rsidP="006E251B">
            <w:pPr>
              <w:pStyle w:val="Legend"/>
              <w:jc w:val="center"/>
              <w:rPr>
                <w:b/>
              </w:rPr>
            </w:pPr>
            <w:r w:rsidRPr="00793DB6">
              <w:rPr>
                <w:b/>
              </w:rPr>
              <w:t>(d)</w:t>
            </w:r>
          </w:p>
        </w:tc>
      </w:tr>
    </w:tbl>
    <w:p w:rsidR="00E671FF" w:rsidRDefault="00E671FF" w:rsidP="00E671FF">
      <w:pPr>
        <w:pStyle w:val="Legend"/>
        <w:rPr>
          <w:b/>
        </w:rPr>
      </w:pPr>
    </w:p>
    <w:p w:rsidR="00234C2C" w:rsidRDefault="00234C2C" w:rsidP="00234C2C">
      <w:pPr>
        <w:pStyle w:val="Legend"/>
        <w:spacing w:line="480" w:lineRule="auto"/>
        <w:rPr>
          <w:b/>
        </w:rPr>
      </w:pPr>
    </w:p>
    <w:p w:rsidR="00E671FF" w:rsidRDefault="00E671FF" w:rsidP="00234C2C">
      <w:pPr>
        <w:pStyle w:val="Legend"/>
        <w:spacing w:line="480" w:lineRule="auto"/>
      </w:pPr>
      <w:r w:rsidRPr="00EF4114">
        <w:rPr>
          <w:b/>
        </w:rPr>
        <w:t xml:space="preserve">Figure </w:t>
      </w:r>
      <w:r w:rsidR="000F4295">
        <w:rPr>
          <w:b/>
        </w:rPr>
        <w:t>5</w:t>
      </w:r>
      <w:r w:rsidRPr="00EF4114">
        <w:rPr>
          <w:b/>
        </w:rPr>
        <w:t>.</w:t>
      </w:r>
      <w:r>
        <w:rPr>
          <w:b/>
        </w:rPr>
        <w:t xml:space="preserve"> </w:t>
      </w:r>
      <w:r>
        <w:t>AC-STEM images of a Sb</w:t>
      </w:r>
      <w:r>
        <w:rPr>
          <w:vertAlign w:val="subscript"/>
        </w:rPr>
        <w:t>2</w:t>
      </w:r>
      <w:r>
        <w:t>Se</w:t>
      </w:r>
      <w:r>
        <w:rPr>
          <w:vertAlign w:val="subscript"/>
        </w:rPr>
        <w:t xml:space="preserve">3 </w:t>
      </w:r>
      <w:r>
        <w:t xml:space="preserve">grain boundary in the </w:t>
      </w:r>
      <w:proofErr w:type="spellStart"/>
      <w:r>
        <w:t>close</w:t>
      </w:r>
      <w:proofErr w:type="spellEnd"/>
      <w:r>
        <w:t xml:space="preserve"> space sublimated Sb</w:t>
      </w:r>
      <w:r>
        <w:rPr>
          <w:vertAlign w:val="subscript"/>
        </w:rPr>
        <w:t>2</w:t>
      </w:r>
      <w:r>
        <w:t>Se</w:t>
      </w:r>
      <w:r>
        <w:rPr>
          <w:vertAlign w:val="subscript"/>
        </w:rPr>
        <w:t>3</w:t>
      </w:r>
      <w:r>
        <w:t>-CdS</w:t>
      </w:r>
      <w:r>
        <w:rPr>
          <w:vertAlign w:val="subscript"/>
        </w:rPr>
        <w:t xml:space="preserve"> </w:t>
      </w:r>
      <w:r>
        <w:t>device. The simultaneously acquired bright field and HAADF images are shown in (a) and (b) respectively. The carbon protective layer, used for TEM sample preparation, is annotated with the letter ‘C’. The Fourier filtered image of (b) is shown in (c) with the red lines representing the projected direction of the (Sb</w:t>
      </w:r>
      <w:r>
        <w:rPr>
          <w:vertAlign w:val="subscript"/>
        </w:rPr>
        <w:t>4</w:t>
      </w:r>
      <w:r>
        <w:t>Se</w:t>
      </w:r>
      <w:r>
        <w:rPr>
          <w:vertAlign w:val="subscript"/>
        </w:rPr>
        <w:t>6</w:t>
      </w:r>
      <w:proofErr w:type="gramStart"/>
      <w:r>
        <w:t>)</w:t>
      </w:r>
      <w:r w:rsidRPr="00A773D0">
        <w:rPr>
          <w:vertAlign w:val="subscript"/>
        </w:rPr>
        <w:t>n</w:t>
      </w:r>
      <w:proofErr w:type="gramEnd"/>
      <w:r>
        <w:t xml:space="preserve"> ribbons either side of the grain boundary. (d) </w:t>
      </w:r>
      <w:proofErr w:type="gramStart"/>
      <w:r>
        <w:t>is</w:t>
      </w:r>
      <w:proofErr w:type="gramEnd"/>
      <w:r>
        <w:t xml:space="preserve"> an enlarged image of the grain boundary region in (c) where the presence of (001) steps is indicated by the white line segments. </w:t>
      </w:r>
    </w:p>
    <w:p w:rsidR="00E671FF" w:rsidRDefault="00E671FF" w:rsidP="00E671FF">
      <w:pPr>
        <w:pStyle w:val="Legend"/>
      </w:pPr>
    </w:p>
    <w:p w:rsidR="00E671FF" w:rsidRDefault="00E671FF" w:rsidP="00E671FF">
      <w:pPr>
        <w:pStyle w:val="Legend"/>
      </w:pPr>
    </w:p>
    <w:p w:rsidR="00E671FF" w:rsidRDefault="00E671FF" w:rsidP="00E671FF">
      <w:pPr>
        <w:pStyle w:val="Legend"/>
      </w:pPr>
      <w:r>
        <w:rPr>
          <w:noProof/>
          <w:lang w:val="en-GB" w:eastAsia="en-GB"/>
        </w:rPr>
        <w:lastRenderedPageBreak/>
        <w:drawing>
          <wp:inline distT="0" distB="0" distL="0" distR="0" wp14:anchorId="00BC5D06" wp14:editId="554972C4">
            <wp:extent cx="5760720" cy="489521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4895215"/>
                    </a:xfrm>
                    <a:prstGeom prst="rect">
                      <a:avLst/>
                    </a:prstGeom>
                  </pic:spPr>
                </pic:pic>
              </a:graphicData>
            </a:graphic>
          </wp:inline>
        </w:drawing>
      </w:r>
    </w:p>
    <w:p w:rsidR="00E671FF" w:rsidRDefault="00E671FF" w:rsidP="00E671FF">
      <w:pPr>
        <w:pStyle w:val="Legend"/>
      </w:pPr>
    </w:p>
    <w:p w:rsidR="00234C2C" w:rsidRDefault="00234C2C" w:rsidP="00234C2C">
      <w:pPr>
        <w:pStyle w:val="Legend"/>
        <w:spacing w:line="480" w:lineRule="auto"/>
        <w:rPr>
          <w:b/>
        </w:rPr>
      </w:pPr>
    </w:p>
    <w:p w:rsidR="00E671FF" w:rsidRPr="005D192D" w:rsidRDefault="00E671FF" w:rsidP="00234C2C">
      <w:pPr>
        <w:pStyle w:val="Legend"/>
        <w:spacing w:line="480" w:lineRule="auto"/>
      </w:pPr>
      <w:r w:rsidRPr="005D192D">
        <w:rPr>
          <w:b/>
        </w:rPr>
        <w:t xml:space="preserve">Figure </w:t>
      </w:r>
      <w:r w:rsidR="000F4295">
        <w:rPr>
          <w:b/>
        </w:rPr>
        <w:t>6</w:t>
      </w:r>
      <w:r w:rsidRPr="005D192D">
        <w:rPr>
          <w:b/>
        </w:rPr>
        <w:t>.</w:t>
      </w:r>
      <w:r w:rsidRPr="005D192D">
        <w:t xml:space="preserve"> (a) The structure of the (001) Sb</w:t>
      </w:r>
      <w:r w:rsidRPr="005D192D">
        <w:rPr>
          <w:vertAlign w:val="subscript"/>
        </w:rPr>
        <w:t>2</w:t>
      </w:r>
      <w:r w:rsidRPr="005D192D">
        <w:t>Se</w:t>
      </w:r>
      <w:r w:rsidRPr="005D192D">
        <w:rPr>
          <w:vertAlign w:val="subscript"/>
        </w:rPr>
        <w:t xml:space="preserve">3 </w:t>
      </w:r>
      <w:r w:rsidRPr="005D192D">
        <w:t xml:space="preserve">free surface (shown in </w:t>
      </w:r>
      <w:r w:rsidRPr="005D192D">
        <w:rPr>
          <w:lang w:val="de-DE"/>
        </w:rPr>
        <w:t xml:space="preserve">[100] projection) </w:t>
      </w:r>
      <w:r w:rsidRPr="005D192D">
        <w:t xml:space="preserve">before and after geometry optimization at the HSE+D3 level. The box regions enclose the atoms used for extracting the bulk and surface DOS respectively. (b) </w:t>
      </w:r>
      <w:proofErr w:type="gramStart"/>
      <w:r w:rsidRPr="005D192D">
        <w:t>shows</w:t>
      </w:r>
      <w:proofErr w:type="gramEnd"/>
      <w:r w:rsidRPr="005D192D">
        <w:t xml:space="preserve"> superimposed</w:t>
      </w:r>
      <w:r>
        <w:t xml:space="preserve"> </w:t>
      </w:r>
      <w:r w:rsidRPr="004E0809">
        <w:t>spin polarized</w:t>
      </w:r>
      <w:r w:rsidRPr="005D192D">
        <w:t xml:space="preserve"> DOS plots for the (001) free surface (before and after relaxation) and the bulk. (</w:t>
      </w:r>
      <w:proofErr w:type="gramStart"/>
      <w:r w:rsidRPr="005D192D">
        <w:t>c</w:t>
      </w:r>
      <w:proofErr w:type="gramEnd"/>
      <w:r w:rsidRPr="005D192D">
        <w:t>) and (d) show the same information for (041) free surface.</w:t>
      </w:r>
    </w:p>
    <w:p w:rsidR="00E671FF" w:rsidRDefault="00E671FF" w:rsidP="00E671FF">
      <w:pPr>
        <w:pStyle w:val="Legend"/>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671FF" w:rsidTr="006E251B">
        <w:tc>
          <w:tcPr>
            <w:tcW w:w="9062" w:type="dxa"/>
          </w:tcPr>
          <w:p w:rsidR="00E671FF" w:rsidRDefault="00E671FF" w:rsidP="006E251B">
            <w:pPr>
              <w:pStyle w:val="Legend"/>
              <w:jc w:val="center"/>
            </w:pPr>
            <w:r>
              <w:rPr>
                <w:noProof/>
                <w:lang w:val="en-GB" w:eastAsia="en-GB"/>
              </w:rPr>
              <w:lastRenderedPageBreak/>
              <w:drawing>
                <wp:inline distT="0" distB="0" distL="0" distR="0" wp14:anchorId="7DC49CE5" wp14:editId="7AC404BC">
                  <wp:extent cx="5760720" cy="28803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6a_h.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tc>
      </w:tr>
      <w:tr w:rsidR="00E671FF" w:rsidTr="006E251B">
        <w:tc>
          <w:tcPr>
            <w:tcW w:w="9062" w:type="dxa"/>
          </w:tcPr>
          <w:p w:rsidR="00E671FF" w:rsidRDefault="00E671FF" w:rsidP="006E251B">
            <w:pPr>
              <w:pStyle w:val="Legend"/>
              <w:jc w:val="center"/>
            </w:pPr>
            <w:r>
              <w:rPr>
                <w:noProof/>
                <w:lang w:val="en-GB" w:eastAsia="en-GB"/>
              </w:rPr>
              <w:drawing>
                <wp:inline distT="0" distB="0" distL="0" distR="0" wp14:anchorId="4CF690C4" wp14:editId="2A1C7B68">
                  <wp:extent cx="3979796" cy="28800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6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79796" cy="2880000"/>
                          </a:xfrm>
                          <a:prstGeom prst="rect">
                            <a:avLst/>
                          </a:prstGeom>
                        </pic:spPr>
                      </pic:pic>
                    </a:graphicData>
                  </a:graphic>
                </wp:inline>
              </w:drawing>
            </w:r>
          </w:p>
        </w:tc>
      </w:tr>
      <w:tr w:rsidR="00E671FF" w:rsidTr="006E251B">
        <w:tc>
          <w:tcPr>
            <w:tcW w:w="9062" w:type="dxa"/>
          </w:tcPr>
          <w:p w:rsidR="00E671FF" w:rsidRPr="00722358" w:rsidRDefault="00E671FF" w:rsidP="006E251B">
            <w:pPr>
              <w:pStyle w:val="Legend"/>
              <w:jc w:val="center"/>
              <w:rPr>
                <w:b/>
                <w:noProof/>
                <w:lang w:val="en-GB" w:eastAsia="en-GB"/>
              </w:rPr>
            </w:pPr>
            <w:r>
              <w:rPr>
                <w:b/>
                <w:noProof/>
                <w:lang w:val="en-GB" w:eastAsia="en-GB"/>
              </w:rPr>
              <w:t>(i)</w:t>
            </w:r>
          </w:p>
        </w:tc>
      </w:tr>
    </w:tbl>
    <w:p w:rsidR="00E671FF" w:rsidRDefault="00E671FF" w:rsidP="00E671FF">
      <w:pPr>
        <w:pStyle w:val="Legend"/>
      </w:pPr>
    </w:p>
    <w:p w:rsidR="00234C2C" w:rsidRDefault="00234C2C" w:rsidP="00234C2C">
      <w:pPr>
        <w:pStyle w:val="Legend"/>
        <w:spacing w:line="480" w:lineRule="auto"/>
        <w:rPr>
          <w:b/>
        </w:rPr>
      </w:pPr>
    </w:p>
    <w:p w:rsidR="00E671FF" w:rsidRDefault="00E671FF" w:rsidP="00234C2C">
      <w:pPr>
        <w:pStyle w:val="Legend"/>
        <w:spacing w:line="480" w:lineRule="auto"/>
      </w:pPr>
      <w:r>
        <w:rPr>
          <w:b/>
        </w:rPr>
        <w:t>F</w:t>
      </w:r>
      <w:r w:rsidRPr="00EF4114">
        <w:rPr>
          <w:b/>
        </w:rPr>
        <w:t xml:space="preserve">igure </w:t>
      </w:r>
      <w:r w:rsidR="000F4295">
        <w:rPr>
          <w:b/>
        </w:rPr>
        <w:t>7</w:t>
      </w:r>
      <w:r>
        <w:rPr>
          <w:b/>
        </w:rPr>
        <w:t xml:space="preserve">. </w:t>
      </w:r>
      <w:r>
        <w:t>EDX chemical maps acquired across the Sb</w:t>
      </w:r>
      <w:r>
        <w:rPr>
          <w:vertAlign w:val="subscript"/>
        </w:rPr>
        <w:t>2</w:t>
      </w:r>
      <w:r>
        <w:t>Se</w:t>
      </w:r>
      <w:r>
        <w:rPr>
          <w:vertAlign w:val="subscript"/>
        </w:rPr>
        <w:t>3</w:t>
      </w:r>
      <w:r>
        <w:t xml:space="preserve">-CdS interface in the </w:t>
      </w:r>
      <w:proofErr w:type="spellStart"/>
      <w:r>
        <w:t>close</w:t>
      </w:r>
      <w:proofErr w:type="spellEnd"/>
      <w:r>
        <w:t xml:space="preserve"> space sublimated Sb</w:t>
      </w:r>
      <w:r>
        <w:rPr>
          <w:vertAlign w:val="subscript"/>
        </w:rPr>
        <w:t>2</w:t>
      </w:r>
      <w:r>
        <w:t>Se</w:t>
      </w:r>
      <w:r>
        <w:rPr>
          <w:vertAlign w:val="subscript"/>
        </w:rPr>
        <w:t>3</w:t>
      </w:r>
      <w:r>
        <w:t>-CdS sample. The STEM bright field image is shown in (a) with the individual layers labelled (FTO denotes fluorine doped SnO</w:t>
      </w:r>
      <w:r>
        <w:rPr>
          <w:vertAlign w:val="subscript"/>
        </w:rPr>
        <w:t>2</w:t>
      </w:r>
      <w:r>
        <w:t xml:space="preserve">). EDX maps for Se, Sb, Cd, S, Zn, O and Sn are shown in (b)-(h) respectively. An EDX </w:t>
      </w:r>
      <w:proofErr w:type="spellStart"/>
      <w:r>
        <w:t>linescan</w:t>
      </w:r>
      <w:proofErr w:type="spellEnd"/>
      <w:r>
        <w:t xml:space="preserve"> was also acquired along the white line in (a) and plotted in (</w:t>
      </w:r>
      <w:proofErr w:type="spellStart"/>
      <w:r>
        <w:t>i</w:t>
      </w:r>
      <w:proofErr w:type="spellEnd"/>
      <w:r>
        <w:t>) with the maximum EDX signal for each element normalized. The approximate regions of the different layers are indicated in (</w:t>
      </w:r>
      <w:proofErr w:type="spellStart"/>
      <w:r>
        <w:t>i</w:t>
      </w:r>
      <w:proofErr w:type="spellEnd"/>
      <w:r>
        <w:t>), with Cd(</w:t>
      </w:r>
      <w:proofErr w:type="spellStart"/>
      <w:r>
        <w:t>S</w:t>
      </w:r>
      <w:proofErr w:type="gramStart"/>
      <w:r>
        <w:t>,Se</w:t>
      </w:r>
      <w:proofErr w:type="spellEnd"/>
      <w:proofErr w:type="gramEnd"/>
      <w:r>
        <w:t xml:space="preserve">) denoting the inter-diffused </w:t>
      </w:r>
      <w:proofErr w:type="spellStart"/>
      <w:r>
        <w:t>CdS</w:t>
      </w:r>
      <w:proofErr w:type="spellEnd"/>
      <w:r>
        <w:t xml:space="preserve"> layer. </w:t>
      </w:r>
    </w:p>
    <w:p w:rsidR="00E671FF" w:rsidRDefault="00E671FF" w:rsidP="00E671FF">
      <w:pPr>
        <w:pStyle w:val="Legend"/>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9"/>
        <w:gridCol w:w="6373"/>
      </w:tblGrid>
      <w:tr w:rsidR="00E671FF" w:rsidTr="006E251B">
        <w:tc>
          <w:tcPr>
            <w:tcW w:w="2689" w:type="dxa"/>
          </w:tcPr>
          <w:p w:rsidR="00E671FF" w:rsidRDefault="00E671FF" w:rsidP="006E251B">
            <w:pPr>
              <w:pStyle w:val="Legend"/>
              <w:jc w:val="center"/>
            </w:pPr>
            <w:r>
              <w:rPr>
                <w:noProof/>
                <w:lang w:val="en-GB" w:eastAsia="en-GB"/>
              </w:rPr>
              <w:drawing>
                <wp:inline distT="0" distB="0" distL="0" distR="0" wp14:anchorId="21B71435" wp14:editId="078EFD6A">
                  <wp:extent cx="1505861" cy="3600000"/>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7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05861" cy="3600000"/>
                          </a:xfrm>
                          <a:prstGeom prst="rect">
                            <a:avLst/>
                          </a:prstGeom>
                        </pic:spPr>
                      </pic:pic>
                    </a:graphicData>
                  </a:graphic>
                </wp:inline>
              </w:drawing>
            </w:r>
          </w:p>
        </w:tc>
        <w:tc>
          <w:tcPr>
            <w:tcW w:w="6373" w:type="dxa"/>
            <w:vAlign w:val="center"/>
          </w:tcPr>
          <w:p w:rsidR="00E671FF" w:rsidRDefault="00E671FF" w:rsidP="006E251B">
            <w:pPr>
              <w:pStyle w:val="Legend"/>
              <w:jc w:val="center"/>
            </w:pPr>
            <w:r>
              <w:rPr>
                <w:noProof/>
                <w:lang w:val="en-GB" w:eastAsia="en-GB"/>
              </w:rPr>
              <w:drawing>
                <wp:inline distT="0" distB="0" distL="0" distR="0" wp14:anchorId="139C7BEA" wp14:editId="754A8085">
                  <wp:extent cx="3960000" cy="30306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7b.jpg"/>
                          <pic:cNvPicPr/>
                        </pic:nvPicPr>
                        <pic:blipFill>
                          <a:blip r:embed="rId29">
                            <a:extLst>
                              <a:ext uri="{28A0092B-C50C-407E-A947-70E740481C1C}">
                                <a14:useLocalDpi xmlns:a14="http://schemas.microsoft.com/office/drawing/2010/main" val="0"/>
                              </a:ext>
                            </a:extLst>
                          </a:blip>
                          <a:stretch>
                            <a:fillRect/>
                          </a:stretch>
                        </pic:blipFill>
                        <pic:spPr>
                          <a:xfrm>
                            <a:off x="0" y="0"/>
                            <a:ext cx="3960000" cy="3030675"/>
                          </a:xfrm>
                          <a:prstGeom prst="rect">
                            <a:avLst/>
                          </a:prstGeom>
                        </pic:spPr>
                      </pic:pic>
                    </a:graphicData>
                  </a:graphic>
                </wp:inline>
              </w:drawing>
            </w:r>
          </w:p>
        </w:tc>
      </w:tr>
      <w:tr w:rsidR="00E671FF" w:rsidTr="006E251B">
        <w:tc>
          <w:tcPr>
            <w:tcW w:w="2689" w:type="dxa"/>
          </w:tcPr>
          <w:p w:rsidR="00E671FF" w:rsidRPr="00A964D3" w:rsidRDefault="00E671FF" w:rsidP="006E251B">
            <w:pPr>
              <w:pStyle w:val="Legend"/>
              <w:jc w:val="center"/>
              <w:rPr>
                <w:b/>
              </w:rPr>
            </w:pPr>
            <w:r>
              <w:rPr>
                <w:b/>
              </w:rPr>
              <w:t>(a)</w:t>
            </w:r>
          </w:p>
        </w:tc>
        <w:tc>
          <w:tcPr>
            <w:tcW w:w="6373" w:type="dxa"/>
          </w:tcPr>
          <w:p w:rsidR="00E671FF" w:rsidRPr="00547767" w:rsidRDefault="00E671FF" w:rsidP="006E251B">
            <w:pPr>
              <w:pStyle w:val="Legend"/>
              <w:jc w:val="center"/>
              <w:rPr>
                <w:b/>
              </w:rPr>
            </w:pPr>
            <w:r w:rsidRPr="00547767">
              <w:rPr>
                <w:b/>
              </w:rPr>
              <w:t>(b)</w:t>
            </w:r>
          </w:p>
        </w:tc>
      </w:tr>
    </w:tbl>
    <w:p w:rsidR="00E671FF" w:rsidRDefault="00E671FF" w:rsidP="00E671FF">
      <w:pPr>
        <w:pStyle w:val="Legend"/>
      </w:pPr>
    </w:p>
    <w:p w:rsidR="00234C2C" w:rsidRDefault="00234C2C" w:rsidP="00234C2C">
      <w:pPr>
        <w:pStyle w:val="Legend"/>
        <w:spacing w:line="480" w:lineRule="auto"/>
        <w:rPr>
          <w:b/>
        </w:rPr>
      </w:pPr>
    </w:p>
    <w:p w:rsidR="00E671FF" w:rsidRDefault="00E671FF" w:rsidP="00234C2C">
      <w:pPr>
        <w:pStyle w:val="Legend"/>
        <w:spacing w:line="480" w:lineRule="auto"/>
      </w:pPr>
      <w:r w:rsidRPr="00EF4114">
        <w:rPr>
          <w:b/>
        </w:rPr>
        <w:t xml:space="preserve">Figure </w:t>
      </w:r>
      <w:r w:rsidR="000F4295">
        <w:rPr>
          <w:b/>
        </w:rPr>
        <w:t>8</w:t>
      </w:r>
      <w:r>
        <w:rPr>
          <w:b/>
        </w:rPr>
        <w:t xml:space="preserve">. </w:t>
      </w:r>
      <w:r>
        <w:t>(a) MAADF image of the Sb</w:t>
      </w:r>
      <w:r>
        <w:rPr>
          <w:vertAlign w:val="subscript"/>
        </w:rPr>
        <w:t>2</w:t>
      </w:r>
      <w:r>
        <w:t>Se</w:t>
      </w:r>
      <w:r>
        <w:rPr>
          <w:vertAlign w:val="subscript"/>
        </w:rPr>
        <w:t>3</w:t>
      </w:r>
      <w:r>
        <w:t>-CdS interface in the thermal evaporated Sb</w:t>
      </w:r>
      <w:r>
        <w:rPr>
          <w:vertAlign w:val="subscript"/>
        </w:rPr>
        <w:t>2</w:t>
      </w:r>
      <w:r>
        <w:t>Se</w:t>
      </w:r>
      <w:r>
        <w:rPr>
          <w:vertAlign w:val="subscript"/>
        </w:rPr>
        <w:t>3</w:t>
      </w:r>
      <w:r>
        <w:t xml:space="preserve">-CdS device. The uneven intensity in the image is due to small fluctuations in the STEM probe current. (b) </w:t>
      </w:r>
      <w:proofErr w:type="gramStart"/>
      <w:r>
        <w:t>shows</w:t>
      </w:r>
      <w:proofErr w:type="gramEnd"/>
      <w:r>
        <w:t xml:space="preserve"> the EELS line profiles for Sb and Cd obtained from chemical maps of the same region as (a). When plotting (b) the EELS intensity was integrated in the horizontal direction, i.e. parallel to the Sb</w:t>
      </w:r>
      <w:r>
        <w:rPr>
          <w:vertAlign w:val="subscript"/>
        </w:rPr>
        <w:t>2</w:t>
      </w:r>
      <w:r>
        <w:t>Se</w:t>
      </w:r>
      <w:r>
        <w:rPr>
          <w:vertAlign w:val="subscript"/>
        </w:rPr>
        <w:t>3</w:t>
      </w:r>
      <w:r>
        <w:t>-CdS interface. The maximum EELS intensity for each element is normalized for a direct visual comparison. The location of the Sb peak intensity (vertical arrow in (b)) is indicated in (a).</w:t>
      </w:r>
    </w:p>
    <w:p w:rsidR="00E671FF" w:rsidRDefault="00E671FF" w:rsidP="00E671FF">
      <w:pPr>
        <w:pStyle w:val="Legend"/>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671FF" w:rsidTr="006E251B">
        <w:tc>
          <w:tcPr>
            <w:tcW w:w="9062" w:type="dxa"/>
          </w:tcPr>
          <w:p w:rsidR="00E671FF" w:rsidRDefault="00E671FF" w:rsidP="006E251B">
            <w:pPr>
              <w:pStyle w:val="Legend"/>
              <w:jc w:val="center"/>
            </w:pPr>
            <w:r>
              <w:rPr>
                <w:noProof/>
                <w:lang w:val="en-GB" w:eastAsia="en-GB"/>
              </w:rPr>
              <w:lastRenderedPageBreak/>
              <w:drawing>
                <wp:inline distT="0" distB="0" distL="0" distR="0" wp14:anchorId="46315737" wp14:editId="6DEBBE35">
                  <wp:extent cx="5760720" cy="3840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8a_f.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tc>
      </w:tr>
      <w:tr w:rsidR="00E671FF" w:rsidTr="006E251B">
        <w:tc>
          <w:tcPr>
            <w:tcW w:w="9062" w:type="dxa"/>
          </w:tcPr>
          <w:p w:rsidR="00E671FF" w:rsidRDefault="00E671FF" w:rsidP="006E251B">
            <w:pPr>
              <w:pStyle w:val="Legend"/>
              <w:jc w:val="center"/>
            </w:pPr>
            <w:r>
              <w:rPr>
                <w:noProof/>
                <w:lang w:val="en-GB" w:eastAsia="en-GB"/>
              </w:rPr>
              <w:drawing>
                <wp:inline distT="0" distB="0" distL="0" distR="0" wp14:anchorId="07ECE04F" wp14:editId="2565DD4A">
                  <wp:extent cx="3970723" cy="288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8g.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70723" cy="2880000"/>
                          </a:xfrm>
                          <a:prstGeom prst="rect">
                            <a:avLst/>
                          </a:prstGeom>
                        </pic:spPr>
                      </pic:pic>
                    </a:graphicData>
                  </a:graphic>
                </wp:inline>
              </w:drawing>
            </w:r>
          </w:p>
        </w:tc>
      </w:tr>
      <w:tr w:rsidR="00E671FF" w:rsidTr="006E251B">
        <w:tc>
          <w:tcPr>
            <w:tcW w:w="9062" w:type="dxa"/>
          </w:tcPr>
          <w:p w:rsidR="00E671FF" w:rsidRPr="00923E0B" w:rsidRDefault="00E671FF" w:rsidP="006E251B">
            <w:pPr>
              <w:pStyle w:val="Legend"/>
              <w:jc w:val="center"/>
              <w:rPr>
                <w:b/>
              </w:rPr>
            </w:pPr>
            <w:r>
              <w:rPr>
                <w:b/>
              </w:rPr>
              <w:t>(g)</w:t>
            </w:r>
          </w:p>
        </w:tc>
      </w:tr>
    </w:tbl>
    <w:p w:rsidR="00E671FF" w:rsidRDefault="00E671FF" w:rsidP="00E671FF">
      <w:pPr>
        <w:pStyle w:val="Legend"/>
      </w:pPr>
    </w:p>
    <w:p w:rsidR="00E671FF" w:rsidRDefault="00E671FF" w:rsidP="00E47A5D">
      <w:pPr>
        <w:pStyle w:val="Legend"/>
        <w:spacing w:line="480" w:lineRule="auto"/>
      </w:pPr>
      <w:r w:rsidRPr="00EF4114">
        <w:rPr>
          <w:b/>
        </w:rPr>
        <w:t xml:space="preserve">Figure </w:t>
      </w:r>
      <w:r w:rsidR="000F4295">
        <w:rPr>
          <w:b/>
        </w:rPr>
        <w:t>9</w:t>
      </w:r>
      <w:r>
        <w:rPr>
          <w:b/>
        </w:rPr>
        <w:t xml:space="preserve">. </w:t>
      </w:r>
      <w:r>
        <w:t>EDX chemical maps acquired across the Sb</w:t>
      </w:r>
      <w:r>
        <w:rPr>
          <w:vertAlign w:val="subscript"/>
        </w:rPr>
        <w:t>2</w:t>
      </w:r>
      <w:r>
        <w:t>Se</w:t>
      </w:r>
      <w:r>
        <w:rPr>
          <w:vertAlign w:val="subscript"/>
        </w:rPr>
        <w:t>3</w:t>
      </w:r>
      <w:r>
        <w:t>-TiO</w:t>
      </w:r>
      <w:r>
        <w:rPr>
          <w:vertAlign w:val="subscript"/>
        </w:rPr>
        <w:t>2</w:t>
      </w:r>
      <w:r>
        <w:t xml:space="preserve"> interface in the </w:t>
      </w:r>
      <w:proofErr w:type="spellStart"/>
      <w:r>
        <w:t>close</w:t>
      </w:r>
      <w:proofErr w:type="spellEnd"/>
      <w:r>
        <w:t xml:space="preserve"> space sublimated Sb</w:t>
      </w:r>
      <w:r>
        <w:rPr>
          <w:vertAlign w:val="subscript"/>
        </w:rPr>
        <w:t>2</w:t>
      </w:r>
      <w:r>
        <w:t>Se</w:t>
      </w:r>
      <w:r>
        <w:rPr>
          <w:vertAlign w:val="subscript"/>
        </w:rPr>
        <w:t>3</w:t>
      </w:r>
      <w:r>
        <w:t>-TiO</w:t>
      </w:r>
      <w:r>
        <w:rPr>
          <w:vertAlign w:val="subscript"/>
        </w:rPr>
        <w:t>2</w:t>
      </w:r>
      <w:r>
        <w:t xml:space="preserve"> sample. The STEM bright field image is shown in (a) with the individual layers labelled (FTO denotes fluorine doped SnO</w:t>
      </w:r>
      <w:r>
        <w:rPr>
          <w:vertAlign w:val="subscript"/>
        </w:rPr>
        <w:t>2</w:t>
      </w:r>
      <w:r>
        <w:t xml:space="preserve">). EDX maps for Se, Sb, </w:t>
      </w:r>
      <w:proofErr w:type="spellStart"/>
      <w:r>
        <w:t>Ti</w:t>
      </w:r>
      <w:proofErr w:type="spellEnd"/>
      <w:r>
        <w:t xml:space="preserve">, O and Sn are shown in (b)-(f) respectively. An EDX </w:t>
      </w:r>
      <w:proofErr w:type="spellStart"/>
      <w:r>
        <w:t>linescan</w:t>
      </w:r>
      <w:proofErr w:type="spellEnd"/>
      <w:r>
        <w:t xml:space="preserve"> from a different region is plotted </w:t>
      </w:r>
      <w:r>
        <w:lastRenderedPageBreak/>
        <w:t>in (g) with the maximum EDX signal for each element normalized. The approximate regions of the different layers are indicated.</w:t>
      </w:r>
    </w:p>
    <w:p w:rsidR="00304B3F" w:rsidRDefault="00304B3F" w:rsidP="00E47A5D">
      <w:pPr>
        <w:pStyle w:val="Legend"/>
        <w:spacing w:line="480" w:lineRule="auto"/>
      </w:pPr>
    </w:p>
    <w:p w:rsidR="00304B3F" w:rsidRDefault="00372310" w:rsidP="00E47A5D">
      <w:pPr>
        <w:pStyle w:val="Legend"/>
        <w:spacing w:line="480" w:lineRule="auto"/>
        <w:rPr>
          <w:b/>
        </w:rPr>
      </w:pPr>
      <w:r>
        <w:rPr>
          <w:b/>
        </w:rPr>
        <w:t>Table of Contents Graphic</w:t>
      </w:r>
    </w:p>
    <w:p w:rsidR="00D24893" w:rsidRDefault="00D24893" w:rsidP="00E47A5D">
      <w:pPr>
        <w:pStyle w:val="Legend"/>
        <w:spacing w:line="480" w:lineRule="auto"/>
        <w:rPr>
          <w:b/>
        </w:rPr>
      </w:pPr>
    </w:p>
    <w:p w:rsidR="00D24893" w:rsidRDefault="00D24893" w:rsidP="00E47A5D">
      <w:pPr>
        <w:pStyle w:val="Legend"/>
        <w:spacing w:line="480" w:lineRule="auto"/>
        <w:rPr>
          <w:b/>
        </w:rPr>
      </w:pPr>
    </w:p>
    <w:p w:rsidR="00304B3F" w:rsidRPr="00304B3F" w:rsidRDefault="00304B3F" w:rsidP="00304B3F">
      <w:pPr>
        <w:pStyle w:val="Legend"/>
        <w:spacing w:line="480" w:lineRule="auto"/>
        <w:jc w:val="center"/>
        <w:rPr>
          <w:b/>
        </w:rPr>
      </w:pPr>
      <w:r>
        <w:rPr>
          <w:b/>
          <w:noProof/>
          <w:lang w:val="en-GB" w:eastAsia="en-GB"/>
        </w:rPr>
        <w:drawing>
          <wp:inline distT="0" distB="0" distL="0" distR="0">
            <wp:extent cx="1602000" cy="17764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al Abstrac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02000" cy="1776487"/>
                    </a:xfrm>
                    <a:prstGeom prst="rect">
                      <a:avLst/>
                    </a:prstGeom>
                  </pic:spPr>
                </pic:pic>
              </a:graphicData>
            </a:graphic>
          </wp:inline>
        </w:drawing>
      </w:r>
    </w:p>
    <w:sectPr w:rsidR="00304B3F" w:rsidRPr="00304B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1FF"/>
    <w:rsid w:val="00023D2C"/>
    <w:rsid w:val="00037A38"/>
    <w:rsid w:val="00037E3E"/>
    <w:rsid w:val="00047D42"/>
    <w:rsid w:val="000A7F9A"/>
    <w:rsid w:val="000B321E"/>
    <w:rsid w:val="000B7EFA"/>
    <w:rsid w:val="000B7FDA"/>
    <w:rsid w:val="000C2826"/>
    <w:rsid w:val="000E205D"/>
    <w:rsid w:val="000F4295"/>
    <w:rsid w:val="001225A8"/>
    <w:rsid w:val="00135C5C"/>
    <w:rsid w:val="001437D2"/>
    <w:rsid w:val="001531F2"/>
    <w:rsid w:val="00166C0F"/>
    <w:rsid w:val="00192B62"/>
    <w:rsid w:val="001B36DA"/>
    <w:rsid w:val="001D156D"/>
    <w:rsid w:val="001E419B"/>
    <w:rsid w:val="0020518B"/>
    <w:rsid w:val="00205749"/>
    <w:rsid w:val="00220643"/>
    <w:rsid w:val="00225D4C"/>
    <w:rsid w:val="00234C2C"/>
    <w:rsid w:val="002565CA"/>
    <w:rsid w:val="00264B74"/>
    <w:rsid w:val="00266E3E"/>
    <w:rsid w:val="002674CD"/>
    <w:rsid w:val="00271ABA"/>
    <w:rsid w:val="002A22E4"/>
    <w:rsid w:val="002B0DCE"/>
    <w:rsid w:val="002B188C"/>
    <w:rsid w:val="00303B51"/>
    <w:rsid w:val="00304B3F"/>
    <w:rsid w:val="003210EB"/>
    <w:rsid w:val="00334B88"/>
    <w:rsid w:val="00352056"/>
    <w:rsid w:val="00361AF9"/>
    <w:rsid w:val="00372310"/>
    <w:rsid w:val="003766C4"/>
    <w:rsid w:val="00381C33"/>
    <w:rsid w:val="003E40C4"/>
    <w:rsid w:val="0042178B"/>
    <w:rsid w:val="00421CAB"/>
    <w:rsid w:val="00431909"/>
    <w:rsid w:val="00437C67"/>
    <w:rsid w:val="00465341"/>
    <w:rsid w:val="004656C9"/>
    <w:rsid w:val="004958BE"/>
    <w:rsid w:val="004A5C18"/>
    <w:rsid w:val="004B1446"/>
    <w:rsid w:val="004B5A87"/>
    <w:rsid w:val="004C6C79"/>
    <w:rsid w:val="00587001"/>
    <w:rsid w:val="00590740"/>
    <w:rsid w:val="005A149B"/>
    <w:rsid w:val="005A74A6"/>
    <w:rsid w:val="005B12B5"/>
    <w:rsid w:val="005B5061"/>
    <w:rsid w:val="005B6072"/>
    <w:rsid w:val="005B7472"/>
    <w:rsid w:val="005D7338"/>
    <w:rsid w:val="005E4B0C"/>
    <w:rsid w:val="005F0CE6"/>
    <w:rsid w:val="006037CC"/>
    <w:rsid w:val="00607848"/>
    <w:rsid w:val="0063521D"/>
    <w:rsid w:val="00642269"/>
    <w:rsid w:val="006B46D8"/>
    <w:rsid w:val="006B4E80"/>
    <w:rsid w:val="006D4D78"/>
    <w:rsid w:val="006D6C0F"/>
    <w:rsid w:val="006E251B"/>
    <w:rsid w:val="006E6476"/>
    <w:rsid w:val="00721780"/>
    <w:rsid w:val="007A188E"/>
    <w:rsid w:val="007B79E2"/>
    <w:rsid w:val="007D5140"/>
    <w:rsid w:val="00801D93"/>
    <w:rsid w:val="00815F42"/>
    <w:rsid w:val="00823F47"/>
    <w:rsid w:val="00845CF4"/>
    <w:rsid w:val="00854CDD"/>
    <w:rsid w:val="008773F6"/>
    <w:rsid w:val="008901B4"/>
    <w:rsid w:val="008D52AC"/>
    <w:rsid w:val="008D5F62"/>
    <w:rsid w:val="00945AF4"/>
    <w:rsid w:val="009B405F"/>
    <w:rsid w:val="009E3B73"/>
    <w:rsid w:val="009F5C4A"/>
    <w:rsid w:val="00A03B4B"/>
    <w:rsid w:val="00A07F7A"/>
    <w:rsid w:val="00A13CDA"/>
    <w:rsid w:val="00A16A0E"/>
    <w:rsid w:val="00A16B34"/>
    <w:rsid w:val="00A31A1A"/>
    <w:rsid w:val="00A3380E"/>
    <w:rsid w:val="00A571B0"/>
    <w:rsid w:val="00AF2B29"/>
    <w:rsid w:val="00AF3451"/>
    <w:rsid w:val="00B51771"/>
    <w:rsid w:val="00B51E01"/>
    <w:rsid w:val="00B602C7"/>
    <w:rsid w:val="00B8010C"/>
    <w:rsid w:val="00B8208A"/>
    <w:rsid w:val="00BD75FE"/>
    <w:rsid w:val="00BF2C9C"/>
    <w:rsid w:val="00C03D1F"/>
    <w:rsid w:val="00C03EBE"/>
    <w:rsid w:val="00C40CE1"/>
    <w:rsid w:val="00C46861"/>
    <w:rsid w:val="00C54FD7"/>
    <w:rsid w:val="00C569A1"/>
    <w:rsid w:val="00CB046D"/>
    <w:rsid w:val="00CC6641"/>
    <w:rsid w:val="00D15599"/>
    <w:rsid w:val="00D23709"/>
    <w:rsid w:val="00D24893"/>
    <w:rsid w:val="00D2518A"/>
    <w:rsid w:val="00D3102D"/>
    <w:rsid w:val="00D32E3F"/>
    <w:rsid w:val="00D47A7E"/>
    <w:rsid w:val="00D80865"/>
    <w:rsid w:val="00DA22DB"/>
    <w:rsid w:val="00DF62A0"/>
    <w:rsid w:val="00E36671"/>
    <w:rsid w:val="00E43E91"/>
    <w:rsid w:val="00E47A5D"/>
    <w:rsid w:val="00E671FF"/>
    <w:rsid w:val="00E83149"/>
    <w:rsid w:val="00EA6427"/>
    <w:rsid w:val="00EA6B11"/>
    <w:rsid w:val="00F13635"/>
    <w:rsid w:val="00F207B2"/>
    <w:rsid w:val="00F3784D"/>
    <w:rsid w:val="00F5778C"/>
    <w:rsid w:val="00F647AA"/>
    <w:rsid w:val="00FB5A02"/>
    <w:rsid w:val="00FC1A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52E7D8-1E78-476D-AA9D-1D11EDE07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71FF"/>
    <w:pPr>
      <w:spacing w:after="0" w:line="240" w:lineRule="auto"/>
    </w:pPr>
    <w:rPr>
      <w:rFonts w:ascii="Times New Roman" w:eastAsia="MS Mincho" w:hAnsi="Times New Roman" w:cs="Times New Roman"/>
      <w:sz w:val="24"/>
      <w:szCs w:val="24"/>
      <w:lang w:val="de-DE" w:eastAsia="ja-JP"/>
    </w:rPr>
  </w:style>
  <w:style w:type="paragraph" w:styleId="Heading1">
    <w:name w:val="heading 1"/>
    <w:basedOn w:val="Normal"/>
    <w:link w:val="Heading1Char"/>
    <w:uiPriority w:val="9"/>
    <w:qFormat/>
    <w:rsid w:val="000B321E"/>
    <w:pPr>
      <w:spacing w:before="100" w:beforeAutospacing="1" w:after="100" w:afterAutospacing="1"/>
      <w:outlineLvl w:val="0"/>
    </w:pPr>
    <w:rPr>
      <w:rFonts w:eastAsia="Times New Roman"/>
      <w:b/>
      <w:bCs/>
      <w:kern w:val="36"/>
      <w:sz w:val="48"/>
      <w:szCs w:val="48"/>
      <w:lang w:val="en-GB" w:eastAsia="en-GB"/>
    </w:rPr>
  </w:style>
  <w:style w:type="paragraph" w:styleId="Heading2">
    <w:name w:val="heading 2"/>
    <w:basedOn w:val="Normal"/>
    <w:next w:val="Normal"/>
    <w:link w:val="Heading2Char"/>
    <w:uiPriority w:val="9"/>
    <w:unhideWhenUsed/>
    <w:qFormat/>
    <w:rsid w:val="004B5A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36671"/>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E671FF"/>
    <w:pPr>
      <w:spacing w:before="230" w:after="460" w:line="180" w:lineRule="exact"/>
      <w:jc w:val="right"/>
    </w:pPr>
    <w:rPr>
      <w:rFonts w:ascii="Arial" w:hAnsi="Arial"/>
      <w:sz w:val="14"/>
      <w:szCs w:val="16"/>
    </w:rPr>
  </w:style>
  <w:style w:type="paragraph" w:customStyle="1" w:styleId="References">
    <w:name w:val="References"/>
    <w:basedOn w:val="Normal"/>
    <w:rsid w:val="00E671FF"/>
    <w:pPr>
      <w:spacing w:line="200" w:lineRule="exact"/>
      <w:ind w:left="425" w:hanging="425"/>
      <w:jc w:val="both"/>
    </w:pPr>
    <w:rPr>
      <w:sz w:val="15"/>
      <w:szCs w:val="14"/>
      <w:lang w:val="en-GB"/>
    </w:rPr>
  </w:style>
  <w:style w:type="paragraph" w:customStyle="1" w:styleId="HExperimentalSection">
    <w:name w:val="HExperimental_Section"/>
    <w:basedOn w:val="Normal"/>
    <w:rsid w:val="00E671FF"/>
    <w:pPr>
      <w:spacing w:before="460" w:after="230" w:line="230" w:lineRule="atLeast"/>
    </w:pPr>
    <w:rPr>
      <w:i/>
      <w:szCs w:val="20"/>
    </w:rPr>
  </w:style>
  <w:style w:type="paragraph" w:customStyle="1" w:styleId="ExperimentalSection">
    <w:name w:val="ExperimentalSection"/>
    <w:basedOn w:val="Normal"/>
    <w:rsid w:val="00E671FF"/>
    <w:pPr>
      <w:spacing w:after="240" w:line="200" w:lineRule="exact"/>
      <w:ind w:firstLine="170"/>
      <w:jc w:val="both"/>
    </w:pPr>
    <w:rPr>
      <w:sz w:val="16"/>
      <w:szCs w:val="14"/>
      <w:lang w:val="en-GB"/>
    </w:rPr>
  </w:style>
  <w:style w:type="paragraph" w:customStyle="1" w:styleId="FNB">
    <w:name w:val="FNB"/>
    <w:basedOn w:val="Normal"/>
    <w:link w:val="FNBChar"/>
    <w:rsid w:val="00E671FF"/>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E671FF"/>
    <w:rPr>
      <w:rFonts w:ascii="Times" w:eastAsia="MS Mincho" w:hAnsi="Times" w:cs="Times New Roman"/>
      <w:sz w:val="14"/>
      <w:szCs w:val="3276"/>
      <w:lang w:eastAsia="de-DE"/>
    </w:rPr>
  </w:style>
  <w:style w:type="paragraph" w:customStyle="1" w:styleId="Ack">
    <w:name w:val="Ack"/>
    <w:basedOn w:val="Normal"/>
    <w:rsid w:val="00E671FF"/>
  </w:style>
  <w:style w:type="paragraph" w:customStyle="1" w:styleId="TableCaption">
    <w:name w:val="TableCaption"/>
    <w:basedOn w:val="Normal"/>
    <w:rsid w:val="00E671FF"/>
    <w:pPr>
      <w:spacing w:after="120" w:line="190" w:lineRule="exact"/>
      <w:jc w:val="both"/>
    </w:pPr>
    <w:rPr>
      <w:rFonts w:ascii="Arial" w:hAnsi="Arial"/>
      <w:sz w:val="16"/>
      <w:szCs w:val="14"/>
      <w:lang w:val="en-GB"/>
    </w:rPr>
  </w:style>
  <w:style w:type="paragraph" w:customStyle="1" w:styleId="TableHead">
    <w:name w:val="TableHead"/>
    <w:basedOn w:val="TableCaption"/>
    <w:rsid w:val="00E671FF"/>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E671FF"/>
  </w:style>
  <w:style w:type="paragraph" w:customStyle="1" w:styleId="TableFoot">
    <w:name w:val="TableFoot"/>
    <w:basedOn w:val="TableBody"/>
    <w:rsid w:val="00E671FF"/>
    <w:pPr>
      <w:spacing w:before="60" w:after="60"/>
    </w:pPr>
  </w:style>
  <w:style w:type="paragraph" w:customStyle="1" w:styleId="SchemeCaption">
    <w:name w:val="SchemeCaption"/>
    <w:basedOn w:val="Normal"/>
    <w:rsid w:val="00E671FF"/>
    <w:pPr>
      <w:spacing w:before="230" w:after="460" w:line="190" w:lineRule="exact"/>
      <w:jc w:val="both"/>
    </w:pPr>
    <w:rPr>
      <w:rFonts w:ascii="Arial" w:hAnsi="Arial"/>
      <w:sz w:val="16"/>
      <w:szCs w:val="14"/>
      <w:lang w:val="en-GB"/>
    </w:rPr>
  </w:style>
  <w:style w:type="paragraph" w:styleId="FootnoteText">
    <w:name w:val="footnote text"/>
    <w:basedOn w:val="Normal"/>
    <w:link w:val="FootnoteTextChar"/>
    <w:semiHidden/>
    <w:rsid w:val="00E671FF"/>
    <w:pPr>
      <w:keepLines/>
      <w:widowControl w:val="0"/>
      <w:jc w:val="both"/>
    </w:pPr>
    <w:rPr>
      <w:rFonts w:eastAsia="Times New Roman"/>
      <w:sz w:val="20"/>
      <w:szCs w:val="20"/>
      <w:lang w:val="en-GB" w:eastAsia="ro-RO"/>
    </w:rPr>
  </w:style>
  <w:style w:type="character" w:customStyle="1" w:styleId="FootnoteTextChar">
    <w:name w:val="Footnote Text Char"/>
    <w:basedOn w:val="DefaultParagraphFont"/>
    <w:link w:val="FootnoteText"/>
    <w:semiHidden/>
    <w:rsid w:val="00E671FF"/>
    <w:rPr>
      <w:rFonts w:ascii="Times New Roman" w:eastAsia="Times New Roman" w:hAnsi="Times New Roman" w:cs="Times New Roman"/>
      <w:sz w:val="20"/>
      <w:szCs w:val="20"/>
      <w:lang w:eastAsia="ro-RO"/>
    </w:rPr>
  </w:style>
  <w:style w:type="paragraph" w:customStyle="1" w:styleId="STOE">
    <w:name w:val="STOE"/>
    <w:basedOn w:val="Normal"/>
    <w:link w:val="STOEChar1"/>
    <w:rsid w:val="00E671FF"/>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E671FF"/>
    <w:rPr>
      <w:rFonts w:ascii="Times" w:eastAsia="MS Mincho" w:hAnsi="Times" w:cs="Times New Roman"/>
      <w:sz w:val="18"/>
      <w:szCs w:val="3276"/>
      <w:lang w:eastAsia="de-DE"/>
    </w:rPr>
  </w:style>
  <w:style w:type="paragraph" w:styleId="BalloonText">
    <w:name w:val="Balloon Text"/>
    <w:basedOn w:val="Normal"/>
    <w:link w:val="BalloonTextChar"/>
    <w:semiHidden/>
    <w:rsid w:val="00E671FF"/>
    <w:rPr>
      <w:rFonts w:ascii="Tahoma" w:hAnsi="Tahoma" w:cs="Tahoma"/>
      <w:sz w:val="16"/>
      <w:szCs w:val="16"/>
    </w:rPr>
  </w:style>
  <w:style w:type="character" w:customStyle="1" w:styleId="BalloonTextChar">
    <w:name w:val="Balloon Text Char"/>
    <w:basedOn w:val="DefaultParagraphFont"/>
    <w:link w:val="BalloonText"/>
    <w:semiHidden/>
    <w:rsid w:val="00E671FF"/>
    <w:rPr>
      <w:rFonts w:ascii="Tahoma" w:eastAsia="MS Mincho" w:hAnsi="Tahoma" w:cs="Tahoma"/>
      <w:sz w:val="16"/>
      <w:szCs w:val="16"/>
      <w:lang w:val="de-DE" w:eastAsia="ja-JP"/>
    </w:rPr>
  </w:style>
  <w:style w:type="paragraph" w:styleId="Header">
    <w:name w:val="header"/>
    <w:basedOn w:val="Normal"/>
    <w:link w:val="HeaderChar"/>
    <w:rsid w:val="00E671FF"/>
    <w:pPr>
      <w:tabs>
        <w:tab w:val="center" w:pos="4536"/>
        <w:tab w:val="right" w:pos="9072"/>
      </w:tabs>
    </w:pPr>
    <w:rPr>
      <w:lang w:val="x-none"/>
    </w:rPr>
  </w:style>
  <w:style w:type="character" w:customStyle="1" w:styleId="HeaderChar">
    <w:name w:val="Header Char"/>
    <w:basedOn w:val="DefaultParagraphFont"/>
    <w:link w:val="Header"/>
    <w:rsid w:val="00E671FF"/>
    <w:rPr>
      <w:rFonts w:ascii="Times New Roman" w:eastAsia="MS Mincho" w:hAnsi="Times New Roman" w:cs="Times New Roman"/>
      <w:sz w:val="24"/>
      <w:szCs w:val="24"/>
      <w:lang w:val="x-none" w:eastAsia="ja-JP"/>
    </w:rPr>
  </w:style>
  <w:style w:type="paragraph" w:styleId="Footer">
    <w:name w:val="footer"/>
    <w:basedOn w:val="Normal"/>
    <w:link w:val="FooterChar"/>
    <w:uiPriority w:val="99"/>
    <w:rsid w:val="00E671FF"/>
    <w:pPr>
      <w:tabs>
        <w:tab w:val="center" w:pos="4536"/>
        <w:tab w:val="right" w:pos="9072"/>
      </w:tabs>
    </w:pPr>
  </w:style>
  <w:style w:type="character" w:customStyle="1" w:styleId="FooterChar">
    <w:name w:val="Footer Char"/>
    <w:basedOn w:val="DefaultParagraphFont"/>
    <w:link w:val="Footer"/>
    <w:uiPriority w:val="99"/>
    <w:rsid w:val="00E671FF"/>
    <w:rPr>
      <w:rFonts w:ascii="Times New Roman" w:eastAsia="MS Mincho" w:hAnsi="Times New Roman" w:cs="Times New Roman"/>
      <w:sz w:val="24"/>
      <w:szCs w:val="24"/>
      <w:lang w:val="de-DE" w:eastAsia="ja-JP"/>
    </w:rPr>
  </w:style>
  <w:style w:type="paragraph" w:customStyle="1" w:styleId="Title1">
    <w:name w:val="Title1"/>
    <w:basedOn w:val="Normal"/>
    <w:rsid w:val="00E671FF"/>
    <w:rPr>
      <w:b/>
      <w:lang w:val="en-US"/>
    </w:rPr>
  </w:style>
  <w:style w:type="paragraph" w:customStyle="1" w:styleId="AuthorsFull">
    <w:name w:val="Authors Full"/>
    <w:basedOn w:val="Normal"/>
    <w:rsid w:val="00E671FF"/>
    <w:rPr>
      <w:i/>
      <w:lang w:val="en-US"/>
    </w:rPr>
  </w:style>
  <w:style w:type="paragraph" w:customStyle="1" w:styleId="dedication">
    <w:name w:val="dedication"/>
    <w:basedOn w:val="Normal"/>
    <w:rsid w:val="00E671FF"/>
    <w:rPr>
      <w:i/>
      <w:lang w:val="en-US"/>
    </w:rPr>
  </w:style>
  <w:style w:type="paragraph" w:customStyle="1" w:styleId="Addresses">
    <w:name w:val="Addresses"/>
    <w:basedOn w:val="Normal"/>
    <w:rsid w:val="00E671FF"/>
    <w:rPr>
      <w:lang w:val="en-US"/>
    </w:rPr>
  </w:style>
  <w:style w:type="paragraph" w:customStyle="1" w:styleId="Acknowledgements">
    <w:name w:val="Acknowledgements"/>
    <w:basedOn w:val="Normal"/>
    <w:rsid w:val="00E671FF"/>
    <w:rPr>
      <w:lang w:val="en-US"/>
    </w:rPr>
  </w:style>
  <w:style w:type="paragraph" w:customStyle="1" w:styleId="Abstract">
    <w:name w:val="Abstract"/>
    <w:basedOn w:val="Normal"/>
    <w:autoRedefine/>
    <w:rsid w:val="00E671FF"/>
    <w:pPr>
      <w:spacing w:line="480" w:lineRule="auto"/>
    </w:pPr>
    <w:rPr>
      <w:lang w:val="en-US"/>
    </w:rPr>
  </w:style>
  <w:style w:type="paragraph" w:customStyle="1" w:styleId="Head1">
    <w:name w:val="Head 1"/>
    <w:basedOn w:val="Normal"/>
    <w:autoRedefine/>
    <w:rsid w:val="00E671FF"/>
    <w:pPr>
      <w:spacing w:line="360" w:lineRule="auto"/>
    </w:pPr>
    <w:rPr>
      <w:b/>
      <w:lang w:val="en-US"/>
    </w:rPr>
  </w:style>
  <w:style w:type="paragraph" w:customStyle="1" w:styleId="Head2">
    <w:name w:val="Head 2"/>
    <w:basedOn w:val="Normal"/>
    <w:autoRedefine/>
    <w:rsid w:val="00E671FF"/>
    <w:pPr>
      <w:spacing w:line="360" w:lineRule="auto"/>
    </w:pPr>
    <w:rPr>
      <w:i/>
      <w:lang w:val="en-US"/>
    </w:rPr>
  </w:style>
  <w:style w:type="paragraph" w:customStyle="1" w:styleId="dates">
    <w:name w:val="dates"/>
    <w:basedOn w:val="Normal"/>
    <w:rsid w:val="00E671FF"/>
    <w:pPr>
      <w:jc w:val="right"/>
    </w:pPr>
    <w:rPr>
      <w:lang w:val="en-US"/>
    </w:rPr>
  </w:style>
  <w:style w:type="paragraph" w:customStyle="1" w:styleId="Literature">
    <w:name w:val="Literature"/>
    <w:basedOn w:val="Normal"/>
    <w:rsid w:val="00E671FF"/>
    <w:pPr>
      <w:spacing w:line="480" w:lineRule="auto"/>
    </w:pPr>
  </w:style>
  <w:style w:type="paragraph" w:customStyle="1" w:styleId="Legend">
    <w:name w:val="Legend"/>
    <w:basedOn w:val="Normal"/>
    <w:rsid w:val="00E671FF"/>
    <w:rPr>
      <w:lang w:val="en-US"/>
    </w:rPr>
  </w:style>
  <w:style w:type="paragraph" w:customStyle="1" w:styleId="MainText">
    <w:name w:val="Main Text"/>
    <w:basedOn w:val="Normal"/>
    <w:link w:val="MainTextChar"/>
    <w:rsid w:val="00E671FF"/>
    <w:pPr>
      <w:spacing w:line="480" w:lineRule="auto"/>
    </w:pPr>
    <w:rPr>
      <w:lang w:val="en-US"/>
    </w:rPr>
  </w:style>
  <w:style w:type="paragraph" w:customStyle="1" w:styleId="Tableofcontents">
    <w:name w:val="Table of contents"/>
    <w:basedOn w:val="Normal"/>
    <w:autoRedefine/>
    <w:rsid w:val="00E671FF"/>
    <w:rPr>
      <w:lang w:val="en-US"/>
    </w:rPr>
  </w:style>
  <w:style w:type="paragraph" w:customStyle="1" w:styleId="ExperimentalText">
    <w:name w:val="Experimental Text"/>
    <w:basedOn w:val="Normal"/>
    <w:link w:val="ExperimentalTextChar"/>
    <w:rsid w:val="00E671FF"/>
    <w:pPr>
      <w:spacing w:line="480" w:lineRule="auto"/>
    </w:pPr>
    <w:rPr>
      <w:lang w:val="en-US"/>
    </w:rPr>
  </w:style>
  <w:style w:type="character" w:customStyle="1" w:styleId="ExperimentalTextChar">
    <w:name w:val="Experimental Text Char"/>
    <w:link w:val="ExperimentalText"/>
    <w:rsid w:val="00E671FF"/>
    <w:rPr>
      <w:rFonts w:ascii="Times New Roman" w:eastAsia="MS Mincho" w:hAnsi="Times New Roman" w:cs="Times New Roman"/>
      <w:sz w:val="24"/>
      <w:szCs w:val="24"/>
      <w:lang w:val="en-US" w:eastAsia="ja-JP"/>
    </w:rPr>
  </w:style>
  <w:style w:type="character" w:customStyle="1" w:styleId="MainTextChar">
    <w:name w:val="Main Text Char"/>
    <w:link w:val="MainText"/>
    <w:rsid w:val="00E671FF"/>
    <w:rPr>
      <w:rFonts w:ascii="Times New Roman" w:eastAsia="MS Mincho" w:hAnsi="Times New Roman" w:cs="Times New Roman"/>
      <w:sz w:val="24"/>
      <w:szCs w:val="24"/>
      <w:lang w:val="en-US" w:eastAsia="ja-JP"/>
    </w:rPr>
  </w:style>
  <w:style w:type="paragraph" w:customStyle="1" w:styleId="Title2">
    <w:name w:val="Title2"/>
    <w:basedOn w:val="Normal"/>
    <w:rsid w:val="00E671FF"/>
    <w:rPr>
      <w:b/>
      <w:lang w:val="en-US"/>
    </w:rPr>
  </w:style>
  <w:style w:type="paragraph" w:customStyle="1" w:styleId="Dedication0">
    <w:name w:val="Dedication"/>
    <w:basedOn w:val="Normal"/>
    <w:autoRedefine/>
    <w:rsid w:val="00E671FF"/>
    <w:rPr>
      <w:lang w:val="en-US"/>
    </w:rPr>
  </w:style>
  <w:style w:type="paragraph" w:customStyle="1" w:styleId="Maintext0">
    <w:name w:val="Main text"/>
    <w:basedOn w:val="Normal"/>
    <w:link w:val="MaintextChar0"/>
    <w:autoRedefine/>
    <w:rsid w:val="00E671FF"/>
    <w:pPr>
      <w:spacing w:line="480" w:lineRule="auto"/>
      <w:jc w:val="both"/>
    </w:pPr>
    <w:rPr>
      <w:lang w:val="en-US"/>
    </w:rPr>
  </w:style>
  <w:style w:type="character" w:customStyle="1" w:styleId="MaintextChar0">
    <w:name w:val="Main text Char"/>
    <w:link w:val="Maintext0"/>
    <w:rsid w:val="00E671FF"/>
    <w:rPr>
      <w:rFonts w:ascii="Times New Roman" w:eastAsia="MS Mincho" w:hAnsi="Times New Roman" w:cs="Times New Roman"/>
      <w:sz w:val="24"/>
      <w:szCs w:val="24"/>
      <w:lang w:val="en-US" w:eastAsia="ja-JP"/>
    </w:rPr>
  </w:style>
  <w:style w:type="paragraph" w:customStyle="1" w:styleId="Biography">
    <w:name w:val="Biography"/>
    <w:basedOn w:val="Normal"/>
    <w:autoRedefine/>
    <w:rsid w:val="00E671FF"/>
    <w:rPr>
      <w:i/>
      <w:lang w:val="en-US"/>
    </w:rPr>
  </w:style>
  <w:style w:type="character" w:styleId="CommentReference">
    <w:name w:val="annotation reference"/>
    <w:uiPriority w:val="99"/>
    <w:semiHidden/>
    <w:unhideWhenUsed/>
    <w:rsid w:val="00E671FF"/>
    <w:rPr>
      <w:sz w:val="16"/>
      <w:szCs w:val="16"/>
    </w:rPr>
  </w:style>
  <w:style w:type="paragraph" w:styleId="CommentText">
    <w:name w:val="annotation text"/>
    <w:basedOn w:val="Normal"/>
    <w:link w:val="CommentTextChar"/>
    <w:uiPriority w:val="99"/>
    <w:semiHidden/>
    <w:unhideWhenUsed/>
    <w:rsid w:val="00E671FF"/>
    <w:rPr>
      <w:sz w:val="20"/>
      <w:szCs w:val="20"/>
      <w:lang w:val="x-none"/>
    </w:rPr>
  </w:style>
  <w:style w:type="character" w:customStyle="1" w:styleId="CommentTextChar">
    <w:name w:val="Comment Text Char"/>
    <w:basedOn w:val="DefaultParagraphFont"/>
    <w:link w:val="CommentText"/>
    <w:uiPriority w:val="99"/>
    <w:semiHidden/>
    <w:rsid w:val="00E671FF"/>
    <w:rPr>
      <w:rFonts w:ascii="Times New Roman" w:eastAsia="MS Mincho" w:hAnsi="Times New Roman" w:cs="Times New Roman"/>
      <w:sz w:val="20"/>
      <w:szCs w:val="20"/>
      <w:lang w:val="x-none" w:eastAsia="ja-JP"/>
    </w:rPr>
  </w:style>
  <w:style w:type="paragraph" w:styleId="CommentSubject">
    <w:name w:val="annotation subject"/>
    <w:basedOn w:val="CommentText"/>
    <w:next w:val="CommentText"/>
    <w:link w:val="CommentSubjectChar"/>
    <w:uiPriority w:val="99"/>
    <w:semiHidden/>
    <w:unhideWhenUsed/>
    <w:rsid w:val="00E671FF"/>
    <w:rPr>
      <w:b/>
      <w:bCs/>
    </w:rPr>
  </w:style>
  <w:style w:type="character" w:customStyle="1" w:styleId="CommentSubjectChar">
    <w:name w:val="Comment Subject Char"/>
    <w:basedOn w:val="CommentTextChar"/>
    <w:link w:val="CommentSubject"/>
    <w:uiPriority w:val="99"/>
    <w:semiHidden/>
    <w:rsid w:val="00E671FF"/>
    <w:rPr>
      <w:rFonts w:ascii="Times New Roman" w:eastAsia="MS Mincho" w:hAnsi="Times New Roman" w:cs="Times New Roman"/>
      <w:b/>
      <w:bCs/>
      <w:sz w:val="20"/>
      <w:szCs w:val="20"/>
      <w:lang w:val="x-none" w:eastAsia="ja-JP"/>
    </w:rPr>
  </w:style>
  <w:style w:type="character" w:styleId="PlaceholderText">
    <w:name w:val="Placeholder Text"/>
    <w:basedOn w:val="DefaultParagraphFont"/>
    <w:uiPriority w:val="99"/>
    <w:semiHidden/>
    <w:rsid w:val="00E671FF"/>
    <w:rPr>
      <w:color w:val="808080"/>
    </w:rPr>
  </w:style>
  <w:style w:type="table" w:styleId="TableGrid">
    <w:name w:val="Table Grid"/>
    <w:basedOn w:val="TableNormal"/>
    <w:uiPriority w:val="59"/>
    <w:rsid w:val="00E671FF"/>
    <w:pPr>
      <w:spacing w:after="0" w:line="240" w:lineRule="auto"/>
    </w:pPr>
    <w:rPr>
      <w:rFonts w:ascii="Times New Roman" w:eastAsia="MS Mincho"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B321E"/>
    <w:rPr>
      <w:rFonts w:ascii="Times New Roman" w:eastAsia="Times New Roman" w:hAnsi="Times New Roman" w:cs="Times New Roman"/>
      <w:b/>
      <w:bCs/>
      <w:kern w:val="36"/>
      <w:sz w:val="48"/>
      <w:szCs w:val="48"/>
      <w:lang w:eastAsia="en-GB"/>
    </w:rPr>
  </w:style>
  <w:style w:type="character" w:customStyle="1" w:styleId="hlfld-title">
    <w:name w:val="hlfld-title"/>
    <w:basedOn w:val="DefaultParagraphFont"/>
    <w:rsid w:val="000B321E"/>
  </w:style>
  <w:style w:type="character" w:customStyle="1" w:styleId="Heading3Char">
    <w:name w:val="Heading 3 Char"/>
    <w:basedOn w:val="DefaultParagraphFont"/>
    <w:link w:val="Heading3"/>
    <w:uiPriority w:val="9"/>
    <w:rsid w:val="00E36671"/>
    <w:rPr>
      <w:rFonts w:asciiTheme="majorHAnsi" w:eastAsiaTheme="majorEastAsia" w:hAnsiTheme="majorHAnsi" w:cstheme="majorBidi"/>
      <w:color w:val="1F4D78" w:themeColor="accent1" w:themeShade="7F"/>
      <w:sz w:val="24"/>
      <w:szCs w:val="24"/>
      <w:lang w:val="de-DE" w:eastAsia="ja-JP"/>
    </w:rPr>
  </w:style>
  <w:style w:type="character" w:customStyle="1" w:styleId="js-article-title">
    <w:name w:val="js-article-title"/>
    <w:basedOn w:val="DefaultParagraphFont"/>
    <w:rsid w:val="00E36671"/>
  </w:style>
  <w:style w:type="character" w:styleId="Hyperlink">
    <w:name w:val="Hyperlink"/>
    <w:basedOn w:val="DefaultParagraphFont"/>
    <w:uiPriority w:val="99"/>
    <w:semiHidden/>
    <w:unhideWhenUsed/>
    <w:rsid w:val="00431909"/>
    <w:rPr>
      <w:color w:val="0000FF"/>
      <w:u w:val="single"/>
    </w:rPr>
  </w:style>
  <w:style w:type="character" w:customStyle="1" w:styleId="inf">
    <w:name w:val="inf"/>
    <w:basedOn w:val="DefaultParagraphFont"/>
    <w:rsid w:val="00431909"/>
  </w:style>
  <w:style w:type="character" w:customStyle="1" w:styleId="Heading2Char">
    <w:name w:val="Heading 2 Char"/>
    <w:basedOn w:val="DefaultParagraphFont"/>
    <w:link w:val="Heading2"/>
    <w:uiPriority w:val="9"/>
    <w:rsid w:val="004B5A87"/>
    <w:rPr>
      <w:rFonts w:asciiTheme="majorHAnsi" w:eastAsiaTheme="majorEastAsia" w:hAnsiTheme="majorHAnsi" w:cstheme="majorBidi"/>
      <w:color w:val="2E74B5" w:themeColor="accent1" w:themeShade="BF"/>
      <w:sz w:val="26"/>
      <w:szCs w:val="26"/>
      <w:lang w:val="de-DE" w:eastAsia="ja-JP"/>
    </w:rPr>
  </w:style>
  <w:style w:type="character" w:customStyle="1" w:styleId="title-text">
    <w:name w:val="title-text"/>
    <w:basedOn w:val="DefaultParagraphFont"/>
    <w:rsid w:val="00587001"/>
  </w:style>
  <w:style w:type="character" w:customStyle="1" w:styleId="it">
    <w:name w:val="it"/>
    <w:basedOn w:val="DefaultParagraphFont"/>
    <w:rsid w:val="00815F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5064">
      <w:bodyDiv w:val="1"/>
      <w:marLeft w:val="0"/>
      <w:marRight w:val="0"/>
      <w:marTop w:val="0"/>
      <w:marBottom w:val="0"/>
      <w:divBdr>
        <w:top w:val="none" w:sz="0" w:space="0" w:color="auto"/>
        <w:left w:val="none" w:sz="0" w:space="0" w:color="auto"/>
        <w:bottom w:val="none" w:sz="0" w:space="0" w:color="auto"/>
        <w:right w:val="none" w:sz="0" w:space="0" w:color="auto"/>
      </w:divBdr>
    </w:div>
    <w:div w:id="124857809">
      <w:bodyDiv w:val="1"/>
      <w:marLeft w:val="0"/>
      <w:marRight w:val="0"/>
      <w:marTop w:val="0"/>
      <w:marBottom w:val="0"/>
      <w:divBdr>
        <w:top w:val="none" w:sz="0" w:space="0" w:color="auto"/>
        <w:left w:val="none" w:sz="0" w:space="0" w:color="auto"/>
        <w:bottom w:val="none" w:sz="0" w:space="0" w:color="auto"/>
        <w:right w:val="none" w:sz="0" w:space="0" w:color="auto"/>
      </w:divBdr>
    </w:div>
    <w:div w:id="353923345">
      <w:bodyDiv w:val="1"/>
      <w:marLeft w:val="0"/>
      <w:marRight w:val="0"/>
      <w:marTop w:val="0"/>
      <w:marBottom w:val="0"/>
      <w:divBdr>
        <w:top w:val="none" w:sz="0" w:space="0" w:color="auto"/>
        <w:left w:val="none" w:sz="0" w:space="0" w:color="auto"/>
        <w:bottom w:val="none" w:sz="0" w:space="0" w:color="auto"/>
        <w:right w:val="none" w:sz="0" w:space="0" w:color="auto"/>
      </w:divBdr>
    </w:div>
    <w:div w:id="565534780">
      <w:bodyDiv w:val="1"/>
      <w:marLeft w:val="0"/>
      <w:marRight w:val="0"/>
      <w:marTop w:val="0"/>
      <w:marBottom w:val="0"/>
      <w:divBdr>
        <w:top w:val="none" w:sz="0" w:space="0" w:color="auto"/>
        <w:left w:val="none" w:sz="0" w:space="0" w:color="auto"/>
        <w:bottom w:val="none" w:sz="0" w:space="0" w:color="auto"/>
        <w:right w:val="none" w:sz="0" w:space="0" w:color="auto"/>
      </w:divBdr>
    </w:div>
    <w:div w:id="844586683">
      <w:bodyDiv w:val="1"/>
      <w:marLeft w:val="0"/>
      <w:marRight w:val="0"/>
      <w:marTop w:val="0"/>
      <w:marBottom w:val="0"/>
      <w:divBdr>
        <w:top w:val="none" w:sz="0" w:space="0" w:color="auto"/>
        <w:left w:val="none" w:sz="0" w:space="0" w:color="auto"/>
        <w:bottom w:val="none" w:sz="0" w:space="0" w:color="auto"/>
        <w:right w:val="none" w:sz="0" w:space="0" w:color="auto"/>
      </w:divBdr>
    </w:div>
    <w:div w:id="867260348">
      <w:bodyDiv w:val="1"/>
      <w:marLeft w:val="0"/>
      <w:marRight w:val="0"/>
      <w:marTop w:val="0"/>
      <w:marBottom w:val="0"/>
      <w:divBdr>
        <w:top w:val="none" w:sz="0" w:space="0" w:color="auto"/>
        <w:left w:val="none" w:sz="0" w:space="0" w:color="auto"/>
        <w:bottom w:val="none" w:sz="0" w:space="0" w:color="auto"/>
        <w:right w:val="none" w:sz="0" w:space="0" w:color="auto"/>
      </w:divBdr>
    </w:div>
    <w:div w:id="896402215">
      <w:bodyDiv w:val="1"/>
      <w:marLeft w:val="0"/>
      <w:marRight w:val="0"/>
      <w:marTop w:val="0"/>
      <w:marBottom w:val="0"/>
      <w:divBdr>
        <w:top w:val="none" w:sz="0" w:space="0" w:color="auto"/>
        <w:left w:val="none" w:sz="0" w:space="0" w:color="auto"/>
        <w:bottom w:val="none" w:sz="0" w:space="0" w:color="auto"/>
        <w:right w:val="none" w:sz="0" w:space="0" w:color="auto"/>
      </w:divBdr>
    </w:div>
    <w:div w:id="1102334383">
      <w:bodyDiv w:val="1"/>
      <w:marLeft w:val="0"/>
      <w:marRight w:val="0"/>
      <w:marTop w:val="0"/>
      <w:marBottom w:val="0"/>
      <w:divBdr>
        <w:top w:val="none" w:sz="0" w:space="0" w:color="auto"/>
        <w:left w:val="none" w:sz="0" w:space="0" w:color="auto"/>
        <w:bottom w:val="none" w:sz="0" w:space="0" w:color="auto"/>
        <w:right w:val="none" w:sz="0" w:space="0" w:color="auto"/>
      </w:divBdr>
    </w:div>
    <w:div w:id="1341157540">
      <w:bodyDiv w:val="1"/>
      <w:marLeft w:val="0"/>
      <w:marRight w:val="0"/>
      <w:marTop w:val="0"/>
      <w:marBottom w:val="0"/>
      <w:divBdr>
        <w:top w:val="none" w:sz="0" w:space="0" w:color="auto"/>
        <w:left w:val="none" w:sz="0" w:space="0" w:color="auto"/>
        <w:bottom w:val="none" w:sz="0" w:space="0" w:color="auto"/>
        <w:right w:val="none" w:sz="0" w:space="0" w:color="auto"/>
      </w:divBdr>
    </w:div>
    <w:div w:id="1365641537">
      <w:bodyDiv w:val="1"/>
      <w:marLeft w:val="0"/>
      <w:marRight w:val="0"/>
      <w:marTop w:val="0"/>
      <w:marBottom w:val="0"/>
      <w:divBdr>
        <w:top w:val="none" w:sz="0" w:space="0" w:color="auto"/>
        <w:left w:val="none" w:sz="0" w:space="0" w:color="auto"/>
        <w:bottom w:val="none" w:sz="0" w:space="0" w:color="auto"/>
        <w:right w:val="none" w:sz="0" w:space="0" w:color="auto"/>
      </w:divBdr>
    </w:div>
    <w:div w:id="1470324408">
      <w:bodyDiv w:val="1"/>
      <w:marLeft w:val="0"/>
      <w:marRight w:val="0"/>
      <w:marTop w:val="0"/>
      <w:marBottom w:val="0"/>
      <w:divBdr>
        <w:top w:val="none" w:sz="0" w:space="0" w:color="auto"/>
        <w:left w:val="none" w:sz="0" w:space="0" w:color="auto"/>
        <w:bottom w:val="none" w:sz="0" w:space="0" w:color="auto"/>
        <w:right w:val="none" w:sz="0" w:space="0" w:color="auto"/>
      </w:divBdr>
    </w:div>
    <w:div w:id="1679771776">
      <w:bodyDiv w:val="1"/>
      <w:marLeft w:val="0"/>
      <w:marRight w:val="0"/>
      <w:marTop w:val="0"/>
      <w:marBottom w:val="0"/>
      <w:divBdr>
        <w:top w:val="none" w:sz="0" w:space="0" w:color="auto"/>
        <w:left w:val="none" w:sz="0" w:space="0" w:color="auto"/>
        <w:bottom w:val="none" w:sz="0" w:space="0" w:color="auto"/>
        <w:right w:val="none" w:sz="0" w:space="0" w:color="auto"/>
      </w:divBdr>
    </w:div>
    <w:div w:id="1887139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hyperlink" Target="http://journals.iucr.org/j/issues/2011/06/00/db5098/index.html"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tiff"/><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hyperlink" Target="http://journals.iucr.org/q/issues/1957/02/00/a01923/a01923.pdf" TargetMode="Externa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eg"/><Relationship Id="rId5" Type="http://schemas.openxmlformats.org/officeDocument/2006/relationships/hyperlink" Target="https://www.sciencedirect.com/science/article/pii/S2211285518302738" TargetMode="Externa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10" Type="http://schemas.openxmlformats.org/officeDocument/2006/relationships/image" Target="media/image3.jpg"/><Relationship Id="rId19" Type="http://schemas.openxmlformats.org/officeDocument/2006/relationships/image" Target="media/image12.tiff"/><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F7FED-125D-4C55-9DCD-B1EA7103D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33</Pages>
  <Words>6783</Words>
  <Characters>38669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Budhika Mendis</dc:creator>
  <cp:keywords/>
  <dc:description/>
  <cp:lastModifiedBy>Budhika Mendis</cp:lastModifiedBy>
  <cp:revision>14</cp:revision>
  <dcterms:created xsi:type="dcterms:W3CDTF">2020-04-07T16:43:00Z</dcterms:created>
  <dcterms:modified xsi:type="dcterms:W3CDTF">2020-04-14T08:00:00Z</dcterms:modified>
</cp:coreProperties>
</file>