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F1" w:rsidRDefault="00DC54F1" w:rsidP="004E0A9A">
      <w:pPr>
        <w:pStyle w:val="NormalWeb"/>
        <w:spacing w:after="0"/>
        <w:rPr>
          <w:b/>
        </w:rPr>
      </w:pPr>
      <w:r>
        <w:rPr>
          <w:b/>
        </w:rPr>
        <w:t xml:space="preserve">Can Anti-Aufbau DFT Calculations </w:t>
      </w:r>
      <w:r w:rsidR="00466A56">
        <w:rPr>
          <w:b/>
        </w:rPr>
        <w:t>Estimate Singlet Excited State Aromaticity?</w:t>
      </w:r>
    </w:p>
    <w:p w:rsidR="00DB0115" w:rsidRPr="00466A56" w:rsidRDefault="00DB0115" w:rsidP="004E0A9A">
      <w:pPr>
        <w:pStyle w:val="NormalWeb"/>
        <w:spacing w:after="0"/>
        <w:rPr>
          <w:bCs/>
        </w:rPr>
      </w:pPr>
      <w:r w:rsidRPr="00466A56">
        <w:rPr>
          <w:bCs/>
        </w:rPr>
        <w:t>Co</w:t>
      </w:r>
      <w:r w:rsidR="00E10EB3">
        <w:rPr>
          <w:bCs/>
        </w:rPr>
        <w:t>rrespondence</w:t>
      </w:r>
      <w:r w:rsidRPr="00466A56">
        <w:rPr>
          <w:bCs/>
        </w:rPr>
        <w:t xml:space="preserve"> on</w:t>
      </w:r>
      <w:r w:rsidR="004E0A9A" w:rsidRPr="00466A56">
        <w:rPr>
          <w:bCs/>
        </w:rPr>
        <w:t xml:space="preserve"> </w:t>
      </w:r>
      <w:r w:rsidR="00E10EB3">
        <w:rPr>
          <w:bCs/>
        </w:rPr>
        <w:t>“</w:t>
      </w:r>
      <w:proofErr w:type="spellStart"/>
      <w:r w:rsidR="004E0A9A" w:rsidRPr="00466A56">
        <w:rPr>
          <w:bCs/>
        </w:rPr>
        <w:t>Dibenzoarsepins</w:t>
      </w:r>
      <w:proofErr w:type="spellEnd"/>
      <w:r w:rsidR="004E0A9A" w:rsidRPr="00466A56">
        <w:rPr>
          <w:bCs/>
        </w:rPr>
        <w:t>: Planarization of 8π-Electron System in the Lowest Singlet Excited State</w:t>
      </w:r>
      <w:r w:rsidR="00C64250">
        <w:rPr>
          <w:bCs/>
        </w:rPr>
        <w:t>”</w:t>
      </w:r>
    </w:p>
    <w:p w:rsidR="001D2830" w:rsidRDefault="00E64DBB" w:rsidP="004E0A9A">
      <w:pPr>
        <w:pStyle w:val="NormalWeb"/>
        <w:spacing w:after="0"/>
        <w:rPr>
          <w:bCs/>
        </w:rPr>
      </w:pPr>
      <w:r w:rsidRPr="00E64DBB">
        <w:rPr>
          <w:bCs/>
        </w:rPr>
        <w:t>Peter</w:t>
      </w:r>
      <w:r>
        <w:rPr>
          <w:bCs/>
        </w:rPr>
        <w:t xml:space="preserve"> B. Karadakov</w:t>
      </w:r>
      <w:r w:rsidR="003C2A79">
        <w:rPr>
          <w:bCs/>
        </w:rPr>
        <w:t>*</w:t>
      </w:r>
      <w:r>
        <w:rPr>
          <w:bCs/>
        </w:rPr>
        <w:t xml:space="preserve"> and Shohei Saito</w:t>
      </w:r>
    </w:p>
    <w:p w:rsidR="000B5FE9" w:rsidRDefault="001D2830" w:rsidP="004E0A9A">
      <w:pPr>
        <w:pStyle w:val="NormalWeb"/>
        <w:spacing w:after="0"/>
        <w:rPr>
          <w:bCs/>
        </w:rPr>
      </w:pPr>
      <w:proofErr w:type="spellStart"/>
      <w:r>
        <w:rPr>
          <w:bCs/>
        </w:rPr>
        <w:t>Dr.</w:t>
      </w:r>
      <w:proofErr w:type="spellEnd"/>
      <w:r>
        <w:rPr>
          <w:bCs/>
        </w:rPr>
        <w:t xml:space="preserve"> P.B. Karadakov</w:t>
      </w:r>
      <w:r>
        <w:rPr>
          <w:bCs/>
        </w:rPr>
        <w:br/>
        <w:t>Department of Chemistry, University of York</w:t>
      </w:r>
      <w:r>
        <w:rPr>
          <w:bCs/>
        </w:rPr>
        <w:br/>
        <w:t>Heslington, York YO10 5DD (UK)</w:t>
      </w:r>
      <w:r>
        <w:rPr>
          <w:bCs/>
        </w:rPr>
        <w:br/>
        <w:t xml:space="preserve">E-mail: </w:t>
      </w:r>
      <w:r w:rsidR="000B5FE9" w:rsidRPr="000B5FE9">
        <w:rPr>
          <w:bCs/>
        </w:rPr>
        <w:t>peter.karadakov@york.ac.uk</w:t>
      </w:r>
      <w:r w:rsidR="000B5FE9">
        <w:rPr>
          <w:bCs/>
        </w:rPr>
        <w:br/>
      </w:r>
      <w:r w:rsidR="000B5FE9" w:rsidRPr="000B5FE9">
        <w:rPr>
          <w:bCs/>
        </w:rPr>
        <w:t>ORCID https://orcid.org/0000-0002-2673-6804</w:t>
      </w:r>
    </w:p>
    <w:p w:rsidR="00E64DBB" w:rsidRDefault="001D2830" w:rsidP="004E0A9A">
      <w:pPr>
        <w:pStyle w:val="NormalWeb"/>
        <w:spacing w:after="0"/>
      </w:pPr>
      <w:proofErr w:type="spellStart"/>
      <w:r w:rsidRPr="001D2830">
        <w:rPr>
          <w:bCs/>
        </w:rPr>
        <w:t>Dr.</w:t>
      </w:r>
      <w:proofErr w:type="spellEnd"/>
      <w:r>
        <w:rPr>
          <w:bCs/>
        </w:rPr>
        <w:t xml:space="preserve"> </w:t>
      </w:r>
      <w:r w:rsidRPr="001D2830">
        <w:rPr>
          <w:bCs/>
        </w:rPr>
        <w:t>S.</w:t>
      </w:r>
      <w:r>
        <w:rPr>
          <w:bCs/>
        </w:rPr>
        <w:t xml:space="preserve"> </w:t>
      </w:r>
      <w:r w:rsidRPr="001D2830">
        <w:rPr>
          <w:bCs/>
        </w:rPr>
        <w:t>Saito</w:t>
      </w:r>
      <w:r>
        <w:rPr>
          <w:bCs/>
        </w:rPr>
        <w:br/>
      </w:r>
      <w:r w:rsidRPr="001D2830">
        <w:rPr>
          <w:bCs/>
        </w:rPr>
        <w:t>Department</w:t>
      </w:r>
      <w:r>
        <w:rPr>
          <w:bCs/>
        </w:rPr>
        <w:t xml:space="preserve"> </w:t>
      </w:r>
      <w:r w:rsidRPr="001D2830">
        <w:rPr>
          <w:bCs/>
        </w:rPr>
        <w:t>of Chemistry</w:t>
      </w:r>
      <w:r>
        <w:rPr>
          <w:bCs/>
        </w:rPr>
        <w:t xml:space="preserve">, </w:t>
      </w:r>
      <w:r w:rsidRPr="001D2830">
        <w:rPr>
          <w:bCs/>
        </w:rPr>
        <w:t>Graduate</w:t>
      </w:r>
      <w:r>
        <w:rPr>
          <w:bCs/>
        </w:rPr>
        <w:t xml:space="preserve"> </w:t>
      </w:r>
      <w:r w:rsidRPr="001D2830">
        <w:rPr>
          <w:bCs/>
        </w:rPr>
        <w:t>School</w:t>
      </w:r>
      <w:r>
        <w:rPr>
          <w:bCs/>
        </w:rPr>
        <w:t xml:space="preserve"> </w:t>
      </w:r>
      <w:r w:rsidRPr="001D2830">
        <w:rPr>
          <w:bCs/>
        </w:rPr>
        <w:t>of Science</w:t>
      </w:r>
      <w:r>
        <w:rPr>
          <w:bCs/>
        </w:rPr>
        <w:t xml:space="preserve">, </w:t>
      </w:r>
      <w:r w:rsidRPr="001D2830">
        <w:rPr>
          <w:bCs/>
        </w:rPr>
        <w:t>Kyoto</w:t>
      </w:r>
      <w:r>
        <w:rPr>
          <w:bCs/>
        </w:rPr>
        <w:t xml:space="preserve"> </w:t>
      </w:r>
      <w:r w:rsidRPr="001D2830">
        <w:rPr>
          <w:bCs/>
        </w:rPr>
        <w:t>University</w:t>
      </w:r>
      <w:r>
        <w:rPr>
          <w:bCs/>
        </w:rPr>
        <w:t xml:space="preserve"> </w:t>
      </w:r>
      <w:r>
        <w:rPr>
          <w:bCs/>
        </w:rPr>
        <w:br/>
      </w:r>
      <w:r w:rsidRPr="001D2830">
        <w:rPr>
          <w:bCs/>
        </w:rPr>
        <w:t>Kyoto 606-8502</w:t>
      </w:r>
      <w:r>
        <w:rPr>
          <w:bCs/>
        </w:rPr>
        <w:t xml:space="preserve"> </w:t>
      </w:r>
      <w:r w:rsidRPr="001D2830">
        <w:rPr>
          <w:bCs/>
        </w:rPr>
        <w:t>(Japan)</w:t>
      </w:r>
      <w:r>
        <w:rPr>
          <w:bCs/>
        </w:rPr>
        <w:t xml:space="preserve"> </w:t>
      </w:r>
      <w:r>
        <w:rPr>
          <w:bCs/>
        </w:rPr>
        <w:br/>
        <w:t>E-mail:</w:t>
      </w:r>
      <w:r w:rsidR="00E64DBB" w:rsidRPr="00E64DBB">
        <w:rPr>
          <w:bCs/>
        </w:rPr>
        <w:t xml:space="preserve"> </w:t>
      </w:r>
      <w:r w:rsidR="00BE40AF" w:rsidRPr="00BE40AF">
        <w:rPr>
          <w:bCs/>
        </w:rPr>
        <w:t>s_saito@kuchem.kyoto-u.ac.jp</w:t>
      </w:r>
      <w:r w:rsidR="00BE40AF">
        <w:rPr>
          <w:bCs/>
        </w:rPr>
        <w:br/>
      </w:r>
      <w:r w:rsidR="00BE40AF" w:rsidRPr="000B5FE9">
        <w:rPr>
          <w:bCs/>
        </w:rPr>
        <w:t>ORCID https://orcid.org/</w:t>
      </w:r>
      <w:r w:rsidR="00BE40AF" w:rsidRPr="00BE40AF">
        <w:t xml:space="preserve"> </w:t>
      </w:r>
      <w:r w:rsidR="00BE40AF">
        <w:t>0000-0003-1863-9956</w:t>
      </w:r>
    </w:p>
    <w:p w:rsidR="00E10EB3" w:rsidRDefault="00E10EB3" w:rsidP="00E10EB3">
      <w:pPr>
        <w:pStyle w:val="NormalWeb"/>
        <w:spacing w:after="0"/>
      </w:pPr>
      <w:r w:rsidRPr="00920A73">
        <w:rPr>
          <w:b/>
          <w:bCs/>
          <w:i/>
          <w:iCs/>
        </w:rPr>
        <w:t>Abstract:</w:t>
      </w:r>
      <w:r>
        <w:t xml:space="preserve"> T</w:t>
      </w:r>
      <w:r>
        <w:t>he simple anti-</w:t>
      </w:r>
      <w:proofErr w:type="spellStart"/>
      <w:r>
        <w:t>aufbau</w:t>
      </w:r>
      <w:proofErr w:type="spellEnd"/>
      <w:r>
        <w:t xml:space="preserve"> DFT approach for estimating singlet excited state</w:t>
      </w:r>
      <w:r>
        <w:t xml:space="preserve"> </w:t>
      </w:r>
      <w:r>
        <w:t xml:space="preserve">aromaticity suggested </w:t>
      </w:r>
      <w:r>
        <w:t xml:space="preserve">in a recent Communication of </w:t>
      </w:r>
      <w:r w:rsidRPr="00466A56">
        <w:rPr>
          <w:bCs/>
        </w:rPr>
        <w:t xml:space="preserve">Kawashima, </w:t>
      </w:r>
      <w:proofErr w:type="spellStart"/>
      <w:r w:rsidRPr="00466A56">
        <w:rPr>
          <w:bCs/>
        </w:rPr>
        <w:t>Imoto</w:t>
      </w:r>
      <w:proofErr w:type="spellEnd"/>
      <w:r w:rsidRPr="00466A56">
        <w:rPr>
          <w:bCs/>
        </w:rPr>
        <w:t xml:space="preserve">, Ishida, </w:t>
      </w:r>
      <w:proofErr w:type="spellStart"/>
      <w:r w:rsidRPr="00466A56">
        <w:rPr>
          <w:bCs/>
        </w:rPr>
        <w:t>Furuta</w:t>
      </w:r>
      <w:proofErr w:type="spellEnd"/>
      <w:r w:rsidRPr="00466A56">
        <w:rPr>
          <w:bCs/>
        </w:rPr>
        <w:t xml:space="preserve">, Yamamoto, </w:t>
      </w:r>
      <w:proofErr w:type="spellStart"/>
      <w:r w:rsidRPr="00466A56">
        <w:rPr>
          <w:bCs/>
        </w:rPr>
        <w:t>Mitsuishi</w:t>
      </w:r>
      <w:proofErr w:type="spellEnd"/>
      <w:r w:rsidRPr="00466A56">
        <w:rPr>
          <w:bCs/>
        </w:rPr>
        <w:t xml:space="preserve">, Tanaka, </w:t>
      </w:r>
      <w:proofErr w:type="spellStart"/>
      <w:r w:rsidRPr="00466A56">
        <w:rPr>
          <w:bCs/>
        </w:rPr>
        <w:t>Fujii</w:t>
      </w:r>
      <w:proofErr w:type="spellEnd"/>
      <w:r w:rsidRPr="00466A56">
        <w:rPr>
          <w:bCs/>
        </w:rPr>
        <w:t xml:space="preserve">, </w:t>
      </w:r>
      <w:r>
        <w:rPr>
          <w:bCs/>
        </w:rPr>
        <w:t>and</w:t>
      </w:r>
      <w:r w:rsidRPr="00466A56">
        <w:rPr>
          <w:bCs/>
        </w:rPr>
        <w:t xml:space="preserve"> Naka</w:t>
      </w:r>
      <w:r>
        <w:rPr>
          <w:bCs/>
        </w:rPr>
        <w:t xml:space="preserve"> published in this journal is shown</w:t>
      </w:r>
      <w:r>
        <w:t xml:space="preserve"> to</w:t>
      </w:r>
      <w:r>
        <w:t xml:space="preserve"> produce </w:t>
      </w:r>
      <w:r>
        <w:t>in</w:t>
      </w:r>
      <w:r>
        <w:t>correct results because it targets</w:t>
      </w:r>
      <w:r>
        <w:t xml:space="preserve"> a </w:t>
      </w:r>
      <w:r>
        <w:t>linear combination of the singlet and triplet configurations involving the HOMO and</w:t>
      </w:r>
      <w:r>
        <w:t xml:space="preserve"> </w:t>
      </w:r>
      <w:r>
        <w:t>LUMO rather than the first singlet excited state.</w:t>
      </w:r>
      <w:r>
        <w:t xml:space="preserve">  </w:t>
      </w:r>
      <w:r>
        <w:t>If the S</w:t>
      </w:r>
      <w:r w:rsidRPr="00E10EB3">
        <w:rPr>
          <w:vertAlign w:val="subscript"/>
        </w:rPr>
        <w:t>1</w:t>
      </w:r>
      <w:r>
        <w:t xml:space="preserve"> state of a</w:t>
      </w:r>
      <w:r>
        <w:t xml:space="preserve"> </w:t>
      </w:r>
      <w:r>
        <w:t>molecule is dominated by the HOMO</w:t>
      </w:r>
      <w:r>
        <w:t> </w:t>
      </w:r>
      <w:r>
        <w:t>→</w:t>
      </w:r>
      <w:r>
        <w:t> </w:t>
      </w:r>
      <w:r>
        <w:t>LUMO excitation, a</w:t>
      </w:r>
      <w:r>
        <w:t xml:space="preserve"> </w:t>
      </w:r>
      <w:r w:rsidR="00976AAE">
        <w:t xml:space="preserve">comparably simple but </w:t>
      </w:r>
      <w:r>
        <w:t>theoretically consistent and qualitatively correct approximation to the S</w:t>
      </w:r>
      <w:r w:rsidRPr="00C64250">
        <w:rPr>
          <w:vertAlign w:val="subscript"/>
        </w:rPr>
        <w:t>1</w:t>
      </w:r>
      <w:r>
        <w:t xml:space="preserve"> </w:t>
      </w:r>
      <w:r>
        <w:t xml:space="preserve">wavefunction can be achieved by performing a small </w:t>
      </w:r>
      <w:r>
        <w:t>“</w:t>
      </w:r>
      <w:r>
        <w:t>two electrons in two</w:t>
      </w:r>
      <w:r>
        <w:t xml:space="preserve"> </w:t>
      </w:r>
      <w:r>
        <w:t>orbitals</w:t>
      </w:r>
      <w:r>
        <w:t>”</w:t>
      </w:r>
      <w:r>
        <w:t xml:space="preserve"> CASSCF(2,2) calculation which can be followed by </w:t>
      </w:r>
      <w:r w:rsidR="00976AAE">
        <w:t xml:space="preserve">the </w:t>
      </w:r>
      <w:r>
        <w:t>evaluation of</w:t>
      </w:r>
      <w:r>
        <w:t xml:space="preserve"> </w:t>
      </w:r>
      <w:r>
        <w:t xml:space="preserve">magnetic </w:t>
      </w:r>
      <w:r w:rsidR="00976AAE">
        <w:t>aromaticity criteria such as</w:t>
      </w:r>
      <w:r>
        <w:t xml:space="preserve"> NICS.</w:t>
      </w:r>
    </w:p>
    <w:p w:rsidR="00E10EB3" w:rsidRDefault="00C64250" w:rsidP="004E0A9A">
      <w:pPr>
        <w:pStyle w:val="NormalWeb"/>
        <w:spacing w:after="0"/>
      </w:pPr>
      <w:r w:rsidRPr="00920A73">
        <w:rPr>
          <w:b/>
          <w:bCs/>
          <w:i/>
          <w:iCs/>
        </w:rPr>
        <w:t>Keywords:</w:t>
      </w:r>
      <w:r>
        <w:t xml:space="preserve"> </w:t>
      </w:r>
      <w:r w:rsidRPr="00C64250">
        <w:t>excited state aromaticity; Baird</w:t>
      </w:r>
      <w:r>
        <w:t>’</w:t>
      </w:r>
      <w:r w:rsidRPr="00C64250">
        <w:t>s rule; NICS; anti-</w:t>
      </w:r>
      <w:proofErr w:type="spellStart"/>
      <w:r w:rsidRPr="00C64250">
        <w:t>aufbau</w:t>
      </w:r>
      <w:proofErr w:type="spellEnd"/>
      <w:r w:rsidRPr="00C64250">
        <w:t xml:space="preserve"> DFT; </w:t>
      </w:r>
      <w:bookmarkStart w:id="0" w:name="_GoBack"/>
      <w:bookmarkEnd w:id="0"/>
      <w:proofErr w:type="spellStart"/>
      <w:r w:rsidRPr="00C64250">
        <w:t>arsepines</w:t>
      </w:r>
      <w:proofErr w:type="spellEnd"/>
    </w:p>
    <w:p w:rsidR="004A5770" w:rsidRDefault="004A5770" w:rsidP="004A5770">
      <w:pPr>
        <w:pStyle w:val="NormalWeb"/>
        <w:spacing w:before="0" w:beforeAutospacing="0" w:after="0" w:afterAutospacing="0"/>
      </w:pPr>
      <w:r>
        <w:t>Excited state aromaticity is often associated with Baird’s rule,</w:t>
      </w:r>
      <w:r w:rsidR="00AD3BCF" w:rsidRPr="00AD3BCF">
        <w:rPr>
          <w:vertAlign w:val="superscript"/>
        </w:rPr>
        <w:t>[1]</w:t>
      </w:r>
      <w:r>
        <w:t xml:space="preserve"> according to which the familiar </w:t>
      </w:r>
      <w:proofErr w:type="spellStart"/>
      <w:r>
        <w:t>Hückel’s</w:t>
      </w:r>
      <w:proofErr w:type="spellEnd"/>
      <w:r>
        <w:t xml:space="preserve"> 4</w:t>
      </w:r>
      <w:r w:rsidRPr="004A5770">
        <w:rPr>
          <w:i/>
        </w:rPr>
        <w:t>n</w:t>
      </w:r>
      <w:r>
        <w:rPr>
          <w:i/>
        </w:rPr>
        <w:t> </w:t>
      </w:r>
      <w:r>
        <w:t>+ 2 and 4</w:t>
      </w:r>
      <w:r w:rsidRPr="004A5770">
        <w:rPr>
          <w:i/>
        </w:rPr>
        <w:t>n</w:t>
      </w:r>
      <w:r>
        <w:t xml:space="preserve"> rules for electronic ground state aromaticity in cyclic conjugated hydrocarbons are reversed in the lowest triplet state: Rings with 4</w:t>
      </w:r>
      <w:r w:rsidRPr="004A5770">
        <w:rPr>
          <w:i/>
        </w:rPr>
        <w:t>n</w:t>
      </w:r>
      <w:r>
        <w:rPr>
          <w:i/>
        </w:rPr>
        <w:t xml:space="preserve"> </w:t>
      </w:r>
      <w:r>
        <w:t>π electrons switch from antiaromatic to aromatic, while those with 4</w:t>
      </w:r>
      <w:r w:rsidRPr="004A5770">
        <w:rPr>
          <w:i/>
        </w:rPr>
        <w:t>n</w:t>
      </w:r>
      <w:r>
        <w:rPr>
          <w:i/>
        </w:rPr>
        <w:t> </w:t>
      </w:r>
      <w:r>
        <w:t>+ 2 π electrons switch from aromatic to antiaromatic. Subsequent research has demonstrated that similar aromaticity reversals can take place in the lowest singlet excited state</w:t>
      </w:r>
      <w:r w:rsidR="00AD3BCF">
        <w:t>.</w:t>
      </w:r>
      <w:r w:rsidR="00AD3BCF" w:rsidRPr="00AD3BCF">
        <w:rPr>
          <w:vertAlign w:val="superscript"/>
        </w:rPr>
        <w:t>[2–5]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r>
        <w:t>The lowest triplet state (T</w:t>
      </w:r>
      <w:r w:rsidRPr="004A5770">
        <w:rPr>
          <w:vertAlign w:val="subscript"/>
        </w:rPr>
        <w:t>1</w:t>
      </w:r>
      <w:r>
        <w:t xml:space="preserve">), addressed in Baird’s rule, is much easier to access computationally than the </w:t>
      </w:r>
      <w:r w:rsidR="00033EE6">
        <w:t>first</w:t>
      </w:r>
      <w:r>
        <w:t xml:space="preserve"> singlet</w:t>
      </w:r>
      <w:r w:rsidR="00033EE6">
        <w:t xml:space="preserve"> excited</w:t>
      </w:r>
      <w:r>
        <w:t xml:space="preserve"> state (S</w:t>
      </w:r>
      <w:r>
        <w:rPr>
          <w:vertAlign w:val="subscript"/>
        </w:rPr>
        <w:t>1</w:t>
      </w:r>
      <w:r>
        <w:t xml:space="preserve">). A straightforward single-determinant spin-unrestricted </w:t>
      </w:r>
      <w:proofErr w:type="spellStart"/>
      <w:r>
        <w:t>Hartree-Fock</w:t>
      </w:r>
      <w:proofErr w:type="spellEnd"/>
      <w:r>
        <w:t xml:space="preserve"> (UHF) or density functional theory (UDFT) calculation can provide a reasonable approximation to T</w:t>
      </w:r>
      <w:r w:rsidRPr="004A5770">
        <w:rPr>
          <w:vertAlign w:val="subscript"/>
        </w:rPr>
        <w:t>1</w:t>
      </w:r>
      <w:r>
        <w:t>, whereas the description of S</w:t>
      </w:r>
      <w:r w:rsidRPr="004A5770">
        <w:rPr>
          <w:vertAlign w:val="subscript"/>
        </w:rPr>
        <w:t>1</w:t>
      </w:r>
      <w:r>
        <w:t xml:space="preserve"> requires a multideterminant wavefunction. However, from an experimental viewpoint, S</w:t>
      </w:r>
      <w:r w:rsidRPr="004A5770">
        <w:rPr>
          <w:vertAlign w:val="subscript"/>
        </w:rPr>
        <w:t>1</w:t>
      </w:r>
      <w:r>
        <w:t xml:space="preserve"> aromaticity reversals are more interesting than those in T</w:t>
      </w:r>
      <w:r w:rsidRPr="004A5770">
        <w:rPr>
          <w:vertAlign w:val="subscript"/>
        </w:rPr>
        <w:t>1</w:t>
      </w:r>
      <w:r>
        <w:t xml:space="preserve"> as such reversals can be utilized to design molecules with </w:t>
      </w:r>
      <w:proofErr w:type="spellStart"/>
      <w:r>
        <w:t>phototuneable</w:t>
      </w:r>
      <w:proofErr w:type="spellEnd"/>
      <w:r>
        <w:t xml:space="preserve"> behaviour.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r>
        <w:t>The authors of a recent paper on S</w:t>
      </w:r>
      <w:r w:rsidRPr="004A5770">
        <w:rPr>
          <w:vertAlign w:val="subscript"/>
        </w:rPr>
        <w:t>1</w:t>
      </w:r>
      <w:r>
        <w:t xml:space="preserve"> aromaticity in </w:t>
      </w:r>
      <w:proofErr w:type="spellStart"/>
      <w:r>
        <w:t>dibenzoarsepines</w:t>
      </w:r>
      <w:proofErr w:type="spellEnd"/>
      <w:r w:rsidR="00AD3BCF" w:rsidRPr="00AD3BCF">
        <w:rPr>
          <w:vertAlign w:val="superscript"/>
        </w:rPr>
        <w:t>[6]</w:t>
      </w:r>
      <w:r>
        <w:t xml:space="preserve"> suggest that if the S</w:t>
      </w:r>
      <w:r w:rsidRPr="004A5770">
        <w:rPr>
          <w:vertAlign w:val="subscript"/>
        </w:rPr>
        <w:t>1</w:t>
      </w:r>
      <w:r>
        <w:t xml:space="preserve"> state is dominated by the HOMO → LUMO excitation, it should be possible to estimate its aroma</w:t>
      </w:r>
      <w:r w:rsidR="00033EE6">
        <w:t>ti</w:t>
      </w:r>
      <w:r>
        <w:t>city through a simple UDFT computational procedure utilizing an anti-</w:t>
      </w:r>
      <w:proofErr w:type="spellStart"/>
      <w:r>
        <w:t>aufbau</w:t>
      </w:r>
      <w:proofErr w:type="spellEnd"/>
      <w:r>
        <w:t xml:space="preserve"> </w:t>
      </w:r>
      <w:r>
        <w:lastRenderedPageBreak/>
        <w:t>unrest</w:t>
      </w:r>
      <w:r w:rsidR="00033EE6">
        <w:t>r</w:t>
      </w:r>
      <w:r>
        <w:t>icted Slater determinant. Their procedure can be described as</w:t>
      </w:r>
      <w:r w:rsidR="00DB0115">
        <w:t xml:space="preserve"> </w:t>
      </w:r>
      <w:r>
        <w:t>follows: Subsequent to a standard spin-restricted DFT (RDFT) calculation on the ground state (S</w:t>
      </w:r>
      <w:r w:rsidRPr="004A5770">
        <w:rPr>
          <w:vertAlign w:val="subscript"/>
        </w:rPr>
        <w:t>0</w:t>
      </w:r>
      <w:r>
        <w:t xml:space="preserve">), the </w:t>
      </w:r>
      <w:r w:rsidRPr="004A5770">
        <w:rPr>
          <w:i/>
        </w:rPr>
        <w:t>β</w:t>
      </w:r>
      <w:r>
        <w:t xml:space="preserve">-spin HOMO is replaced by the </w:t>
      </w:r>
      <w:r w:rsidRPr="004A5770">
        <w:rPr>
          <w:i/>
        </w:rPr>
        <w:t>β</w:t>
      </w:r>
      <w:r>
        <w:t>-spin LUMO and the resulting set of orbitals is then used as a starting guess in a UDFT calculation which is carried out so as to preserve the anti-</w:t>
      </w:r>
      <w:proofErr w:type="spellStart"/>
      <w:r>
        <w:t>aufbau</w:t>
      </w:r>
      <w:proofErr w:type="spellEnd"/>
      <w:r>
        <w:t xml:space="preserve"> orbital ordering. The anti-</w:t>
      </w:r>
      <w:proofErr w:type="spellStart"/>
      <w:r>
        <w:t>aufbau</w:t>
      </w:r>
      <w:proofErr w:type="spellEnd"/>
      <w:r>
        <w:t xml:space="preserve"> DFT calculation can be combined with evaluation of magnetic properties such as nucleus-independent chemical</w:t>
      </w:r>
      <w:r w:rsidR="00DB0115">
        <w:t xml:space="preserve"> </w:t>
      </w:r>
      <w:r>
        <w:t>shifts (NICS). While this procedure is simpler and more computationally efficient than a full π-space complete-active-space self-consistent field (CASSCF) calculation which is the standard approach for studying the magnetic properties of S</w:t>
      </w:r>
      <w:r w:rsidRPr="004A5770">
        <w:rPr>
          <w:vertAlign w:val="subscript"/>
        </w:rPr>
        <w:t>1</w:t>
      </w:r>
      <w:r w:rsidR="00BB2D01">
        <w:t>,</w:t>
      </w:r>
      <w:r w:rsidR="00BB2D01" w:rsidRPr="00BB2D01">
        <w:rPr>
          <w:vertAlign w:val="superscript"/>
        </w:rPr>
        <w:t>[</w:t>
      </w:r>
      <w:r w:rsidR="00BB2D01">
        <w:rPr>
          <w:vertAlign w:val="superscript"/>
        </w:rPr>
        <w:t>3</w:t>
      </w:r>
      <w:r w:rsidR="00BB2D01" w:rsidRPr="00AD3BCF">
        <w:rPr>
          <w:vertAlign w:val="superscript"/>
        </w:rPr>
        <w:t>–5</w:t>
      </w:r>
      <w:r w:rsidR="00BB2D01">
        <w:rPr>
          <w:vertAlign w:val="superscript"/>
        </w:rPr>
        <w:t>]</w:t>
      </w:r>
      <w:r>
        <w:t xml:space="preserve"> it does not produce correct results because, as it is shown below, the anti-</w:t>
      </w:r>
      <w:proofErr w:type="spellStart"/>
      <w:r>
        <w:t>aufbau</w:t>
      </w:r>
      <w:proofErr w:type="spellEnd"/>
      <w:r>
        <w:t xml:space="preserve"> unrest</w:t>
      </w:r>
      <w:r w:rsidR="00033EE6">
        <w:t>r</w:t>
      </w:r>
      <w:r>
        <w:t>icted Slater determinant is not an approximation to the S</w:t>
      </w:r>
      <w:r w:rsidRPr="004A5770">
        <w:rPr>
          <w:vertAlign w:val="subscript"/>
        </w:rPr>
        <w:t>1</w:t>
      </w:r>
      <w:r>
        <w:t xml:space="preserve"> wavefunction, but very much a linear combination of the singlet and triplet configurations involving the HOMO and LUMO. If the S</w:t>
      </w:r>
      <w:r w:rsidRPr="00BB2D01">
        <w:rPr>
          <w:vertAlign w:val="subscript"/>
        </w:rPr>
        <w:t>1</w:t>
      </w:r>
      <w:r>
        <w:t xml:space="preserve"> state of a molecule is dominated by the HOMO → LUMO excitation, a </w:t>
      </w:r>
      <w:r w:rsidR="00C429B4">
        <w:t xml:space="preserve">relatively simple but </w:t>
      </w:r>
      <w:r>
        <w:t>theoretically consistent and qualitatively correct approximation to the S</w:t>
      </w:r>
      <w:r w:rsidRPr="00BB2D01">
        <w:rPr>
          <w:vertAlign w:val="subscript"/>
        </w:rPr>
        <w:t>1</w:t>
      </w:r>
      <w:r>
        <w:t xml:space="preserve"> wavefunction can be achieved by performing a small “two electrons in two orbitals” CASSCF(2,2) calculation which can be followed by </w:t>
      </w:r>
      <w:r w:rsidR="00976AAE">
        <w:t xml:space="preserve">the </w:t>
      </w:r>
      <w:r>
        <w:t xml:space="preserve">evaluation of </w:t>
      </w:r>
      <w:r w:rsidR="00976AAE">
        <w:t>aromaticity criteria such as</w:t>
      </w:r>
      <w:r>
        <w:t xml:space="preserve"> NICS. 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r>
        <w:t xml:space="preserve">Let us start by examining the case of two electrons in two orbitals, </w:t>
      </w:r>
      <w:r w:rsidR="00667EB2">
        <w:rPr>
          <w:i/>
        </w:rPr>
        <w:t>ϕ</w:t>
      </w:r>
      <w:r w:rsidRPr="004A5770">
        <w:rPr>
          <w:vertAlign w:val="subscript"/>
        </w:rPr>
        <w:t>1</w:t>
      </w:r>
      <w:r>
        <w:t xml:space="preserve"> and </w:t>
      </w:r>
      <w:r w:rsidR="00667EB2">
        <w:rPr>
          <w:i/>
        </w:rPr>
        <w:t>ϕ</w:t>
      </w:r>
      <w:r>
        <w:rPr>
          <w:vertAlign w:val="subscript"/>
        </w:rPr>
        <w:t>2</w:t>
      </w:r>
      <w:r w:rsidR="00667EB2">
        <w:t>;</w:t>
      </w:r>
      <w:r>
        <w:t xml:space="preserve"> the lower-energy orbital </w:t>
      </w:r>
      <w:r w:rsidR="00033EE6">
        <w:rPr>
          <w:i/>
        </w:rPr>
        <w:t>ϕ</w:t>
      </w:r>
      <w:r w:rsidRPr="004A5770">
        <w:rPr>
          <w:vertAlign w:val="subscript"/>
        </w:rPr>
        <w:t>1</w:t>
      </w:r>
      <w:r>
        <w:t xml:space="preserve"> </w:t>
      </w:r>
      <w:r w:rsidR="00667EB2">
        <w:t xml:space="preserve">is </w:t>
      </w:r>
      <w:r>
        <w:t>doubly-occupied in the electronic ground state. The corresponding S</w:t>
      </w:r>
      <w:r w:rsidRPr="004A5770">
        <w:rPr>
          <w:vertAlign w:val="subscript"/>
        </w:rPr>
        <w:t>1</w:t>
      </w:r>
      <w:r>
        <w:t xml:space="preserve"> and T</w:t>
      </w:r>
      <w:r w:rsidRPr="004A5770">
        <w:rPr>
          <w:vertAlign w:val="subscript"/>
        </w:rPr>
        <w:t>1</w:t>
      </w:r>
      <w:r>
        <w:t xml:space="preserve"> wavefunctions can be written down in terms of two two-electron Slater determinants (in unnormalized form, for </w:t>
      </w:r>
      <w:r w:rsidRPr="00667EB2">
        <w:rPr>
          <w:i/>
        </w:rPr>
        <w:t>z</w:t>
      </w:r>
      <w:r>
        <w:t xml:space="preserve">-projection of the total spin </w:t>
      </w:r>
      <w:r w:rsidRPr="00667EB2">
        <w:rPr>
          <w:i/>
        </w:rPr>
        <w:t>M</w:t>
      </w:r>
      <w:r>
        <w:t xml:space="preserve"> = 0):</w:t>
      </w:r>
    </w:p>
    <w:p w:rsidR="00667EB2" w:rsidRDefault="00667EB2" w:rsidP="004A5770">
      <w:pPr>
        <w:pStyle w:val="NormalWeb"/>
        <w:spacing w:before="0" w:beforeAutospacing="0" w:after="0" w:afterAutospacing="0"/>
      </w:pPr>
    </w:p>
    <w:p w:rsidR="00667EB2" w:rsidRDefault="00667EB2" w:rsidP="00667EB2">
      <w:pPr>
        <w:pStyle w:val="MTDisplayEquation"/>
        <w:jc w:val="center"/>
      </w:pPr>
      <m:oMathPara>
        <m:oMath>
          <m:r>
            <m:rPr>
              <m:sty m:val="p"/>
            </m:rPr>
            <w:rPr>
              <w:rFonts w:asci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α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β</m:t>
              </m:r>
            </m:e>
          </m:d>
          <m:r>
            <w:rPr>
              <w:rFonts w:asci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β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α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m:rPr>
              <m:sty m:val="p"/>
            </m:rPr>
            <w:rPr>
              <w:rFonts w:asci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e>
          </m:d>
          <m:r>
            <w:rPr>
              <w:rFonts w:asci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α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β</m:t>
              </m:r>
            </m:e>
          </m:d>
          <m:r>
            <w:rPr>
              <w:rFonts w:asci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/>
                </w:rPr>
                <m:t>β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ϕ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α</m:t>
              </m:r>
            </m:e>
          </m:d>
        </m:oMath>
      </m:oMathPara>
    </w:p>
    <w:p w:rsidR="00667EB2" w:rsidRDefault="00667EB2" w:rsidP="004A5770">
      <w:pPr>
        <w:pStyle w:val="NormalWeb"/>
        <w:spacing w:before="0" w:beforeAutospacing="0" w:after="0" w:afterAutospacing="0"/>
      </w:pPr>
    </w:p>
    <w:p w:rsidR="004A5770" w:rsidRPr="00667EB2" w:rsidRDefault="004A5770" w:rsidP="004A5770">
      <w:pPr>
        <w:pStyle w:val="NormalWeb"/>
        <w:spacing w:before="0" w:beforeAutospacing="0" w:after="0" w:afterAutospacing="0"/>
      </w:pPr>
      <w:r>
        <w:t>The anti-</w:t>
      </w:r>
      <w:proofErr w:type="spellStart"/>
      <w:r>
        <w:t>aufbau</w:t>
      </w:r>
      <w:proofErr w:type="spellEnd"/>
      <w:r>
        <w:t xml:space="preserve"> procedure </w:t>
      </w:r>
      <w:r w:rsidR="00BE40AF">
        <w:t>suggested</w:t>
      </w:r>
      <w:r>
        <w:t xml:space="preserve"> in </w:t>
      </w:r>
      <w:r w:rsidR="00BB2D01">
        <w:t>reference [6]</w:t>
      </w:r>
      <w:r>
        <w:t xml:space="preserve"> would employ a single two-electron Slater determinant,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ϕ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ϕ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β</m:t>
            </m:r>
          </m:e>
        </m:d>
      </m:oMath>
      <w:r>
        <w:t>, to describe S</w:t>
      </w:r>
      <w:r w:rsidRPr="00667EB2">
        <w:rPr>
          <w:vertAlign w:val="subscript"/>
        </w:rPr>
        <w:t>1</w:t>
      </w:r>
      <w:r>
        <w:t xml:space="preserve">. This determinant corresponds to a linear combination of </w:t>
      </w:r>
      <m:oMath>
        <m:r>
          <m:rPr>
            <m:sty m:val="p"/>
          </m:rPr>
          <w:rPr>
            <w:rFonts w:asci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</m:oMath>
      <w:r>
        <w:t xml:space="preserve"> and </w:t>
      </w:r>
      <m:oMath>
        <m:r>
          <m:rPr>
            <m:sty m:val="p"/>
          </m:rPr>
          <w:rPr>
            <w:rFonts w:asci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</m:oMath>
      <w:r>
        <w:t xml:space="preserve"> with equal weights,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ϕ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ϕ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β</m:t>
            </m:r>
          </m:e>
        </m:d>
        <m: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  <m:r>
          <w:rPr>
            <w:rFonts w:ascii="Cambria Math"/>
          </w:rPr>
          <m:t>+</m:t>
        </m:r>
        <m:r>
          <m:rPr>
            <m:sty m:val="p"/>
          </m:rPr>
          <w:rPr>
            <w:rFonts w:asci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</m:oMath>
      <w:r>
        <w:t xml:space="preserve"> (in unnormalized form). The expectation value of the square of the total spin operator,</w:t>
      </w:r>
      <w:r w:rsidR="00667EB2"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, over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ϕ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ϕ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β</m:t>
            </m:r>
          </m:e>
        </m:d>
      </m:oMath>
      <w:r>
        <w:t xml:space="preserve"> can be shown to be equal to 1, which corresponds to total spin </w:t>
      </w:r>
      <w:r w:rsidRPr="00A5663B">
        <w:rPr>
          <w:i/>
        </w:rPr>
        <w:t>S</w:t>
      </w:r>
      <w:r>
        <w:t xml:space="preserve"> = 0.618, a value intermediate between those for a singlet, </w:t>
      </w:r>
      <w:r w:rsidRPr="00A5663B">
        <w:rPr>
          <w:i/>
        </w:rPr>
        <w:t>S</w:t>
      </w:r>
      <w:r>
        <w:t xml:space="preserve"> = 0, and a triplet, </w:t>
      </w:r>
      <w:r w:rsidRPr="00A5663B">
        <w:rPr>
          <w:i/>
        </w:rPr>
        <w:t>S</w:t>
      </w:r>
      <w:r>
        <w:t xml:space="preserve"> = 1, but closer to that for a triplet. 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2D39BA" w:rsidRDefault="004A5770" w:rsidP="004A5770">
      <w:pPr>
        <w:pStyle w:val="NormalWeb"/>
        <w:spacing w:before="0" w:beforeAutospacing="0" w:after="0" w:afterAutospacing="0"/>
      </w:pPr>
      <w:r>
        <w:t xml:space="preserve">The two </w:t>
      </w:r>
      <w:proofErr w:type="spellStart"/>
      <w:r>
        <w:t>arsepines</w:t>
      </w:r>
      <w:proofErr w:type="spellEnd"/>
      <w:r>
        <w:t xml:space="preserve"> studied in </w:t>
      </w:r>
      <w:r w:rsidR="004E0A9A">
        <w:t xml:space="preserve">reference </w:t>
      </w:r>
      <w:r w:rsidR="00BB2D01">
        <w:t>[6]</w:t>
      </w:r>
      <w:r>
        <w:t>, 5-methyl-dibenzo[</w:t>
      </w:r>
      <w:proofErr w:type="spellStart"/>
      <w:r w:rsidRPr="00A5663B">
        <w:rPr>
          <w:i/>
        </w:rPr>
        <w:t>b,f</w:t>
      </w:r>
      <w:proofErr w:type="spellEnd"/>
      <w:r>
        <w:t>]</w:t>
      </w:r>
      <w:proofErr w:type="spellStart"/>
      <w:r>
        <w:t>arsepine</w:t>
      </w:r>
      <w:proofErr w:type="spellEnd"/>
      <w:r>
        <w:t xml:space="preserve"> and 5-phenyl-dibenzo[</w:t>
      </w:r>
      <w:proofErr w:type="spellStart"/>
      <w:r w:rsidRPr="00A5663B">
        <w:rPr>
          <w:i/>
        </w:rPr>
        <w:t>b,f</w:t>
      </w:r>
      <w:proofErr w:type="spellEnd"/>
      <w:r>
        <w:t>]</w:t>
      </w:r>
      <w:proofErr w:type="spellStart"/>
      <w:r>
        <w:t>arsepine</w:t>
      </w:r>
      <w:proofErr w:type="spellEnd"/>
      <w:r>
        <w:t xml:space="preserve"> (referred to as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>), are molecules containing 136 and 168 electrons, respectively. In anti-</w:t>
      </w:r>
      <w:proofErr w:type="spellStart"/>
      <w:r>
        <w:t>aufbau</w:t>
      </w:r>
      <w:proofErr w:type="spellEnd"/>
      <w:r>
        <w:t xml:space="preserve"> UDFT calculations, all 136 (</w:t>
      </w:r>
      <w:r w:rsidRPr="00A5663B">
        <w:rPr>
          <w:b/>
        </w:rPr>
        <w:t>3-Me</w:t>
      </w:r>
      <w:r>
        <w:t>) and 168 (</w:t>
      </w:r>
      <w:r w:rsidR="00EC3CE7">
        <w:rPr>
          <w:b/>
        </w:rPr>
        <w:t>3-Ph</w:t>
      </w:r>
      <w:r>
        <w:t xml:space="preserve">) occupied orbitals for electrons with different spins are different; this can be expected to introduce additional triplet spin character and shift the respective total spin values even further towards the triplet </w:t>
      </w:r>
      <w:r w:rsidRPr="00A5663B">
        <w:rPr>
          <w:i/>
        </w:rPr>
        <w:t>S</w:t>
      </w:r>
      <w:r>
        <w:t xml:space="preserve"> = 1. Several calculations were carried out to analyse the performance of the anti-</w:t>
      </w:r>
      <w:proofErr w:type="spellStart"/>
      <w:r>
        <w:t>aufbau</w:t>
      </w:r>
      <w:proofErr w:type="spellEnd"/>
      <w:r>
        <w:t xml:space="preserve"> UDFT procedure for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and compare it to that of a S</w:t>
      </w:r>
      <w:r w:rsidRPr="00A5663B">
        <w:rPr>
          <w:vertAlign w:val="subscript"/>
        </w:rPr>
        <w:t>1</w:t>
      </w:r>
      <w:r>
        <w:t xml:space="preserve"> CASSCF(2,2) wavefunction using the RHF HOMO and LUMO as a starting guess for the active space. The initial intention was to carry out these calculations using the S</w:t>
      </w:r>
      <w:r w:rsidRPr="00A5663B">
        <w:rPr>
          <w:vertAlign w:val="subscript"/>
        </w:rPr>
        <w:t>1</w:t>
      </w:r>
      <w:r>
        <w:t xml:space="preserve"> optimized geometries of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provided in the SI of </w:t>
      </w:r>
      <w:r w:rsidR="00BB2D01">
        <w:t>reference [6]</w:t>
      </w:r>
      <w:r>
        <w:t>, but an examination of the S</w:t>
      </w:r>
      <w:r w:rsidRPr="00A5663B">
        <w:rPr>
          <w:vertAlign w:val="subscript"/>
        </w:rPr>
        <w:t>0</w:t>
      </w:r>
      <w:r>
        <w:t xml:space="preserve"> and S</w:t>
      </w:r>
      <w:r w:rsidRPr="00A5663B">
        <w:rPr>
          <w:vertAlign w:val="subscript"/>
        </w:rPr>
        <w:t>1</w:t>
      </w:r>
      <w:r>
        <w:t xml:space="preserve"> optimized geometries of </w:t>
      </w:r>
      <w:r w:rsidRPr="00A5663B">
        <w:rPr>
          <w:b/>
        </w:rPr>
        <w:t>3-Me</w:t>
      </w:r>
      <w:r>
        <w:t xml:space="preserve"> showed these to be identical which is unlikely to be correct. Therefore, it was decided to perform independent</w:t>
      </w:r>
      <w:r w:rsidR="00AD75D9">
        <w:t xml:space="preserve"> gas-phase</w:t>
      </w:r>
      <w:r>
        <w:t xml:space="preserve"> TDB3LYP-D3(BJ)/def2TZVP (time-dependent B3LYP in the def2TZVP basis with D3 dispersion corrections and </w:t>
      </w:r>
      <w:proofErr w:type="spellStart"/>
      <w:r>
        <w:t>Becke</w:t>
      </w:r>
      <w:proofErr w:type="spellEnd"/>
      <w:r>
        <w:t>-Johnson damping)</w:t>
      </w:r>
      <w:r w:rsidR="00AD75D9">
        <w:t xml:space="preserve"> </w:t>
      </w:r>
      <w:r>
        <w:t>S</w:t>
      </w:r>
      <w:r w:rsidRPr="00BB2D01">
        <w:rPr>
          <w:vertAlign w:val="subscript"/>
        </w:rPr>
        <w:t>1</w:t>
      </w:r>
      <w:r>
        <w:t xml:space="preserve"> geometry optimizations and harmonic frequency calculations for both molecules, using GAUSSIAN</w:t>
      </w:r>
      <w:r w:rsidR="00BB2D01">
        <w:t>.</w:t>
      </w:r>
      <w:r w:rsidR="00BB2D01" w:rsidRPr="00BB2D01">
        <w:rPr>
          <w:vertAlign w:val="superscript"/>
        </w:rPr>
        <w:t>[7]</w:t>
      </w:r>
      <w:r>
        <w:t xml:space="preserve"> </w:t>
      </w:r>
      <w:r w:rsidR="008E7225">
        <w:t xml:space="preserve">These calculations produced one </w:t>
      </w:r>
      <w:r w:rsidR="008E7225" w:rsidRPr="00A5663B">
        <w:rPr>
          <w:i/>
        </w:rPr>
        <w:t>C</w:t>
      </w:r>
      <w:r w:rsidR="008E7225" w:rsidRPr="00A5663B">
        <w:rPr>
          <w:i/>
          <w:vertAlign w:val="subscript"/>
        </w:rPr>
        <w:t>s</w:t>
      </w:r>
      <w:r w:rsidR="008E7225">
        <w:t xml:space="preserve"> symmetry S</w:t>
      </w:r>
      <w:r w:rsidR="008E7225" w:rsidRPr="00A5663B">
        <w:rPr>
          <w:vertAlign w:val="subscript"/>
        </w:rPr>
        <w:t>1</w:t>
      </w:r>
      <w:r w:rsidR="008E7225">
        <w:t xml:space="preserve"> geometry for </w:t>
      </w:r>
      <w:r w:rsidR="008E7225" w:rsidRPr="00A5663B">
        <w:rPr>
          <w:b/>
        </w:rPr>
        <w:t>3-Me</w:t>
      </w:r>
      <w:r w:rsidR="008E7225">
        <w:rPr>
          <w:bCs/>
        </w:rPr>
        <w:t xml:space="preserve">, corresponding to a local minimum, and two </w:t>
      </w:r>
      <w:r w:rsidR="008E7225" w:rsidRPr="00A5663B">
        <w:rPr>
          <w:i/>
        </w:rPr>
        <w:t>C</w:t>
      </w:r>
      <w:r w:rsidR="008E7225" w:rsidRPr="00A5663B">
        <w:rPr>
          <w:i/>
          <w:vertAlign w:val="subscript"/>
        </w:rPr>
        <w:t>s</w:t>
      </w:r>
      <w:r w:rsidR="008E7225">
        <w:t xml:space="preserve"> symmetry S</w:t>
      </w:r>
      <w:r w:rsidR="008E7225" w:rsidRPr="00A5663B">
        <w:rPr>
          <w:vertAlign w:val="subscript"/>
        </w:rPr>
        <w:t>1</w:t>
      </w:r>
      <w:r w:rsidR="008E7225">
        <w:t xml:space="preserve"> geometries for </w:t>
      </w:r>
      <w:r w:rsidR="00EC3CE7">
        <w:rPr>
          <w:b/>
        </w:rPr>
        <w:t>3-Ph</w:t>
      </w:r>
      <w:r w:rsidR="008E7225">
        <w:rPr>
          <w:bCs/>
        </w:rPr>
        <w:t xml:space="preserve">, corresponding to different local minima, one with the </w:t>
      </w:r>
      <w:r w:rsidR="00BB57B8">
        <w:rPr>
          <w:bCs/>
        </w:rPr>
        <w:lastRenderedPageBreak/>
        <w:t>phenyl</w:t>
      </w:r>
      <w:r w:rsidR="008E7225">
        <w:rPr>
          <w:bCs/>
        </w:rPr>
        <w:t xml:space="preserve"> group in the symmetry plane and another one (higher in energy) with the </w:t>
      </w:r>
      <w:r w:rsidR="00BB57B8">
        <w:rPr>
          <w:bCs/>
        </w:rPr>
        <w:t>phenyl</w:t>
      </w:r>
      <w:r w:rsidR="008E7225">
        <w:rPr>
          <w:bCs/>
        </w:rPr>
        <w:t xml:space="preserve"> group perpendicular to the symmetry plane (see the SI). </w:t>
      </w:r>
      <w:r w:rsidR="0038277F">
        <w:rPr>
          <w:bCs/>
        </w:rPr>
        <w:t xml:space="preserve">The first two of these geometries, which are reasonably similar to those shown in Figures S20 and S21 in reference [6], </w:t>
      </w:r>
      <w:r w:rsidR="002D39BA">
        <w:rPr>
          <w:bCs/>
        </w:rPr>
        <w:t xml:space="preserve">but slightly “flatter”, </w:t>
      </w:r>
      <w:r w:rsidR="0038277F">
        <w:rPr>
          <w:bCs/>
        </w:rPr>
        <w:t xml:space="preserve">are used in all calculations reported in this letter. The two different local minima located on the </w:t>
      </w:r>
      <w:r w:rsidR="00EC3CE7">
        <w:rPr>
          <w:b/>
        </w:rPr>
        <w:t>3-Ph</w:t>
      </w:r>
      <w:r w:rsidR="0038277F">
        <w:rPr>
          <w:b/>
        </w:rPr>
        <w:t xml:space="preserve"> </w:t>
      </w:r>
      <w:r w:rsidR="0038277F">
        <w:t>S</w:t>
      </w:r>
      <w:r w:rsidR="0038277F" w:rsidRPr="00A5663B">
        <w:rPr>
          <w:vertAlign w:val="subscript"/>
        </w:rPr>
        <w:t>1</w:t>
      </w:r>
      <w:r w:rsidR="0038277F">
        <w:t xml:space="preserve"> potential energy surface </w:t>
      </w:r>
      <w:r w:rsidR="002D39BA">
        <w:t>could</w:t>
      </w:r>
      <w:r w:rsidR="00352D9C">
        <w:t xml:space="preserve"> provide an explanation for the two bands observed in the PL spectrum of </w:t>
      </w:r>
      <w:r w:rsidR="00EC3CE7">
        <w:rPr>
          <w:b/>
        </w:rPr>
        <w:t>3-Ph</w:t>
      </w:r>
      <w:r w:rsidR="00352D9C">
        <w:rPr>
          <w:bCs/>
        </w:rPr>
        <w:t>, see Figure 3 in reference [6]</w:t>
      </w:r>
      <w:r w:rsidR="002D39BA">
        <w:rPr>
          <w:bCs/>
        </w:rPr>
        <w:t xml:space="preserve">, but this would require additional </w:t>
      </w:r>
      <w:r w:rsidR="002D39BA">
        <w:t>S</w:t>
      </w:r>
      <w:r w:rsidR="002D39BA" w:rsidRPr="00A5663B">
        <w:rPr>
          <w:vertAlign w:val="subscript"/>
        </w:rPr>
        <w:t>1</w:t>
      </w:r>
      <w:r w:rsidR="002D39BA">
        <w:t xml:space="preserve"> geometry optimizations accounting for the solvents used in the experimental measurements</w:t>
      </w:r>
      <w:r w:rsidR="00352D9C">
        <w:rPr>
          <w:bCs/>
        </w:rPr>
        <w:t>.</w:t>
      </w:r>
      <w:r>
        <w:t xml:space="preserve"> </w:t>
      </w:r>
    </w:p>
    <w:p w:rsidR="002D39BA" w:rsidRDefault="002D39BA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r>
        <w:t>Table 1 shows the results of ground-state RB3LYP, anti-</w:t>
      </w:r>
      <w:proofErr w:type="spellStart"/>
      <w:r>
        <w:t>aufbau</w:t>
      </w:r>
      <w:proofErr w:type="spellEnd"/>
      <w:r>
        <w:t xml:space="preserve"> UB3LYP, UB3LYP (with </w:t>
      </w:r>
      <w:r w:rsidRPr="00A5663B">
        <w:rPr>
          <w:i/>
        </w:rPr>
        <w:t>M</w:t>
      </w:r>
      <w:r w:rsidR="00A5663B">
        <w:rPr>
          <w:i/>
        </w:rPr>
        <w:t> </w:t>
      </w:r>
      <w:r>
        <w:t>=</w:t>
      </w:r>
      <w:r w:rsidR="00A5663B">
        <w:t> </w:t>
      </w:r>
      <w:r>
        <w:t xml:space="preserve">1, as </w:t>
      </w:r>
      <w:r w:rsidR="00033EE6">
        <w:t xml:space="preserve">an </w:t>
      </w:r>
      <w:r>
        <w:t>approximation to T</w:t>
      </w:r>
      <w:r w:rsidRPr="00A5663B">
        <w:rPr>
          <w:vertAlign w:val="subscript"/>
        </w:rPr>
        <w:t>1</w:t>
      </w:r>
      <w:r>
        <w:t>), and CASSCF(2,2) S</w:t>
      </w:r>
      <w:r w:rsidRPr="00A5663B">
        <w:rPr>
          <w:vertAlign w:val="subscript"/>
        </w:rPr>
        <w:t>0</w:t>
      </w:r>
      <w:r>
        <w:t>, S</w:t>
      </w:r>
      <w:r w:rsidRPr="00A5663B">
        <w:rPr>
          <w:vertAlign w:val="subscript"/>
        </w:rPr>
        <w:t>1</w:t>
      </w:r>
      <w:r>
        <w:t xml:space="preserve"> and T</w:t>
      </w:r>
      <w:r w:rsidRPr="00A5663B">
        <w:rPr>
          <w:vertAlign w:val="subscript"/>
        </w:rPr>
        <w:t>1</w:t>
      </w:r>
      <w:r>
        <w:t xml:space="preserve"> calculations of NICS(0) and NICS(1) in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>, performed with gauge-including atomic orbitals (GIAOs) in the 6-311G(d) basis. All DFT calculations were carried out with GAUSSIAN;</w:t>
      </w:r>
      <w:r w:rsidR="00033EE6" w:rsidRPr="00033EE6">
        <w:rPr>
          <w:vertAlign w:val="superscript"/>
        </w:rPr>
        <w:t>[7]</w:t>
      </w:r>
      <w:r>
        <w:t xml:space="preserve"> for the CASSCF calculations use was made of Dalton.</w:t>
      </w:r>
      <w:r w:rsidR="00033EE6" w:rsidRPr="00033EE6">
        <w:rPr>
          <w:vertAlign w:val="superscript"/>
        </w:rPr>
        <w:t>[8]</w:t>
      </w:r>
      <w:r>
        <w:t xml:space="preserve"> Since the </w:t>
      </w:r>
      <w:proofErr w:type="spellStart"/>
      <w:r>
        <w:t>arsepine</w:t>
      </w:r>
      <w:proofErr w:type="spellEnd"/>
      <w:r>
        <w:t xml:space="preserve"> rings in the S</w:t>
      </w:r>
      <w:r w:rsidRPr="00A5663B">
        <w:rPr>
          <w:vertAlign w:val="subscript"/>
        </w:rPr>
        <w:t>1</w:t>
      </w:r>
      <w:r>
        <w:t xml:space="preserve"> states of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are both non-planar, NICS(0) were calculated at the geometric centres of the </w:t>
      </w:r>
      <w:proofErr w:type="spellStart"/>
      <w:r>
        <w:t>arsepine</w:t>
      </w:r>
      <w:proofErr w:type="spellEnd"/>
      <w:r>
        <w:t xml:space="preserve"> rings, and NICS(1)</w:t>
      </w:r>
      <w:r w:rsidR="00A5663B">
        <w:t>—</w:t>
      </w:r>
      <w:r>
        <w:t>at 1</w:t>
      </w:r>
      <w:r w:rsidR="00A5663B">
        <w:t> Å</w:t>
      </w:r>
      <w:r>
        <w:t xml:space="preserve"> above and below NICS(0), along the </w:t>
      </w:r>
      <w:r w:rsidRPr="00A5663B">
        <w:rPr>
          <w:i/>
        </w:rPr>
        <w:t>x</w:t>
      </w:r>
      <w:r>
        <w:t xml:space="preserve">-axis (see the SI). The presence of substituents in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makes the two NICS(1) positions inequivalent, hence the pairs of NICS(1) values in Table 1. 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r>
        <w:t>The anti-</w:t>
      </w:r>
      <w:proofErr w:type="spellStart"/>
      <w:r>
        <w:t>aufbau</w:t>
      </w:r>
      <w:proofErr w:type="spellEnd"/>
      <w:r>
        <w:t xml:space="preserve"> UB3LYP </w:t>
      </w:r>
      <m:oMath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 xml:space="preserve"> and </w:t>
      </w:r>
      <w:r w:rsidRPr="00A5663B">
        <w:rPr>
          <w:i/>
        </w:rPr>
        <w:t>S</w:t>
      </w:r>
      <w:r>
        <w:t xml:space="preserve"> values for </w:t>
      </w:r>
      <w:r w:rsidRPr="00A5663B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confirm the predicted increases of triplet spin character in comparison to the two-electron example discussed above; in contrast, the corresponding values from the UB3LYP (</w:t>
      </w:r>
      <w:r w:rsidRPr="00A5663B">
        <w:rPr>
          <w:i/>
        </w:rPr>
        <w:t>M</w:t>
      </w:r>
      <w:r w:rsidR="00A5663B">
        <w:rPr>
          <w:i/>
        </w:rPr>
        <w:t> </w:t>
      </w:r>
      <w:r>
        <w:t>=</w:t>
      </w:r>
      <w:r w:rsidR="00A5663B">
        <w:t> </w:t>
      </w:r>
      <w:r>
        <w:t>1) calculations indicate almost pure triplet spin states. One of the two anti-</w:t>
      </w:r>
      <w:proofErr w:type="spellStart"/>
      <w:r>
        <w:t>aufbau</w:t>
      </w:r>
      <w:proofErr w:type="spellEnd"/>
      <w:r>
        <w:t xml:space="preserve"> UB3LYP NICS(1) values for </w:t>
      </w:r>
      <w:r w:rsidR="00EC3CE7">
        <w:rPr>
          <w:b/>
        </w:rPr>
        <w:t>3-Ph</w:t>
      </w:r>
      <w:r>
        <w:t xml:space="preserve">, </w:t>
      </w:r>
      <w:r w:rsidR="00A5663B">
        <w:t>−</w:t>
      </w:r>
      <w:r>
        <w:t>9.30</w:t>
      </w:r>
      <w:r w:rsidR="00A5663B">
        <w:t> </w:t>
      </w:r>
      <w:r>
        <w:t xml:space="preserve">ppm, is identical to the single </w:t>
      </w:r>
      <w:r w:rsidR="00A5663B">
        <w:t>“</w:t>
      </w:r>
      <w:r>
        <w:t>S</w:t>
      </w:r>
      <w:r w:rsidRPr="00A5663B">
        <w:rPr>
          <w:vertAlign w:val="subscript"/>
        </w:rPr>
        <w:t>1</w:t>
      </w:r>
      <w:r w:rsidR="00A5663B">
        <w:t>”</w:t>
      </w:r>
      <w:r>
        <w:t xml:space="preserve"> NICS(1) value for this molecule reported in </w:t>
      </w:r>
      <w:r w:rsidR="00033EE6">
        <w:t>reference [6]</w:t>
      </w:r>
      <w:r>
        <w:t xml:space="preserve">. However, the single </w:t>
      </w:r>
      <w:r w:rsidR="0073711C">
        <w:t>“</w:t>
      </w:r>
      <w:r>
        <w:t>S</w:t>
      </w:r>
      <w:r w:rsidRPr="0073711C">
        <w:rPr>
          <w:vertAlign w:val="subscript"/>
        </w:rPr>
        <w:t>1</w:t>
      </w:r>
      <w:r w:rsidR="0073711C">
        <w:t>”</w:t>
      </w:r>
      <w:r>
        <w:t xml:space="preserve"> NICS(1) value for </w:t>
      </w:r>
      <w:r w:rsidRPr="0073711C">
        <w:rPr>
          <w:b/>
        </w:rPr>
        <w:t>3-Me</w:t>
      </w:r>
      <w:r>
        <w:t xml:space="preserve"> reported in </w:t>
      </w:r>
      <w:r w:rsidR="00033EE6">
        <w:t>reference [6]</w:t>
      </w:r>
      <w:r>
        <w:t xml:space="preserve">, </w:t>
      </w:r>
      <w:r w:rsidR="0073711C">
        <w:t>−</w:t>
      </w:r>
      <w:r>
        <w:t>6.7</w:t>
      </w:r>
      <w:r w:rsidR="0073711C">
        <w:t> </w:t>
      </w:r>
      <w:r>
        <w:t>ppm, is smaller in magnitude than either of the corresponding NICS(1) values in Table</w:t>
      </w:r>
      <w:r w:rsidR="009B1F36">
        <w:t> </w:t>
      </w:r>
      <w:r>
        <w:t>1. This is most likely due to the use of a S</w:t>
      </w:r>
      <w:r w:rsidRPr="0073711C">
        <w:rPr>
          <w:vertAlign w:val="subscript"/>
        </w:rPr>
        <w:t>0</w:t>
      </w:r>
      <w:r>
        <w:t xml:space="preserve"> rather than S</w:t>
      </w:r>
      <w:r w:rsidRPr="0073711C">
        <w:rPr>
          <w:vertAlign w:val="subscript"/>
        </w:rPr>
        <w:t>1</w:t>
      </w:r>
      <w:r>
        <w:t xml:space="preserve"> </w:t>
      </w:r>
      <w:r w:rsidRPr="0073711C">
        <w:rPr>
          <w:b/>
        </w:rPr>
        <w:t>3-Me</w:t>
      </w:r>
      <w:r>
        <w:t xml:space="preserve"> optimized geometry in </w:t>
      </w:r>
      <w:r w:rsidR="00033EE6">
        <w:t>reference [6]</w:t>
      </w:r>
      <w:r>
        <w:t>. The data in Table 1 show that the levels of aromaticity of the S</w:t>
      </w:r>
      <w:r w:rsidRPr="0073711C">
        <w:rPr>
          <w:vertAlign w:val="subscript"/>
        </w:rPr>
        <w:t>1</w:t>
      </w:r>
      <w:r>
        <w:t xml:space="preserve"> states of </w:t>
      </w:r>
      <w:r w:rsidRPr="0073711C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are very similar</w:t>
      </w:r>
      <w:r w:rsidR="00F52BA8">
        <w:t xml:space="preserve">, and so are the levels </w:t>
      </w:r>
      <w:r w:rsidR="00BE40AF">
        <w:t xml:space="preserve">of </w:t>
      </w:r>
      <w:r w:rsidR="00F52BA8">
        <w:t>aromaticity of the respective T</w:t>
      </w:r>
      <w:r w:rsidR="00F52BA8" w:rsidRPr="0073711C">
        <w:rPr>
          <w:vertAlign w:val="subscript"/>
        </w:rPr>
        <w:t>1</w:t>
      </w:r>
      <w:r w:rsidR="00F52BA8">
        <w:t xml:space="preserve"> states</w:t>
      </w:r>
      <w:r>
        <w:t xml:space="preserve">, with </w:t>
      </w:r>
      <w:r w:rsidRPr="0073711C">
        <w:rPr>
          <w:b/>
        </w:rPr>
        <w:t>3-Me</w:t>
      </w:r>
      <w:r>
        <w:t xml:space="preserve"> being the slightly more aromatic compound</w:t>
      </w:r>
      <w:r w:rsidR="00F52BA8">
        <w:t xml:space="preserve"> in both of S</w:t>
      </w:r>
      <w:r w:rsidR="00F52BA8" w:rsidRPr="0073711C">
        <w:rPr>
          <w:vertAlign w:val="subscript"/>
        </w:rPr>
        <w:t>1</w:t>
      </w:r>
      <w:r w:rsidR="00F52BA8" w:rsidRPr="00F52BA8">
        <w:t xml:space="preserve"> </w:t>
      </w:r>
      <w:r w:rsidR="00F52BA8">
        <w:t>and T</w:t>
      </w:r>
      <w:r w:rsidR="00F52BA8" w:rsidRPr="0073711C">
        <w:rPr>
          <w:vertAlign w:val="subscript"/>
        </w:rPr>
        <w:t>1</w:t>
      </w:r>
      <w:r>
        <w:t xml:space="preserve">. 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r>
        <w:t>The S</w:t>
      </w:r>
      <w:r w:rsidR="0073711C" w:rsidRPr="0073711C">
        <w:rPr>
          <w:vertAlign w:val="subscript"/>
        </w:rPr>
        <w:t>0</w:t>
      </w:r>
      <w:r>
        <w:t xml:space="preserve"> and T</w:t>
      </w:r>
      <w:r w:rsidRPr="0073711C">
        <w:rPr>
          <w:vertAlign w:val="subscript"/>
        </w:rPr>
        <w:t>1</w:t>
      </w:r>
      <w:r>
        <w:t xml:space="preserve"> RB3LYP/UB3LYP and CASSCF(2,2) NICS(0) and NICS(1) values are in good qualitative agreement. RB3LYP/UB3LYP include more correlation effects than the modest </w:t>
      </w:r>
      <w:r w:rsidR="0073711C">
        <w:t>“</w:t>
      </w:r>
      <w:r>
        <w:t>two electrons in two orbitals</w:t>
      </w:r>
      <w:r w:rsidR="0073711C">
        <w:t>”</w:t>
      </w:r>
      <w:r>
        <w:t xml:space="preserve"> active space in CASSCF(2,2) and, therefore, place some additional emphasis on both the antiaromaticity of the S</w:t>
      </w:r>
      <w:r w:rsidRPr="0073711C">
        <w:rPr>
          <w:vertAlign w:val="subscript"/>
        </w:rPr>
        <w:t>0</w:t>
      </w:r>
      <w:r>
        <w:t xml:space="preserve"> states of </w:t>
      </w:r>
      <w:r w:rsidRPr="0073711C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>, and the aromaticity of the T</w:t>
      </w:r>
      <w:r w:rsidRPr="0073711C">
        <w:rPr>
          <w:vertAlign w:val="subscript"/>
        </w:rPr>
        <w:t>1</w:t>
      </w:r>
      <w:r>
        <w:t xml:space="preserve"> states of these molecules. </w:t>
      </w:r>
    </w:p>
    <w:p w:rsidR="004A5770" w:rsidRDefault="004A5770" w:rsidP="004A5770">
      <w:pPr>
        <w:pStyle w:val="NormalWeb"/>
        <w:spacing w:before="0" w:beforeAutospacing="0" w:after="0" w:afterAutospacing="0"/>
      </w:pPr>
    </w:p>
    <w:p w:rsidR="000549D2" w:rsidRPr="000549D2" w:rsidRDefault="004A5770" w:rsidP="004A5770">
      <w:pPr>
        <w:pStyle w:val="NormalWeb"/>
        <w:spacing w:before="0" w:beforeAutospacing="0" w:after="0" w:afterAutospacing="0"/>
        <w:rPr>
          <w:bCs/>
        </w:rPr>
      </w:pPr>
      <w:r>
        <w:t>Clearly, the anti-</w:t>
      </w:r>
      <w:proofErr w:type="spellStart"/>
      <w:r>
        <w:t>aufbau</w:t>
      </w:r>
      <w:proofErr w:type="spellEnd"/>
      <w:r>
        <w:t xml:space="preserve"> UB3LYP NICS(0) and NICS(1) values are not far from the midpoints between the corresponding CASSCF(2,2) S</w:t>
      </w:r>
      <w:r w:rsidRPr="0073711C">
        <w:rPr>
          <w:vertAlign w:val="subscript"/>
        </w:rPr>
        <w:t>1</w:t>
      </w:r>
      <w:r>
        <w:t xml:space="preserve"> and T</w:t>
      </w:r>
      <w:r w:rsidRPr="0073711C">
        <w:rPr>
          <w:vertAlign w:val="subscript"/>
        </w:rPr>
        <w:t>1</w:t>
      </w:r>
      <w:r>
        <w:t xml:space="preserve"> NICS(0) and NICS(1) values, and closer to the CASSCF(2,2) T</w:t>
      </w:r>
      <w:r w:rsidRPr="0073711C">
        <w:rPr>
          <w:vertAlign w:val="subscript"/>
        </w:rPr>
        <w:t>1</w:t>
      </w:r>
      <w:r>
        <w:t xml:space="preserve"> NICS(0) and NICS(1) values, as expected from the </w:t>
      </w:r>
      <w:r w:rsidR="00033EE6">
        <w:t>fact that the anti-</w:t>
      </w:r>
      <w:proofErr w:type="spellStart"/>
      <w:r w:rsidR="00033EE6">
        <w:t>aufbau</w:t>
      </w:r>
      <w:proofErr w:type="spellEnd"/>
      <w:r w:rsidR="00033EE6">
        <w:t xml:space="preserve"> UB3LYP procedure produces a </w:t>
      </w:r>
      <w:r>
        <w:t xml:space="preserve">mixture of singlet and triplet states </w:t>
      </w:r>
      <w:r w:rsidR="007D061C">
        <w:t>(</w:t>
      </w:r>
      <w:r w:rsidR="007D061C" w:rsidRPr="007D061C">
        <w:rPr>
          <w:i/>
        </w:rPr>
        <w:t xml:space="preserve">vide </w:t>
      </w:r>
      <w:r w:rsidR="007D061C">
        <w:rPr>
          <w:i/>
        </w:rPr>
        <w:t>supra</w:t>
      </w:r>
      <w:r w:rsidR="007D061C">
        <w:t>)</w:t>
      </w:r>
      <w:r>
        <w:t>. These results show that the anti-</w:t>
      </w:r>
      <w:proofErr w:type="spellStart"/>
      <w:r>
        <w:t>aufbau</w:t>
      </w:r>
      <w:proofErr w:type="spellEnd"/>
      <w:r>
        <w:t xml:space="preserve"> UB3LYP procedure is not capable of producing reliable results for the magnetic properties of the first singlet excited state. A </w:t>
      </w:r>
      <w:r w:rsidR="007D061C">
        <w:t>more consistent</w:t>
      </w:r>
      <w:r>
        <w:t xml:space="preserve"> option is to use CASSCF(2,2) which is more computationally demanding than anti-</w:t>
      </w:r>
      <w:proofErr w:type="spellStart"/>
      <w:r>
        <w:t>aufbau</w:t>
      </w:r>
      <w:proofErr w:type="spellEnd"/>
      <w:r>
        <w:t xml:space="preserve"> UB3LYP but considerably less so than full </w:t>
      </w:r>
      <w:r w:rsidR="0073711C">
        <w:t>π</w:t>
      </w:r>
      <w:r>
        <w:t xml:space="preserve">-space CASSCF and can be applied to </w:t>
      </w:r>
      <w:r w:rsidR="0073711C">
        <w:t>reasonably</w:t>
      </w:r>
      <w:r>
        <w:t xml:space="preserve"> large conjugated molecules. </w:t>
      </w:r>
      <w:bookmarkStart w:id="1" w:name="_Hlk37355779"/>
      <w:r w:rsidR="000549D2">
        <w:t>Of course, full π-space CASSCF w</w:t>
      </w:r>
      <w:r w:rsidR="00BE40AF">
        <w:t>ould</w:t>
      </w:r>
      <w:r w:rsidR="000549D2">
        <w:t xml:space="preserve"> provide more accurate results as CASSCF(2,2) </w:t>
      </w:r>
      <w:r w:rsidR="00036A8D">
        <w:t>incorporates</w:t>
      </w:r>
      <w:r w:rsidR="000549D2">
        <w:t xml:space="preserve"> nondynamic correlation effects for a single electron pair only; the wavefunction c</w:t>
      </w:r>
      <w:r w:rsidR="00BE40AF">
        <w:t>ould</w:t>
      </w:r>
      <w:r w:rsidR="000549D2">
        <w:t xml:space="preserve"> be improved further by including dynamic correlation effects through perturbation theory based on a CASSCF reference, for example, CASPT2. However, current CASSCF codes will struggle with larger active spaces in </w:t>
      </w:r>
      <w:r w:rsidR="000549D2">
        <w:lastRenderedPageBreak/>
        <w:t xml:space="preserve">molecules such as </w:t>
      </w:r>
      <w:r w:rsidR="000549D2" w:rsidRPr="0073711C">
        <w:rPr>
          <w:b/>
        </w:rPr>
        <w:t>3-Me</w:t>
      </w:r>
      <w:r w:rsidR="000549D2">
        <w:t xml:space="preserve"> and </w:t>
      </w:r>
      <w:r w:rsidR="000549D2">
        <w:rPr>
          <w:b/>
        </w:rPr>
        <w:t>3-Ph</w:t>
      </w:r>
      <w:r w:rsidR="000549D2">
        <w:rPr>
          <w:bCs/>
        </w:rPr>
        <w:t xml:space="preserve"> and</w:t>
      </w:r>
      <w:r w:rsidR="00036A8D">
        <w:rPr>
          <w:bCs/>
        </w:rPr>
        <w:t>, to date,</w:t>
      </w:r>
      <w:r w:rsidR="000549D2">
        <w:rPr>
          <w:bCs/>
        </w:rPr>
        <w:t xml:space="preserve"> there are no codes capable of calculating NMR shielding tensors and NICS at the CASPT2-GIAO level. </w:t>
      </w:r>
      <w:bookmarkEnd w:id="1"/>
    </w:p>
    <w:p w:rsidR="000549D2" w:rsidRDefault="000549D2" w:rsidP="004A5770">
      <w:pPr>
        <w:pStyle w:val="NormalWeb"/>
        <w:spacing w:before="0" w:beforeAutospacing="0" w:after="0" w:afterAutospacing="0"/>
      </w:pPr>
    </w:p>
    <w:p w:rsidR="004A5770" w:rsidRDefault="004A5770" w:rsidP="004A5770">
      <w:pPr>
        <w:pStyle w:val="NormalWeb"/>
        <w:spacing w:before="0" w:beforeAutospacing="0" w:after="0" w:afterAutospacing="0"/>
      </w:pPr>
      <w:bookmarkStart w:id="2" w:name="_Hlk37356970"/>
      <w:r>
        <w:t>A detail worth noting is that the S</w:t>
      </w:r>
      <w:r w:rsidRPr="007D061C">
        <w:rPr>
          <w:vertAlign w:val="subscript"/>
        </w:rPr>
        <w:t>1</w:t>
      </w:r>
      <w:r>
        <w:t xml:space="preserve"> states of </w:t>
      </w:r>
      <w:r w:rsidRPr="0073711C">
        <w:rPr>
          <w:b/>
        </w:rPr>
        <w:t>3-Me</w:t>
      </w:r>
      <w:r>
        <w:t xml:space="preserve"> and </w:t>
      </w:r>
      <w:r w:rsidR="00EC3CE7">
        <w:rPr>
          <w:b/>
        </w:rPr>
        <w:t>3-Ph</w:t>
      </w:r>
      <w:r>
        <w:t xml:space="preserve"> are expected to be much more aromatic than the corresponding T</w:t>
      </w:r>
      <w:r w:rsidRPr="0073711C">
        <w:rPr>
          <w:vertAlign w:val="subscript"/>
        </w:rPr>
        <w:t>1</w:t>
      </w:r>
      <w:r>
        <w:t xml:space="preserve"> states</w:t>
      </w:r>
      <w:r w:rsidR="0030195C">
        <w:t>, in contrast to simpler examples such as square cyclobutadiene</w:t>
      </w:r>
      <w:r>
        <w:t xml:space="preserve"> </w:t>
      </w:r>
      <w:r w:rsidR="0030195C">
        <w:t xml:space="preserve">and </w:t>
      </w:r>
      <w:r w:rsidR="0030195C" w:rsidRPr="00853606">
        <w:rPr>
          <w:i/>
          <w:iCs/>
        </w:rPr>
        <w:t>D</w:t>
      </w:r>
      <w:r w:rsidR="0030195C" w:rsidRPr="0030195C">
        <w:rPr>
          <w:vertAlign w:val="subscript"/>
        </w:rPr>
        <w:t>8h</w:t>
      </w:r>
      <w:r w:rsidR="0030195C">
        <w:t xml:space="preserve"> cyclooctatetraene, for which the levels of S</w:t>
      </w:r>
      <w:r w:rsidR="0030195C" w:rsidRPr="007D061C">
        <w:rPr>
          <w:vertAlign w:val="subscript"/>
        </w:rPr>
        <w:t>1</w:t>
      </w:r>
      <w:r w:rsidR="0030195C">
        <w:rPr>
          <w:vertAlign w:val="subscript"/>
        </w:rPr>
        <w:t xml:space="preserve"> </w:t>
      </w:r>
      <w:r w:rsidR="0030195C" w:rsidRPr="0030195C">
        <w:t xml:space="preserve">and </w:t>
      </w:r>
      <w:r w:rsidR="0030195C">
        <w:t>T</w:t>
      </w:r>
      <w:r w:rsidR="0030195C" w:rsidRPr="007D061C">
        <w:rPr>
          <w:vertAlign w:val="subscript"/>
        </w:rPr>
        <w:t>1</w:t>
      </w:r>
      <w:r w:rsidR="0030195C">
        <w:t xml:space="preserve"> aromaticity are very similar.</w:t>
      </w:r>
      <w:r w:rsidR="0030195C" w:rsidRPr="00AD3BCF">
        <w:rPr>
          <w:vertAlign w:val="superscript"/>
        </w:rPr>
        <w:t>[</w:t>
      </w:r>
      <w:r w:rsidR="0030195C">
        <w:rPr>
          <w:vertAlign w:val="superscript"/>
        </w:rPr>
        <w:t>3</w:t>
      </w:r>
      <w:r w:rsidR="0030195C" w:rsidRPr="00AD3BCF">
        <w:rPr>
          <w:vertAlign w:val="superscript"/>
        </w:rPr>
        <w:t>–5]</w:t>
      </w:r>
      <w:r w:rsidR="0030195C">
        <w:t xml:space="preserve"> This</w:t>
      </w:r>
      <w:r>
        <w:t xml:space="preserve"> suggests that singlet and triplet excited state </w:t>
      </w:r>
      <w:proofErr w:type="spellStart"/>
      <w:r>
        <w:t>aromaticit</w:t>
      </w:r>
      <w:r w:rsidR="00B04C30">
        <w:t>ies</w:t>
      </w:r>
      <w:proofErr w:type="spellEnd"/>
      <w:r>
        <w:t xml:space="preserve"> </w:t>
      </w:r>
      <w:r w:rsidR="00BE40AF">
        <w:t>are phenomena that</w:t>
      </w:r>
      <w:r>
        <w:t xml:space="preserve"> could have much less in common than currently assumed. </w:t>
      </w:r>
    </w:p>
    <w:bookmarkEnd w:id="2"/>
    <w:p w:rsidR="00DB0115" w:rsidRDefault="00DB0115" w:rsidP="004A5770">
      <w:pPr>
        <w:pStyle w:val="NormalWeb"/>
        <w:spacing w:before="0" w:beforeAutospacing="0" w:after="0" w:afterAutospacing="0"/>
      </w:pPr>
    </w:p>
    <w:p w:rsidR="00920A73" w:rsidRPr="00920A73" w:rsidRDefault="00920A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0A73">
        <w:rPr>
          <w:rFonts w:ascii="Times New Roman" w:hAnsi="Times New Roman" w:cs="Times New Roman"/>
          <w:b/>
          <w:i/>
          <w:sz w:val="24"/>
          <w:szCs w:val="24"/>
        </w:rPr>
        <w:t>Conflict of interest</w:t>
      </w:r>
    </w:p>
    <w:p w:rsidR="00920A73" w:rsidRDefault="00920A7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20A73">
        <w:rPr>
          <w:rFonts w:ascii="Times New Roman" w:hAnsi="Times New Roman" w:cs="Times New Roman"/>
          <w:bCs/>
          <w:iCs/>
          <w:sz w:val="24"/>
          <w:szCs w:val="24"/>
        </w:rPr>
        <w:t>The authors declare no conflict of interest.</w:t>
      </w:r>
    </w:p>
    <w:p w:rsidR="00920A73" w:rsidRDefault="00920A73" w:rsidP="004A5770">
      <w:pPr>
        <w:pStyle w:val="NormalWeb"/>
        <w:spacing w:before="0" w:beforeAutospacing="0" w:after="0" w:afterAutospacing="0"/>
        <w:rPr>
          <w:b/>
          <w:i/>
        </w:rPr>
      </w:pPr>
    </w:p>
    <w:p w:rsidR="00DB0115" w:rsidRDefault="00DB0115" w:rsidP="004A5770">
      <w:pPr>
        <w:pStyle w:val="NormalWeb"/>
        <w:spacing w:before="0" w:beforeAutospacing="0" w:after="0" w:afterAutospacing="0"/>
      </w:pPr>
      <w:r w:rsidRPr="00CD4460">
        <w:rPr>
          <w:b/>
          <w:i/>
        </w:rPr>
        <w:t>Table 1</w:t>
      </w:r>
      <w:r w:rsidR="00CD4460">
        <w:t>:</w:t>
      </w:r>
      <w:r>
        <w:t xml:space="preserve"> </w:t>
      </w:r>
      <w:r w:rsidR="007D061C">
        <w:t xml:space="preserve">NICS(0) and NICS(1) values (in ppm) for the </w:t>
      </w:r>
      <w:r w:rsidR="007D061C" w:rsidRPr="00DB0115">
        <w:t>S</w:t>
      </w:r>
      <w:r w:rsidR="007D061C" w:rsidRPr="00DB0115">
        <w:rPr>
          <w:vertAlign w:val="subscript"/>
        </w:rPr>
        <w:t>0</w:t>
      </w:r>
      <w:r w:rsidR="007D061C">
        <w:t xml:space="preserve">, </w:t>
      </w:r>
      <w:r w:rsidR="007D061C" w:rsidRPr="00DB0115">
        <w:t>S</w:t>
      </w:r>
      <w:r w:rsidR="007D061C">
        <w:rPr>
          <w:vertAlign w:val="subscript"/>
        </w:rPr>
        <w:t>1</w:t>
      </w:r>
      <w:r w:rsidR="007D061C">
        <w:t xml:space="preserve"> and T</w:t>
      </w:r>
      <w:r w:rsidR="007D061C">
        <w:rPr>
          <w:vertAlign w:val="subscript"/>
        </w:rPr>
        <w:t>1</w:t>
      </w:r>
      <w:r w:rsidR="007D061C">
        <w:t xml:space="preserve"> electronic states of </w:t>
      </w:r>
      <w:r w:rsidR="007D061C" w:rsidRPr="007D061C">
        <w:rPr>
          <w:b/>
        </w:rPr>
        <w:t>3-Me</w:t>
      </w:r>
      <w:r w:rsidR="007D061C">
        <w:t xml:space="preserve"> and </w:t>
      </w:r>
      <w:r w:rsidR="00EC3CE7" w:rsidRPr="00920A73">
        <w:rPr>
          <w:b/>
          <w:bCs/>
        </w:rPr>
        <w:t>3-Ph</w:t>
      </w:r>
      <w:r w:rsidR="007D061C">
        <w:t xml:space="preserve"> calculated using different theoretical methods. UB3LYP results include </w:t>
      </w:r>
      <w:r w:rsidR="00CD4460">
        <w:t xml:space="preserve">the </w:t>
      </w:r>
      <w:r w:rsidR="007D061C">
        <w:t xml:space="preserve">expectation value of the square of the total spin operator, </w:t>
      </w:r>
      <m:oMath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7D061C">
        <w:t>, and</w:t>
      </w:r>
      <w:r w:rsidR="00CD4460">
        <w:t xml:space="preserve"> the total spin </w:t>
      </w:r>
      <w:r w:rsidR="00CD4460" w:rsidRPr="00CD4460">
        <w:rPr>
          <w:i/>
        </w:rPr>
        <w:t>S</w:t>
      </w:r>
      <w:r w:rsidR="00CD4460">
        <w:t>.</w:t>
      </w:r>
      <w:r w:rsidR="007D061C">
        <w:t xml:space="preserve"> For further details, see text.</w:t>
      </w:r>
    </w:p>
    <w:p w:rsidR="00DB0115" w:rsidRDefault="00DB0115" w:rsidP="004A5770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88"/>
        <w:gridCol w:w="1878"/>
        <w:gridCol w:w="1879"/>
      </w:tblGrid>
      <w:tr w:rsidR="00DB0115" w:rsidRPr="00DB0115" w:rsidTr="001B2083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115" w:rsidRPr="001B2083" w:rsidRDefault="00DB0115" w:rsidP="00A6356E">
            <w:pPr>
              <w:rPr>
                <w:rFonts w:ascii="Times New Roman" w:hAnsi="Times New Roman" w:cs="Times New Roman"/>
              </w:rPr>
            </w:pPr>
            <w:r w:rsidRPr="001B2083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115" w:rsidRPr="001B2083" w:rsidRDefault="00DB0115" w:rsidP="00A6356E">
            <w:pPr>
              <w:rPr>
                <w:rFonts w:ascii="Times New Roman" w:hAnsi="Times New Roman" w:cs="Times New Roman"/>
              </w:rPr>
            </w:pPr>
            <w:r w:rsidRPr="001B2083">
              <w:rPr>
                <w:rFonts w:ascii="Times New Roman" w:hAnsi="Times New Roman" w:cs="Times New Roman"/>
              </w:rPr>
              <w:t>Property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115" w:rsidRPr="001B4929" w:rsidRDefault="001B2083" w:rsidP="00CD4460">
            <w:pPr>
              <w:tabs>
                <w:tab w:val="left" w:pos="382"/>
                <w:tab w:val="left" w:pos="6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DB0115" w:rsidRPr="001B4929">
              <w:rPr>
                <w:rFonts w:ascii="Times New Roman" w:hAnsi="Times New Roman" w:cs="Times New Roman"/>
                <w:b/>
              </w:rPr>
              <w:t>3-Me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115" w:rsidRPr="001B4929" w:rsidRDefault="001B2083" w:rsidP="00A6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EC3CE7">
              <w:rPr>
                <w:rFonts w:ascii="Times New Roman" w:hAnsi="Times New Roman" w:cs="Times New Roman"/>
                <w:b/>
              </w:rPr>
              <w:t>3-Ph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RB3LYP (S</w:t>
            </w:r>
            <w:r w:rsidRPr="00DB0115">
              <w:rPr>
                <w:rFonts w:ascii="Times New Roman" w:hAnsi="Times New Roman" w:cs="Times New Roman"/>
                <w:vertAlign w:val="subscript"/>
              </w:rPr>
              <w:t>0</w:t>
            </w:r>
            <w:r w:rsidRPr="00DB01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NICS(0)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10.14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NICS(1)</w:t>
            </w:r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5.43, 7.79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5.99, 7.94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anti-</w:t>
            </w:r>
            <w:proofErr w:type="spellStart"/>
            <w:r w:rsidRPr="00DB0115">
              <w:rPr>
                <w:rFonts w:ascii="Times New Roman" w:hAnsi="Times New Roman" w:cs="Times New Roman"/>
              </w:rPr>
              <w:t>aufbau</w:t>
            </w:r>
            <w:proofErr w:type="spellEnd"/>
            <w:r w:rsidRPr="00DB0115">
              <w:rPr>
                <w:rFonts w:ascii="Times New Roman" w:hAnsi="Times New Roman" w:cs="Times New Roman"/>
              </w:rPr>
              <w:t xml:space="preserve"> UB3LYP</w:t>
            </w:r>
          </w:p>
        </w:tc>
        <w:tc>
          <w:tcPr>
            <w:tcW w:w="1488" w:type="dxa"/>
            <w:vAlign w:val="center"/>
          </w:tcPr>
          <w:p w:rsidR="00DB0115" w:rsidRPr="001B4929" w:rsidRDefault="000C0687" w:rsidP="00A6356E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1.0144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1.0140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  <w:i/>
              </w:rPr>
            </w:pPr>
            <w:r w:rsidRPr="00DB0115"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0.6245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0.6243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NICS(0)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8.50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NICS(1)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9.55,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9.22,</w:t>
            </w:r>
            <w:r w:rsidR="001B2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9.30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UB3LYP (</w:t>
            </w:r>
            <w:r w:rsidRPr="00DB0115">
              <w:rPr>
                <w:rFonts w:ascii="Times New Roman" w:hAnsi="Times New Roman" w:cs="Times New Roman"/>
                <w:i/>
              </w:rPr>
              <w:t>M</w:t>
            </w:r>
            <w:r w:rsidRPr="00DB0115">
              <w:rPr>
                <w:rFonts w:ascii="Times New Roman" w:hAnsi="Times New Roman" w:cs="Times New Roman"/>
              </w:rPr>
              <w:t xml:space="preserve"> = 1, ≈T</w:t>
            </w:r>
            <w:r w:rsidRPr="00DB0115">
              <w:rPr>
                <w:rFonts w:ascii="Times New Roman" w:hAnsi="Times New Roman" w:cs="Times New Roman"/>
                <w:vertAlign w:val="subscript"/>
              </w:rPr>
              <w:t>1</w:t>
            </w:r>
            <w:r w:rsidRPr="00DB01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  <w:vAlign w:val="center"/>
          </w:tcPr>
          <w:p w:rsidR="00DB0115" w:rsidRPr="001B4929" w:rsidRDefault="000C0687" w:rsidP="00A6356E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2.0207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2.0223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  <w:i/>
              </w:rPr>
            </w:pPr>
            <w:r w:rsidRPr="00DB0115"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1.0069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1.0074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NICS(0)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4.48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NICS(1)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6.24,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5.91,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5.70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CASSCF(2,2) (S</w:t>
            </w:r>
            <w:r w:rsidRPr="00DB0115">
              <w:rPr>
                <w:rFonts w:ascii="Times New Roman" w:hAnsi="Times New Roman" w:cs="Times New Roman"/>
                <w:vertAlign w:val="subscript"/>
              </w:rPr>
              <w:t>0</w:t>
            </w:r>
            <w:r w:rsidRPr="00DB01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NICS(0)</w:t>
            </w:r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6.69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NICS(1)</w:t>
            </w:r>
          </w:p>
        </w:tc>
        <w:tc>
          <w:tcPr>
            <w:tcW w:w="1878" w:type="dxa"/>
            <w:vAlign w:val="center"/>
          </w:tcPr>
          <w:p w:rsidR="00DB0115" w:rsidRPr="00DB0115" w:rsidRDefault="00DB0115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2.72, 4.27</w:t>
            </w:r>
          </w:p>
        </w:tc>
        <w:tc>
          <w:tcPr>
            <w:tcW w:w="1879" w:type="dxa"/>
            <w:vAlign w:val="center"/>
          </w:tcPr>
          <w:p w:rsidR="00DB0115" w:rsidRPr="00DB0115" w:rsidRDefault="00DB0115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3.43, 4.76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CASSCF(2,2) (S</w:t>
            </w:r>
            <w:r w:rsidRPr="00DB0115">
              <w:rPr>
                <w:rFonts w:ascii="Times New Roman" w:hAnsi="Times New Roman" w:cs="Times New Roman"/>
                <w:vertAlign w:val="subscript"/>
              </w:rPr>
              <w:t>1</w:t>
            </w:r>
            <w:r w:rsidRPr="00DB01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NICS(0)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20.44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19.50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NICS(1)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18.25,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19.95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17.68,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19.26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CASSCF(2,2) (T</w:t>
            </w:r>
            <w:r w:rsidRPr="00DB0115">
              <w:rPr>
                <w:rFonts w:ascii="Times New Roman" w:hAnsi="Times New Roman" w:cs="Times New Roman"/>
                <w:vertAlign w:val="subscript"/>
              </w:rPr>
              <w:t>1</w:t>
            </w:r>
            <w:r w:rsidRPr="00DB01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NICS(0)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1.82</w:t>
            </w:r>
          </w:p>
        </w:tc>
      </w:tr>
      <w:tr w:rsidR="00DB0115" w:rsidRPr="00DB0115" w:rsidTr="001B2083">
        <w:trPr>
          <w:trHeight w:val="340"/>
          <w:jc w:val="center"/>
        </w:trPr>
        <w:tc>
          <w:tcPr>
            <w:tcW w:w="226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B0115" w:rsidRPr="00DB0115" w:rsidRDefault="00DB0115" w:rsidP="00A6356E">
            <w:pPr>
              <w:rPr>
                <w:rFonts w:ascii="Times New Roman" w:hAnsi="Times New Roman" w:cs="Times New Roman"/>
              </w:rPr>
            </w:pPr>
            <w:r w:rsidRPr="00DB0115">
              <w:rPr>
                <w:rFonts w:ascii="Times New Roman" w:hAnsi="Times New Roman" w:cs="Times New Roman"/>
              </w:rPr>
              <w:t>NICS(1)</w:t>
            </w:r>
          </w:p>
        </w:tc>
        <w:tc>
          <w:tcPr>
            <w:tcW w:w="1878" w:type="dxa"/>
            <w:vAlign w:val="center"/>
          </w:tcPr>
          <w:p w:rsidR="00DB0115" w:rsidRPr="00DB0115" w:rsidRDefault="00CD4460" w:rsidP="00CD4460">
            <w:pPr>
              <w:tabs>
                <w:tab w:val="decimal" w:pos="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3.78,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1879" w:type="dxa"/>
            <w:vAlign w:val="center"/>
          </w:tcPr>
          <w:p w:rsidR="00DB0115" w:rsidRPr="00DB0115" w:rsidRDefault="00CD4460" w:rsidP="00CD4460">
            <w:pPr>
              <w:tabs>
                <w:tab w:val="decimal" w:pos="4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 xml:space="preserve">3.71, </w:t>
            </w:r>
            <w:r>
              <w:rPr>
                <w:rFonts w:ascii="Times New Roman" w:hAnsi="Times New Roman" w:cs="Times New Roman"/>
              </w:rPr>
              <w:t>−</w:t>
            </w:r>
            <w:r w:rsidR="00DB0115" w:rsidRPr="00DB0115">
              <w:rPr>
                <w:rFonts w:ascii="Times New Roman" w:hAnsi="Times New Roman" w:cs="Times New Roman"/>
              </w:rPr>
              <w:t>3.17</w:t>
            </w:r>
          </w:p>
        </w:tc>
      </w:tr>
    </w:tbl>
    <w:p w:rsidR="00DB0115" w:rsidRDefault="00DB0115" w:rsidP="004A5770">
      <w:pPr>
        <w:pStyle w:val="NormalWeb"/>
        <w:spacing w:before="0" w:beforeAutospacing="0" w:after="0" w:afterAutospacing="0"/>
      </w:pPr>
    </w:p>
    <w:p w:rsidR="00030C1E" w:rsidRDefault="00030C1E" w:rsidP="004E0A9A">
      <w:pPr>
        <w:pStyle w:val="NormalWeb"/>
        <w:numPr>
          <w:ilvl w:val="0"/>
          <w:numId w:val="1"/>
        </w:numPr>
        <w:spacing w:after="0"/>
      </w:pPr>
      <w:r w:rsidRPr="00030C1E">
        <w:t xml:space="preserve">N. C. Baird, </w:t>
      </w:r>
      <w:r w:rsidRPr="0002511E">
        <w:rPr>
          <w:i/>
        </w:rPr>
        <w:t>J. Am. Chem. Soc.</w:t>
      </w:r>
      <w:r w:rsidRPr="00030C1E">
        <w:t xml:space="preserve"> </w:t>
      </w:r>
      <w:r w:rsidRPr="0002511E">
        <w:rPr>
          <w:b/>
        </w:rPr>
        <w:t>1972</w:t>
      </w:r>
      <w:r w:rsidRPr="00030C1E">
        <w:t xml:space="preserve">, </w:t>
      </w:r>
      <w:r w:rsidRPr="0002511E">
        <w:rPr>
          <w:i/>
        </w:rPr>
        <w:t>94</w:t>
      </w:r>
      <w:r w:rsidRPr="00030C1E">
        <w:t>, 4941–4948.</w:t>
      </w:r>
    </w:p>
    <w:p w:rsidR="00AD3BCF" w:rsidRDefault="00AD3BCF" w:rsidP="004E0A9A">
      <w:pPr>
        <w:pStyle w:val="NormalWeb"/>
        <w:numPr>
          <w:ilvl w:val="0"/>
          <w:numId w:val="1"/>
        </w:numPr>
        <w:spacing w:after="0"/>
      </w:pPr>
      <w:r>
        <w:t xml:space="preserve">M. </w:t>
      </w:r>
      <w:r w:rsidRPr="00AD3BCF">
        <w:t xml:space="preserve">Kataoka, </w:t>
      </w:r>
      <w:r w:rsidRPr="0002511E">
        <w:rPr>
          <w:i/>
        </w:rPr>
        <w:t>J. Chem. Res.</w:t>
      </w:r>
      <w:r w:rsidRPr="00AD3BCF">
        <w:t xml:space="preserve"> </w:t>
      </w:r>
      <w:r w:rsidRPr="0002511E">
        <w:rPr>
          <w:b/>
        </w:rPr>
        <w:t>2004</w:t>
      </w:r>
      <w:r w:rsidRPr="00AD3BCF">
        <w:t xml:space="preserve">, </w:t>
      </w:r>
      <w:r w:rsidRPr="0002511E">
        <w:rPr>
          <w:i/>
        </w:rPr>
        <w:t>8</w:t>
      </w:r>
      <w:r>
        <w:t xml:space="preserve">, </w:t>
      </w:r>
      <w:r w:rsidRPr="00AD3BCF">
        <w:t>573</w:t>
      </w:r>
      <w:r w:rsidRPr="00030C1E">
        <w:t>–</w:t>
      </w:r>
      <w:r>
        <w:t>574</w:t>
      </w:r>
      <w:r w:rsidRPr="00AD3BCF">
        <w:t>.</w:t>
      </w:r>
    </w:p>
    <w:p w:rsidR="00AD3BCF" w:rsidRDefault="00AD3BCF" w:rsidP="004E0A9A">
      <w:pPr>
        <w:pStyle w:val="NormalWeb"/>
        <w:numPr>
          <w:ilvl w:val="0"/>
          <w:numId w:val="1"/>
        </w:numPr>
        <w:spacing w:after="0"/>
      </w:pPr>
      <w:r w:rsidRPr="00AD3BCF">
        <w:t xml:space="preserve">P. B. Karadakov, </w:t>
      </w:r>
      <w:r w:rsidRPr="0002511E">
        <w:rPr>
          <w:i/>
        </w:rPr>
        <w:t>J. Phys. Chem. A</w:t>
      </w:r>
      <w:r w:rsidRPr="00AD3BCF">
        <w:t xml:space="preserve"> </w:t>
      </w:r>
      <w:r w:rsidRPr="0002511E">
        <w:rPr>
          <w:b/>
        </w:rPr>
        <w:t>2008</w:t>
      </w:r>
      <w:r w:rsidRPr="00AD3BCF">
        <w:t xml:space="preserve">, </w:t>
      </w:r>
      <w:r w:rsidRPr="0002511E">
        <w:rPr>
          <w:i/>
        </w:rPr>
        <w:t>112</w:t>
      </w:r>
      <w:r w:rsidRPr="00AD3BCF">
        <w:t>, 7303–7309.</w:t>
      </w:r>
    </w:p>
    <w:p w:rsidR="00AD3BCF" w:rsidRDefault="00AD3BCF" w:rsidP="004E0A9A">
      <w:pPr>
        <w:pStyle w:val="NormalWeb"/>
        <w:numPr>
          <w:ilvl w:val="0"/>
          <w:numId w:val="1"/>
        </w:numPr>
        <w:spacing w:after="0"/>
      </w:pPr>
      <w:r w:rsidRPr="00AD3BCF">
        <w:t xml:space="preserve">P. B. Karadakov, </w:t>
      </w:r>
      <w:r w:rsidRPr="0002511E">
        <w:rPr>
          <w:i/>
        </w:rPr>
        <w:t>J. Phys. Chem. A</w:t>
      </w:r>
      <w:r w:rsidRPr="00AD3BCF">
        <w:t xml:space="preserve"> </w:t>
      </w:r>
      <w:r w:rsidRPr="0002511E">
        <w:rPr>
          <w:b/>
        </w:rPr>
        <w:t>2008</w:t>
      </w:r>
      <w:r w:rsidRPr="00AD3BCF">
        <w:t xml:space="preserve">, </w:t>
      </w:r>
      <w:r w:rsidRPr="0002511E">
        <w:rPr>
          <w:i/>
        </w:rPr>
        <w:t>112</w:t>
      </w:r>
      <w:r w:rsidRPr="00AD3BCF">
        <w:t>, 12707–12713.</w:t>
      </w:r>
    </w:p>
    <w:p w:rsidR="00AD3BCF" w:rsidRDefault="00AD3BCF" w:rsidP="00BC3854">
      <w:pPr>
        <w:pStyle w:val="NormalWeb"/>
        <w:numPr>
          <w:ilvl w:val="0"/>
          <w:numId w:val="1"/>
        </w:numPr>
        <w:spacing w:after="0"/>
      </w:pPr>
      <w:r>
        <w:t xml:space="preserve">P. B. Karadakov, P. </w:t>
      </w:r>
      <w:proofErr w:type="spellStart"/>
      <w:r>
        <w:t>Hearnshaw</w:t>
      </w:r>
      <w:proofErr w:type="spellEnd"/>
      <w:r>
        <w:t>, K. E. Horner</w:t>
      </w:r>
      <w:r w:rsidRPr="003C2A79">
        <w:t xml:space="preserve">, </w:t>
      </w:r>
      <w:r w:rsidRPr="003C2A79">
        <w:rPr>
          <w:i/>
          <w:iCs/>
        </w:rPr>
        <w:t>J. Org. Chem.</w:t>
      </w:r>
      <w:r w:rsidRPr="003C2A79">
        <w:t xml:space="preserve"> </w:t>
      </w:r>
      <w:r w:rsidRPr="003C2A79">
        <w:rPr>
          <w:b/>
          <w:bCs/>
        </w:rPr>
        <w:t>2016</w:t>
      </w:r>
      <w:r w:rsidRPr="003C2A79">
        <w:t xml:space="preserve">, </w:t>
      </w:r>
      <w:r w:rsidRPr="003C2A79">
        <w:rPr>
          <w:i/>
          <w:iCs/>
        </w:rPr>
        <w:t>81</w:t>
      </w:r>
      <w:r w:rsidRPr="003C2A79">
        <w:t xml:space="preserve">, </w:t>
      </w:r>
      <w:r>
        <w:t>11346–11352</w:t>
      </w:r>
      <w:r w:rsidR="00851B85">
        <w:t>.</w:t>
      </w:r>
    </w:p>
    <w:p w:rsidR="00BB2D01" w:rsidRDefault="004E0A9A" w:rsidP="00B875F4">
      <w:pPr>
        <w:pStyle w:val="NormalWeb"/>
        <w:numPr>
          <w:ilvl w:val="0"/>
          <w:numId w:val="1"/>
        </w:numPr>
        <w:spacing w:after="0"/>
      </w:pPr>
      <w:r>
        <w:t xml:space="preserve">I. Kawashima, H. </w:t>
      </w:r>
      <w:proofErr w:type="spellStart"/>
      <w:r>
        <w:t>Imoto</w:t>
      </w:r>
      <w:proofErr w:type="spellEnd"/>
      <w:r>
        <w:t xml:space="preserve">, M. Ishida, H. </w:t>
      </w:r>
      <w:proofErr w:type="spellStart"/>
      <w:r>
        <w:t>Furuta</w:t>
      </w:r>
      <w:proofErr w:type="spellEnd"/>
      <w:r>
        <w:t xml:space="preserve">, S. Yamamoto, M. </w:t>
      </w:r>
      <w:proofErr w:type="spellStart"/>
      <w:r>
        <w:t>Mitsuishi</w:t>
      </w:r>
      <w:proofErr w:type="spellEnd"/>
      <w:r>
        <w:t xml:space="preserve">, S. Tanaka, T. </w:t>
      </w:r>
      <w:proofErr w:type="spellStart"/>
      <w:r>
        <w:t>Fujii</w:t>
      </w:r>
      <w:proofErr w:type="spellEnd"/>
      <w:r>
        <w:t xml:space="preserve">, K. Naka, </w:t>
      </w:r>
      <w:proofErr w:type="spellStart"/>
      <w:r w:rsidRPr="00BB2D01">
        <w:rPr>
          <w:i/>
        </w:rPr>
        <w:t>Angew</w:t>
      </w:r>
      <w:proofErr w:type="spellEnd"/>
      <w:r w:rsidRPr="00BB2D01">
        <w:rPr>
          <w:i/>
        </w:rPr>
        <w:t>. Chem. Int. Ed.</w:t>
      </w:r>
      <w:r w:rsidRPr="004E0A9A">
        <w:t xml:space="preserve"> </w:t>
      </w:r>
      <w:r w:rsidRPr="00BB2D01">
        <w:rPr>
          <w:b/>
        </w:rPr>
        <w:t>2019</w:t>
      </w:r>
      <w:r w:rsidRPr="004E0A9A">
        <w:t xml:space="preserve">, </w:t>
      </w:r>
      <w:r w:rsidRPr="00BB2D01">
        <w:rPr>
          <w:i/>
        </w:rPr>
        <w:t>58</w:t>
      </w:r>
      <w:r w:rsidRPr="004E0A9A">
        <w:t>, 11686</w:t>
      </w:r>
      <w:r>
        <w:t>–</w:t>
      </w:r>
      <w:r w:rsidRPr="004E0A9A">
        <w:t>11690</w:t>
      </w:r>
      <w:r>
        <w:t>.</w:t>
      </w:r>
    </w:p>
    <w:p w:rsidR="00851B85" w:rsidRDefault="00BB2D01" w:rsidP="004A7910">
      <w:pPr>
        <w:pStyle w:val="NormalWeb"/>
        <w:numPr>
          <w:ilvl w:val="0"/>
          <w:numId w:val="1"/>
        </w:numPr>
        <w:spacing w:after="0"/>
      </w:pPr>
      <w:r w:rsidRPr="00BB2D01">
        <w:t xml:space="preserve">Gaussian 16, Revision A.03,  M. J. Frisch, G. W. Trucks, H. B. Schlegel, G. E. </w:t>
      </w:r>
      <w:proofErr w:type="spellStart"/>
      <w:r w:rsidRPr="00BB2D01">
        <w:t>Scuseria</w:t>
      </w:r>
      <w:proofErr w:type="spellEnd"/>
      <w:r w:rsidRPr="00BB2D01">
        <w:t xml:space="preserve">,  M. A. Robb, J. R. Cheeseman, G. </w:t>
      </w:r>
      <w:proofErr w:type="spellStart"/>
      <w:r w:rsidRPr="00BB2D01">
        <w:t>Scalmani</w:t>
      </w:r>
      <w:proofErr w:type="spellEnd"/>
      <w:r w:rsidRPr="00BB2D01">
        <w:t xml:space="preserve">, V. Barone,  G. A. </w:t>
      </w:r>
      <w:proofErr w:type="spellStart"/>
      <w:r w:rsidRPr="00BB2D01">
        <w:t>Petersson</w:t>
      </w:r>
      <w:proofErr w:type="spellEnd"/>
      <w:r w:rsidRPr="00BB2D01">
        <w:t xml:space="preserve">, </w:t>
      </w:r>
      <w:r w:rsidRPr="00BB2D01">
        <w:lastRenderedPageBreak/>
        <w:t xml:space="preserve">H. </w:t>
      </w:r>
      <w:proofErr w:type="spellStart"/>
      <w:r w:rsidRPr="00BB2D01">
        <w:t>Nakatsuji</w:t>
      </w:r>
      <w:proofErr w:type="spellEnd"/>
      <w:r w:rsidRPr="00BB2D01">
        <w:t xml:space="preserve">, X. Li, M. </w:t>
      </w:r>
      <w:proofErr w:type="spellStart"/>
      <w:r w:rsidRPr="00BB2D01">
        <w:t>Caricato</w:t>
      </w:r>
      <w:proofErr w:type="spellEnd"/>
      <w:r w:rsidRPr="00BB2D01">
        <w:t xml:space="preserve">, A. V. </w:t>
      </w:r>
      <w:proofErr w:type="spellStart"/>
      <w:r w:rsidRPr="00BB2D01">
        <w:t>Marenich</w:t>
      </w:r>
      <w:proofErr w:type="spellEnd"/>
      <w:r w:rsidRPr="00BB2D01">
        <w:t xml:space="preserve">,  J. </w:t>
      </w:r>
      <w:proofErr w:type="spellStart"/>
      <w:r w:rsidRPr="00BB2D01">
        <w:t>Bloino</w:t>
      </w:r>
      <w:proofErr w:type="spellEnd"/>
      <w:r w:rsidRPr="00BB2D01">
        <w:t xml:space="preserve">, B. G. </w:t>
      </w:r>
      <w:proofErr w:type="spellStart"/>
      <w:r w:rsidRPr="00BB2D01">
        <w:t>Janesko</w:t>
      </w:r>
      <w:proofErr w:type="spellEnd"/>
      <w:r w:rsidRPr="00BB2D01">
        <w:t xml:space="preserve">, R. </w:t>
      </w:r>
      <w:proofErr w:type="spellStart"/>
      <w:r w:rsidRPr="00BB2D01">
        <w:t>Gomperts</w:t>
      </w:r>
      <w:proofErr w:type="spellEnd"/>
      <w:r w:rsidRPr="00BB2D01">
        <w:t xml:space="preserve">, B. </w:t>
      </w:r>
      <w:proofErr w:type="spellStart"/>
      <w:r w:rsidRPr="00BB2D01">
        <w:t>Mennucci</w:t>
      </w:r>
      <w:proofErr w:type="spellEnd"/>
      <w:r w:rsidRPr="00BB2D01">
        <w:t xml:space="preserve">, H. P. </w:t>
      </w:r>
      <w:proofErr w:type="spellStart"/>
      <w:r w:rsidRPr="00BB2D01">
        <w:t>Hratchian</w:t>
      </w:r>
      <w:proofErr w:type="spellEnd"/>
      <w:r w:rsidRPr="00BB2D01">
        <w:t xml:space="preserve">,  J. V. Ortiz, A. F. </w:t>
      </w:r>
      <w:proofErr w:type="spellStart"/>
      <w:r w:rsidRPr="00BB2D01">
        <w:t>Izmaylov</w:t>
      </w:r>
      <w:proofErr w:type="spellEnd"/>
      <w:r w:rsidRPr="00BB2D01">
        <w:t xml:space="preserve">, J. L. Sonnenberg, D. Williams-Young,  F. Ding, F. </w:t>
      </w:r>
      <w:proofErr w:type="spellStart"/>
      <w:r w:rsidRPr="00BB2D01">
        <w:t>Lipparini</w:t>
      </w:r>
      <w:proofErr w:type="spellEnd"/>
      <w:r w:rsidRPr="00BB2D01">
        <w:t xml:space="preserve">, F. </w:t>
      </w:r>
      <w:proofErr w:type="spellStart"/>
      <w:r w:rsidRPr="00BB2D01">
        <w:t>Egidi</w:t>
      </w:r>
      <w:proofErr w:type="spellEnd"/>
      <w:r w:rsidRPr="00BB2D01">
        <w:t xml:space="preserve">, J. Goings, B. Peng, A. </w:t>
      </w:r>
      <w:proofErr w:type="spellStart"/>
      <w:r w:rsidRPr="00BB2D01">
        <w:t>Petrone</w:t>
      </w:r>
      <w:proofErr w:type="spellEnd"/>
      <w:r w:rsidRPr="00BB2D01">
        <w:t xml:space="preserve">,  T. Henderson, D. Ranasinghe, V. G. </w:t>
      </w:r>
      <w:proofErr w:type="spellStart"/>
      <w:r w:rsidRPr="00BB2D01">
        <w:t>Zakrzewski</w:t>
      </w:r>
      <w:proofErr w:type="spellEnd"/>
      <w:r w:rsidRPr="00BB2D01">
        <w:t xml:space="preserve">, J. Gao, N. </w:t>
      </w:r>
      <w:proofErr w:type="spellStart"/>
      <w:r w:rsidRPr="00BB2D01">
        <w:t>Rega</w:t>
      </w:r>
      <w:proofErr w:type="spellEnd"/>
      <w:r w:rsidRPr="00BB2D01">
        <w:t xml:space="preserve">,  G. Zheng, W. Liang, M. </w:t>
      </w:r>
      <w:proofErr w:type="spellStart"/>
      <w:r w:rsidRPr="00BB2D01">
        <w:t>Hada</w:t>
      </w:r>
      <w:proofErr w:type="spellEnd"/>
      <w:r w:rsidRPr="00BB2D01">
        <w:t xml:space="preserve">, M. </w:t>
      </w:r>
      <w:proofErr w:type="spellStart"/>
      <w:r w:rsidRPr="00BB2D01">
        <w:t>Ehara</w:t>
      </w:r>
      <w:proofErr w:type="spellEnd"/>
      <w:r w:rsidRPr="00BB2D01">
        <w:t xml:space="preserve">, K. Toyota, R. Fukuda,  J. Hasegawa, M. Ishida, T. Nakajima, Y. Honda, O. Kitao, H. </w:t>
      </w:r>
      <w:proofErr w:type="spellStart"/>
      <w:r w:rsidRPr="00BB2D01">
        <w:t>Nakai</w:t>
      </w:r>
      <w:proofErr w:type="spellEnd"/>
      <w:r w:rsidRPr="00BB2D01">
        <w:t xml:space="preserve">,  T. </w:t>
      </w:r>
      <w:proofErr w:type="spellStart"/>
      <w:r w:rsidRPr="00BB2D01">
        <w:t>Vreven</w:t>
      </w:r>
      <w:proofErr w:type="spellEnd"/>
      <w:r w:rsidRPr="00BB2D01">
        <w:t xml:space="preserve">, K. </w:t>
      </w:r>
      <w:proofErr w:type="spellStart"/>
      <w:r w:rsidRPr="00BB2D01">
        <w:t>Throssell</w:t>
      </w:r>
      <w:proofErr w:type="spellEnd"/>
      <w:r w:rsidRPr="00BB2D01">
        <w:t xml:space="preserve">, J. A. Montgomery, Jr., J. E. Peralta,  F. </w:t>
      </w:r>
      <w:proofErr w:type="spellStart"/>
      <w:r w:rsidRPr="00BB2D01">
        <w:t>Ogliaro</w:t>
      </w:r>
      <w:proofErr w:type="spellEnd"/>
      <w:r w:rsidRPr="00BB2D01">
        <w:t xml:space="preserve">, M. J. </w:t>
      </w:r>
      <w:proofErr w:type="spellStart"/>
      <w:r w:rsidRPr="00BB2D01">
        <w:t>Bearpark</w:t>
      </w:r>
      <w:proofErr w:type="spellEnd"/>
      <w:r w:rsidRPr="00BB2D01">
        <w:t xml:space="preserve">, J. J. </w:t>
      </w:r>
      <w:proofErr w:type="spellStart"/>
      <w:r w:rsidRPr="00BB2D01">
        <w:t>Heyd</w:t>
      </w:r>
      <w:proofErr w:type="spellEnd"/>
      <w:r w:rsidRPr="00BB2D01">
        <w:t xml:space="preserve">, E. N. Brothers, K. N. </w:t>
      </w:r>
      <w:proofErr w:type="spellStart"/>
      <w:r w:rsidRPr="00BB2D01">
        <w:t>Kudin</w:t>
      </w:r>
      <w:proofErr w:type="spellEnd"/>
      <w:r w:rsidRPr="00BB2D01">
        <w:t xml:space="preserve">,  V. N. </w:t>
      </w:r>
      <w:proofErr w:type="spellStart"/>
      <w:r w:rsidRPr="00BB2D01">
        <w:t>Staroverov</w:t>
      </w:r>
      <w:proofErr w:type="spellEnd"/>
      <w:r w:rsidRPr="00BB2D01">
        <w:t xml:space="preserve">, T. A. Keith, R. Kobayashi, J. Normand,  K. </w:t>
      </w:r>
      <w:proofErr w:type="spellStart"/>
      <w:r w:rsidRPr="00BB2D01">
        <w:t>Raghavachari</w:t>
      </w:r>
      <w:proofErr w:type="spellEnd"/>
      <w:r w:rsidRPr="00BB2D01">
        <w:t xml:space="preserve">, A. P. Rendell, J. C. </w:t>
      </w:r>
      <w:proofErr w:type="spellStart"/>
      <w:r w:rsidRPr="00BB2D01">
        <w:t>Burant</w:t>
      </w:r>
      <w:proofErr w:type="spellEnd"/>
      <w:r w:rsidRPr="00BB2D01">
        <w:t xml:space="preserve">, S. S. Iyengar,  J. </w:t>
      </w:r>
      <w:proofErr w:type="spellStart"/>
      <w:r w:rsidRPr="00BB2D01">
        <w:t>Tomasi</w:t>
      </w:r>
      <w:proofErr w:type="spellEnd"/>
      <w:r w:rsidRPr="00BB2D01">
        <w:t xml:space="preserve">, M. </w:t>
      </w:r>
      <w:proofErr w:type="spellStart"/>
      <w:r w:rsidRPr="00BB2D01">
        <w:t>Cossi</w:t>
      </w:r>
      <w:proofErr w:type="spellEnd"/>
      <w:r w:rsidRPr="00BB2D01">
        <w:t xml:space="preserve">, J. M. </w:t>
      </w:r>
      <w:proofErr w:type="spellStart"/>
      <w:r w:rsidRPr="00BB2D01">
        <w:t>Millam</w:t>
      </w:r>
      <w:proofErr w:type="spellEnd"/>
      <w:r w:rsidRPr="00BB2D01">
        <w:t xml:space="preserve">, M. </w:t>
      </w:r>
      <w:proofErr w:type="spellStart"/>
      <w:r w:rsidRPr="00BB2D01">
        <w:t>Klene</w:t>
      </w:r>
      <w:proofErr w:type="spellEnd"/>
      <w:r w:rsidRPr="00BB2D01">
        <w:t xml:space="preserve">, C. Adamo, R. </w:t>
      </w:r>
      <w:proofErr w:type="spellStart"/>
      <w:r w:rsidRPr="00BB2D01">
        <w:t>Cammi</w:t>
      </w:r>
      <w:proofErr w:type="spellEnd"/>
      <w:r w:rsidRPr="00BB2D01">
        <w:t xml:space="preserve">,  J. W. </w:t>
      </w:r>
      <w:proofErr w:type="spellStart"/>
      <w:r w:rsidRPr="00BB2D01">
        <w:t>Ochterski</w:t>
      </w:r>
      <w:proofErr w:type="spellEnd"/>
      <w:r w:rsidRPr="00BB2D01">
        <w:t xml:space="preserve">, R. L. Martin, K. </w:t>
      </w:r>
      <w:proofErr w:type="spellStart"/>
      <w:r w:rsidRPr="00BB2D01">
        <w:t>Morokuma</w:t>
      </w:r>
      <w:proofErr w:type="spellEnd"/>
      <w:r w:rsidRPr="00BB2D01">
        <w:t>, O. Farkas,  J. B. Foresman, and D. J. Fox, Gaussian, Inc., Wallingford CT, 2016.</w:t>
      </w:r>
    </w:p>
    <w:p w:rsidR="00D75A42" w:rsidRPr="00DC54F1" w:rsidRDefault="00BB2D01" w:rsidP="008864F4">
      <w:pPr>
        <w:pStyle w:val="NormalWeb"/>
        <w:numPr>
          <w:ilvl w:val="0"/>
          <w:numId w:val="1"/>
        </w:numPr>
        <w:spacing w:after="0"/>
      </w:pPr>
      <w:r>
        <w:t xml:space="preserve">Dalton, a molecular electronic structure program, Release Dalton2018.1 (2019), see </w:t>
      </w:r>
      <w:r w:rsidRPr="00851B85">
        <w:t>http://daltonprogram.org</w:t>
      </w:r>
      <w:r>
        <w:t xml:space="preserve">; </w:t>
      </w:r>
      <w:r w:rsidR="00851B85">
        <w:t xml:space="preserve">K. </w:t>
      </w:r>
      <w:proofErr w:type="spellStart"/>
      <w:r w:rsidR="00851B85">
        <w:t>Aidas</w:t>
      </w:r>
      <w:proofErr w:type="spellEnd"/>
      <w:r w:rsidR="00851B85">
        <w:t xml:space="preserve">, C. </w:t>
      </w:r>
      <w:proofErr w:type="spellStart"/>
      <w:r w:rsidR="00851B85">
        <w:t>Angeli</w:t>
      </w:r>
      <w:proofErr w:type="spellEnd"/>
      <w:r w:rsidR="00851B85">
        <w:t xml:space="preserve">, K. L. </w:t>
      </w:r>
      <w:proofErr w:type="spellStart"/>
      <w:r w:rsidR="00851B85">
        <w:t>Bak</w:t>
      </w:r>
      <w:proofErr w:type="spellEnd"/>
      <w:r w:rsidR="00851B85">
        <w:t xml:space="preserve">, V. Bakken, R. </w:t>
      </w:r>
      <w:proofErr w:type="spellStart"/>
      <w:r w:rsidR="00851B85">
        <w:t>Bast</w:t>
      </w:r>
      <w:proofErr w:type="spellEnd"/>
      <w:r w:rsidR="00851B85">
        <w:t xml:space="preserve">, L. </w:t>
      </w:r>
      <w:proofErr w:type="spellStart"/>
      <w:r w:rsidR="00851B85">
        <w:t>Boman</w:t>
      </w:r>
      <w:proofErr w:type="spellEnd"/>
      <w:r w:rsidR="00851B85">
        <w:t xml:space="preserve">, O. Christiansen, R. </w:t>
      </w:r>
      <w:proofErr w:type="spellStart"/>
      <w:r w:rsidR="00851B85">
        <w:t>Cimiraglia</w:t>
      </w:r>
      <w:proofErr w:type="spellEnd"/>
      <w:r w:rsidR="00851B85">
        <w:t xml:space="preserve">, S. </w:t>
      </w:r>
      <w:proofErr w:type="spellStart"/>
      <w:r w:rsidR="00851B85">
        <w:t>Coriani</w:t>
      </w:r>
      <w:proofErr w:type="spellEnd"/>
      <w:r w:rsidR="00851B85">
        <w:t xml:space="preserve">, P. </w:t>
      </w:r>
      <w:proofErr w:type="spellStart"/>
      <w:r w:rsidR="00851B85">
        <w:t>Dahle</w:t>
      </w:r>
      <w:proofErr w:type="spellEnd"/>
      <w:r w:rsidR="00851B85">
        <w:t xml:space="preserve">, E. K. </w:t>
      </w:r>
      <w:proofErr w:type="spellStart"/>
      <w:r w:rsidR="00851B85">
        <w:t>Dalskov</w:t>
      </w:r>
      <w:proofErr w:type="spellEnd"/>
      <w:r w:rsidR="00851B85">
        <w:t xml:space="preserve">, U. </w:t>
      </w:r>
      <w:proofErr w:type="spellStart"/>
      <w:r w:rsidR="00851B85">
        <w:t>Ekström</w:t>
      </w:r>
      <w:proofErr w:type="spellEnd"/>
      <w:r w:rsidR="00851B85">
        <w:t xml:space="preserve">, T. Enevoldsen, J. J. Eriksen, P. </w:t>
      </w:r>
      <w:proofErr w:type="spellStart"/>
      <w:r w:rsidR="00851B85">
        <w:t>Ettenhuber</w:t>
      </w:r>
      <w:proofErr w:type="spellEnd"/>
      <w:r w:rsidR="00851B85">
        <w:t xml:space="preserve">, B. Fernández, L. </w:t>
      </w:r>
      <w:proofErr w:type="spellStart"/>
      <w:r w:rsidR="00851B85">
        <w:t>Ferrighi</w:t>
      </w:r>
      <w:proofErr w:type="spellEnd"/>
      <w:r w:rsidR="00851B85">
        <w:t xml:space="preserve">, H. </w:t>
      </w:r>
      <w:proofErr w:type="spellStart"/>
      <w:r w:rsidR="00851B85">
        <w:t>Fliegl</w:t>
      </w:r>
      <w:proofErr w:type="spellEnd"/>
      <w:r w:rsidR="00851B85">
        <w:t xml:space="preserve">, L. </w:t>
      </w:r>
      <w:proofErr w:type="spellStart"/>
      <w:r w:rsidR="00851B85">
        <w:t>Frediani</w:t>
      </w:r>
      <w:proofErr w:type="spellEnd"/>
      <w:r w:rsidR="00851B85">
        <w:t xml:space="preserve">, K. </w:t>
      </w:r>
      <w:proofErr w:type="spellStart"/>
      <w:r w:rsidR="00851B85">
        <w:t>Hald</w:t>
      </w:r>
      <w:proofErr w:type="spellEnd"/>
      <w:r w:rsidR="00851B85">
        <w:t xml:space="preserve">, A. </w:t>
      </w:r>
      <w:proofErr w:type="spellStart"/>
      <w:r w:rsidR="00851B85">
        <w:t>Halkier</w:t>
      </w:r>
      <w:proofErr w:type="spellEnd"/>
      <w:r w:rsidR="00851B85">
        <w:t xml:space="preserve">, C. </w:t>
      </w:r>
      <w:proofErr w:type="spellStart"/>
      <w:r w:rsidR="00851B85">
        <w:t>Hättig</w:t>
      </w:r>
      <w:proofErr w:type="spellEnd"/>
      <w:r w:rsidR="00851B85">
        <w:t xml:space="preserve">, H. Heiberg, T. </w:t>
      </w:r>
      <w:proofErr w:type="spellStart"/>
      <w:r w:rsidR="00851B85">
        <w:t>Helgaker</w:t>
      </w:r>
      <w:proofErr w:type="spellEnd"/>
      <w:r w:rsidR="00851B85">
        <w:t xml:space="preserve">, A. C. </w:t>
      </w:r>
      <w:proofErr w:type="spellStart"/>
      <w:r w:rsidR="00851B85">
        <w:t>Hennum</w:t>
      </w:r>
      <w:proofErr w:type="spellEnd"/>
      <w:r w:rsidR="00851B85">
        <w:t xml:space="preserve">, H. </w:t>
      </w:r>
      <w:proofErr w:type="spellStart"/>
      <w:r w:rsidR="00851B85">
        <w:t>Hettema</w:t>
      </w:r>
      <w:proofErr w:type="spellEnd"/>
      <w:r w:rsidR="00851B85">
        <w:t xml:space="preserve">, R. </w:t>
      </w:r>
      <w:proofErr w:type="spellStart"/>
      <w:r w:rsidR="00851B85">
        <w:t>Hjertenæs</w:t>
      </w:r>
      <w:proofErr w:type="spellEnd"/>
      <w:r w:rsidR="00851B85">
        <w:t xml:space="preserve">, S. </w:t>
      </w:r>
      <w:proofErr w:type="spellStart"/>
      <w:r w:rsidR="00851B85">
        <w:t>Høst</w:t>
      </w:r>
      <w:proofErr w:type="spellEnd"/>
      <w:r w:rsidR="00851B85">
        <w:t xml:space="preserve">, I.-M. </w:t>
      </w:r>
      <w:proofErr w:type="spellStart"/>
      <w:r w:rsidR="00851B85">
        <w:t>Høyvik</w:t>
      </w:r>
      <w:proofErr w:type="spellEnd"/>
      <w:r w:rsidR="00851B85">
        <w:t xml:space="preserve">, M. F. </w:t>
      </w:r>
      <w:proofErr w:type="spellStart"/>
      <w:r w:rsidR="00851B85">
        <w:t>Iozzi</w:t>
      </w:r>
      <w:proofErr w:type="spellEnd"/>
      <w:r w:rsidR="00851B85">
        <w:t xml:space="preserve">, B. </w:t>
      </w:r>
      <w:proofErr w:type="spellStart"/>
      <w:r w:rsidR="00851B85">
        <w:t>Jansík</w:t>
      </w:r>
      <w:proofErr w:type="spellEnd"/>
      <w:r w:rsidR="00851B85">
        <w:t xml:space="preserve">, H. J. Aa. Jensen, D. Jonsson, P. </w:t>
      </w:r>
      <w:proofErr w:type="spellStart"/>
      <w:r w:rsidR="00851B85">
        <w:t>Jørgensen</w:t>
      </w:r>
      <w:proofErr w:type="spellEnd"/>
      <w:r w:rsidR="00851B85">
        <w:t xml:space="preserve">, J. </w:t>
      </w:r>
      <w:proofErr w:type="spellStart"/>
      <w:r w:rsidR="00851B85">
        <w:t>Kauczor</w:t>
      </w:r>
      <w:proofErr w:type="spellEnd"/>
      <w:r w:rsidR="00851B85">
        <w:t xml:space="preserve">, S. </w:t>
      </w:r>
      <w:proofErr w:type="spellStart"/>
      <w:r w:rsidR="00851B85">
        <w:t>Kirpekar</w:t>
      </w:r>
      <w:proofErr w:type="spellEnd"/>
      <w:r w:rsidR="00851B85">
        <w:t xml:space="preserve">, T. </w:t>
      </w:r>
      <w:proofErr w:type="spellStart"/>
      <w:r w:rsidR="00851B85">
        <w:t>Kjærgaard</w:t>
      </w:r>
      <w:proofErr w:type="spellEnd"/>
      <w:r w:rsidR="00851B85">
        <w:t xml:space="preserve">, W. Klopper, S. Knecht, R. Kobayashi, H. Koch, J. </w:t>
      </w:r>
      <w:proofErr w:type="spellStart"/>
      <w:r w:rsidR="00851B85">
        <w:t>Kongsted</w:t>
      </w:r>
      <w:proofErr w:type="spellEnd"/>
      <w:r w:rsidR="00851B85">
        <w:t xml:space="preserve">, A. </w:t>
      </w:r>
      <w:proofErr w:type="spellStart"/>
      <w:r w:rsidR="00851B85">
        <w:t>Krapp</w:t>
      </w:r>
      <w:proofErr w:type="spellEnd"/>
      <w:r w:rsidR="00851B85">
        <w:t xml:space="preserve">, K. Kristensen, A. </w:t>
      </w:r>
      <w:proofErr w:type="spellStart"/>
      <w:r w:rsidR="00851B85">
        <w:t>Ligabue</w:t>
      </w:r>
      <w:proofErr w:type="spellEnd"/>
      <w:r w:rsidR="00851B85">
        <w:t xml:space="preserve">, O. B. </w:t>
      </w:r>
      <w:proofErr w:type="spellStart"/>
      <w:r w:rsidR="00851B85">
        <w:t>Lutnæs</w:t>
      </w:r>
      <w:proofErr w:type="spellEnd"/>
      <w:r w:rsidR="00851B85">
        <w:t xml:space="preserve">, J. I. Melo, K. V. Mikkelsen, R. H. Myhre, C. </w:t>
      </w:r>
      <w:proofErr w:type="spellStart"/>
      <w:r w:rsidR="00851B85">
        <w:t>Neiss</w:t>
      </w:r>
      <w:proofErr w:type="spellEnd"/>
      <w:r w:rsidR="00851B85">
        <w:t xml:space="preserve">, C. B. Nielsen, P. Norman, J. Olsen, J. M. H. Olsen, A. </w:t>
      </w:r>
      <w:proofErr w:type="spellStart"/>
      <w:r w:rsidR="00851B85">
        <w:t>Osted</w:t>
      </w:r>
      <w:proofErr w:type="spellEnd"/>
      <w:r w:rsidR="00851B85">
        <w:t xml:space="preserve">, M. J. Packer, F. Pawlowski, T. B. Pedersen, P. F. </w:t>
      </w:r>
      <w:proofErr w:type="spellStart"/>
      <w:r w:rsidR="00851B85">
        <w:t>Provasi</w:t>
      </w:r>
      <w:proofErr w:type="spellEnd"/>
      <w:r w:rsidR="00851B85">
        <w:t xml:space="preserve">, S. Reine, Z. </w:t>
      </w:r>
      <w:proofErr w:type="spellStart"/>
      <w:r w:rsidR="00851B85">
        <w:t>Rinkevicius</w:t>
      </w:r>
      <w:proofErr w:type="spellEnd"/>
      <w:r w:rsidR="00851B85">
        <w:t xml:space="preserve">, T. A. </w:t>
      </w:r>
      <w:proofErr w:type="spellStart"/>
      <w:r w:rsidR="00851B85">
        <w:t>Ruden</w:t>
      </w:r>
      <w:proofErr w:type="spellEnd"/>
      <w:r w:rsidR="00851B85">
        <w:t xml:space="preserve">, K. Ruud, V. V. </w:t>
      </w:r>
      <w:proofErr w:type="spellStart"/>
      <w:r w:rsidR="00851B85">
        <w:t>Rybkin</w:t>
      </w:r>
      <w:proofErr w:type="spellEnd"/>
      <w:r w:rsidR="00851B85">
        <w:t xml:space="preserve">, P. </w:t>
      </w:r>
      <w:proofErr w:type="spellStart"/>
      <w:r w:rsidR="00851B85">
        <w:t>Sałek</w:t>
      </w:r>
      <w:proofErr w:type="spellEnd"/>
      <w:r w:rsidR="00851B85">
        <w:t xml:space="preserve">, C. C. M. Samson, A. Sánchez de </w:t>
      </w:r>
      <w:proofErr w:type="spellStart"/>
      <w:r w:rsidR="00851B85">
        <w:t>Merás</w:t>
      </w:r>
      <w:proofErr w:type="spellEnd"/>
      <w:r w:rsidR="00851B85">
        <w:t xml:space="preserve">, T. </w:t>
      </w:r>
      <w:proofErr w:type="spellStart"/>
      <w:r w:rsidR="00851B85">
        <w:t>Saue</w:t>
      </w:r>
      <w:proofErr w:type="spellEnd"/>
      <w:r w:rsidR="00851B85">
        <w:t xml:space="preserve">, S. P. A. Sauer, B. </w:t>
      </w:r>
      <w:proofErr w:type="spellStart"/>
      <w:r w:rsidR="00851B85">
        <w:t>Schimmelpfennig</w:t>
      </w:r>
      <w:proofErr w:type="spellEnd"/>
      <w:r w:rsidR="00851B85">
        <w:t xml:space="preserve">, K. </w:t>
      </w:r>
      <w:proofErr w:type="spellStart"/>
      <w:r w:rsidR="00851B85">
        <w:t>Sneskov</w:t>
      </w:r>
      <w:proofErr w:type="spellEnd"/>
      <w:r w:rsidR="00851B85">
        <w:t xml:space="preserve">, A. H. </w:t>
      </w:r>
      <w:proofErr w:type="spellStart"/>
      <w:r w:rsidR="00851B85">
        <w:t>Steindal</w:t>
      </w:r>
      <w:proofErr w:type="spellEnd"/>
      <w:r w:rsidR="00851B85">
        <w:t>, K. O. Sylvester-</w:t>
      </w:r>
      <w:proofErr w:type="spellStart"/>
      <w:r w:rsidR="00851B85">
        <w:t>Hvid</w:t>
      </w:r>
      <w:proofErr w:type="spellEnd"/>
      <w:r w:rsidR="00851B85">
        <w:t xml:space="preserve">, P. R. Taylor, A. M. Teale, E. I. </w:t>
      </w:r>
      <w:proofErr w:type="spellStart"/>
      <w:r w:rsidR="00851B85">
        <w:t>Tellgren</w:t>
      </w:r>
      <w:proofErr w:type="spellEnd"/>
      <w:r w:rsidR="00851B85">
        <w:t xml:space="preserve">, D. P. </w:t>
      </w:r>
      <w:proofErr w:type="spellStart"/>
      <w:r w:rsidR="00851B85">
        <w:t>Tew</w:t>
      </w:r>
      <w:proofErr w:type="spellEnd"/>
      <w:r w:rsidR="00851B85">
        <w:t xml:space="preserve">, A. J. Thorvaldsen, L. </w:t>
      </w:r>
      <w:proofErr w:type="spellStart"/>
      <w:r w:rsidR="00851B85">
        <w:t>Thøgersen</w:t>
      </w:r>
      <w:proofErr w:type="spellEnd"/>
      <w:r w:rsidR="00851B85">
        <w:t xml:space="preserve">, O. </w:t>
      </w:r>
      <w:proofErr w:type="spellStart"/>
      <w:r w:rsidR="00851B85">
        <w:t>Vahtras</w:t>
      </w:r>
      <w:proofErr w:type="spellEnd"/>
      <w:r w:rsidR="00851B85">
        <w:t xml:space="preserve">, M. A. Watson, D. J. D. Wilson, M. </w:t>
      </w:r>
      <w:proofErr w:type="spellStart"/>
      <w:r w:rsidR="00851B85">
        <w:t>Ziolkowski</w:t>
      </w:r>
      <w:proofErr w:type="spellEnd"/>
      <w:r w:rsidR="00851B85">
        <w:t xml:space="preserve">, H. </w:t>
      </w:r>
      <w:proofErr w:type="spellStart"/>
      <w:r w:rsidR="00851B85">
        <w:t>Ågren</w:t>
      </w:r>
      <w:proofErr w:type="spellEnd"/>
      <w:r w:rsidR="00851B85">
        <w:t xml:space="preserve">, </w:t>
      </w:r>
      <w:r w:rsidR="00851B85" w:rsidRPr="00DC54F1">
        <w:rPr>
          <w:i/>
        </w:rPr>
        <w:t xml:space="preserve">WIREs </w:t>
      </w:r>
      <w:proofErr w:type="spellStart"/>
      <w:r w:rsidR="00851B85" w:rsidRPr="00DC54F1">
        <w:rPr>
          <w:i/>
        </w:rPr>
        <w:t>Comput</w:t>
      </w:r>
      <w:proofErr w:type="spellEnd"/>
      <w:r w:rsidR="00851B85" w:rsidRPr="00DC54F1">
        <w:rPr>
          <w:i/>
        </w:rPr>
        <w:t>. Mol. Sci.</w:t>
      </w:r>
      <w:r w:rsidR="00851B85">
        <w:t xml:space="preserve"> </w:t>
      </w:r>
      <w:r w:rsidR="00851B85" w:rsidRPr="00DC54F1">
        <w:rPr>
          <w:b/>
        </w:rPr>
        <w:t>2014</w:t>
      </w:r>
      <w:r w:rsidR="00851B85">
        <w:t xml:space="preserve">, </w:t>
      </w:r>
      <w:r w:rsidR="00851B85" w:rsidRPr="00DC54F1">
        <w:rPr>
          <w:i/>
        </w:rPr>
        <w:t>4</w:t>
      </w:r>
      <w:r w:rsidR="00851B85">
        <w:t xml:space="preserve">, 269–284. </w:t>
      </w:r>
    </w:p>
    <w:sectPr w:rsidR="00D75A42" w:rsidRPr="00DC54F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687" w:rsidRDefault="000C0687" w:rsidP="00582325">
      <w:pPr>
        <w:spacing w:after="0" w:line="240" w:lineRule="auto"/>
      </w:pPr>
      <w:r>
        <w:separator/>
      </w:r>
    </w:p>
  </w:endnote>
  <w:endnote w:type="continuationSeparator" w:id="0">
    <w:p w:rsidR="000C0687" w:rsidRDefault="000C0687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261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325" w:rsidRDefault="005823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325" w:rsidRDefault="00582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687" w:rsidRDefault="000C0687" w:rsidP="00582325">
      <w:pPr>
        <w:spacing w:after="0" w:line="240" w:lineRule="auto"/>
      </w:pPr>
      <w:r>
        <w:separator/>
      </w:r>
    </w:p>
  </w:footnote>
  <w:footnote w:type="continuationSeparator" w:id="0">
    <w:p w:rsidR="000C0687" w:rsidRDefault="000C0687" w:rsidP="0058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05FD"/>
    <w:multiLevelType w:val="hybridMultilevel"/>
    <w:tmpl w:val="DA0A60BE"/>
    <w:lvl w:ilvl="0" w:tplc="B15CA04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455"/>
    <w:multiLevelType w:val="hybridMultilevel"/>
    <w:tmpl w:val="247296E8"/>
    <w:lvl w:ilvl="0" w:tplc="625C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70"/>
    <w:rsid w:val="0002511E"/>
    <w:rsid w:val="00030C1E"/>
    <w:rsid w:val="00033EE6"/>
    <w:rsid w:val="00036A8D"/>
    <w:rsid w:val="000549D2"/>
    <w:rsid w:val="000A1053"/>
    <w:rsid w:val="000B5FE9"/>
    <w:rsid w:val="000C0687"/>
    <w:rsid w:val="000D475B"/>
    <w:rsid w:val="001B2083"/>
    <w:rsid w:val="001B4929"/>
    <w:rsid w:val="001D2830"/>
    <w:rsid w:val="001F5FD6"/>
    <w:rsid w:val="002869EB"/>
    <w:rsid w:val="002C01D3"/>
    <w:rsid w:val="002D39BA"/>
    <w:rsid w:val="002E1248"/>
    <w:rsid w:val="0030195C"/>
    <w:rsid w:val="003056B7"/>
    <w:rsid w:val="00352D9C"/>
    <w:rsid w:val="0038277F"/>
    <w:rsid w:val="003B3531"/>
    <w:rsid w:val="003C2A79"/>
    <w:rsid w:val="003D4A01"/>
    <w:rsid w:val="004403A2"/>
    <w:rsid w:val="00466A56"/>
    <w:rsid w:val="004A5770"/>
    <w:rsid w:val="004C4797"/>
    <w:rsid w:val="004E0A9A"/>
    <w:rsid w:val="00582325"/>
    <w:rsid w:val="00667EB2"/>
    <w:rsid w:val="006A41A4"/>
    <w:rsid w:val="006C1C18"/>
    <w:rsid w:val="006D5EE7"/>
    <w:rsid w:val="006E651A"/>
    <w:rsid w:val="007216CE"/>
    <w:rsid w:val="0073711C"/>
    <w:rsid w:val="007D061C"/>
    <w:rsid w:val="008454FA"/>
    <w:rsid w:val="00851B85"/>
    <w:rsid w:val="00853606"/>
    <w:rsid w:val="008801D5"/>
    <w:rsid w:val="008E7225"/>
    <w:rsid w:val="00920A73"/>
    <w:rsid w:val="00954721"/>
    <w:rsid w:val="00976AAE"/>
    <w:rsid w:val="009B1F36"/>
    <w:rsid w:val="009D2675"/>
    <w:rsid w:val="00A06313"/>
    <w:rsid w:val="00A5663B"/>
    <w:rsid w:val="00A61D79"/>
    <w:rsid w:val="00AC18D5"/>
    <w:rsid w:val="00AD2F28"/>
    <w:rsid w:val="00AD3BCF"/>
    <w:rsid w:val="00AD75D9"/>
    <w:rsid w:val="00B04C30"/>
    <w:rsid w:val="00B83592"/>
    <w:rsid w:val="00BB2D01"/>
    <w:rsid w:val="00BB57B8"/>
    <w:rsid w:val="00BE40AF"/>
    <w:rsid w:val="00C00315"/>
    <w:rsid w:val="00C302AD"/>
    <w:rsid w:val="00C429B4"/>
    <w:rsid w:val="00C64250"/>
    <w:rsid w:val="00C842AB"/>
    <w:rsid w:val="00CD4460"/>
    <w:rsid w:val="00D75A42"/>
    <w:rsid w:val="00DB0115"/>
    <w:rsid w:val="00DB2A4F"/>
    <w:rsid w:val="00DC54F1"/>
    <w:rsid w:val="00DD766E"/>
    <w:rsid w:val="00E03360"/>
    <w:rsid w:val="00E10EB3"/>
    <w:rsid w:val="00E51CB0"/>
    <w:rsid w:val="00E64DBB"/>
    <w:rsid w:val="00EC3CE7"/>
    <w:rsid w:val="00F36727"/>
    <w:rsid w:val="00F52BA8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101E5"/>
  <w15:chartTrackingRefBased/>
  <w15:docId w15:val="{7B8AE720-82E3-4B3B-A9FB-BA749E4D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4A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67EB2"/>
    <w:rPr>
      <w:color w:val="808080"/>
    </w:rPr>
  </w:style>
  <w:style w:type="paragraph" w:customStyle="1" w:styleId="MTDisplayEquation">
    <w:name w:val="MTDisplayEquation"/>
    <w:basedOn w:val="NormalWeb"/>
    <w:next w:val="Normal"/>
    <w:link w:val="MTDisplayEquationChar"/>
    <w:rsid w:val="00667EB2"/>
    <w:pPr>
      <w:tabs>
        <w:tab w:val="center" w:pos="4520"/>
        <w:tab w:val="right" w:pos="9020"/>
      </w:tabs>
      <w:spacing w:before="0" w:beforeAutospacing="0" w:after="0" w:afterAutospacing="0"/>
    </w:pPr>
  </w:style>
  <w:style w:type="character" w:customStyle="1" w:styleId="NormalWebChar">
    <w:name w:val="Normal (Web) Char"/>
    <w:basedOn w:val="DefaultParagraphFont"/>
    <w:link w:val="NormalWeb"/>
    <w:uiPriority w:val="99"/>
    <w:rsid w:val="00667EB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TDisplayEquationChar">
    <w:name w:val="MTDisplayEquation Char"/>
    <w:basedOn w:val="NormalWebChar"/>
    <w:link w:val="MTDisplayEquation"/>
    <w:rsid w:val="00667EB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D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25"/>
  </w:style>
  <w:style w:type="paragraph" w:styleId="Footer">
    <w:name w:val="footer"/>
    <w:basedOn w:val="Normal"/>
    <w:link w:val="FooterChar"/>
    <w:uiPriority w:val="99"/>
    <w:unhideWhenUsed/>
    <w:rsid w:val="0058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E88A-E70F-4EF9-8CD4-1B5DFDA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pbk</dc:creator>
  <cp:keywords/>
  <dc:description/>
  <cp:lastModifiedBy>Peter Karadakov</cp:lastModifiedBy>
  <cp:revision>18</cp:revision>
  <dcterms:created xsi:type="dcterms:W3CDTF">2020-01-29T14:58:00Z</dcterms:created>
  <dcterms:modified xsi:type="dcterms:W3CDTF">2020-04-10T09:27:00Z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