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C4D" w:rsidRPr="00563C4D" w:rsidRDefault="00563C4D" w:rsidP="00563C4D">
      <w:pPr>
        <w:spacing w:after="0" w:line="240" w:lineRule="auto"/>
        <w:jc w:val="center"/>
        <w:rPr>
          <w:rFonts w:ascii="Times New Roman" w:hAnsi="Times New Roman" w:cs="Times New Roman"/>
          <w:sz w:val="24"/>
          <w:szCs w:val="24"/>
        </w:rPr>
      </w:pPr>
      <w:bookmarkStart w:id="0" w:name="_Hlk34918042"/>
      <w:bookmarkStart w:id="1" w:name="_Hlk34918083"/>
      <w:bookmarkStart w:id="2" w:name="_GoBack"/>
      <w:bookmarkEnd w:id="2"/>
    </w:p>
    <w:bookmarkEnd w:id="0"/>
    <w:bookmarkEnd w:id="1"/>
    <w:p w:rsidR="000D5422" w:rsidRPr="00563C4D" w:rsidRDefault="000D5422" w:rsidP="000D5422">
      <w:pPr>
        <w:spacing w:after="0" w:line="240" w:lineRule="auto"/>
        <w:jc w:val="center"/>
        <w:rPr>
          <w:rFonts w:ascii="Times New Roman" w:hAnsi="Times New Roman" w:cs="Times New Roman"/>
          <w:b/>
          <w:bCs/>
          <w:color w:val="000000" w:themeColor="text1"/>
          <w:sz w:val="24"/>
          <w:szCs w:val="24"/>
          <w:lang w:val="en-US"/>
        </w:rPr>
      </w:pPr>
      <w:r w:rsidRPr="00563C4D">
        <w:rPr>
          <w:rFonts w:ascii="Times New Roman" w:hAnsi="Times New Roman" w:cs="Times New Roman"/>
          <w:b/>
          <w:color w:val="000000" w:themeColor="text1"/>
          <w:sz w:val="24"/>
          <w:szCs w:val="24"/>
          <w:lang w:val="en-US"/>
        </w:rPr>
        <w:t>The gold standard, fiscal dominance and financial supervision in Greece and South-East Europe, 1841-1939</w:t>
      </w:r>
    </w:p>
    <w:p w:rsidR="000D5422" w:rsidRPr="00563C4D" w:rsidRDefault="000D5422" w:rsidP="000D5422">
      <w:pPr>
        <w:spacing w:after="0" w:line="240" w:lineRule="auto"/>
        <w:jc w:val="center"/>
        <w:rPr>
          <w:rFonts w:ascii="Times New Roman" w:hAnsi="Times New Roman" w:cs="Times New Roman"/>
          <w:sz w:val="24"/>
          <w:szCs w:val="24"/>
          <w:lang w:val="en-US"/>
        </w:rPr>
      </w:pPr>
    </w:p>
    <w:p w:rsidR="000D5422" w:rsidRPr="00563C4D" w:rsidRDefault="000D5422" w:rsidP="000D5422">
      <w:pPr>
        <w:spacing w:after="0" w:line="240" w:lineRule="auto"/>
        <w:jc w:val="center"/>
        <w:rPr>
          <w:rFonts w:ascii="Times New Roman" w:hAnsi="Times New Roman" w:cs="Times New Roman"/>
          <w:sz w:val="24"/>
          <w:szCs w:val="24"/>
          <w:lang w:val="en-US"/>
        </w:rPr>
      </w:pPr>
    </w:p>
    <w:p w:rsidR="000D5422" w:rsidRPr="00563C4D" w:rsidRDefault="000D5422" w:rsidP="000D5422">
      <w:pPr>
        <w:spacing w:after="0" w:line="240" w:lineRule="auto"/>
        <w:jc w:val="center"/>
        <w:rPr>
          <w:rFonts w:ascii="Times New Roman" w:hAnsi="Times New Roman" w:cs="Times New Roman"/>
          <w:b/>
          <w:sz w:val="24"/>
          <w:szCs w:val="24"/>
          <w:lang w:val="en-US"/>
        </w:rPr>
      </w:pPr>
      <w:r w:rsidRPr="00563C4D">
        <w:rPr>
          <w:rFonts w:ascii="Times New Roman" w:hAnsi="Times New Roman" w:cs="Times New Roman"/>
          <w:b/>
          <w:sz w:val="24"/>
          <w:szCs w:val="24"/>
          <w:lang w:val="en-US"/>
        </w:rPr>
        <w:t xml:space="preserve">Dr. Matthias </w:t>
      </w:r>
      <w:proofErr w:type="spellStart"/>
      <w:r w:rsidRPr="00563C4D">
        <w:rPr>
          <w:rFonts w:ascii="Times New Roman" w:hAnsi="Times New Roman" w:cs="Times New Roman"/>
          <w:b/>
          <w:sz w:val="24"/>
          <w:szCs w:val="24"/>
          <w:lang w:val="en-US"/>
        </w:rPr>
        <w:t>Morys</w:t>
      </w:r>
      <w:proofErr w:type="spellEnd"/>
    </w:p>
    <w:p w:rsidR="000D5422" w:rsidRPr="00563C4D" w:rsidRDefault="000D5422" w:rsidP="000D5422">
      <w:pPr>
        <w:spacing w:after="0" w:line="240" w:lineRule="auto"/>
        <w:jc w:val="center"/>
        <w:rPr>
          <w:rFonts w:ascii="Times New Roman" w:hAnsi="Times New Roman" w:cs="Times New Roman"/>
          <w:b/>
          <w:sz w:val="24"/>
          <w:szCs w:val="24"/>
          <w:lang w:val="en-US"/>
        </w:rPr>
      </w:pPr>
      <w:r w:rsidRPr="00563C4D">
        <w:rPr>
          <w:rFonts w:ascii="Times New Roman" w:hAnsi="Times New Roman" w:cs="Times New Roman"/>
          <w:b/>
          <w:sz w:val="24"/>
          <w:szCs w:val="24"/>
          <w:lang w:val="en-US"/>
        </w:rPr>
        <w:t>Department of Economics</w:t>
      </w:r>
    </w:p>
    <w:p w:rsidR="000D5422" w:rsidRPr="00563C4D" w:rsidRDefault="000D5422" w:rsidP="000D5422">
      <w:pPr>
        <w:spacing w:after="0" w:line="240" w:lineRule="auto"/>
        <w:jc w:val="center"/>
        <w:rPr>
          <w:rFonts w:ascii="Times New Roman" w:hAnsi="Times New Roman" w:cs="Times New Roman"/>
          <w:b/>
          <w:sz w:val="24"/>
          <w:szCs w:val="24"/>
          <w:lang w:val="en-US"/>
        </w:rPr>
      </w:pPr>
      <w:r w:rsidRPr="00563C4D">
        <w:rPr>
          <w:rFonts w:ascii="Times New Roman" w:hAnsi="Times New Roman" w:cs="Times New Roman"/>
          <w:b/>
          <w:sz w:val="24"/>
          <w:szCs w:val="24"/>
          <w:lang w:val="en-US"/>
        </w:rPr>
        <w:t>University of York (UK)</w:t>
      </w:r>
    </w:p>
    <w:p w:rsidR="000D5422" w:rsidRPr="00563C4D" w:rsidRDefault="000D5422" w:rsidP="000D5422">
      <w:pPr>
        <w:spacing w:after="0" w:line="240" w:lineRule="auto"/>
        <w:jc w:val="center"/>
        <w:rPr>
          <w:rFonts w:ascii="Times New Roman" w:hAnsi="Times New Roman" w:cs="Times New Roman"/>
          <w:b/>
          <w:sz w:val="24"/>
          <w:szCs w:val="24"/>
          <w:lang w:val="en-US"/>
        </w:rPr>
      </w:pPr>
      <w:proofErr w:type="spellStart"/>
      <w:r w:rsidRPr="00563C4D">
        <w:rPr>
          <w:rFonts w:ascii="Times New Roman" w:hAnsi="Times New Roman" w:cs="Times New Roman"/>
          <w:b/>
          <w:sz w:val="24"/>
          <w:szCs w:val="24"/>
          <w:lang w:val="en-US"/>
        </w:rPr>
        <w:t>Heslington</w:t>
      </w:r>
      <w:proofErr w:type="spellEnd"/>
    </w:p>
    <w:p w:rsidR="000D5422" w:rsidRPr="00563C4D" w:rsidRDefault="000D5422" w:rsidP="000D5422">
      <w:pPr>
        <w:spacing w:after="0" w:line="240" w:lineRule="auto"/>
        <w:jc w:val="center"/>
        <w:rPr>
          <w:rFonts w:ascii="Times New Roman" w:hAnsi="Times New Roman" w:cs="Times New Roman"/>
          <w:b/>
          <w:sz w:val="24"/>
          <w:szCs w:val="24"/>
          <w:lang w:val="en-US"/>
        </w:rPr>
      </w:pPr>
      <w:r w:rsidRPr="00563C4D">
        <w:rPr>
          <w:rFonts w:ascii="Times New Roman" w:hAnsi="Times New Roman" w:cs="Times New Roman"/>
          <w:b/>
          <w:sz w:val="24"/>
          <w:szCs w:val="24"/>
          <w:lang w:val="en-US"/>
        </w:rPr>
        <w:t>York YO10 5DD</w:t>
      </w:r>
    </w:p>
    <w:p w:rsidR="000D5422" w:rsidRPr="00563C4D" w:rsidRDefault="000D5422" w:rsidP="000D5422">
      <w:pPr>
        <w:spacing w:after="0" w:line="240" w:lineRule="auto"/>
        <w:jc w:val="center"/>
        <w:rPr>
          <w:rFonts w:ascii="Times New Roman" w:hAnsi="Times New Roman" w:cs="Times New Roman"/>
          <w:b/>
          <w:sz w:val="24"/>
          <w:szCs w:val="24"/>
          <w:lang w:val="en-US"/>
        </w:rPr>
      </w:pPr>
    </w:p>
    <w:p w:rsidR="000D5422" w:rsidRPr="00563C4D" w:rsidRDefault="00967B70" w:rsidP="000D5422">
      <w:pPr>
        <w:spacing w:after="0" w:line="240" w:lineRule="auto"/>
        <w:jc w:val="center"/>
        <w:rPr>
          <w:rFonts w:ascii="Times New Roman" w:hAnsi="Times New Roman" w:cs="Times New Roman"/>
          <w:sz w:val="24"/>
          <w:szCs w:val="24"/>
          <w:lang w:val="en-US"/>
        </w:rPr>
      </w:pPr>
      <w:hyperlink r:id="rId8" w:history="1">
        <w:r w:rsidR="000D5422" w:rsidRPr="00563C4D">
          <w:rPr>
            <w:rStyle w:val="Hyperlink"/>
            <w:rFonts w:ascii="Times New Roman" w:hAnsi="Times New Roman" w:cs="Times New Roman"/>
            <w:sz w:val="24"/>
            <w:szCs w:val="24"/>
            <w:lang w:val="en-US"/>
          </w:rPr>
          <w:t>matthias.morys@york.ac.uk</w:t>
        </w:r>
      </w:hyperlink>
    </w:p>
    <w:p w:rsidR="000D5422" w:rsidRPr="00563C4D" w:rsidRDefault="000D5422" w:rsidP="000D5422">
      <w:pPr>
        <w:spacing w:after="0" w:line="240" w:lineRule="auto"/>
        <w:jc w:val="center"/>
        <w:rPr>
          <w:rFonts w:ascii="Times New Roman" w:hAnsi="Times New Roman" w:cs="Times New Roman"/>
          <w:b/>
          <w:sz w:val="24"/>
          <w:szCs w:val="24"/>
          <w:lang w:val="en-US"/>
        </w:rPr>
      </w:pPr>
    </w:p>
    <w:p w:rsidR="000D5422" w:rsidRPr="00563C4D" w:rsidRDefault="000D5422" w:rsidP="000D5422">
      <w:pPr>
        <w:spacing w:after="0" w:line="240" w:lineRule="auto"/>
        <w:jc w:val="center"/>
        <w:rPr>
          <w:rFonts w:ascii="Times New Roman" w:hAnsi="Times New Roman" w:cs="Times New Roman"/>
          <w:b/>
          <w:sz w:val="24"/>
          <w:szCs w:val="24"/>
          <w:lang w:val="en-US"/>
        </w:rPr>
      </w:pPr>
      <w:r w:rsidRPr="00563C4D">
        <w:rPr>
          <w:rFonts w:ascii="Times New Roman" w:hAnsi="Times New Roman" w:cs="Times New Roman"/>
          <w:b/>
          <w:sz w:val="24"/>
          <w:szCs w:val="24"/>
          <w:lang w:val="en-US"/>
        </w:rPr>
        <w:t>+44 1904 324671</w:t>
      </w:r>
    </w:p>
    <w:p w:rsidR="000D5422" w:rsidRPr="00563C4D" w:rsidRDefault="000D5422" w:rsidP="000D5422">
      <w:pPr>
        <w:spacing w:after="0" w:line="240" w:lineRule="auto"/>
        <w:jc w:val="center"/>
        <w:rPr>
          <w:rFonts w:ascii="Times New Roman" w:hAnsi="Times New Roman" w:cs="Times New Roman"/>
          <w:sz w:val="24"/>
          <w:szCs w:val="24"/>
          <w:lang w:val="en-US"/>
        </w:rPr>
      </w:pPr>
    </w:p>
    <w:p w:rsidR="000D5422" w:rsidRPr="00563C4D" w:rsidRDefault="000D5422" w:rsidP="000D5422">
      <w:pPr>
        <w:spacing w:after="0" w:line="240" w:lineRule="auto"/>
        <w:jc w:val="center"/>
        <w:rPr>
          <w:rFonts w:ascii="Times New Roman" w:hAnsi="Times New Roman" w:cs="Times New Roman"/>
          <w:sz w:val="24"/>
          <w:szCs w:val="24"/>
          <w:lang w:val="en-US"/>
        </w:rPr>
      </w:pPr>
    </w:p>
    <w:p w:rsidR="000D5422" w:rsidRPr="00563C4D" w:rsidRDefault="000D5422" w:rsidP="000D5422">
      <w:pPr>
        <w:spacing w:after="0" w:line="240" w:lineRule="auto"/>
        <w:jc w:val="center"/>
        <w:rPr>
          <w:rFonts w:ascii="Times New Roman" w:hAnsi="Times New Roman" w:cs="Times New Roman"/>
          <w:b/>
          <w:sz w:val="24"/>
          <w:szCs w:val="24"/>
          <w:lang w:val="en-US"/>
        </w:rPr>
      </w:pPr>
      <w:r w:rsidRPr="00563C4D">
        <w:rPr>
          <w:rFonts w:ascii="Times New Roman" w:hAnsi="Times New Roman" w:cs="Times New Roman"/>
          <w:b/>
          <w:sz w:val="24"/>
          <w:szCs w:val="24"/>
          <w:lang w:val="en-US"/>
        </w:rPr>
        <w:t>Abstract</w:t>
      </w:r>
    </w:p>
    <w:p w:rsidR="000D5422" w:rsidRPr="00563C4D" w:rsidRDefault="000D5422" w:rsidP="000D5422">
      <w:pPr>
        <w:spacing w:after="0" w:line="240" w:lineRule="auto"/>
        <w:jc w:val="both"/>
        <w:rPr>
          <w:rFonts w:ascii="Times New Roman" w:hAnsi="Times New Roman" w:cs="Times New Roman"/>
          <w:color w:val="000000" w:themeColor="text1"/>
          <w:sz w:val="24"/>
          <w:szCs w:val="24"/>
          <w:lang w:val="en-US"/>
        </w:rPr>
      </w:pPr>
      <w:r w:rsidRPr="00563C4D">
        <w:rPr>
          <w:rFonts w:ascii="Times New Roman" w:hAnsi="Times New Roman" w:cs="Times New Roman"/>
          <w:color w:val="000000" w:themeColor="text1"/>
          <w:sz w:val="24"/>
          <w:szCs w:val="24"/>
          <w:lang w:val="en-US"/>
        </w:rPr>
        <w:t xml:space="preserve">We add a historical and regional dimension to the debate on the Greek debt crisis by </w:t>
      </w:r>
      <w:proofErr w:type="spellStart"/>
      <w:r w:rsidRPr="00563C4D">
        <w:rPr>
          <w:rFonts w:ascii="Times New Roman" w:hAnsi="Times New Roman" w:cs="Times New Roman"/>
          <w:color w:val="000000" w:themeColor="text1"/>
          <w:sz w:val="24"/>
          <w:szCs w:val="24"/>
          <w:lang w:val="en-US"/>
        </w:rPr>
        <w:t>analysing</w:t>
      </w:r>
      <w:proofErr w:type="spellEnd"/>
      <w:r w:rsidRPr="00563C4D">
        <w:rPr>
          <w:rFonts w:ascii="Times New Roman" w:hAnsi="Times New Roman" w:cs="Times New Roman"/>
          <w:color w:val="000000" w:themeColor="text1"/>
          <w:sz w:val="24"/>
          <w:szCs w:val="24"/>
          <w:lang w:val="en-US"/>
        </w:rPr>
        <w:t xml:space="preserve"> repeated cycles of entry and exit from the gold standard, government default, and financial supervision for four South-East European countries from political independence to World War II. The prevailing pattern of fiscal dominance was broken only under financial supervision, when conditionality scaled back the treasury’s influence; only then were central banks able to stabilize their exchange-rates. A political economy analysis for Greece finds that financial supervision was politically acceptable as it made successfully adhering to gold more likely in the view of contemporaries.</w:t>
      </w:r>
    </w:p>
    <w:p w:rsidR="000D5422" w:rsidRPr="00563C4D" w:rsidRDefault="000D5422" w:rsidP="000D5422">
      <w:pPr>
        <w:spacing w:after="0" w:line="240" w:lineRule="auto"/>
        <w:jc w:val="both"/>
        <w:rPr>
          <w:rFonts w:ascii="Times New Roman" w:hAnsi="Times New Roman" w:cs="Times New Roman"/>
          <w:sz w:val="24"/>
          <w:szCs w:val="24"/>
          <w:lang w:val="en-US"/>
        </w:rPr>
      </w:pPr>
    </w:p>
    <w:p w:rsidR="000D5422" w:rsidRPr="00563C4D" w:rsidRDefault="000D5422" w:rsidP="000D5422">
      <w:pPr>
        <w:spacing w:after="0" w:line="240" w:lineRule="auto"/>
        <w:jc w:val="both"/>
        <w:rPr>
          <w:rFonts w:ascii="Times New Roman" w:hAnsi="Times New Roman" w:cs="Times New Roman"/>
          <w:color w:val="000000" w:themeColor="text1"/>
          <w:sz w:val="24"/>
          <w:szCs w:val="24"/>
          <w:lang w:val="en-US"/>
        </w:rPr>
      </w:pPr>
    </w:p>
    <w:p w:rsidR="000D5422" w:rsidRPr="00563C4D" w:rsidRDefault="000D5422" w:rsidP="000D5422">
      <w:pPr>
        <w:spacing w:after="0" w:line="240" w:lineRule="auto"/>
        <w:ind w:left="2160" w:hanging="2160"/>
        <w:rPr>
          <w:rFonts w:ascii="Times New Roman" w:hAnsi="Times New Roman" w:cs="Times New Roman"/>
          <w:color w:val="000000"/>
          <w:sz w:val="24"/>
          <w:szCs w:val="24"/>
          <w:lang w:val="en-US"/>
        </w:rPr>
      </w:pPr>
      <w:r w:rsidRPr="00563C4D">
        <w:rPr>
          <w:rFonts w:ascii="Times New Roman" w:hAnsi="Times New Roman" w:cs="Times New Roman"/>
          <w:b/>
          <w:color w:val="000000"/>
          <w:sz w:val="24"/>
          <w:szCs w:val="24"/>
          <w:lang w:val="en-US"/>
        </w:rPr>
        <w:t xml:space="preserve">Keywords: </w:t>
      </w:r>
      <w:r w:rsidRPr="00563C4D">
        <w:rPr>
          <w:rFonts w:ascii="Times New Roman" w:hAnsi="Times New Roman" w:cs="Times New Roman"/>
          <w:color w:val="000000"/>
          <w:sz w:val="24"/>
          <w:szCs w:val="24"/>
          <w:lang w:val="en-US"/>
        </w:rPr>
        <w:tab/>
        <w:t>fiscal dominance, gold standard, financial supervision, South-East Europe, Greece, Eurozone crisis</w:t>
      </w:r>
    </w:p>
    <w:p w:rsidR="000D5422" w:rsidRPr="00563C4D" w:rsidRDefault="000D5422" w:rsidP="000D5422">
      <w:pPr>
        <w:spacing w:after="0" w:line="240" w:lineRule="auto"/>
        <w:jc w:val="both"/>
        <w:rPr>
          <w:rFonts w:ascii="Times New Roman" w:hAnsi="Times New Roman" w:cs="Times New Roman"/>
          <w:color w:val="000000"/>
          <w:sz w:val="24"/>
          <w:szCs w:val="24"/>
          <w:lang w:val="en-US"/>
        </w:rPr>
      </w:pPr>
    </w:p>
    <w:p w:rsidR="000D5422" w:rsidRPr="00563C4D" w:rsidRDefault="000D5422" w:rsidP="000D5422">
      <w:pPr>
        <w:spacing w:after="0" w:line="240" w:lineRule="auto"/>
        <w:jc w:val="both"/>
        <w:rPr>
          <w:rFonts w:ascii="Times New Roman" w:hAnsi="Times New Roman" w:cs="Times New Roman"/>
          <w:color w:val="000000"/>
          <w:sz w:val="24"/>
          <w:szCs w:val="24"/>
          <w:lang w:val="en-US"/>
        </w:rPr>
      </w:pPr>
      <w:r w:rsidRPr="00563C4D">
        <w:rPr>
          <w:rFonts w:ascii="Times New Roman" w:hAnsi="Times New Roman" w:cs="Times New Roman"/>
          <w:b/>
          <w:color w:val="000000"/>
          <w:sz w:val="24"/>
          <w:szCs w:val="24"/>
          <w:lang w:val="en-US"/>
        </w:rPr>
        <w:t>JEL classification:</w:t>
      </w:r>
      <w:r w:rsidRPr="00563C4D">
        <w:rPr>
          <w:rFonts w:ascii="Times New Roman" w:hAnsi="Times New Roman" w:cs="Times New Roman"/>
          <w:color w:val="000000"/>
          <w:sz w:val="24"/>
          <w:szCs w:val="24"/>
          <w:lang w:val="en-US"/>
        </w:rPr>
        <w:t xml:space="preserve"> </w:t>
      </w:r>
      <w:r w:rsidRPr="00563C4D">
        <w:rPr>
          <w:rFonts w:ascii="Times New Roman" w:hAnsi="Times New Roman" w:cs="Times New Roman"/>
          <w:color w:val="000000"/>
          <w:sz w:val="24"/>
          <w:szCs w:val="24"/>
          <w:lang w:val="en-US"/>
        </w:rPr>
        <w:tab/>
        <w:t>N13, N14, N23, N24, E63, F34</w:t>
      </w:r>
    </w:p>
    <w:p w:rsidR="000D5422" w:rsidRPr="00563C4D" w:rsidRDefault="000D5422" w:rsidP="000D5422">
      <w:pPr>
        <w:spacing w:after="0" w:line="240" w:lineRule="auto"/>
        <w:jc w:val="both"/>
        <w:rPr>
          <w:rFonts w:ascii="Times New Roman" w:hAnsi="Times New Roman" w:cs="Times New Roman"/>
          <w:sz w:val="24"/>
          <w:szCs w:val="24"/>
          <w:lang w:val="en-US"/>
        </w:rPr>
      </w:pPr>
    </w:p>
    <w:p w:rsidR="000D5422" w:rsidRPr="00563C4D" w:rsidRDefault="000D5422" w:rsidP="000D5422">
      <w:pPr>
        <w:spacing w:after="0" w:line="240" w:lineRule="auto"/>
        <w:jc w:val="both"/>
        <w:rPr>
          <w:rFonts w:ascii="Times New Roman" w:hAnsi="Times New Roman" w:cs="Times New Roman"/>
          <w:sz w:val="24"/>
          <w:szCs w:val="24"/>
          <w:lang w:val="en-US"/>
        </w:rPr>
      </w:pPr>
    </w:p>
    <w:p w:rsidR="000D5422" w:rsidRPr="00563C4D" w:rsidRDefault="000D5422" w:rsidP="000D5422">
      <w:pPr>
        <w:spacing w:after="0" w:line="240" w:lineRule="auto"/>
        <w:jc w:val="both"/>
        <w:rPr>
          <w:rFonts w:ascii="Times New Roman" w:hAnsi="Times New Roman" w:cs="Times New Roman"/>
          <w:b/>
          <w:sz w:val="24"/>
          <w:szCs w:val="24"/>
          <w:lang w:val="en-US"/>
        </w:rPr>
      </w:pPr>
      <w:r w:rsidRPr="00563C4D">
        <w:rPr>
          <w:rFonts w:ascii="Times New Roman" w:hAnsi="Times New Roman" w:cs="Times New Roman"/>
          <w:b/>
          <w:sz w:val="24"/>
          <w:szCs w:val="24"/>
          <w:lang w:val="en-US"/>
        </w:rPr>
        <w:t>Acknowledgment:</w:t>
      </w:r>
    </w:p>
    <w:p w:rsidR="000D5422" w:rsidRPr="00563C4D" w:rsidRDefault="000D5422" w:rsidP="000D5422">
      <w:pPr>
        <w:spacing w:after="0" w:line="240" w:lineRule="auto"/>
        <w:jc w:val="both"/>
        <w:rPr>
          <w:rFonts w:ascii="Times New Roman" w:hAnsi="Times New Roman" w:cs="Times New Roman"/>
          <w:color w:val="000000"/>
          <w:sz w:val="24"/>
          <w:szCs w:val="24"/>
          <w:lang w:val="en-US"/>
        </w:rPr>
      </w:pPr>
      <w:r w:rsidRPr="00563C4D">
        <w:rPr>
          <w:rFonts w:ascii="Times New Roman" w:hAnsi="Times New Roman" w:cs="Times New Roman"/>
          <w:color w:val="000000"/>
          <w:sz w:val="24"/>
          <w:szCs w:val="24"/>
          <w:lang w:val="en-US"/>
        </w:rPr>
        <w:t xml:space="preserve">Earlier versions of this paper were presented at the AEA, Clio, EHES, EHS, ESSHC, and the AFSE conferences and at the Verein </w:t>
      </w:r>
      <w:proofErr w:type="spellStart"/>
      <w:r w:rsidRPr="00563C4D">
        <w:rPr>
          <w:rFonts w:ascii="Times New Roman" w:hAnsi="Times New Roman" w:cs="Times New Roman"/>
          <w:color w:val="000000"/>
          <w:sz w:val="24"/>
          <w:szCs w:val="24"/>
          <w:lang w:val="en-US"/>
        </w:rPr>
        <w:t>für</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Socialpolitik</w:t>
      </w:r>
      <w:proofErr w:type="spellEnd"/>
      <w:r w:rsidRPr="00563C4D">
        <w:rPr>
          <w:rFonts w:ascii="Times New Roman" w:hAnsi="Times New Roman" w:cs="Times New Roman"/>
          <w:color w:val="000000"/>
          <w:sz w:val="24"/>
          <w:szCs w:val="24"/>
          <w:lang w:val="en-US"/>
        </w:rPr>
        <w:t xml:space="preserve">; the Austrian National Bank, the Bank of France, the Bank of Greece, the German Economic Institute, the Vienna Institute for International Economic Studies, the York Fiscal Symposium; and Humboldt University Berlin, the London School of Economics, the São Paulo School of Economics, the Universities of Barcelona, Carlos III Madrid, Regensburg, Warwick, York and Zaragoza. I am grateful to the participants for their spirited discussion and helpful suggestions. Excellent research assistance was provided by Marianna </w:t>
      </w:r>
      <w:proofErr w:type="spellStart"/>
      <w:r w:rsidRPr="00563C4D">
        <w:rPr>
          <w:rFonts w:ascii="Times New Roman" w:hAnsi="Times New Roman" w:cs="Times New Roman"/>
          <w:color w:val="000000"/>
          <w:sz w:val="24"/>
          <w:szCs w:val="24"/>
          <w:lang w:val="en-US"/>
        </w:rPr>
        <w:t>Ventouratou-Morys</w:t>
      </w:r>
      <w:proofErr w:type="spellEnd"/>
      <w:r w:rsidRPr="00563C4D">
        <w:rPr>
          <w:rFonts w:ascii="Times New Roman" w:hAnsi="Times New Roman" w:cs="Times New Roman"/>
          <w:color w:val="000000"/>
          <w:sz w:val="24"/>
          <w:szCs w:val="24"/>
          <w:lang w:val="en-US"/>
        </w:rPr>
        <w:t xml:space="preserve">, Maria </w:t>
      </w:r>
      <w:proofErr w:type="spellStart"/>
      <w:r w:rsidRPr="00563C4D">
        <w:rPr>
          <w:rFonts w:ascii="Times New Roman" w:hAnsi="Times New Roman" w:cs="Times New Roman"/>
          <w:color w:val="000000"/>
          <w:sz w:val="24"/>
          <w:szCs w:val="24"/>
          <w:lang w:val="en-US"/>
        </w:rPr>
        <w:t>Kehayia</w:t>
      </w:r>
      <w:proofErr w:type="spellEnd"/>
      <w:r w:rsidRPr="00563C4D">
        <w:rPr>
          <w:rFonts w:ascii="Times New Roman" w:hAnsi="Times New Roman" w:cs="Times New Roman"/>
          <w:color w:val="000000"/>
          <w:sz w:val="24"/>
          <w:szCs w:val="24"/>
          <w:lang w:val="en-US"/>
        </w:rPr>
        <w:t xml:space="preserve"> and Markos </w:t>
      </w:r>
      <w:proofErr w:type="spellStart"/>
      <w:r w:rsidRPr="00706726">
        <w:rPr>
          <w:rFonts w:ascii="Times New Roman" w:hAnsi="Times New Roman" w:cs="Times New Roman"/>
          <w:color w:val="000000" w:themeColor="text1"/>
          <w:sz w:val="24"/>
          <w:szCs w:val="24"/>
          <w:lang w:val="en-US"/>
        </w:rPr>
        <w:t>Litinos</w:t>
      </w:r>
      <w:proofErr w:type="spellEnd"/>
      <w:r w:rsidRPr="00706726">
        <w:rPr>
          <w:rFonts w:ascii="Times New Roman" w:hAnsi="Times New Roman" w:cs="Times New Roman"/>
          <w:color w:val="000000" w:themeColor="text1"/>
          <w:sz w:val="24"/>
          <w:szCs w:val="24"/>
          <w:lang w:val="en-US"/>
        </w:rPr>
        <w:t xml:space="preserve">. I </w:t>
      </w:r>
      <w:r w:rsidRPr="00563C4D">
        <w:rPr>
          <w:rFonts w:ascii="Times New Roman" w:hAnsi="Times New Roman" w:cs="Times New Roman"/>
          <w:color w:val="000000"/>
          <w:sz w:val="24"/>
          <w:szCs w:val="24"/>
          <w:lang w:val="en-US"/>
        </w:rPr>
        <w:t xml:space="preserve">owe a special thanks (without implicating anyone) to the following people in providing me with feedback, helping me collect the data, sharing their data and/or explaining country-specific idiosyncrasies: Dione </w:t>
      </w:r>
      <w:proofErr w:type="spellStart"/>
      <w:r w:rsidRPr="00563C4D">
        <w:rPr>
          <w:rFonts w:ascii="Times New Roman" w:hAnsi="Times New Roman" w:cs="Times New Roman"/>
          <w:color w:val="000000"/>
          <w:sz w:val="24"/>
          <w:szCs w:val="24"/>
          <w:lang w:val="en-US"/>
        </w:rPr>
        <w:t>Alipranti</w:t>
      </w:r>
      <w:proofErr w:type="spellEnd"/>
      <w:r w:rsidRPr="00563C4D">
        <w:rPr>
          <w:rFonts w:ascii="Times New Roman" w:hAnsi="Times New Roman" w:cs="Times New Roman"/>
          <w:color w:val="000000"/>
          <w:sz w:val="24"/>
          <w:szCs w:val="24"/>
          <w:lang w:val="en-US"/>
        </w:rPr>
        <w:t xml:space="preserve">, Adriana </w:t>
      </w:r>
      <w:proofErr w:type="spellStart"/>
      <w:r w:rsidRPr="00563C4D">
        <w:rPr>
          <w:rFonts w:ascii="Times New Roman" w:hAnsi="Times New Roman" w:cs="Times New Roman"/>
          <w:color w:val="000000"/>
          <w:sz w:val="24"/>
          <w:szCs w:val="24"/>
          <w:lang w:val="en-US"/>
        </w:rPr>
        <w:t>Aloman</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Roumen</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Avramov</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Elisabeta</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Blejan</w:t>
      </w:r>
      <w:proofErr w:type="spellEnd"/>
      <w:r w:rsidRPr="00563C4D">
        <w:rPr>
          <w:rFonts w:ascii="Times New Roman" w:hAnsi="Times New Roman" w:cs="Times New Roman"/>
          <w:color w:val="000000"/>
          <w:sz w:val="24"/>
          <w:szCs w:val="24"/>
          <w:lang w:val="en-US"/>
        </w:rPr>
        <w:t xml:space="preserve">, Olga </w:t>
      </w:r>
      <w:proofErr w:type="spellStart"/>
      <w:r w:rsidRPr="00563C4D">
        <w:rPr>
          <w:rFonts w:ascii="Times New Roman" w:hAnsi="Times New Roman" w:cs="Times New Roman"/>
          <w:color w:val="000000"/>
          <w:sz w:val="24"/>
          <w:szCs w:val="24"/>
          <w:lang w:val="en-US"/>
        </w:rPr>
        <w:t>Christodoulaki</w:t>
      </w:r>
      <w:proofErr w:type="spellEnd"/>
      <w:r w:rsidRPr="00563C4D">
        <w:rPr>
          <w:rFonts w:ascii="Times New Roman" w:hAnsi="Times New Roman" w:cs="Times New Roman"/>
          <w:color w:val="000000"/>
          <w:sz w:val="24"/>
          <w:szCs w:val="24"/>
          <w:lang w:val="en-US"/>
        </w:rPr>
        <w:t xml:space="preserve">, Nikos </w:t>
      </w:r>
      <w:proofErr w:type="spellStart"/>
      <w:r w:rsidRPr="00563C4D">
        <w:rPr>
          <w:rFonts w:ascii="Times New Roman" w:hAnsi="Times New Roman" w:cs="Times New Roman"/>
          <w:color w:val="000000"/>
          <w:sz w:val="24"/>
          <w:szCs w:val="24"/>
          <w:lang w:val="en-US"/>
        </w:rPr>
        <w:t>Christodoulakis</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Brandusa</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Costache</w:t>
      </w:r>
      <w:proofErr w:type="spellEnd"/>
      <w:r w:rsidRPr="00563C4D">
        <w:rPr>
          <w:rFonts w:ascii="Times New Roman" w:hAnsi="Times New Roman" w:cs="Times New Roman"/>
          <w:color w:val="000000"/>
          <w:sz w:val="24"/>
          <w:szCs w:val="24"/>
          <w:lang w:val="en-US"/>
        </w:rPr>
        <w:t xml:space="preserve">, Margarita Dritsas, Rui Esteves, Juan Flores, Aristides Hatzis, Martin Ivanov, </w:t>
      </w:r>
      <w:proofErr w:type="spellStart"/>
      <w:r w:rsidRPr="00563C4D">
        <w:rPr>
          <w:rFonts w:ascii="Times New Roman" w:hAnsi="Times New Roman" w:cs="Times New Roman"/>
          <w:color w:val="000000"/>
          <w:sz w:val="24"/>
          <w:szCs w:val="24"/>
          <w:lang w:val="en-US"/>
        </w:rPr>
        <w:t>Stathis</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Kalyvas</w:t>
      </w:r>
      <w:proofErr w:type="spellEnd"/>
      <w:r w:rsidRPr="00563C4D">
        <w:rPr>
          <w:rFonts w:ascii="Times New Roman" w:hAnsi="Times New Roman" w:cs="Times New Roman"/>
          <w:color w:val="000000"/>
          <w:sz w:val="24"/>
          <w:szCs w:val="24"/>
          <w:lang w:val="en-US"/>
        </w:rPr>
        <w:t xml:space="preserve">, Michael </w:t>
      </w:r>
      <w:proofErr w:type="spellStart"/>
      <w:r w:rsidRPr="00563C4D">
        <w:rPr>
          <w:rFonts w:ascii="Times New Roman" w:hAnsi="Times New Roman" w:cs="Times New Roman"/>
          <w:color w:val="000000"/>
          <w:sz w:val="24"/>
          <w:szCs w:val="24"/>
          <w:lang w:val="en-US"/>
        </w:rPr>
        <w:t>Kopsidis</w:t>
      </w:r>
      <w:proofErr w:type="spellEnd"/>
      <w:r w:rsidRPr="00563C4D">
        <w:rPr>
          <w:rFonts w:ascii="Times New Roman" w:hAnsi="Times New Roman" w:cs="Times New Roman"/>
          <w:color w:val="000000"/>
          <w:sz w:val="24"/>
          <w:szCs w:val="24"/>
          <w:lang w:val="en-US"/>
        </w:rPr>
        <w:t xml:space="preserve">, Sophia </w:t>
      </w:r>
      <w:proofErr w:type="spellStart"/>
      <w:r w:rsidRPr="00563C4D">
        <w:rPr>
          <w:rFonts w:ascii="Times New Roman" w:hAnsi="Times New Roman" w:cs="Times New Roman"/>
          <w:color w:val="000000"/>
          <w:sz w:val="24"/>
          <w:szCs w:val="24"/>
          <w:lang w:val="en-US"/>
        </w:rPr>
        <w:t>Lazaretou</w:t>
      </w:r>
      <w:proofErr w:type="spellEnd"/>
      <w:r w:rsidRPr="00563C4D">
        <w:rPr>
          <w:rFonts w:ascii="Times New Roman" w:hAnsi="Times New Roman" w:cs="Times New Roman"/>
          <w:color w:val="000000"/>
          <w:sz w:val="24"/>
          <w:szCs w:val="24"/>
          <w:lang w:val="en-US"/>
        </w:rPr>
        <w:t xml:space="preserve">, Stefan Nikolic, George </w:t>
      </w:r>
      <w:proofErr w:type="spellStart"/>
      <w:r w:rsidRPr="00563C4D">
        <w:rPr>
          <w:rFonts w:ascii="Times New Roman" w:hAnsi="Times New Roman" w:cs="Times New Roman"/>
          <w:color w:val="000000"/>
          <w:sz w:val="24"/>
          <w:szCs w:val="24"/>
          <w:lang w:val="en-US"/>
        </w:rPr>
        <w:t>Pagoulatos</w:t>
      </w:r>
      <w:proofErr w:type="spellEnd"/>
      <w:r w:rsidRPr="00563C4D">
        <w:rPr>
          <w:rFonts w:ascii="Times New Roman" w:hAnsi="Times New Roman" w:cs="Times New Roman"/>
          <w:color w:val="000000"/>
          <w:sz w:val="24"/>
          <w:szCs w:val="24"/>
          <w:lang w:val="en-US"/>
        </w:rPr>
        <w:t xml:space="preserve">, Michael </w:t>
      </w:r>
      <w:proofErr w:type="spellStart"/>
      <w:r w:rsidRPr="00563C4D">
        <w:rPr>
          <w:rFonts w:ascii="Times New Roman" w:hAnsi="Times New Roman" w:cs="Times New Roman"/>
          <w:color w:val="000000"/>
          <w:sz w:val="24"/>
          <w:szCs w:val="24"/>
          <w:lang w:val="en-US"/>
        </w:rPr>
        <w:t>Palairet</w:t>
      </w:r>
      <w:proofErr w:type="spellEnd"/>
      <w:r w:rsidRPr="00563C4D">
        <w:rPr>
          <w:rFonts w:ascii="Times New Roman" w:hAnsi="Times New Roman" w:cs="Times New Roman"/>
          <w:color w:val="000000"/>
          <w:sz w:val="24"/>
          <w:szCs w:val="24"/>
          <w:lang w:val="en-US"/>
        </w:rPr>
        <w:t xml:space="preserve">, Marcela </w:t>
      </w:r>
      <w:proofErr w:type="spellStart"/>
      <w:r w:rsidRPr="00563C4D">
        <w:rPr>
          <w:rFonts w:ascii="Times New Roman" w:hAnsi="Times New Roman" w:cs="Times New Roman"/>
          <w:color w:val="000000"/>
          <w:sz w:val="24"/>
          <w:szCs w:val="24"/>
          <w:lang w:val="en-US"/>
        </w:rPr>
        <w:t>Sabaté</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Korinna</w:t>
      </w:r>
      <w:proofErr w:type="spellEnd"/>
      <w:r w:rsidRPr="00563C4D">
        <w:rPr>
          <w:rFonts w:ascii="Times New Roman" w:hAnsi="Times New Roman" w:cs="Times New Roman"/>
          <w:color w:val="000000"/>
          <w:sz w:val="24"/>
          <w:szCs w:val="24"/>
          <w:lang w:val="en-US"/>
        </w:rPr>
        <w:t xml:space="preserve"> </w:t>
      </w:r>
      <w:proofErr w:type="spellStart"/>
      <w:r w:rsidRPr="00563C4D">
        <w:rPr>
          <w:rFonts w:ascii="Times New Roman" w:hAnsi="Times New Roman" w:cs="Times New Roman"/>
          <w:color w:val="000000"/>
          <w:sz w:val="24"/>
          <w:szCs w:val="24"/>
          <w:lang w:val="en-US"/>
        </w:rPr>
        <w:t>Schönhärl</w:t>
      </w:r>
      <w:proofErr w:type="spellEnd"/>
      <w:r w:rsidRPr="00563C4D">
        <w:rPr>
          <w:rFonts w:ascii="Times New Roman" w:hAnsi="Times New Roman" w:cs="Times New Roman"/>
          <w:color w:val="000000"/>
          <w:sz w:val="24"/>
          <w:szCs w:val="24"/>
          <w:lang w:val="en-US"/>
        </w:rPr>
        <w:t xml:space="preserve">, Dimitris Sideris, George </w:t>
      </w:r>
      <w:proofErr w:type="spellStart"/>
      <w:r w:rsidRPr="00563C4D">
        <w:rPr>
          <w:rFonts w:ascii="Times New Roman" w:hAnsi="Times New Roman" w:cs="Times New Roman"/>
          <w:color w:val="000000"/>
          <w:sz w:val="24"/>
          <w:szCs w:val="24"/>
          <w:lang w:val="en-US"/>
        </w:rPr>
        <w:t>Tavlas</w:t>
      </w:r>
      <w:proofErr w:type="spellEnd"/>
      <w:r w:rsidRPr="00563C4D">
        <w:rPr>
          <w:rFonts w:ascii="Times New Roman" w:hAnsi="Times New Roman" w:cs="Times New Roman"/>
          <w:color w:val="000000"/>
          <w:sz w:val="24"/>
          <w:szCs w:val="24"/>
          <w:lang w:val="en-US"/>
        </w:rPr>
        <w:t xml:space="preserve">, Christos </w:t>
      </w:r>
      <w:proofErr w:type="spellStart"/>
      <w:r w:rsidRPr="00563C4D">
        <w:rPr>
          <w:rFonts w:ascii="Times New Roman" w:hAnsi="Times New Roman" w:cs="Times New Roman"/>
          <w:color w:val="000000"/>
          <w:sz w:val="24"/>
          <w:szCs w:val="24"/>
          <w:lang w:val="en-US"/>
        </w:rPr>
        <w:t>Triantopoulos</w:t>
      </w:r>
      <w:proofErr w:type="spellEnd"/>
      <w:r w:rsidRPr="00563C4D">
        <w:rPr>
          <w:rFonts w:ascii="Times New Roman" w:hAnsi="Times New Roman" w:cs="Times New Roman"/>
          <w:color w:val="000000"/>
          <w:sz w:val="24"/>
          <w:szCs w:val="24"/>
          <w:lang w:val="en-US"/>
        </w:rPr>
        <w:t xml:space="preserve">, Coskun </w:t>
      </w:r>
      <w:proofErr w:type="spellStart"/>
      <w:r w:rsidRPr="00563C4D">
        <w:rPr>
          <w:rFonts w:ascii="Times New Roman" w:hAnsi="Times New Roman" w:cs="Times New Roman"/>
          <w:color w:val="000000"/>
          <w:sz w:val="24"/>
          <w:szCs w:val="24"/>
          <w:lang w:val="en-US"/>
        </w:rPr>
        <w:t>Tuncer</w:t>
      </w:r>
      <w:proofErr w:type="spellEnd"/>
      <w:r w:rsidRPr="00563C4D">
        <w:rPr>
          <w:rFonts w:ascii="Times New Roman" w:hAnsi="Times New Roman" w:cs="Times New Roman"/>
          <w:color w:val="000000"/>
          <w:sz w:val="24"/>
          <w:szCs w:val="24"/>
          <w:lang w:val="en-US"/>
        </w:rPr>
        <w:t xml:space="preserve">, and Michael </w:t>
      </w:r>
      <w:proofErr w:type="spellStart"/>
      <w:r w:rsidRPr="00563C4D">
        <w:rPr>
          <w:rFonts w:ascii="Times New Roman" w:hAnsi="Times New Roman" w:cs="Times New Roman"/>
          <w:color w:val="000000"/>
          <w:sz w:val="24"/>
          <w:szCs w:val="24"/>
          <w:lang w:val="en-US"/>
        </w:rPr>
        <w:t>Wickens</w:t>
      </w:r>
      <w:proofErr w:type="spellEnd"/>
      <w:r w:rsidRPr="00563C4D">
        <w:rPr>
          <w:rFonts w:ascii="Times New Roman" w:hAnsi="Times New Roman" w:cs="Times New Roman"/>
          <w:color w:val="000000"/>
          <w:sz w:val="24"/>
          <w:szCs w:val="24"/>
          <w:lang w:val="en-US"/>
        </w:rPr>
        <w:t>.</w:t>
      </w:r>
    </w:p>
    <w:p w:rsidR="009D0A87" w:rsidRDefault="009D0A87">
      <w:pPr>
        <w:rPr>
          <w:color w:val="000000"/>
          <w:sz w:val="24"/>
          <w:szCs w:val="24"/>
          <w:lang w:val="en-US"/>
        </w:rPr>
      </w:pPr>
      <w:r>
        <w:rPr>
          <w:color w:val="000000"/>
          <w:sz w:val="24"/>
          <w:szCs w:val="24"/>
          <w:lang w:val="en-US"/>
        </w:rPr>
        <w:br w:type="page"/>
      </w:r>
    </w:p>
    <w:p w:rsidR="00563C4D" w:rsidRPr="00563C4D" w:rsidRDefault="00563C4D" w:rsidP="00563C4D">
      <w:pPr>
        <w:jc w:val="both"/>
        <w:rPr>
          <w:color w:val="000000"/>
          <w:sz w:val="24"/>
          <w:szCs w:val="24"/>
          <w:lang w:val="en-US"/>
        </w:rPr>
      </w:pPr>
    </w:p>
    <w:p w:rsidR="00230A9D" w:rsidRPr="00462F98" w:rsidRDefault="00E91CA7" w:rsidP="0036022C">
      <w:pPr>
        <w:pStyle w:val="ListParagraph"/>
        <w:numPr>
          <w:ilvl w:val="0"/>
          <w:numId w:val="4"/>
        </w:numPr>
        <w:spacing w:after="0" w:line="360" w:lineRule="auto"/>
        <w:rPr>
          <w:rFonts w:ascii="Times New Roman" w:hAnsi="Times New Roman" w:cs="Times New Roman"/>
          <w:b/>
          <w:sz w:val="24"/>
          <w:szCs w:val="24"/>
        </w:rPr>
      </w:pPr>
      <w:r w:rsidRPr="00462F98">
        <w:rPr>
          <w:rFonts w:ascii="Times New Roman" w:hAnsi="Times New Roman" w:cs="Times New Roman"/>
          <w:b/>
          <w:sz w:val="24"/>
          <w:szCs w:val="24"/>
        </w:rPr>
        <w:t>Introduction</w:t>
      </w:r>
    </w:p>
    <w:p w:rsidR="007B15A5" w:rsidRDefault="001B7E2A" w:rsidP="00D24A9C">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The Greek financial crisis has </w:t>
      </w:r>
      <w:r w:rsidR="00BD7B29" w:rsidRPr="00462F98">
        <w:rPr>
          <w:rFonts w:ascii="Times New Roman" w:hAnsi="Times New Roman" w:cs="Times New Roman"/>
          <w:sz w:val="24"/>
          <w:szCs w:val="24"/>
          <w:lang w:val="en-GB"/>
        </w:rPr>
        <w:t>exposed</w:t>
      </w:r>
      <w:r w:rsidRPr="00462F98">
        <w:rPr>
          <w:rFonts w:ascii="Times New Roman" w:hAnsi="Times New Roman" w:cs="Times New Roman"/>
          <w:sz w:val="24"/>
          <w:szCs w:val="24"/>
          <w:lang w:val="en-GB"/>
        </w:rPr>
        <w:t xml:space="preserve"> serious economic fragilities: a </w:t>
      </w:r>
      <w:r w:rsidR="001113B2" w:rsidRPr="00462F98">
        <w:rPr>
          <w:rFonts w:ascii="Times New Roman" w:hAnsi="Times New Roman" w:cs="Times New Roman"/>
          <w:sz w:val="24"/>
          <w:szCs w:val="24"/>
          <w:lang w:val="en-GB"/>
        </w:rPr>
        <w:t xml:space="preserve">debt-to-GDP ratio </w:t>
      </w:r>
      <w:r w:rsidRPr="00462F98">
        <w:rPr>
          <w:rFonts w:ascii="Times New Roman" w:hAnsi="Times New Roman" w:cs="Times New Roman"/>
          <w:sz w:val="24"/>
          <w:szCs w:val="24"/>
          <w:lang w:val="en-GB"/>
        </w:rPr>
        <w:t xml:space="preserve">of 170%, a dangerous bank-sovereign embrace, and </w:t>
      </w:r>
      <w:r w:rsidR="00D24A9C" w:rsidRPr="00462F98">
        <w:rPr>
          <w:rFonts w:ascii="Times New Roman" w:hAnsi="Times New Roman" w:cs="Times New Roman"/>
          <w:sz w:val="24"/>
          <w:szCs w:val="24"/>
          <w:lang w:val="en-GB"/>
        </w:rPr>
        <w:t>a peak-to-trough decline of 25% with only a meagre rebound</w:t>
      </w:r>
      <w:r w:rsidRPr="00462F98">
        <w:rPr>
          <w:rFonts w:ascii="Times New Roman" w:hAnsi="Times New Roman" w:cs="Times New Roman"/>
          <w:color w:val="000000"/>
          <w:sz w:val="24"/>
          <w:szCs w:val="24"/>
          <w:lang w:val="en-GB"/>
        </w:rPr>
        <w:t>.</w:t>
      </w:r>
      <w:r w:rsidRPr="00462F98">
        <w:rPr>
          <w:rFonts w:ascii="Times New Roman" w:hAnsi="Times New Roman" w:cs="Times New Roman"/>
          <w:sz w:val="24"/>
          <w:szCs w:val="24"/>
          <w:lang w:val="en-GB"/>
        </w:rPr>
        <w:t xml:space="preserve"> In tandem with the process of weakening economic data, politics has become more difficult to navigate</w:t>
      </w:r>
      <w:r w:rsidR="007B15A5">
        <w:rPr>
          <w:rFonts w:ascii="Times New Roman" w:hAnsi="Times New Roman" w:cs="Times New Roman"/>
          <w:sz w:val="24"/>
          <w:szCs w:val="24"/>
          <w:lang w:val="en-GB"/>
        </w:rPr>
        <w:t xml:space="preserve">, and is </w:t>
      </w:r>
      <w:r w:rsidRPr="00462F98">
        <w:rPr>
          <w:rFonts w:ascii="Times New Roman" w:hAnsi="Times New Roman" w:cs="Times New Roman"/>
          <w:sz w:val="24"/>
          <w:szCs w:val="24"/>
          <w:lang w:val="en-GB"/>
        </w:rPr>
        <w:t>torn between creditor demands for structural improvements and domestic reform fatigue</w:t>
      </w:r>
      <w:r w:rsidR="00BD7B29" w:rsidRPr="00462F98">
        <w:rPr>
          <w:rFonts w:ascii="Times New Roman" w:hAnsi="Times New Roman" w:cs="Times New Roman"/>
          <w:sz w:val="24"/>
          <w:szCs w:val="24"/>
          <w:lang w:val="en-GB"/>
        </w:rPr>
        <w:t>.</w:t>
      </w:r>
    </w:p>
    <w:p w:rsidR="001B7E2A" w:rsidRPr="00462F98" w:rsidRDefault="001B7E2A" w:rsidP="00D24A9C">
      <w:pPr>
        <w:spacing w:after="0" w:line="360" w:lineRule="auto"/>
        <w:jc w:val="both"/>
        <w:rPr>
          <w:rFonts w:ascii="Times New Roman" w:hAnsi="Times New Roman" w:cs="Times New Roman"/>
          <w:sz w:val="24"/>
          <w:szCs w:val="24"/>
          <w:lang w:val="en-GB"/>
        </w:rPr>
      </w:pPr>
      <w:r w:rsidRPr="00980D93">
        <w:rPr>
          <w:rFonts w:ascii="Times New Roman" w:hAnsi="Times New Roman" w:cs="Times New Roman"/>
          <w:color w:val="000000" w:themeColor="text1"/>
          <w:sz w:val="24"/>
          <w:szCs w:val="24"/>
          <w:lang w:val="en-GB"/>
        </w:rPr>
        <w:tab/>
        <w:t>What makes monetary union membershi</w:t>
      </w:r>
      <w:r w:rsidR="00F60423" w:rsidRPr="00980D93">
        <w:rPr>
          <w:rFonts w:ascii="Times New Roman" w:hAnsi="Times New Roman" w:cs="Times New Roman"/>
          <w:color w:val="000000" w:themeColor="text1"/>
          <w:sz w:val="24"/>
          <w:szCs w:val="24"/>
          <w:lang w:val="en-GB"/>
        </w:rPr>
        <w:t>p so difficult for Greece? W</w:t>
      </w:r>
      <w:r w:rsidRPr="00980D93">
        <w:rPr>
          <w:rFonts w:ascii="Times New Roman" w:hAnsi="Times New Roman" w:cs="Times New Roman"/>
          <w:color w:val="000000" w:themeColor="text1"/>
          <w:sz w:val="24"/>
          <w:szCs w:val="24"/>
          <w:lang w:val="en-GB"/>
        </w:rPr>
        <w:t xml:space="preserve">hat can the country do to successfully adhere to the euro? </w:t>
      </w:r>
      <w:r w:rsidR="00D90E20" w:rsidRPr="00980D93">
        <w:rPr>
          <w:rFonts w:ascii="Times New Roman" w:hAnsi="Times New Roman" w:cs="Times New Roman"/>
          <w:color w:val="000000" w:themeColor="text1"/>
          <w:sz w:val="24"/>
          <w:szCs w:val="24"/>
          <w:lang w:val="en-GB"/>
        </w:rPr>
        <w:t>To be sure, no conclusive answer can be gained by looking at the past alone. Yet completely ignoring the evidence of earlier periods is also unwarranted. The paper aims to provide a historical dimension to the current debate by</w:t>
      </w:r>
      <w:r w:rsidRPr="00980D93">
        <w:rPr>
          <w:rFonts w:ascii="Times New Roman" w:hAnsi="Times New Roman" w:cs="Times New Roman"/>
          <w:color w:val="000000" w:themeColor="text1"/>
          <w:sz w:val="24"/>
          <w:szCs w:val="24"/>
          <w:lang w:val="en-GB"/>
        </w:rPr>
        <w:t xml:space="preserve"> studying the first </w:t>
      </w:r>
      <w:r w:rsidR="00960BCF" w:rsidRPr="00980D93">
        <w:rPr>
          <w:rFonts w:ascii="Times New Roman" w:hAnsi="Times New Roman" w:cs="Times New Roman"/>
          <w:color w:val="000000" w:themeColor="text1"/>
          <w:sz w:val="24"/>
          <w:szCs w:val="24"/>
          <w:lang w:val="en-GB"/>
        </w:rPr>
        <w:t>century</w:t>
      </w:r>
      <w:r w:rsidRPr="00980D93">
        <w:rPr>
          <w:rFonts w:ascii="Times New Roman" w:hAnsi="Times New Roman" w:cs="Times New Roman"/>
          <w:color w:val="000000" w:themeColor="text1"/>
          <w:sz w:val="24"/>
          <w:szCs w:val="24"/>
          <w:lang w:val="en-GB"/>
        </w:rPr>
        <w:t xml:space="preserve"> of modern G</w:t>
      </w:r>
      <w:r w:rsidR="001113B2" w:rsidRPr="00980D93">
        <w:rPr>
          <w:rFonts w:ascii="Times New Roman" w:hAnsi="Times New Roman" w:cs="Times New Roman"/>
          <w:color w:val="000000" w:themeColor="text1"/>
          <w:sz w:val="24"/>
          <w:szCs w:val="24"/>
          <w:lang w:val="en-GB"/>
        </w:rPr>
        <w:t xml:space="preserve">reek </w:t>
      </w:r>
      <w:r w:rsidR="001113B2" w:rsidRPr="00462F98">
        <w:rPr>
          <w:rFonts w:ascii="Times New Roman" w:hAnsi="Times New Roman" w:cs="Times New Roman"/>
          <w:sz w:val="24"/>
          <w:szCs w:val="24"/>
          <w:lang w:val="en-GB"/>
        </w:rPr>
        <w:t>monetary history</w:t>
      </w:r>
      <w:r w:rsidRPr="00462F98">
        <w:rPr>
          <w:rFonts w:ascii="Times New Roman" w:hAnsi="Times New Roman" w:cs="Times New Roman"/>
          <w:sz w:val="24"/>
          <w:szCs w:val="24"/>
          <w:lang w:val="en-GB"/>
        </w:rPr>
        <w:t xml:space="preserve"> from the foundation of the National Bank of </w:t>
      </w:r>
      <w:r w:rsidRPr="00462F98">
        <w:rPr>
          <w:rFonts w:ascii="Times New Roman" w:hAnsi="Times New Roman" w:cs="Times New Roman"/>
          <w:color w:val="000000" w:themeColor="text1"/>
          <w:sz w:val="24"/>
          <w:szCs w:val="24"/>
          <w:lang w:val="en-GB"/>
        </w:rPr>
        <w:t xml:space="preserve">Greece </w:t>
      </w:r>
      <w:r w:rsidR="001113B2" w:rsidRPr="00462F98">
        <w:rPr>
          <w:rFonts w:ascii="Times New Roman" w:hAnsi="Times New Roman" w:cs="Times New Roman"/>
          <w:color w:val="000000" w:themeColor="text1"/>
          <w:sz w:val="24"/>
          <w:szCs w:val="24"/>
          <w:lang w:val="en-GB"/>
        </w:rPr>
        <w:t xml:space="preserve">(NBG) </w:t>
      </w:r>
      <w:r w:rsidRPr="00462F98">
        <w:rPr>
          <w:rFonts w:ascii="Times New Roman" w:hAnsi="Times New Roman" w:cs="Times New Roman"/>
          <w:color w:val="000000" w:themeColor="text1"/>
          <w:sz w:val="24"/>
          <w:szCs w:val="24"/>
          <w:lang w:val="en-GB"/>
        </w:rPr>
        <w:t xml:space="preserve">in 1841 to World War II. The main problem was, not unlike today, </w:t>
      </w:r>
      <w:r w:rsidRPr="00462F98">
        <w:rPr>
          <w:rFonts w:ascii="Times New Roman" w:hAnsi="Times New Roman" w:cs="Times New Roman"/>
          <w:sz w:val="24"/>
          <w:szCs w:val="24"/>
          <w:lang w:val="en-GB"/>
        </w:rPr>
        <w:t>balancing the budget. Rather than reforming taxation, persistent budget deficits were either monetised or financed through bond markets. Both strategies came at a price. Strong reliance on seigniorage meant fiscal policy was inconsistent with the gold standard paradigm (</w:t>
      </w:r>
      <w:proofErr w:type="spellStart"/>
      <w:r w:rsidRPr="00462F98">
        <w:rPr>
          <w:rFonts w:ascii="Times New Roman" w:hAnsi="Times New Roman" w:cs="Times New Roman"/>
          <w:color w:val="000000" w:themeColor="text1"/>
          <w:sz w:val="24"/>
          <w:szCs w:val="24"/>
          <w:lang w:val="en-GB"/>
        </w:rPr>
        <w:t>Bordo&amp;Kydland</w:t>
      </w:r>
      <w:proofErr w:type="spellEnd"/>
      <w:r w:rsidRPr="00462F98">
        <w:rPr>
          <w:rFonts w:ascii="Times New Roman" w:hAnsi="Times New Roman" w:cs="Times New Roman"/>
          <w:color w:val="000000" w:themeColor="text1"/>
          <w:sz w:val="24"/>
          <w:szCs w:val="24"/>
          <w:lang w:val="en-GB"/>
        </w:rPr>
        <w:t xml:space="preserve"> 1995</w:t>
      </w:r>
      <w:r w:rsidRPr="00462F98">
        <w:rPr>
          <w:rFonts w:ascii="Times New Roman" w:hAnsi="Times New Roman" w:cs="Times New Roman"/>
          <w:sz w:val="24"/>
          <w:szCs w:val="24"/>
          <w:lang w:val="en-GB"/>
        </w:rPr>
        <w:t>). Greece su</w:t>
      </w:r>
      <w:r w:rsidR="00726962" w:rsidRPr="00462F98">
        <w:rPr>
          <w:rFonts w:ascii="Times New Roman" w:hAnsi="Times New Roman" w:cs="Times New Roman"/>
          <w:sz w:val="24"/>
          <w:szCs w:val="24"/>
          <w:lang w:val="en-GB"/>
        </w:rPr>
        <w:t>ffered from fiscal dominance (</w:t>
      </w:r>
      <w:r w:rsidR="00797352" w:rsidRPr="00462F98">
        <w:rPr>
          <w:rFonts w:ascii="Times New Roman" w:hAnsi="Times New Roman" w:cs="Times New Roman"/>
          <w:sz w:val="24"/>
          <w:szCs w:val="24"/>
          <w:lang w:val="en-GB"/>
        </w:rPr>
        <w:t xml:space="preserve">a </w:t>
      </w:r>
      <w:r w:rsidRPr="00462F98">
        <w:rPr>
          <w:rFonts w:ascii="Times New Roman" w:hAnsi="Times New Roman" w:cs="Times New Roman"/>
          <w:sz w:val="24"/>
          <w:szCs w:val="24"/>
          <w:lang w:val="en-GB"/>
        </w:rPr>
        <w:t>monetary policy subjugated to the treasury’s demand</w:t>
      </w:r>
      <w:r w:rsidR="00565BEC" w:rsidRPr="00462F98">
        <w:rPr>
          <w:rFonts w:ascii="Times New Roman" w:hAnsi="Times New Roman" w:cs="Times New Roman"/>
          <w:sz w:val="24"/>
          <w:szCs w:val="24"/>
          <w:lang w:val="en-GB"/>
        </w:rPr>
        <w:t>s</w:t>
      </w:r>
      <w:r w:rsidRPr="00462F98">
        <w:rPr>
          <w:rFonts w:ascii="Times New Roman" w:hAnsi="Times New Roman" w:cs="Times New Roman"/>
          <w:sz w:val="24"/>
          <w:szCs w:val="24"/>
          <w:lang w:val="en-GB"/>
        </w:rPr>
        <w:t>) as did Italy (</w:t>
      </w:r>
      <w:proofErr w:type="spellStart"/>
      <w:r w:rsidRPr="00462F98">
        <w:rPr>
          <w:rFonts w:ascii="Times New Roman" w:hAnsi="Times New Roman" w:cs="Times New Roman"/>
          <w:sz w:val="24"/>
          <w:szCs w:val="24"/>
          <w:lang w:val="en-GB"/>
        </w:rPr>
        <w:t>Fratianni&amp;Spinelli</w:t>
      </w:r>
      <w:proofErr w:type="spellEnd"/>
      <w:r w:rsidRPr="00462F98">
        <w:rPr>
          <w:rFonts w:ascii="Times New Roman" w:hAnsi="Times New Roman" w:cs="Times New Roman"/>
          <w:sz w:val="24"/>
          <w:szCs w:val="24"/>
          <w:lang w:val="en-GB"/>
        </w:rPr>
        <w:t xml:space="preserve"> 2001) and Spain </w:t>
      </w:r>
      <w:r w:rsidR="00F60423" w:rsidRPr="00462F98">
        <w:rPr>
          <w:rFonts w:ascii="Times New Roman" w:hAnsi="Times New Roman" w:cs="Times New Roman"/>
          <w:color w:val="000000"/>
          <w:sz w:val="24"/>
          <w:szCs w:val="24"/>
          <w:lang w:val="en-GB"/>
        </w:rPr>
        <w:t>(</w:t>
      </w:r>
      <w:proofErr w:type="spellStart"/>
      <w:r w:rsidR="00F60423" w:rsidRPr="00462F98">
        <w:rPr>
          <w:rFonts w:ascii="Times New Roman" w:hAnsi="Times New Roman" w:cs="Times New Roman"/>
          <w:color w:val="000000"/>
          <w:sz w:val="24"/>
          <w:szCs w:val="24"/>
          <w:lang w:val="en-GB"/>
        </w:rPr>
        <w:t>Sabaté</w:t>
      </w:r>
      <w:proofErr w:type="spellEnd"/>
      <w:r w:rsidR="00F60423" w:rsidRPr="00462F98">
        <w:rPr>
          <w:rFonts w:ascii="Times New Roman" w:hAnsi="Times New Roman" w:cs="Times New Roman"/>
          <w:color w:val="000000"/>
          <w:sz w:val="24"/>
          <w:szCs w:val="24"/>
          <w:lang w:val="en-GB"/>
        </w:rPr>
        <w:t xml:space="preserve"> et al. </w:t>
      </w:r>
      <w:r w:rsidRPr="00462F98">
        <w:rPr>
          <w:rFonts w:ascii="Times New Roman" w:hAnsi="Times New Roman" w:cs="Times New Roman"/>
          <w:color w:val="000000"/>
          <w:sz w:val="24"/>
          <w:szCs w:val="24"/>
          <w:lang w:val="en-GB"/>
        </w:rPr>
        <w:t>2015)</w:t>
      </w:r>
      <w:r w:rsidRPr="00462F98">
        <w:rPr>
          <w:rFonts w:ascii="Times New Roman" w:hAnsi="Times New Roman" w:cs="Times New Roman"/>
          <w:sz w:val="24"/>
          <w:szCs w:val="24"/>
          <w:lang w:val="en-GB"/>
        </w:rPr>
        <w:t>, with similar consequences for</w:t>
      </w:r>
      <w:r w:rsidR="00EA7BAC" w:rsidRPr="00462F98">
        <w:rPr>
          <w:rFonts w:ascii="Times New Roman" w:hAnsi="Times New Roman" w:cs="Times New Roman"/>
          <w:sz w:val="24"/>
          <w:szCs w:val="24"/>
          <w:lang w:val="en-GB"/>
        </w:rPr>
        <w:t xml:space="preserve"> its exchange-rate</w:t>
      </w:r>
      <w:r w:rsidR="00997A92" w:rsidRPr="00462F98">
        <w:rPr>
          <w:rFonts w:ascii="Times New Roman" w:hAnsi="Times New Roman" w:cs="Times New Roman"/>
          <w:sz w:val="24"/>
          <w:szCs w:val="24"/>
          <w:lang w:val="en-GB"/>
        </w:rPr>
        <w:t>.</w:t>
      </w:r>
    </w:p>
    <w:p w:rsidR="00726962" w:rsidRPr="00462F98" w:rsidRDefault="001B7E2A" w:rsidP="001B7E2A">
      <w:pPr>
        <w:spacing w:after="0" w:line="360" w:lineRule="auto"/>
        <w:jc w:val="both"/>
        <w:rPr>
          <w:rFonts w:ascii="Times New Roman" w:hAnsi="Times New Roman" w:cs="Times New Roman"/>
          <w:color w:val="000000"/>
          <w:sz w:val="24"/>
          <w:szCs w:val="24"/>
          <w:lang w:val="en-GB"/>
        </w:rPr>
      </w:pPr>
      <w:r w:rsidRPr="00462F98">
        <w:rPr>
          <w:rFonts w:ascii="Times New Roman" w:hAnsi="Times New Roman" w:cs="Times New Roman"/>
          <w:sz w:val="24"/>
          <w:szCs w:val="24"/>
          <w:lang w:val="en-GB"/>
        </w:rPr>
        <w:tab/>
        <w:t xml:space="preserve">Financing deficits through bond issuance also had its pitfalls, as the scarcity of domestic savings implied external dependence </w:t>
      </w:r>
      <w:r w:rsidRPr="00462F98">
        <w:rPr>
          <w:rFonts w:ascii="Times New Roman" w:hAnsi="Times New Roman" w:cs="Times New Roman"/>
          <w:color w:val="000000" w:themeColor="text1"/>
          <w:sz w:val="24"/>
          <w:szCs w:val="24"/>
          <w:lang w:val="en-GB"/>
        </w:rPr>
        <w:t>(</w:t>
      </w:r>
      <w:proofErr w:type="spellStart"/>
      <w:r w:rsidRPr="00462F98">
        <w:rPr>
          <w:rFonts w:ascii="Times New Roman" w:hAnsi="Times New Roman" w:cs="Times New Roman"/>
          <w:color w:val="000000" w:themeColor="text1"/>
          <w:sz w:val="24"/>
          <w:szCs w:val="24"/>
          <w:lang w:val="en-GB"/>
        </w:rPr>
        <w:t>Reinhart&amp;Trebesch</w:t>
      </w:r>
      <w:proofErr w:type="spellEnd"/>
      <w:r w:rsidRPr="00462F98">
        <w:rPr>
          <w:rFonts w:ascii="Times New Roman" w:hAnsi="Times New Roman" w:cs="Times New Roman"/>
          <w:color w:val="000000" w:themeColor="text1"/>
          <w:sz w:val="24"/>
          <w:szCs w:val="24"/>
          <w:lang w:val="en-GB"/>
        </w:rPr>
        <w:t xml:space="preserve"> 2015). </w:t>
      </w:r>
      <w:r w:rsidRPr="00462F98">
        <w:rPr>
          <w:rFonts w:ascii="Times New Roman" w:hAnsi="Times New Roman" w:cs="Times New Roman"/>
          <w:color w:val="000000"/>
          <w:sz w:val="24"/>
          <w:szCs w:val="24"/>
          <w:lang w:val="en-GB"/>
        </w:rPr>
        <w:t>High levels of foreign debt eventually resulted in financial supervision, by which creditors took control of fiscal policy, either following default (International Financial Control agreement of 1898) or in a</w:t>
      </w:r>
      <w:r w:rsidR="003576AB">
        <w:rPr>
          <w:rFonts w:ascii="Times New Roman" w:hAnsi="Times New Roman" w:cs="Times New Roman"/>
          <w:color w:val="000000"/>
          <w:sz w:val="24"/>
          <w:szCs w:val="24"/>
          <w:lang w:val="en-GB"/>
        </w:rPr>
        <w:t>n</w:t>
      </w:r>
      <w:r w:rsidRPr="00462F98">
        <w:rPr>
          <w:rFonts w:ascii="Times New Roman" w:hAnsi="Times New Roman" w:cs="Times New Roman"/>
          <w:color w:val="000000"/>
          <w:sz w:val="24"/>
          <w:szCs w:val="24"/>
          <w:lang w:val="en-GB"/>
        </w:rPr>
        <w:t xml:space="preserve"> attempt to avoid </w:t>
      </w:r>
      <w:r w:rsidR="00960BCF" w:rsidRPr="00462F98">
        <w:rPr>
          <w:rFonts w:ascii="Times New Roman" w:hAnsi="Times New Roman" w:cs="Times New Roman"/>
          <w:color w:val="000000"/>
          <w:sz w:val="24"/>
          <w:szCs w:val="24"/>
          <w:lang w:val="en-GB"/>
        </w:rPr>
        <w:t xml:space="preserve">future </w:t>
      </w:r>
      <w:r w:rsidRPr="00462F98">
        <w:rPr>
          <w:rFonts w:ascii="Times New Roman" w:hAnsi="Times New Roman" w:cs="Times New Roman"/>
          <w:color w:val="000000"/>
          <w:sz w:val="24"/>
          <w:szCs w:val="24"/>
          <w:lang w:val="en-GB"/>
        </w:rPr>
        <w:t xml:space="preserve">debt repudiation (League of Nations loan-cum-conditionality agreement of 1928). </w:t>
      </w:r>
    </w:p>
    <w:p w:rsidR="000A77B6" w:rsidRPr="00980D93" w:rsidRDefault="007B15A5" w:rsidP="007B15A5">
      <w:pPr>
        <w:spacing w:after="0" w:line="36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Financial supervision was ambivalent. While not popular with policy-makers, </w:t>
      </w:r>
      <w:r w:rsidR="001B7E2A" w:rsidRPr="00980D93">
        <w:rPr>
          <w:rFonts w:ascii="Times New Roman" w:hAnsi="Times New Roman" w:cs="Times New Roman"/>
          <w:color w:val="000000" w:themeColor="text1"/>
          <w:sz w:val="24"/>
          <w:szCs w:val="24"/>
          <w:lang w:val="en-GB"/>
        </w:rPr>
        <w:t>the effective deleg</w:t>
      </w:r>
      <w:r>
        <w:rPr>
          <w:rFonts w:ascii="Times New Roman" w:hAnsi="Times New Roman" w:cs="Times New Roman"/>
          <w:color w:val="000000" w:themeColor="text1"/>
          <w:sz w:val="24"/>
          <w:szCs w:val="24"/>
          <w:lang w:val="en-GB"/>
        </w:rPr>
        <w:t>ation of fiscal policy to the country</w:t>
      </w:r>
      <w:r w:rsidR="001B7E2A" w:rsidRPr="00980D93">
        <w:rPr>
          <w:rFonts w:ascii="Times New Roman" w:hAnsi="Times New Roman" w:cs="Times New Roman"/>
          <w:color w:val="000000" w:themeColor="text1"/>
          <w:sz w:val="24"/>
          <w:szCs w:val="24"/>
          <w:lang w:val="en-GB"/>
        </w:rPr>
        <w:t xml:space="preserve">’s creditors </w:t>
      </w:r>
      <w:r w:rsidR="002A1DC2" w:rsidRPr="00980D93">
        <w:rPr>
          <w:rFonts w:ascii="Times New Roman" w:hAnsi="Times New Roman" w:cs="Times New Roman"/>
          <w:color w:val="000000" w:themeColor="text1"/>
          <w:sz w:val="24"/>
          <w:szCs w:val="24"/>
          <w:lang w:val="en-GB"/>
        </w:rPr>
        <w:t>interrupted</w:t>
      </w:r>
      <w:r w:rsidR="001B7E2A" w:rsidRPr="00980D93">
        <w:rPr>
          <w:rFonts w:ascii="Times New Roman" w:hAnsi="Times New Roman" w:cs="Times New Roman"/>
          <w:color w:val="000000" w:themeColor="text1"/>
          <w:sz w:val="24"/>
          <w:szCs w:val="24"/>
          <w:lang w:val="en-GB"/>
        </w:rPr>
        <w:t xml:space="preserve"> the prevailing pattern of fiscal dominance</w:t>
      </w:r>
      <w:r w:rsidR="005750C1" w:rsidRPr="00980D93">
        <w:rPr>
          <w:rFonts w:ascii="Times New Roman" w:hAnsi="Times New Roman" w:cs="Times New Roman"/>
          <w:color w:val="000000" w:themeColor="text1"/>
          <w:sz w:val="24"/>
          <w:szCs w:val="24"/>
          <w:lang w:val="en-GB"/>
        </w:rPr>
        <w:t xml:space="preserve">: </w:t>
      </w:r>
      <w:r w:rsidR="001B7E2A" w:rsidRPr="00980D93">
        <w:rPr>
          <w:rFonts w:ascii="Times New Roman" w:hAnsi="Times New Roman" w:cs="Times New Roman"/>
          <w:color w:val="000000" w:themeColor="text1"/>
          <w:sz w:val="24"/>
          <w:szCs w:val="24"/>
          <w:lang w:val="en-GB"/>
        </w:rPr>
        <w:t xml:space="preserve">(modest) budget surpluses began to emerge, allowing the central bank to conduct a rule-based monetary policy and join the gold standard (in 1910 and 1928, respectively). Financial supervision enabled the country to achieve its long-standing objective of exchange-rate stabilisation (Dritsas 1999, </w:t>
      </w:r>
      <w:proofErr w:type="spellStart"/>
      <w:r w:rsidR="001B7E2A" w:rsidRPr="00980D93">
        <w:rPr>
          <w:rFonts w:ascii="Times New Roman" w:hAnsi="Times New Roman" w:cs="Times New Roman"/>
          <w:color w:val="000000" w:themeColor="text1"/>
          <w:sz w:val="24"/>
          <w:szCs w:val="24"/>
          <w:lang w:val="en-GB"/>
        </w:rPr>
        <w:t>Lazaretou</w:t>
      </w:r>
      <w:proofErr w:type="spellEnd"/>
      <w:r w:rsidR="001B7E2A" w:rsidRPr="00980D93">
        <w:rPr>
          <w:rFonts w:ascii="Times New Roman" w:hAnsi="Times New Roman" w:cs="Times New Roman"/>
          <w:color w:val="000000" w:themeColor="text1"/>
          <w:sz w:val="24"/>
          <w:szCs w:val="24"/>
          <w:lang w:val="en-GB"/>
        </w:rPr>
        <w:t xml:space="preserve"> 2005).</w:t>
      </w:r>
    </w:p>
    <w:p w:rsidR="001B7E2A" w:rsidRPr="00980D93" w:rsidRDefault="00BD7B29" w:rsidP="001B7E2A">
      <w:pPr>
        <w:spacing w:after="0" w:line="360" w:lineRule="auto"/>
        <w:ind w:firstLine="720"/>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This</w:t>
      </w:r>
      <w:r w:rsidR="000A77B6" w:rsidRPr="00462F98">
        <w:rPr>
          <w:rFonts w:ascii="Times New Roman" w:hAnsi="Times New Roman" w:cs="Times New Roman"/>
          <w:sz w:val="24"/>
          <w:szCs w:val="24"/>
          <w:lang w:val="en-GB"/>
        </w:rPr>
        <w:t xml:space="preserve"> paper makes </w:t>
      </w:r>
      <w:r w:rsidR="005750C1" w:rsidRPr="00462F98">
        <w:rPr>
          <w:rFonts w:ascii="Times New Roman" w:hAnsi="Times New Roman" w:cs="Times New Roman"/>
          <w:sz w:val="24"/>
          <w:szCs w:val="24"/>
          <w:lang w:val="en-GB"/>
        </w:rPr>
        <w:t>an</w:t>
      </w:r>
      <w:r w:rsidR="000A77B6" w:rsidRPr="00462F98">
        <w:rPr>
          <w:rFonts w:ascii="Times New Roman" w:hAnsi="Times New Roman" w:cs="Times New Roman"/>
          <w:sz w:val="24"/>
          <w:szCs w:val="24"/>
          <w:lang w:val="en-GB"/>
        </w:rPr>
        <w:t xml:space="preserve"> institutionalist argument: if a country with a pattern of fiscal dominance joins a system of fixed exchange-rates, </w:t>
      </w:r>
      <w:r w:rsidR="009D3FFF">
        <w:rPr>
          <w:rFonts w:ascii="Times New Roman" w:hAnsi="Times New Roman" w:cs="Times New Roman"/>
          <w:sz w:val="24"/>
          <w:szCs w:val="24"/>
          <w:lang w:val="en-GB"/>
        </w:rPr>
        <w:t xml:space="preserve">accepting the interest rate constraint implied by the macroeconomic trilemma </w:t>
      </w:r>
      <w:r w:rsidR="000A77B6" w:rsidRPr="00462F98">
        <w:rPr>
          <w:rFonts w:ascii="Times New Roman" w:hAnsi="Times New Roman" w:cs="Times New Roman"/>
          <w:sz w:val="24"/>
          <w:szCs w:val="24"/>
          <w:lang w:val="en-GB"/>
        </w:rPr>
        <w:t xml:space="preserve">might </w:t>
      </w:r>
      <w:r w:rsidR="000A77B6" w:rsidRPr="00980D93">
        <w:rPr>
          <w:rFonts w:ascii="Times New Roman" w:hAnsi="Times New Roman" w:cs="Times New Roman"/>
          <w:color w:val="000000" w:themeColor="text1"/>
          <w:sz w:val="24"/>
          <w:szCs w:val="24"/>
          <w:lang w:val="en-GB"/>
        </w:rPr>
        <w:t xml:space="preserve">not be sufficient to ensure long-term </w:t>
      </w:r>
      <w:r w:rsidR="000A77B6" w:rsidRPr="00980D93">
        <w:rPr>
          <w:rFonts w:ascii="Times New Roman" w:hAnsi="Times New Roman" w:cs="Times New Roman"/>
          <w:color w:val="000000" w:themeColor="text1"/>
          <w:sz w:val="24"/>
          <w:szCs w:val="24"/>
          <w:lang w:val="en-GB"/>
        </w:rPr>
        <w:lastRenderedPageBreak/>
        <w:t xml:space="preserve">membership. The </w:t>
      </w:r>
      <w:r w:rsidR="002A1DC2" w:rsidRPr="00980D93">
        <w:rPr>
          <w:rFonts w:ascii="Times New Roman" w:hAnsi="Times New Roman" w:cs="Times New Roman"/>
          <w:color w:val="000000" w:themeColor="text1"/>
          <w:sz w:val="24"/>
          <w:szCs w:val="24"/>
          <w:lang w:val="en-GB"/>
        </w:rPr>
        <w:t>long</w:t>
      </w:r>
      <w:r w:rsidR="000A77B6" w:rsidRPr="00980D93">
        <w:rPr>
          <w:rFonts w:ascii="Times New Roman" w:hAnsi="Times New Roman" w:cs="Times New Roman"/>
          <w:color w:val="000000" w:themeColor="text1"/>
          <w:sz w:val="24"/>
          <w:szCs w:val="24"/>
          <w:lang w:val="en-GB"/>
        </w:rPr>
        <w:t xml:space="preserve"> record of Greece suggests that this can only be achieved if both monetary </w:t>
      </w:r>
      <w:r w:rsidR="000A77B6" w:rsidRPr="00980D93">
        <w:rPr>
          <w:rFonts w:ascii="Times New Roman" w:hAnsi="Times New Roman" w:cs="Times New Roman"/>
          <w:i/>
          <w:color w:val="000000" w:themeColor="text1"/>
          <w:sz w:val="24"/>
          <w:szCs w:val="24"/>
          <w:lang w:val="en-GB"/>
        </w:rPr>
        <w:t>and</w:t>
      </w:r>
      <w:r w:rsidR="000A77B6" w:rsidRPr="00980D93">
        <w:rPr>
          <w:rFonts w:ascii="Times New Roman" w:hAnsi="Times New Roman" w:cs="Times New Roman"/>
          <w:color w:val="000000" w:themeColor="text1"/>
          <w:sz w:val="24"/>
          <w:szCs w:val="24"/>
          <w:lang w:val="en-GB"/>
        </w:rPr>
        <w:t xml:space="preserve"> fiscal policy is </w:t>
      </w:r>
      <w:r w:rsidR="00973815" w:rsidRPr="00980D93">
        <w:rPr>
          <w:rFonts w:ascii="Times New Roman" w:hAnsi="Times New Roman" w:cs="Times New Roman"/>
          <w:color w:val="000000" w:themeColor="text1"/>
          <w:sz w:val="24"/>
          <w:szCs w:val="24"/>
          <w:lang w:val="en-GB"/>
        </w:rPr>
        <w:t>effectively constrained</w:t>
      </w:r>
      <w:r w:rsidR="000A77B6" w:rsidRPr="00980D93">
        <w:rPr>
          <w:rFonts w:ascii="Times New Roman" w:hAnsi="Times New Roman" w:cs="Times New Roman"/>
          <w:color w:val="000000" w:themeColor="text1"/>
          <w:sz w:val="24"/>
          <w:szCs w:val="24"/>
          <w:lang w:val="en-GB"/>
        </w:rPr>
        <w:t xml:space="preserve">. </w:t>
      </w:r>
      <w:r w:rsidR="00D90E20" w:rsidRPr="00980D93">
        <w:rPr>
          <w:rFonts w:ascii="Times New Roman" w:hAnsi="Times New Roman" w:cs="Times New Roman"/>
          <w:color w:val="000000" w:themeColor="text1"/>
          <w:sz w:val="24"/>
          <w:szCs w:val="24"/>
          <w:lang w:val="en-GB"/>
        </w:rPr>
        <w:t xml:space="preserve">As such fiscal restraint historically often was the result of financial supervision, our argument builds on the recent literature on financial supervision which has emphasized its positive aspects </w:t>
      </w:r>
      <w:r w:rsidR="000A77B6" w:rsidRPr="00980D93">
        <w:rPr>
          <w:rFonts w:ascii="Times New Roman" w:hAnsi="Times New Roman" w:cs="Times New Roman"/>
          <w:color w:val="000000" w:themeColor="text1"/>
          <w:sz w:val="24"/>
          <w:szCs w:val="24"/>
          <w:lang w:val="en-GB"/>
        </w:rPr>
        <w:t>(</w:t>
      </w:r>
      <w:proofErr w:type="spellStart"/>
      <w:r w:rsidR="000A77B6" w:rsidRPr="00980D93">
        <w:rPr>
          <w:rFonts w:ascii="Times New Roman" w:hAnsi="Times New Roman" w:cs="Times New Roman"/>
          <w:color w:val="000000" w:themeColor="text1"/>
          <w:sz w:val="24"/>
          <w:szCs w:val="24"/>
          <w:lang w:val="en-GB"/>
        </w:rPr>
        <w:t>Mitchener&amp;Weidenmier</w:t>
      </w:r>
      <w:proofErr w:type="spellEnd"/>
      <w:r w:rsidR="000A77B6" w:rsidRPr="00980D93">
        <w:rPr>
          <w:rFonts w:ascii="Times New Roman" w:hAnsi="Times New Roman" w:cs="Times New Roman"/>
          <w:color w:val="000000" w:themeColor="text1"/>
          <w:sz w:val="24"/>
          <w:szCs w:val="24"/>
          <w:lang w:val="en-GB"/>
        </w:rPr>
        <w:t xml:space="preserve"> 2010, </w:t>
      </w:r>
      <w:proofErr w:type="spellStart"/>
      <w:r w:rsidR="000A77B6" w:rsidRPr="00980D93">
        <w:rPr>
          <w:rFonts w:ascii="Times New Roman" w:hAnsi="Times New Roman" w:cs="Times New Roman"/>
          <w:color w:val="000000" w:themeColor="text1"/>
          <w:sz w:val="24"/>
          <w:szCs w:val="24"/>
          <w:lang w:val="en-GB"/>
        </w:rPr>
        <w:t>Tuncer</w:t>
      </w:r>
      <w:proofErr w:type="spellEnd"/>
      <w:r w:rsidR="000A77B6" w:rsidRPr="00980D93">
        <w:rPr>
          <w:rFonts w:ascii="Times New Roman" w:hAnsi="Times New Roman" w:cs="Times New Roman"/>
          <w:color w:val="000000" w:themeColor="text1"/>
          <w:sz w:val="24"/>
          <w:szCs w:val="24"/>
          <w:lang w:val="en-GB"/>
        </w:rPr>
        <w:t xml:space="preserve"> 2015). </w:t>
      </w:r>
    </w:p>
    <w:p w:rsidR="000A77B6" w:rsidRPr="00462F98" w:rsidRDefault="008C3221" w:rsidP="009D3FFF">
      <w:pPr>
        <w:spacing w:after="0" w:line="360" w:lineRule="auto"/>
        <w:jc w:val="both"/>
        <w:rPr>
          <w:rFonts w:ascii="Times New Roman" w:hAnsi="Times New Roman" w:cs="Times New Roman"/>
          <w:sz w:val="24"/>
          <w:szCs w:val="24"/>
          <w:lang w:val="en-GB"/>
        </w:rPr>
      </w:pPr>
      <w:r w:rsidRPr="00980D93">
        <w:rPr>
          <w:rFonts w:ascii="Times New Roman" w:hAnsi="Times New Roman" w:cs="Times New Roman"/>
          <w:color w:val="000000" w:themeColor="text1"/>
          <w:sz w:val="24"/>
          <w:szCs w:val="24"/>
          <w:lang w:val="en-GB"/>
        </w:rPr>
        <w:tab/>
      </w:r>
      <w:r w:rsidR="00D90E20" w:rsidRPr="00980D93">
        <w:rPr>
          <w:rFonts w:ascii="Times New Roman" w:hAnsi="Times New Roman" w:cs="Times New Roman"/>
          <w:color w:val="000000" w:themeColor="text1"/>
          <w:sz w:val="24"/>
          <w:szCs w:val="24"/>
          <w:lang w:val="en-GB"/>
        </w:rPr>
        <w:t>Was</w:t>
      </w:r>
      <w:r w:rsidR="005750C1" w:rsidRPr="00980D93">
        <w:rPr>
          <w:rFonts w:ascii="Times New Roman" w:hAnsi="Times New Roman" w:cs="Times New Roman"/>
          <w:color w:val="000000" w:themeColor="text1"/>
          <w:sz w:val="24"/>
          <w:szCs w:val="24"/>
          <w:lang w:val="en-GB"/>
        </w:rPr>
        <w:t xml:space="preserve"> the</w:t>
      </w:r>
      <w:r w:rsidR="000A77B6" w:rsidRPr="00980D93">
        <w:rPr>
          <w:rFonts w:ascii="Times New Roman" w:hAnsi="Times New Roman" w:cs="Times New Roman"/>
          <w:color w:val="000000" w:themeColor="text1"/>
          <w:sz w:val="24"/>
          <w:szCs w:val="24"/>
          <w:lang w:val="en-GB"/>
        </w:rPr>
        <w:t xml:space="preserve"> loss of sovereignty a price worth paying for </w:t>
      </w:r>
      <w:r w:rsidR="009D3FFF">
        <w:rPr>
          <w:rFonts w:ascii="Times New Roman" w:hAnsi="Times New Roman" w:cs="Times New Roman"/>
          <w:color w:val="000000" w:themeColor="text1"/>
          <w:sz w:val="24"/>
          <w:szCs w:val="24"/>
          <w:lang w:val="en-GB"/>
        </w:rPr>
        <w:t>gold standard</w:t>
      </w:r>
      <w:r w:rsidR="000A77B6" w:rsidRPr="00980D93">
        <w:rPr>
          <w:rFonts w:ascii="Times New Roman" w:hAnsi="Times New Roman" w:cs="Times New Roman"/>
          <w:color w:val="000000" w:themeColor="text1"/>
          <w:sz w:val="24"/>
          <w:szCs w:val="24"/>
          <w:lang w:val="en-GB"/>
        </w:rPr>
        <w:t xml:space="preserve"> membership? </w:t>
      </w:r>
      <w:r w:rsidR="00797352" w:rsidRPr="00462F98">
        <w:rPr>
          <w:rFonts w:ascii="Times New Roman" w:hAnsi="Times New Roman" w:cs="Times New Roman"/>
          <w:sz w:val="24"/>
          <w:szCs w:val="24"/>
          <w:lang w:val="en-GB"/>
        </w:rPr>
        <w:t xml:space="preserve">Some Greek </w:t>
      </w:r>
      <w:r w:rsidR="00A07E8D">
        <w:rPr>
          <w:rFonts w:ascii="Times New Roman" w:hAnsi="Times New Roman" w:cs="Times New Roman"/>
          <w:sz w:val="24"/>
          <w:szCs w:val="24"/>
          <w:lang w:val="en-GB"/>
        </w:rPr>
        <w:t>scholars</w:t>
      </w:r>
      <w:r w:rsidR="00797352" w:rsidRPr="00462F98">
        <w:rPr>
          <w:rFonts w:ascii="Times New Roman" w:hAnsi="Times New Roman" w:cs="Times New Roman"/>
          <w:sz w:val="24"/>
          <w:szCs w:val="24"/>
          <w:lang w:val="en-GB"/>
        </w:rPr>
        <w:t xml:space="preserve"> have been sympathetic to this view (</w:t>
      </w:r>
      <w:proofErr w:type="spellStart"/>
      <w:r w:rsidR="00797352" w:rsidRPr="00462F98">
        <w:rPr>
          <w:rFonts w:ascii="Times New Roman" w:hAnsi="Times New Roman" w:cs="Times New Roman"/>
          <w:sz w:val="24"/>
          <w:szCs w:val="24"/>
          <w:lang w:val="en-GB"/>
        </w:rPr>
        <w:t>Pepelasis</w:t>
      </w:r>
      <w:proofErr w:type="spellEnd"/>
      <w:r w:rsidR="00797352" w:rsidRPr="00462F98">
        <w:rPr>
          <w:rFonts w:ascii="Times New Roman" w:hAnsi="Times New Roman" w:cs="Times New Roman"/>
          <w:sz w:val="24"/>
          <w:szCs w:val="24"/>
          <w:lang w:val="en-GB"/>
        </w:rPr>
        <w:t xml:space="preserve"> </w:t>
      </w:r>
      <w:proofErr w:type="spellStart"/>
      <w:r w:rsidR="00797352" w:rsidRPr="00462F98">
        <w:rPr>
          <w:rFonts w:ascii="Times New Roman" w:hAnsi="Times New Roman" w:cs="Times New Roman"/>
          <w:sz w:val="24"/>
          <w:szCs w:val="24"/>
          <w:lang w:val="en-GB"/>
        </w:rPr>
        <w:t>Minoglou</w:t>
      </w:r>
      <w:proofErr w:type="spellEnd"/>
      <w:r w:rsidR="00797352" w:rsidRPr="00462F98">
        <w:rPr>
          <w:rFonts w:ascii="Times New Roman" w:hAnsi="Times New Roman" w:cs="Times New Roman"/>
          <w:sz w:val="24"/>
          <w:szCs w:val="24"/>
          <w:lang w:val="en-GB"/>
        </w:rPr>
        <w:t xml:space="preserve"> 1993, </w:t>
      </w:r>
      <w:proofErr w:type="spellStart"/>
      <w:r w:rsidR="00797352" w:rsidRPr="00462F98">
        <w:rPr>
          <w:rFonts w:ascii="Times New Roman" w:hAnsi="Times New Roman" w:cs="Times New Roman"/>
          <w:sz w:val="24"/>
          <w:szCs w:val="24"/>
          <w:lang w:val="en-GB"/>
        </w:rPr>
        <w:t>Lazaretou</w:t>
      </w:r>
      <w:proofErr w:type="spellEnd"/>
      <w:r w:rsidR="00797352" w:rsidRPr="00462F98">
        <w:rPr>
          <w:rFonts w:ascii="Times New Roman" w:hAnsi="Times New Roman" w:cs="Times New Roman"/>
          <w:sz w:val="24"/>
          <w:szCs w:val="24"/>
          <w:lang w:val="en-GB"/>
        </w:rPr>
        <w:t xml:space="preserve"> 2005: 208), though definite answers are more difficult to come by with, </w:t>
      </w:r>
      <w:r w:rsidR="000A77B6" w:rsidRPr="00462F98">
        <w:rPr>
          <w:rFonts w:ascii="Times New Roman" w:hAnsi="Times New Roman" w:cs="Times New Roman"/>
          <w:sz w:val="24"/>
          <w:szCs w:val="24"/>
          <w:lang w:val="en-GB"/>
        </w:rPr>
        <w:t>as political preferences</w:t>
      </w:r>
      <w:r w:rsidR="009E01F9" w:rsidRPr="00462F98">
        <w:rPr>
          <w:rFonts w:ascii="Times New Roman" w:hAnsi="Times New Roman" w:cs="Times New Roman"/>
          <w:sz w:val="24"/>
          <w:szCs w:val="24"/>
          <w:lang w:val="en-GB"/>
        </w:rPr>
        <w:t xml:space="preserve"> </w:t>
      </w:r>
      <w:r w:rsidR="00797352" w:rsidRPr="00462F98">
        <w:rPr>
          <w:rFonts w:ascii="Times New Roman" w:hAnsi="Times New Roman" w:cs="Times New Roman"/>
          <w:sz w:val="24"/>
          <w:szCs w:val="24"/>
          <w:lang w:val="en-GB"/>
        </w:rPr>
        <w:t xml:space="preserve">inevitably </w:t>
      </w:r>
      <w:r w:rsidR="009E01F9" w:rsidRPr="00462F98">
        <w:rPr>
          <w:rFonts w:ascii="Times New Roman" w:hAnsi="Times New Roman" w:cs="Times New Roman"/>
          <w:sz w:val="24"/>
          <w:szCs w:val="24"/>
          <w:lang w:val="en-GB"/>
        </w:rPr>
        <w:t>come into play</w:t>
      </w:r>
      <w:r w:rsidR="000A77B6" w:rsidRPr="00462F98">
        <w:rPr>
          <w:rFonts w:ascii="Times New Roman" w:hAnsi="Times New Roman" w:cs="Times New Roman"/>
          <w:sz w:val="24"/>
          <w:szCs w:val="24"/>
          <w:lang w:val="en-GB"/>
        </w:rPr>
        <w:t xml:space="preserve">. Yet </w:t>
      </w:r>
      <w:r w:rsidR="000A77B6" w:rsidRPr="00462F98">
        <w:rPr>
          <w:rFonts w:ascii="Times New Roman" w:hAnsi="Times New Roman" w:cs="Times New Roman"/>
          <w:color w:val="000000" w:themeColor="text1"/>
          <w:sz w:val="24"/>
          <w:szCs w:val="24"/>
          <w:lang w:val="en-GB"/>
        </w:rPr>
        <w:t>analysing</w:t>
      </w:r>
      <w:r w:rsidR="000A77B6" w:rsidRPr="00462F98">
        <w:rPr>
          <w:rFonts w:ascii="Times New Roman" w:hAnsi="Times New Roman" w:cs="Times New Roman"/>
          <w:sz w:val="24"/>
          <w:szCs w:val="24"/>
          <w:lang w:val="en-GB"/>
        </w:rPr>
        <w:t xml:space="preserve"> the political economy of the past </w:t>
      </w:r>
      <w:r w:rsidR="00D24A9C" w:rsidRPr="00462F98">
        <w:rPr>
          <w:rFonts w:ascii="Times New Roman" w:hAnsi="Times New Roman" w:cs="Times New Roman"/>
          <w:sz w:val="24"/>
          <w:szCs w:val="24"/>
          <w:lang w:val="en-GB"/>
        </w:rPr>
        <w:t xml:space="preserve">might entail insight </w:t>
      </w:r>
      <w:r w:rsidR="000A77B6" w:rsidRPr="00462F98">
        <w:rPr>
          <w:rFonts w:ascii="Times New Roman" w:hAnsi="Times New Roman" w:cs="Times New Roman"/>
          <w:sz w:val="24"/>
          <w:szCs w:val="24"/>
          <w:lang w:val="en-GB"/>
        </w:rPr>
        <w:t xml:space="preserve">for today. </w:t>
      </w:r>
      <w:r w:rsidR="009D3FFF">
        <w:rPr>
          <w:rFonts w:ascii="Times New Roman" w:hAnsi="Times New Roman" w:cs="Times New Roman"/>
          <w:sz w:val="24"/>
          <w:szCs w:val="24"/>
          <w:lang w:val="en-GB"/>
        </w:rPr>
        <w:t xml:space="preserve">What were the factors that </w:t>
      </w:r>
      <w:r w:rsidR="000A77B6" w:rsidRPr="00462F98">
        <w:rPr>
          <w:rFonts w:ascii="Times New Roman" w:hAnsi="Times New Roman" w:cs="Times New Roman"/>
          <w:sz w:val="24"/>
          <w:szCs w:val="24"/>
          <w:lang w:val="en-GB"/>
        </w:rPr>
        <w:t xml:space="preserve">made the country accept </w:t>
      </w:r>
      <w:r w:rsidR="009D3FFF">
        <w:rPr>
          <w:rFonts w:ascii="Times New Roman" w:hAnsi="Times New Roman" w:cs="Times New Roman"/>
          <w:sz w:val="24"/>
          <w:szCs w:val="24"/>
          <w:lang w:val="en-GB"/>
        </w:rPr>
        <w:t xml:space="preserve">such far-reaching </w:t>
      </w:r>
      <w:r w:rsidR="000A77B6" w:rsidRPr="00462F98">
        <w:rPr>
          <w:rFonts w:ascii="Times New Roman" w:hAnsi="Times New Roman" w:cs="Times New Roman"/>
          <w:sz w:val="24"/>
          <w:szCs w:val="24"/>
          <w:lang w:val="en-GB"/>
        </w:rPr>
        <w:t>constraints</w:t>
      </w:r>
      <w:r w:rsidR="00A07E8D">
        <w:rPr>
          <w:rFonts w:ascii="Times New Roman" w:hAnsi="Times New Roman" w:cs="Times New Roman"/>
          <w:sz w:val="24"/>
          <w:szCs w:val="24"/>
          <w:lang w:val="en-GB"/>
        </w:rPr>
        <w:t>?</w:t>
      </w:r>
    </w:p>
    <w:p w:rsidR="00564548" w:rsidRPr="00462F98" w:rsidRDefault="008C3221" w:rsidP="000A77B6">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ab/>
      </w:r>
      <w:r w:rsidR="00005181">
        <w:rPr>
          <w:rFonts w:ascii="Times New Roman" w:hAnsi="Times New Roman" w:cs="Times New Roman"/>
          <w:sz w:val="24"/>
          <w:szCs w:val="24"/>
          <w:lang w:val="en-GB"/>
        </w:rPr>
        <w:t>T</w:t>
      </w:r>
      <w:r w:rsidR="000A77B6" w:rsidRPr="00462F98">
        <w:rPr>
          <w:rFonts w:ascii="Times New Roman" w:hAnsi="Times New Roman" w:cs="Times New Roman"/>
          <w:sz w:val="24"/>
          <w:szCs w:val="24"/>
          <w:lang w:val="en-GB"/>
        </w:rPr>
        <w:t>he issues analysed for Greece were equally pertinent for Roma</w:t>
      </w:r>
      <w:r w:rsidR="005A4417" w:rsidRPr="00462F98">
        <w:rPr>
          <w:rFonts w:ascii="Times New Roman" w:hAnsi="Times New Roman" w:cs="Times New Roman"/>
          <w:sz w:val="24"/>
          <w:szCs w:val="24"/>
          <w:lang w:val="en-GB"/>
        </w:rPr>
        <w:t xml:space="preserve">nia, </w:t>
      </w:r>
      <w:r w:rsidR="00BD7B29" w:rsidRPr="00462F98">
        <w:rPr>
          <w:rFonts w:ascii="Times New Roman" w:hAnsi="Times New Roman" w:cs="Times New Roman"/>
          <w:sz w:val="24"/>
          <w:szCs w:val="24"/>
          <w:lang w:val="en-GB"/>
        </w:rPr>
        <w:t>Serbia/Yugoslavia</w:t>
      </w:r>
      <w:r w:rsidR="005A4417" w:rsidRPr="00462F98">
        <w:rPr>
          <w:rFonts w:ascii="Times New Roman" w:hAnsi="Times New Roman" w:cs="Times New Roman"/>
          <w:sz w:val="24"/>
          <w:szCs w:val="24"/>
          <w:lang w:val="en-GB"/>
        </w:rPr>
        <w:t xml:space="preserve"> and Bulgaria</w:t>
      </w:r>
      <w:r w:rsidR="009E01F9" w:rsidRPr="00462F98">
        <w:rPr>
          <w:rFonts w:ascii="Times New Roman" w:hAnsi="Times New Roman" w:cs="Times New Roman"/>
          <w:sz w:val="24"/>
          <w:szCs w:val="24"/>
          <w:lang w:val="en-GB"/>
        </w:rPr>
        <w:t xml:space="preserve">: </w:t>
      </w:r>
      <w:r w:rsidR="000A77B6" w:rsidRPr="00462F98">
        <w:rPr>
          <w:rFonts w:ascii="Times New Roman" w:hAnsi="Times New Roman" w:cs="Times New Roman"/>
          <w:sz w:val="24"/>
          <w:szCs w:val="24"/>
          <w:lang w:val="en-GB"/>
        </w:rPr>
        <w:t xml:space="preserve">a pattern of fiscal dominance </w:t>
      </w:r>
      <w:r w:rsidR="009E01F9" w:rsidRPr="00462F98">
        <w:rPr>
          <w:rFonts w:ascii="Times New Roman" w:hAnsi="Times New Roman" w:cs="Times New Roman"/>
          <w:sz w:val="24"/>
          <w:szCs w:val="24"/>
          <w:lang w:val="en-GB"/>
        </w:rPr>
        <w:t xml:space="preserve">which sat uneasily with the </w:t>
      </w:r>
      <w:r w:rsidR="00C202CC" w:rsidRPr="00462F98">
        <w:rPr>
          <w:rFonts w:ascii="Times New Roman" w:hAnsi="Times New Roman" w:cs="Times New Roman"/>
          <w:sz w:val="24"/>
          <w:szCs w:val="24"/>
          <w:lang w:val="en-GB"/>
        </w:rPr>
        <w:t>determination to join gold</w:t>
      </w:r>
      <w:r w:rsidR="00564EBC" w:rsidRPr="00462F98">
        <w:rPr>
          <w:rFonts w:ascii="Times New Roman" w:hAnsi="Times New Roman" w:cs="Times New Roman"/>
          <w:sz w:val="24"/>
          <w:szCs w:val="24"/>
          <w:lang w:val="en-GB"/>
        </w:rPr>
        <w:t>;</w:t>
      </w:r>
      <w:r w:rsidR="00C202CC" w:rsidRPr="00462F98">
        <w:rPr>
          <w:rFonts w:ascii="Times New Roman" w:hAnsi="Times New Roman" w:cs="Times New Roman"/>
          <w:sz w:val="24"/>
          <w:szCs w:val="24"/>
          <w:lang w:val="en-GB"/>
        </w:rPr>
        <w:t xml:space="preserve"> </w:t>
      </w:r>
      <w:r w:rsidR="00564EBC" w:rsidRPr="00462F98">
        <w:rPr>
          <w:rFonts w:ascii="Times New Roman" w:hAnsi="Times New Roman" w:cs="Times New Roman"/>
          <w:sz w:val="24"/>
          <w:szCs w:val="24"/>
          <w:lang w:val="en-GB"/>
        </w:rPr>
        <w:t>and</w:t>
      </w:r>
      <w:r w:rsidR="009E01F9" w:rsidRPr="00462F98">
        <w:rPr>
          <w:rFonts w:ascii="Times New Roman" w:hAnsi="Times New Roman" w:cs="Times New Roman"/>
          <w:sz w:val="24"/>
          <w:szCs w:val="24"/>
          <w:lang w:val="en-GB"/>
        </w:rPr>
        <w:t xml:space="preserve"> financial supervision which played a crucial role in </w:t>
      </w:r>
      <w:r w:rsidR="009E01F9" w:rsidRPr="00462F98">
        <w:rPr>
          <w:rFonts w:ascii="Times New Roman" w:hAnsi="Times New Roman" w:cs="Times New Roman"/>
          <w:color w:val="000000" w:themeColor="text1"/>
          <w:sz w:val="24"/>
          <w:szCs w:val="24"/>
          <w:lang w:val="en-GB"/>
        </w:rPr>
        <w:t xml:space="preserve">fiscal consolidation and exchange-rate stabilisation. </w:t>
      </w:r>
      <w:r w:rsidR="00564EBC" w:rsidRPr="00462F98">
        <w:rPr>
          <w:rFonts w:ascii="Times New Roman" w:hAnsi="Times New Roman" w:cs="Times New Roman"/>
          <w:sz w:val="24"/>
          <w:szCs w:val="24"/>
          <w:lang w:val="en-GB"/>
        </w:rPr>
        <w:t>Neither fiscal dominance nor financial supervision were uncommon at the time (</w:t>
      </w:r>
      <w:proofErr w:type="spellStart"/>
      <w:r w:rsidR="00564EBC" w:rsidRPr="00462F98">
        <w:rPr>
          <w:rFonts w:ascii="Times New Roman" w:hAnsi="Times New Roman" w:cs="Times New Roman"/>
          <w:sz w:val="24"/>
          <w:szCs w:val="24"/>
          <w:lang w:val="en-GB"/>
        </w:rPr>
        <w:t>Tuncer</w:t>
      </w:r>
      <w:proofErr w:type="spellEnd"/>
      <w:r w:rsidR="00564EBC" w:rsidRPr="00462F98">
        <w:rPr>
          <w:rFonts w:ascii="Times New Roman" w:hAnsi="Times New Roman" w:cs="Times New Roman"/>
          <w:sz w:val="24"/>
          <w:szCs w:val="24"/>
          <w:lang w:val="en-GB"/>
        </w:rPr>
        <w:t xml:space="preserve"> 2015, Flores 2017); yet South-East Europe (SEE) was unique in linking international financial control and exchange-rate stabilisation as a </w:t>
      </w:r>
      <w:r w:rsidR="00564EBC" w:rsidRPr="00462F98">
        <w:rPr>
          <w:rFonts w:ascii="Times New Roman" w:hAnsi="Times New Roman" w:cs="Times New Roman"/>
          <w:i/>
          <w:sz w:val="24"/>
          <w:szCs w:val="24"/>
          <w:lang w:val="en-GB"/>
        </w:rPr>
        <w:t>quid pro quo</w:t>
      </w:r>
      <w:r w:rsidR="00564EBC" w:rsidRPr="00462F98">
        <w:rPr>
          <w:rFonts w:ascii="Times New Roman" w:hAnsi="Times New Roman" w:cs="Times New Roman"/>
          <w:sz w:val="24"/>
          <w:szCs w:val="24"/>
          <w:lang w:val="en-GB"/>
        </w:rPr>
        <w:t>: a deliberate strategy from international creditors and domestic governments to win over public opinion and make the “foreign intrusion” more acceptable.</w:t>
      </w:r>
    </w:p>
    <w:p w:rsidR="00EA3DC1" w:rsidRPr="00462F98" w:rsidRDefault="00F04338" w:rsidP="002F5DF1">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r>
      <w:r w:rsidR="00A07E8D">
        <w:rPr>
          <w:rFonts w:ascii="Times New Roman" w:hAnsi="Times New Roman" w:cs="Times New Roman"/>
          <w:sz w:val="24"/>
          <w:szCs w:val="24"/>
          <w:lang w:val="en-GB"/>
        </w:rPr>
        <w:t>S</w:t>
      </w:r>
      <w:r w:rsidR="002F5DF1" w:rsidRPr="00462F98">
        <w:rPr>
          <w:rFonts w:ascii="Times New Roman" w:hAnsi="Times New Roman" w:cs="Times New Roman"/>
          <w:sz w:val="24"/>
          <w:szCs w:val="24"/>
          <w:lang w:val="en-GB"/>
        </w:rPr>
        <w:t xml:space="preserve">ection 2 shows </w:t>
      </w:r>
      <w:r w:rsidR="00EA3DC1" w:rsidRPr="00462F98">
        <w:rPr>
          <w:rFonts w:ascii="Times New Roman" w:hAnsi="Times New Roman" w:cs="Times New Roman"/>
          <w:sz w:val="24"/>
          <w:szCs w:val="24"/>
          <w:lang w:val="en-GB"/>
        </w:rPr>
        <w:t>that SEE followed the gold standard only for brief periods and points to wea</w:t>
      </w:r>
      <w:r w:rsidR="00564548" w:rsidRPr="00462F98">
        <w:rPr>
          <w:rFonts w:ascii="Times New Roman" w:hAnsi="Times New Roman" w:cs="Times New Roman"/>
          <w:sz w:val="24"/>
          <w:szCs w:val="24"/>
          <w:lang w:val="en-GB"/>
        </w:rPr>
        <w:t xml:space="preserve">knesses while adhering to </w:t>
      </w:r>
      <w:r w:rsidR="00EA3DC1" w:rsidRPr="00462F98">
        <w:rPr>
          <w:rFonts w:ascii="Times New Roman" w:hAnsi="Times New Roman" w:cs="Times New Roman"/>
          <w:sz w:val="24"/>
          <w:szCs w:val="24"/>
          <w:lang w:val="en-GB"/>
        </w:rPr>
        <w:t xml:space="preserve">gold. </w:t>
      </w:r>
      <w:r w:rsidR="002F5DF1" w:rsidRPr="00462F98">
        <w:rPr>
          <w:rFonts w:ascii="Times New Roman" w:hAnsi="Times New Roman" w:cs="Times New Roman"/>
          <w:sz w:val="24"/>
          <w:szCs w:val="24"/>
          <w:lang w:val="en-GB"/>
        </w:rPr>
        <w:t xml:space="preserve">Section 3 </w:t>
      </w:r>
      <w:r w:rsidR="00B66D8A" w:rsidRPr="00462F98">
        <w:rPr>
          <w:rFonts w:ascii="Times New Roman" w:hAnsi="Times New Roman" w:cs="Times New Roman"/>
          <w:sz w:val="24"/>
          <w:szCs w:val="24"/>
          <w:lang w:val="en-GB"/>
        </w:rPr>
        <w:t>analyse</w:t>
      </w:r>
      <w:r w:rsidR="0021268A" w:rsidRPr="00462F98">
        <w:rPr>
          <w:rFonts w:ascii="Times New Roman" w:hAnsi="Times New Roman" w:cs="Times New Roman"/>
          <w:sz w:val="24"/>
          <w:szCs w:val="24"/>
          <w:lang w:val="en-GB"/>
        </w:rPr>
        <w:t>s the main themes</w:t>
      </w:r>
      <w:r w:rsidR="002F5DF1" w:rsidRPr="00462F98">
        <w:rPr>
          <w:rFonts w:ascii="Times New Roman" w:hAnsi="Times New Roman" w:cs="Times New Roman"/>
          <w:sz w:val="24"/>
          <w:szCs w:val="24"/>
          <w:lang w:val="en-GB"/>
        </w:rPr>
        <w:t xml:space="preserve">: </w:t>
      </w:r>
      <w:r w:rsidR="00EA3DC1" w:rsidRPr="00462F98">
        <w:rPr>
          <w:rFonts w:ascii="Times New Roman" w:hAnsi="Times New Roman" w:cs="Times New Roman"/>
          <w:sz w:val="24"/>
          <w:szCs w:val="24"/>
          <w:lang w:val="en-GB"/>
        </w:rPr>
        <w:t xml:space="preserve">when and why did the </w:t>
      </w:r>
      <w:r w:rsidR="002F5DF1" w:rsidRPr="00462F98">
        <w:rPr>
          <w:rFonts w:ascii="Times New Roman" w:hAnsi="Times New Roman" w:cs="Times New Roman"/>
          <w:sz w:val="24"/>
          <w:szCs w:val="24"/>
          <w:lang w:val="en-GB"/>
        </w:rPr>
        <w:t>SEE</w:t>
      </w:r>
      <w:r w:rsidR="00EA3DC1" w:rsidRPr="00462F98">
        <w:rPr>
          <w:rFonts w:ascii="Times New Roman" w:hAnsi="Times New Roman" w:cs="Times New Roman"/>
          <w:sz w:val="24"/>
          <w:szCs w:val="24"/>
          <w:lang w:val="en-GB"/>
        </w:rPr>
        <w:t xml:space="preserve"> countries decide to join gold, and how did the </w:t>
      </w:r>
      <w:r w:rsidR="002F5DF1" w:rsidRPr="00462F98">
        <w:rPr>
          <w:rFonts w:ascii="Times New Roman" w:hAnsi="Times New Roman" w:cs="Times New Roman"/>
          <w:sz w:val="24"/>
          <w:szCs w:val="24"/>
          <w:lang w:val="en-GB"/>
        </w:rPr>
        <w:t>constant</w:t>
      </w:r>
      <w:r w:rsidR="00EA3DC1" w:rsidRPr="00462F98">
        <w:rPr>
          <w:rFonts w:ascii="Times New Roman" w:hAnsi="Times New Roman" w:cs="Times New Roman"/>
          <w:sz w:val="24"/>
          <w:szCs w:val="24"/>
          <w:lang w:val="en-GB"/>
        </w:rPr>
        <w:t xml:space="preserve"> need for seigniorage prevent implementation? </w:t>
      </w:r>
      <w:r w:rsidR="002F5DF1" w:rsidRPr="00462F98">
        <w:rPr>
          <w:rFonts w:ascii="Times New Roman" w:hAnsi="Times New Roman" w:cs="Times New Roman"/>
          <w:sz w:val="24"/>
          <w:szCs w:val="24"/>
          <w:lang w:val="en-GB"/>
        </w:rPr>
        <w:t>What was the relationship between seigniorage and capital imports</w:t>
      </w:r>
      <w:r w:rsidR="003576AB">
        <w:rPr>
          <w:rFonts w:ascii="Times New Roman" w:hAnsi="Times New Roman" w:cs="Times New Roman"/>
          <w:sz w:val="24"/>
          <w:szCs w:val="24"/>
          <w:lang w:val="en-GB"/>
        </w:rPr>
        <w:t xml:space="preserve">, and what was the </w:t>
      </w:r>
      <w:r w:rsidR="00EA3DC1" w:rsidRPr="00462F98">
        <w:rPr>
          <w:rFonts w:ascii="Times New Roman" w:hAnsi="Times New Roman" w:cs="Times New Roman"/>
          <w:sz w:val="24"/>
          <w:szCs w:val="24"/>
          <w:lang w:val="en-GB"/>
        </w:rPr>
        <w:t>role of international financial control</w:t>
      </w:r>
      <w:r w:rsidR="003576AB">
        <w:rPr>
          <w:rFonts w:ascii="Times New Roman" w:hAnsi="Times New Roman" w:cs="Times New Roman"/>
          <w:sz w:val="24"/>
          <w:szCs w:val="24"/>
          <w:lang w:val="en-GB"/>
        </w:rPr>
        <w:t xml:space="preserve">? </w:t>
      </w:r>
      <w:r w:rsidR="002F5DF1" w:rsidRPr="00462F98">
        <w:rPr>
          <w:rFonts w:ascii="Times New Roman" w:hAnsi="Times New Roman" w:cs="Times New Roman"/>
          <w:sz w:val="24"/>
          <w:szCs w:val="24"/>
          <w:lang w:val="en-GB"/>
        </w:rPr>
        <w:t>Section 4</w:t>
      </w:r>
      <w:r w:rsidR="00EA3DC1" w:rsidRPr="00462F98">
        <w:rPr>
          <w:rFonts w:ascii="Times New Roman" w:hAnsi="Times New Roman" w:cs="Times New Roman"/>
          <w:sz w:val="24"/>
          <w:szCs w:val="24"/>
          <w:lang w:val="en-GB"/>
        </w:rPr>
        <w:t xml:space="preserve"> tests the fiscal dominance hypothesis: did the </w:t>
      </w:r>
      <w:r w:rsidR="0021268A" w:rsidRPr="00462F98">
        <w:rPr>
          <w:rFonts w:ascii="Times New Roman" w:hAnsi="Times New Roman" w:cs="Times New Roman"/>
          <w:sz w:val="24"/>
          <w:szCs w:val="24"/>
          <w:lang w:val="en-GB"/>
        </w:rPr>
        <w:t>SEE</w:t>
      </w:r>
      <w:r w:rsidR="00EA3DC1" w:rsidRPr="00462F98">
        <w:rPr>
          <w:rFonts w:ascii="Times New Roman" w:hAnsi="Times New Roman" w:cs="Times New Roman"/>
          <w:sz w:val="24"/>
          <w:szCs w:val="24"/>
          <w:lang w:val="en-GB"/>
        </w:rPr>
        <w:t xml:space="preserve"> countries suffer from fiscal domin</w:t>
      </w:r>
      <w:r w:rsidR="00564548" w:rsidRPr="00462F98">
        <w:rPr>
          <w:rFonts w:ascii="Times New Roman" w:hAnsi="Times New Roman" w:cs="Times New Roman"/>
          <w:sz w:val="24"/>
          <w:szCs w:val="24"/>
          <w:lang w:val="en-GB"/>
        </w:rPr>
        <w:t>ance and was this pattern interrupted</w:t>
      </w:r>
      <w:r w:rsidR="00EA3DC1" w:rsidRPr="00462F98">
        <w:rPr>
          <w:rFonts w:ascii="Times New Roman" w:hAnsi="Times New Roman" w:cs="Times New Roman"/>
          <w:sz w:val="24"/>
          <w:szCs w:val="24"/>
          <w:lang w:val="en-GB"/>
        </w:rPr>
        <w:t xml:space="preserve"> during periods o</w:t>
      </w:r>
      <w:r w:rsidR="00B66D8A" w:rsidRPr="00462F98">
        <w:rPr>
          <w:rFonts w:ascii="Times New Roman" w:hAnsi="Times New Roman" w:cs="Times New Roman"/>
          <w:sz w:val="24"/>
          <w:szCs w:val="24"/>
          <w:lang w:val="en-GB"/>
        </w:rPr>
        <w:t>f financial</w:t>
      </w:r>
      <w:r w:rsidR="002F5DF1" w:rsidRPr="00462F98">
        <w:rPr>
          <w:rFonts w:ascii="Times New Roman" w:hAnsi="Times New Roman" w:cs="Times New Roman"/>
          <w:sz w:val="24"/>
          <w:szCs w:val="24"/>
          <w:lang w:val="en-GB"/>
        </w:rPr>
        <w:t xml:space="preserve"> supervision? </w:t>
      </w:r>
      <w:r w:rsidR="00973815" w:rsidRPr="00462F98">
        <w:rPr>
          <w:rFonts w:ascii="Times New Roman" w:hAnsi="Times New Roman" w:cs="Times New Roman"/>
          <w:sz w:val="24"/>
          <w:szCs w:val="24"/>
          <w:lang w:val="en-GB"/>
        </w:rPr>
        <w:t xml:space="preserve">Section 5 discusses potential costs of financial supervision, as measured by reduced economic growth and negative price level developments due to restrictive monetary and fiscal policies. </w:t>
      </w:r>
      <w:r w:rsidR="002F5DF1" w:rsidRPr="00462F98">
        <w:rPr>
          <w:rFonts w:ascii="Times New Roman" w:hAnsi="Times New Roman" w:cs="Times New Roman"/>
          <w:sz w:val="24"/>
          <w:szCs w:val="24"/>
          <w:lang w:val="en-GB"/>
        </w:rPr>
        <w:t xml:space="preserve">Section </w:t>
      </w:r>
      <w:r w:rsidR="00973815" w:rsidRPr="00462F98">
        <w:rPr>
          <w:rFonts w:ascii="Times New Roman" w:hAnsi="Times New Roman" w:cs="Times New Roman"/>
          <w:sz w:val="24"/>
          <w:szCs w:val="24"/>
          <w:lang w:val="en-GB"/>
        </w:rPr>
        <w:t>6</w:t>
      </w:r>
      <w:r w:rsidR="00EA3DC1" w:rsidRPr="00462F98">
        <w:rPr>
          <w:rFonts w:ascii="Times New Roman" w:hAnsi="Times New Roman" w:cs="Times New Roman"/>
          <w:sz w:val="24"/>
          <w:szCs w:val="24"/>
          <w:lang w:val="en-GB"/>
        </w:rPr>
        <w:t xml:space="preserve"> </w:t>
      </w:r>
      <w:r w:rsidR="00D24A9C" w:rsidRPr="00462F98">
        <w:rPr>
          <w:rFonts w:ascii="Times New Roman" w:hAnsi="Times New Roman" w:cs="Times New Roman"/>
          <w:sz w:val="24"/>
          <w:szCs w:val="24"/>
          <w:lang w:val="en-GB"/>
        </w:rPr>
        <w:t xml:space="preserve">analyses the political economy for the case of Greece: what explains the preference for fixed exchange-rates, and how did this shape views on financial supervision? </w:t>
      </w:r>
    </w:p>
    <w:p w:rsidR="00D90E20" w:rsidRDefault="00D90E20" w:rsidP="002F5DF1">
      <w:pPr>
        <w:spacing w:after="0" w:line="360" w:lineRule="auto"/>
        <w:jc w:val="both"/>
        <w:rPr>
          <w:rFonts w:ascii="Times New Roman" w:hAnsi="Times New Roman" w:cs="Times New Roman"/>
          <w:sz w:val="24"/>
          <w:szCs w:val="24"/>
          <w:lang w:val="en-GB"/>
        </w:rPr>
      </w:pPr>
    </w:p>
    <w:p w:rsidR="009D0A87" w:rsidRPr="00462F98" w:rsidRDefault="009D0A87" w:rsidP="002F5DF1">
      <w:pPr>
        <w:spacing w:after="0" w:line="360" w:lineRule="auto"/>
        <w:jc w:val="both"/>
        <w:rPr>
          <w:rFonts w:ascii="Times New Roman" w:hAnsi="Times New Roman" w:cs="Times New Roman"/>
          <w:sz w:val="24"/>
          <w:szCs w:val="24"/>
          <w:lang w:val="en-GB"/>
        </w:rPr>
      </w:pPr>
    </w:p>
    <w:p w:rsidR="00B419EF" w:rsidRPr="00462F98" w:rsidRDefault="00EB6E8F" w:rsidP="00EB6E8F">
      <w:pPr>
        <w:pStyle w:val="ListParagraph"/>
        <w:numPr>
          <w:ilvl w:val="0"/>
          <w:numId w:val="4"/>
        </w:numPr>
        <w:spacing w:after="0" w:line="360" w:lineRule="auto"/>
        <w:rPr>
          <w:rFonts w:ascii="Times New Roman" w:hAnsi="Times New Roman" w:cs="Times New Roman"/>
          <w:b/>
          <w:sz w:val="24"/>
          <w:szCs w:val="24"/>
        </w:rPr>
      </w:pPr>
      <w:r w:rsidRPr="00462F98">
        <w:rPr>
          <w:rFonts w:ascii="Times New Roman" w:hAnsi="Times New Roman" w:cs="Times New Roman"/>
          <w:b/>
          <w:sz w:val="24"/>
          <w:szCs w:val="24"/>
        </w:rPr>
        <w:t>A troubled track record: fixed exchange-rates in SEE 1870s - 1939</w:t>
      </w:r>
    </w:p>
    <w:p w:rsidR="008F79F1" w:rsidRPr="00462F98" w:rsidRDefault="008F79F1" w:rsidP="009F052F">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2.1 Length of adherence</w:t>
      </w:r>
    </w:p>
    <w:p w:rsidR="00587C0E" w:rsidRPr="00462F98" w:rsidRDefault="00587C0E" w:rsidP="00055C0F">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lastRenderedPageBreak/>
        <w:t>Table 1 shows the durati</w:t>
      </w:r>
      <w:r w:rsidR="00B05246" w:rsidRPr="00462F98">
        <w:rPr>
          <w:rFonts w:ascii="Times New Roman" w:hAnsi="Times New Roman" w:cs="Times New Roman"/>
          <w:sz w:val="24"/>
          <w:szCs w:val="24"/>
          <w:lang w:val="en-GB"/>
        </w:rPr>
        <w:t>on of gold standard adherence for</w:t>
      </w:r>
      <w:r w:rsidRPr="00462F98">
        <w:rPr>
          <w:rFonts w:ascii="Times New Roman" w:hAnsi="Times New Roman" w:cs="Times New Roman"/>
          <w:sz w:val="24"/>
          <w:szCs w:val="24"/>
          <w:lang w:val="en-GB"/>
        </w:rPr>
        <w:t xml:space="preserve"> 24 European countries</w:t>
      </w:r>
      <w:r w:rsidR="00204E37" w:rsidRPr="00462F98">
        <w:rPr>
          <w:rFonts w:ascii="Times New Roman" w:hAnsi="Times New Roman" w:cs="Times New Roman"/>
          <w:sz w:val="24"/>
          <w:szCs w:val="24"/>
          <w:lang w:val="en-GB"/>
        </w:rPr>
        <w:t>. For the</w:t>
      </w:r>
      <w:r w:rsidRPr="00462F98">
        <w:rPr>
          <w:rFonts w:ascii="Times New Roman" w:hAnsi="Times New Roman" w:cs="Times New Roman"/>
          <w:sz w:val="24"/>
          <w:szCs w:val="24"/>
          <w:lang w:val="en-GB"/>
        </w:rPr>
        <w:t xml:space="preserve"> Classical Gold Standard (1870s</w:t>
      </w:r>
      <w:r w:rsidR="00B05246" w:rsidRPr="00462F98">
        <w:rPr>
          <w:rFonts w:ascii="Times New Roman" w:hAnsi="Times New Roman" w:cs="Times New Roman"/>
          <w:sz w:val="24"/>
          <w:szCs w:val="24"/>
          <w:lang w:val="en-GB"/>
        </w:rPr>
        <w:t>-1914</w:t>
      </w:r>
      <w:r w:rsidR="00662855"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no distinction is made between </w:t>
      </w:r>
      <w:r w:rsidRPr="00462F98">
        <w:rPr>
          <w:rFonts w:ascii="Times New Roman" w:hAnsi="Times New Roman" w:cs="Times New Roman"/>
          <w:i/>
          <w:sz w:val="24"/>
          <w:szCs w:val="24"/>
          <w:lang w:val="en-GB"/>
        </w:rPr>
        <w:t>de jure</w:t>
      </w:r>
      <w:r w:rsidRPr="00462F98">
        <w:rPr>
          <w:rFonts w:ascii="Times New Roman" w:hAnsi="Times New Roman" w:cs="Times New Roman"/>
          <w:sz w:val="24"/>
          <w:szCs w:val="24"/>
          <w:lang w:val="en-GB"/>
        </w:rPr>
        <w:t xml:space="preserve"> adherence (convertibility of bank notes into gold) and </w:t>
      </w:r>
      <w:r w:rsidRPr="00462F98">
        <w:rPr>
          <w:rFonts w:ascii="Times New Roman" w:hAnsi="Times New Roman" w:cs="Times New Roman"/>
          <w:i/>
          <w:sz w:val="24"/>
          <w:szCs w:val="24"/>
          <w:lang w:val="en-GB"/>
        </w:rPr>
        <w:t>de facto</w:t>
      </w:r>
      <w:r w:rsidRPr="00462F98">
        <w:rPr>
          <w:rFonts w:ascii="Times New Roman" w:hAnsi="Times New Roman" w:cs="Times New Roman"/>
          <w:sz w:val="24"/>
          <w:szCs w:val="24"/>
          <w:lang w:val="en-GB"/>
        </w:rPr>
        <w:t xml:space="preserve"> adherence (maintaining the ex</w:t>
      </w:r>
      <w:r w:rsidR="00B05246" w:rsidRPr="00462F98">
        <w:rPr>
          <w:rFonts w:ascii="Times New Roman" w:hAnsi="Times New Roman" w:cs="Times New Roman"/>
          <w:sz w:val="24"/>
          <w:szCs w:val="24"/>
          <w:lang w:val="en-GB"/>
        </w:rPr>
        <w:t>change-rate within a +/- 2% band</w:t>
      </w:r>
      <w:r w:rsidRPr="00462F98">
        <w:rPr>
          <w:rFonts w:ascii="Times New Roman" w:hAnsi="Times New Roman" w:cs="Times New Roman"/>
          <w:sz w:val="24"/>
          <w:szCs w:val="24"/>
          <w:lang w:val="en-GB"/>
        </w:rPr>
        <w:t xml:space="preserve"> to </w:t>
      </w:r>
      <w:r w:rsidRPr="00462F98">
        <w:rPr>
          <w:rFonts w:ascii="Times New Roman" w:hAnsi="Times New Roman" w:cs="Times New Roman"/>
          <w:i/>
          <w:sz w:val="24"/>
          <w:szCs w:val="24"/>
          <w:lang w:val="en-GB"/>
        </w:rPr>
        <w:t>de jure</w:t>
      </w:r>
      <w:r w:rsidRPr="00462F98">
        <w:rPr>
          <w:rFonts w:ascii="Times New Roman" w:hAnsi="Times New Roman" w:cs="Times New Roman"/>
          <w:sz w:val="24"/>
          <w:szCs w:val="24"/>
          <w:lang w:val="en-GB"/>
        </w:rPr>
        <w:t xml:space="preserve"> gold standard countries), as </w:t>
      </w:r>
      <w:r w:rsidR="00B05246" w:rsidRPr="00462F98">
        <w:rPr>
          <w:rFonts w:ascii="Times New Roman" w:hAnsi="Times New Roman" w:cs="Times New Roman"/>
          <w:sz w:val="24"/>
          <w:szCs w:val="24"/>
          <w:lang w:val="en-GB"/>
        </w:rPr>
        <w:t>the former</w:t>
      </w:r>
      <w:r w:rsidRPr="00462F98">
        <w:rPr>
          <w:rFonts w:ascii="Times New Roman" w:hAnsi="Times New Roman" w:cs="Times New Roman"/>
          <w:sz w:val="24"/>
          <w:szCs w:val="24"/>
          <w:lang w:val="en-GB"/>
        </w:rPr>
        <w:t xml:space="preserve"> was practised only by a small number of countries (</w:t>
      </w:r>
      <w:proofErr w:type="spellStart"/>
      <w:r w:rsidR="00B05246" w:rsidRPr="00462F98">
        <w:rPr>
          <w:rFonts w:ascii="Times New Roman" w:hAnsi="Times New Roman" w:cs="Times New Roman"/>
          <w:sz w:val="24"/>
          <w:szCs w:val="24"/>
          <w:lang w:val="en-GB"/>
        </w:rPr>
        <w:t>Morys</w:t>
      </w:r>
      <w:proofErr w:type="spellEnd"/>
      <w:r w:rsidR="00B05246" w:rsidRPr="00462F98">
        <w:rPr>
          <w:rFonts w:ascii="Times New Roman" w:hAnsi="Times New Roman" w:cs="Times New Roman"/>
          <w:sz w:val="24"/>
          <w:szCs w:val="24"/>
          <w:lang w:val="en-GB"/>
        </w:rPr>
        <w:t xml:space="preserve"> 2013</w:t>
      </w:r>
      <w:r w:rsidRPr="00462F98">
        <w:rPr>
          <w:rFonts w:ascii="Times New Roman" w:hAnsi="Times New Roman" w:cs="Times New Roman"/>
          <w:sz w:val="24"/>
          <w:szCs w:val="24"/>
          <w:lang w:val="en-GB"/>
        </w:rPr>
        <w:t>). The distinction became importa</w:t>
      </w:r>
      <w:r w:rsidR="00B05246" w:rsidRPr="00462F98">
        <w:rPr>
          <w:rFonts w:ascii="Times New Roman" w:hAnsi="Times New Roman" w:cs="Times New Roman"/>
          <w:sz w:val="24"/>
          <w:szCs w:val="24"/>
          <w:lang w:val="en-GB"/>
        </w:rPr>
        <w:t xml:space="preserve">nt in the </w:t>
      </w:r>
      <w:r w:rsidR="0009342C" w:rsidRPr="00462F98">
        <w:rPr>
          <w:rFonts w:ascii="Times New Roman" w:hAnsi="Times New Roman" w:cs="Times New Roman"/>
          <w:sz w:val="24"/>
          <w:szCs w:val="24"/>
          <w:lang w:val="en-GB"/>
        </w:rPr>
        <w:t>1920s</w:t>
      </w:r>
      <w:r w:rsidR="00B05246" w:rsidRPr="00462F98">
        <w:rPr>
          <w:rFonts w:ascii="Times New Roman" w:hAnsi="Times New Roman" w:cs="Times New Roman"/>
          <w:sz w:val="24"/>
          <w:szCs w:val="24"/>
          <w:lang w:val="en-GB"/>
        </w:rPr>
        <w:t>, when</w:t>
      </w:r>
      <w:r w:rsidRPr="00462F98">
        <w:rPr>
          <w:rFonts w:ascii="Times New Roman" w:hAnsi="Times New Roman" w:cs="Times New Roman"/>
          <w:sz w:val="24"/>
          <w:szCs w:val="24"/>
          <w:lang w:val="en-GB"/>
        </w:rPr>
        <w:t xml:space="preserve"> countries stabilised their exchange-rate first and </w:t>
      </w:r>
      <w:r w:rsidR="00B05246" w:rsidRPr="00462F98">
        <w:rPr>
          <w:rFonts w:ascii="Times New Roman" w:hAnsi="Times New Roman" w:cs="Times New Roman"/>
          <w:sz w:val="24"/>
          <w:szCs w:val="24"/>
          <w:lang w:val="en-GB"/>
        </w:rPr>
        <w:t xml:space="preserve">subsequently </w:t>
      </w:r>
      <w:r w:rsidRPr="00462F98">
        <w:rPr>
          <w:rFonts w:ascii="Times New Roman" w:hAnsi="Times New Roman" w:cs="Times New Roman"/>
          <w:sz w:val="24"/>
          <w:szCs w:val="24"/>
          <w:lang w:val="en-GB"/>
        </w:rPr>
        <w:t xml:space="preserve">“legalised” it by declaring the prevailing exchange-rate the new </w:t>
      </w:r>
      <w:r w:rsidRPr="00462F98">
        <w:rPr>
          <w:rFonts w:ascii="Times New Roman" w:hAnsi="Times New Roman" w:cs="Times New Roman"/>
          <w:color w:val="000000" w:themeColor="text1"/>
          <w:sz w:val="24"/>
          <w:szCs w:val="24"/>
          <w:lang w:val="en-GB"/>
        </w:rPr>
        <w:t>p</w:t>
      </w:r>
      <w:r w:rsidRPr="00462F98">
        <w:rPr>
          <w:rFonts w:ascii="Times New Roman" w:hAnsi="Times New Roman" w:cs="Times New Roman"/>
          <w:sz w:val="24"/>
          <w:szCs w:val="24"/>
          <w:lang w:val="en-GB"/>
        </w:rPr>
        <w:t xml:space="preserve">arity. </w:t>
      </w:r>
      <w:r w:rsidR="00204E37" w:rsidRPr="00462F98">
        <w:rPr>
          <w:rFonts w:ascii="Times New Roman" w:hAnsi="Times New Roman" w:cs="Times New Roman"/>
          <w:i/>
          <w:sz w:val="24"/>
          <w:szCs w:val="24"/>
          <w:lang w:val="en-GB"/>
        </w:rPr>
        <w:t>d</w:t>
      </w:r>
      <w:r w:rsidRPr="00462F98">
        <w:rPr>
          <w:rFonts w:ascii="Times New Roman" w:hAnsi="Times New Roman" w:cs="Times New Roman"/>
          <w:i/>
          <w:sz w:val="24"/>
          <w:szCs w:val="24"/>
          <w:lang w:val="en-GB"/>
        </w:rPr>
        <w:t>e facto</w:t>
      </w:r>
      <w:r w:rsidRPr="00462F98">
        <w:rPr>
          <w:rFonts w:ascii="Times New Roman" w:hAnsi="Times New Roman" w:cs="Times New Roman"/>
          <w:sz w:val="24"/>
          <w:szCs w:val="24"/>
          <w:lang w:val="en-GB"/>
        </w:rPr>
        <w:t xml:space="preserve"> stabilisation </w:t>
      </w:r>
      <w:r w:rsidR="00B05246" w:rsidRPr="00462F98">
        <w:rPr>
          <w:rFonts w:ascii="Times New Roman" w:hAnsi="Times New Roman" w:cs="Times New Roman"/>
          <w:sz w:val="24"/>
          <w:szCs w:val="24"/>
          <w:lang w:val="en-GB"/>
        </w:rPr>
        <w:t>meant finding a “sustainable” exchange-rate</w:t>
      </w:r>
      <w:r w:rsidR="00DC4C4A" w:rsidRPr="00462F98">
        <w:rPr>
          <w:rFonts w:ascii="Times New Roman" w:hAnsi="Times New Roman" w:cs="Times New Roman"/>
          <w:sz w:val="24"/>
          <w:szCs w:val="24"/>
          <w:lang w:val="en-GB"/>
        </w:rPr>
        <w:t>,</w:t>
      </w:r>
      <w:r w:rsidR="00204E37" w:rsidRPr="00462F98">
        <w:rPr>
          <w:rFonts w:ascii="Times New Roman" w:hAnsi="Times New Roman" w:cs="Times New Roman"/>
          <w:sz w:val="24"/>
          <w:szCs w:val="24"/>
          <w:lang w:val="en-GB"/>
        </w:rPr>
        <w:t xml:space="preserve"> whereas</w:t>
      </w:r>
      <w:r w:rsidR="00F83B2B" w:rsidRPr="00462F98">
        <w:rPr>
          <w:rFonts w:ascii="Times New Roman" w:hAnsi="Times New Roman" w:cs="Times New Roman"/>
          <w:sz w:val="24"/>
          <w:szCs w:val="24"/>
          <w:lang w:val="en-GB"/>
        </w:rPr>
        <w:t xml:space="preserve"> </w:t>
      </w:r>
      <w:r w:rsidR="00204E37" w:rsidRPr="00462F98">
        <w:rPr>
          <w:rFonts w:ascii="Times New Roman" w:hAnsi="Times New Roman" w:cs="Times New Roman"/>
          <w:i/>
          <w:sz w:val="24"/>
          <w:szCs w:val="24"/>
          <w:lang w:val="en-GB"/>
        </w:rPr>
        <w:t>d</w:t>
      </w:r>
      <w:r w:rsidRPr="00462F98">
        <w:rPr>
          <w:rFonts w:ascii="Times New Roman" w:hAnsi="Times New Roman" w:cs="Times New Roman"/>
          <w:i/>
          <w:sz w:val="24"/>
          <w:szCs w:val="24"/>
          <w:lang w:val="en-GB"/>
        </w:rPr>
        <w:t>e jure</w:t>
      </w:r>
      <w:r w:rsidRPr="00462F98">
        <w:rPr>
          <w:rFonts w:ascii="Times New Roman" w:hAnsi="Times New Roman" w:cs="Times New Roman"/>
          <w:sz w:val="24"/>
          <w:szCs w:val="24"/>
          <w:lang w:val="en-GB"/>
        </w:rPr>
        <w:t xml:space="preserve"> stabilisation</w:t>
      </w:r>
      <w:r w:rsidR="00316801" w:rsidRPr="00462F98">
        <w:rPr>
          <w:rFonts w:ascii="Times New Roman" w:hAnsi="Times New Roman" w:cs="Times New Roman"/>
          <w:sz w:val="24"/>
          <w:szCs w:val="24"/>
          <w:lang w:val="en-GB"/>
        </w:rPr>
        <w:t xml:space="preserve"> required </w:t>
      </w:r>
      <w:r w:rsidR="0009342C" w:rsidRPr="00462F98">
        <w:rPr>
          <w:rFonts w:ascii="Times New Roman" w:hAnsi="Times New Roman" w:cs="Times New Roman"/>
          <w:sz w:val="24"/>
          <w:szCs w:val="24"/>
          <w:lang w:val="en-GB"/>
        </w:rPr>
        <w:t xml:space="preserve">accumulating </w:t>
      </w:r>
      <w:r w:rsidR="00316801" w:rsidRPr="00462F98">
        <w:rPr>
          <w:rFonts w:ascii="Times New Roman" w:hAnsi="Times New Roman" w:cs="Times New Roman"/>
          <w:sz w:val="24"/>
          <w:szCs w:val="24"/>
          <w:lang w:val="en-GB"/>
        </w:rPr>
        <w:t xml:space="preserve">reserves sufficient to defend </w:t>
      </w:r>
      <w:r w:rsidR="00DC4C4A" w:rsidRPr="00462F98">
        <w:rPr>
          <w:rFonts w:ascii="Times New Roman" w:hAnsi="Times New Roman" w:cs="Times New Roman"/>
          <w:sz w:val="24"/>
          <w:szCs w:val="24"/>
          <w:lang w:val="en-GB"/>
        </w:rPr>
        <w:t>the new</w:t>
      </w:r>
      <w:r w:rsidR="00F83B2B" w:rsidRPr="00462F98">
        <w:rPr>
          <w:rFonts w:ascii="Times New Roman" w:hAnsi="Times New Roman" w:cs="Times New Roman"/>
          <w:sz w:val="24"/>
          <w:szCs w:val="24"/>
          <w:lang w:val="en-GB"/>
        </w:rPr>
        <w:t xml:space="preserve"> level</w:t>
      </w:r>
      <w:r w:rsidR="00515659" w:rsidRPr="00462F98">
        <w:rPr>
          <w:rFonts w:ascii="Times New Roman" w:hAnsi="Times New Roman" w:cs="Times New Roman"/>
          <w:color w:val="000000" w:themeColor="text1"/>
          <w:sz w:val="24"/>
          <w:szCs w:val="24"/>
          <w:lang w:val="en-GB"/>
        </w:rPr>
        <w:t>.</w:t>
      </w:r>
      <w:r w:rsidR="00515659" w:rsidRPr="00462F98">
        <w:rPr>
          <w:rFonts w:ascii="Times New Roman" w:hAnsi="Times New Roman" w:cs="Times New Roman"/>
          <w:sz w:val="24"/>
          <w:szCs w:val="24"/>
          <w:lang w:val="en-GB"/>
        </w:rPr>
        <w:t xml:space="preserve"> </w:t>
      </w:r>
    </w:p>
    <w:p w:rsidR="004B5E36" w:rsidRPr="00462F98" w:rsidRDefault="004B5E36" w:rsidP="009F052F">
      <w:pPr>
        <w:spacing w:after="0" w:line="360" w:lineRule="auto"/>
        <w:jc w:val="both"/>
        <w:rPr>
          <w:rFonts w:ascii="Times New Roman" w:hAnsi="Times New Roman" w:cs="Times New Roman"/>
          <w:sz w:val="12"/>
          <w:szCs w:val="12"/>
          <w:lang w:val="en-GB"/>
        </w:rPr>
      </w:pPr>
    </w:p>
    <w:p w:rsidR="004B5E36" w:rsidRPr="00462F98" w:rsidRDefault="0009342C" w:rsidP="009F052F">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ab/>
        <w:t>[table_</w:t>
      </w:r>
      <w:r w:rsidR="004B5E36" w:rsidRPr="00462F98">
        <w:rPr>
          <w:rFonts w:ascii="Times New Roman" w:hAnsi="Times New Roman" w:cs="Times New Roman"/>
          <w:b/>
          <w:sz w:val="24"/>
          <w:szCs w:val="24"/>
          <w:lang w:val="en-GB"/>
        </w:rPr>
        <w:t>1]</w:t>
      </w:r>
    </w:p>
    <w:p w:rsidR="00973815" w:rsidRPr="00462F98" w:rsidRDefault="00973815" w:rsidP="00515659">
      <w:pPr>
        <w:spacing w:after="0" w:line="360" w:lineRule="auto"/>
        <w:jc w:val="both"/>
        <w:rPr>
          <w:rFonts w:ascii="Times New Roman" w:hAnsi="Times New Roman" w:cs="Times New Roman"/>
          <w:sz w:val="12"/>
          <w:szCs w:val="12"/>
          <w:lang w:val="en-GB"/>
        </w:rPr>
      </w:pPr>
    </w:p>
    <w:p w:rsidR="00B118E7" w:rsidRPr="00462F98" w:rsidRDefault="00316801" w:rsidP="00515659">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T</w:t>
      </w:r>
      <w:r w:rsidR="004840FC" w:rsidRPr="00462F98">
        <w:rPr>
          <w:rFonts w:ascii="Times New Roman" w:hAnsi="Times New Roman" w:cs="Times New Roman"/>
          <w:sz w:val="24"/>
          <w:szCs w:val="24"/>
          <w:lang w:val="en-GB"/>
        </w:rPr>
        <w:t>he Classical Gold Standard</w:t>
      </w:r>
      <w:r w:rsidRPr="00462F98">
        <w:rPr>
          <w:rFonts w:ascii="Times New Roman" w:hAnsi="Times New Roman" w:cs="Times New Roman"/>
          <w:sz w:val="24"/>
          <w:szCs w:val="24"/>
          <w:lang w:val="en-GB"/>
        </w:rPr>
        <w:t xml:space="preserve"> was followed continuously by the Western European and the Nordic countries</w:t>
      </w:r>
      <w:r w:rsidR="00DC4C4A" w:rsidRPr="00462F98">
        <w:rPr>
          <w:rFonts w:ascii="Times New Roman" w:hAnsi="Times New Roman" w:cs="Times New Roman"/>
          <w:sz w:val="24"/>
          <w:szCs w:val="24"/>
          <w:lang w:val="en-GB"/>
        </w:rPr>
        <w:t>. C</w:t>
      </w:r>
      <w:r w:rsidR="00515659" w:rsidRPr="00462F98">
        <w:rPr>
          <w:rFonts w:ascii="Times New Roman" w:hAnsi="Times New Roman" w:cs="Times New Roman"/>
          <w:sz w:val="24"/>
          <w:szCs w:val="24"/>
          <w:lang w:val="en-GB"/>
        </w:rPr>
        <w:t xml:space="preserve">ountries in </w:t>
      </w:r>
      <w:r w:rsidRPr="00462F98">
        <w:rPr>
          <w:rFonts w:ascii="Times New Roman" w:hAnsi="Times New Roman" w:cs="Times New Roman"/>
          <w:sz w:val="24"/>
          <w:szCs w:val="24"/>
          <w:lang w:val="en-GB"/>
        </w:rPr>
        <w:t>Southern Europe, SEE and Russia</w:t>
      </w:r>
      <w:r w:rsidR="00515659" w:rsidRPr="00462F98">
        <w:rPr>
          <w:rFonts w:ascii="Times New Roman" w:hAnsi="Times New Roman" w:cs="Times New Roman"/>
          <w:sz w:val="24"/>
          <w:szCs w:val="24"/>
          <w:lang w:val="en-GB"/>
        </w:rPr>
        <w:t xml:space="preserve"> tended to join </w:t>
      </w:r>
      <w:r w:rsidR="004840FC" w:rsidRPr="00462F98">
        <w:rPr>
          <w:rFonts w:ascii="Times New Roman" w:hAnsi="Times New Roman" w:cs="Times New Roman"/>
          <w:sz w:val="24"/>
          <w:szCs w:val="24"/>
          <w:lang w:val="en-GB"/>
        </w:rPr>
        <w:t xml:space="preserve">only </w:t>
      </w:r>
      <w:r w:rsidR="003576AB">
        <w:rPr>
          <w:rFonts w:ascii="Times New Roman" w:hAnsi="Times New Roman" w:cs="Times New Roman"/>
          <w:sz w:val="24"/>
          <w:szCs w:val="24"/>
          <w:lang w:val="en-GB"/>
        </w:rPr>
        <w:t>after</w:t>
      </w:r>
      <w:r w:rsidR="004840FC" w:rsidRPr="00462F98">
        <w:rPr>
          <w:rFonts w:ascii="Times New Roman" w:hAnsi="Times New Roman" w:cs="Times New Roman"/>
          <w:sz w:val="24"/>
          <w:szCs w:val="24"/>
          <w:lang w:val="en-GB"/>
        </w:rPr>
        <w:t xml:space="preserve"> 1890</w:t>
      </w:r>
      <w:r w:rsidRPr="00462F98">
        <w:rPr>
          <w:rFonts w:ascii="Times New Roman" w:hAnsi="Times New Roman" w:cs="Times New Roman"/>
          <w:sz w:val="24"/>
          <w:szCs w:val="24"/>
          <w:lang w:val="en-GB"/>
        </w:rPr>
        <w:t xml:space="preserve">, potentially as a result of </w:t>
      </w:r>
      <w:r w:rsidR="00DC4C4A" w:rsidRPr="00462F98">
        <w:rPr>
          <w:rFonts w:ascii="Times New Roman" w:hAnsi="Times New Roman" w:cs="Times New Roman"/>
          <w:sz w:val="24"/>
          <w:szCs w:val="24"/>
          <w:lang w:val="en-GB"/>
        </w:rPr>
        <w:t xml:space="preserve">better </w:t>
      </w:r>
      <w:r w:rsidRPr="00462F98">
        <w:rPr>
          <w:rFonts w:ascii="Times New Roman" w:hAnsi="Times New Roman" w:cs="Times New Roman"/>
          <w:sz w:val="24"/>
          <w:szCs w:val="24"/>
          <w:lang w:val="en-GB"/>
        </w:rPr>
        <w:t>macroeconomic performance (Flandreau et al. 1998) or higher cyclical integration with the core economies (</w:t>
      </w:r>
      <w:proofErr w:type="spellStart"/>
      <w:r w:rsidRPr="00462F98">
        <w:rPr>
          <w:rFonts w:ascii="Times New Roman" w:hAnsi="Times New Roman" w:cs="Times New Roman"/>
          <w:sz w:val="24"/>
          <w:szCs w:val="24"/>
          <w:lang w:val="en-GB"/>
        </w:rPr>
        <w:t>Morys&amp;Ivanov</w:t>
      </w:r>
      <w:proofErr w:type="spellEnd"/>
      <w:r w:rsidRPr="00462F98">
        <w:rPr>
          <w:rFonts w:ascii="Times New Roman" w:hAnsi="Times New Roman" w:cs="Times New Roman"/>
          <w:sz w:val="24"/>
          <w:szCs w:val="24"/>
          <w:lang w:val="en-GB"/>
        </w:rPr>
        <w:t xml:space="preserve"> </w:t>
      </w:r>
      <w:r w:rsidR="00515659" w:rsidRPr="00462F98">
        <w:rPr>
          <w:rFonts w:ascii="Times New Roman" w:hAnsi="Times New Roman" w:cs="Times New Roman"/>
          <w:sz w:val="24"/>
          <w:szCs w:val="24"/>
          <w:lang w:val="en-GB"/>
        </w:rPr>
        <w:t>2015</w:t>
      </w:r>
      <w:r w:rsidRPr="00462F98">
        <w:rPr>
          <w:rFonts w:ascii="Times New Roman" w:hAnsi="Times New Roman" w:cs="Times New Roman"/>
          <w:sz w:val="24"/>
          <w:szCs w:val="24"/>
          <w:lang w:val="en-GB"/>
        </w:rPr>
        <w:t xml:space="preserve">). </w:t>
      </w:r>
      <w:r w:rsidR="004840FC" w:rsidRPr="00462F98">
        <w:rPr>
          <w:rFonts w:ascii="Times New Roman" w:hAnsi="Times New Roman" w:cs="Times New Roman"/>
          <w:sz w:val="24"/>
          <w:szCs w:val="24"/>
          <w:lang w:val="en-GB"/>
        </w:rPr>
        <w:t xml:space="preserve">Yet while all three </w:t>
      </w:r>
      <w:r w:rsidR="00515659" w:rsidRPr="00462F98">
        <w:rPr>
          <w:rFonts w:ascii="Times New Roman" w:hAnsi="Times New Roman" w:cs="Times New Roman"/>
          <w:sz w:val="24"/>
          <w:szCs w:val="24"/>
          <w:lang w:val="en-GB"/>
        </w:rPr>
        <w:t>peripheries</w:t>
      </w:r>
      <w:r w:rsidR="00B118E7" w:rsidRPr="00462F98">
        <w:rPr>
          <w:rFonts w:ascii="Times New Roman" w:hAnsi="Times New Roman" w:cs="Times New Roman"/>
          <w:sz w:val="24"/>
          <w:szCs w:val="24"/>
          <w:lang w:val="en-GB"/>
        </w:rPr>
        <w:t xml:space="preserve"> adhered </w:t>
      </w:r>
      <w:r w:rsidR="0009342C" w:rsidRPr="00462F98">
        <w:rPr>
          <w:rFonts w:ascii="Times New Roman" w:hAnsi="Times New Roman" w:cs="Times New Roman"/>
          <w:sz w:val="24"/>
          <w:szCs w:val="24"/>
          <w:lang w:val="en-GB"/>
        </w:rPr>
        <w:t xml:space="preserve">only </w:t>
      </w:r>
      <w:r w:rsidR="00BB331D">
        <w:rPr>
          <w:rFonts w:ascii="Times New Roman" w:hAnsi="Times New Roman" w:cs="Times New Roman"/>
          <w:sz w:val="24"/>
          <w:szCs w:val="24"/>
          <w:lang w:val="en-GB"/>
        </w:rPr>
        <w:t>briefly</w:t>
      </w:r>
      <w:r w:rsidR="00515659" w:rsidRPr="00462F98">
        <w:rPr>
          <w:rFonts w:ascii="Times New Roman" w:hAnsi="Times New Roman" w:cs="Times New Roman"/>
          <w:sz w:val="24"/>
          <w:szCs w:val="24"/>
          <w:lang w:val="en-GB"/>
        </w:rPr>
        <w:t xml:space="preserve">, SEE exhibits the shortest duration </w:t>
      </w:r>
      <w:r w:rsidR="0009342C" w:rsidRPr="00462F98">
        <w:rPr>
          <w:rFonts w:ascii="Times New Roman" w:hAnsi="Times New Roman" w:cs="Times New Roman"/>
          <w:sz w:val="24"/>
          <w:szCs w:val="24"/>
          <w:lang w:val="en-GB"/>
        </w:rPr>
        <w:t>(average:</w:t>
      </w:r>
      <w:r w:rsidR="00515659" w:rsidRPr="00462F98">
        <w:rPr>
          <w:rFonts w:ascii="Times New Roman" w:hAnsi="Times New Roman" w:cs="Times New Roman"/>
          <w:sz w:val="24"/>
          <w:szCs w:val="24"/>
          <w:lang w:val="en-GB"/>
        </w:rPr>
        <w:t xml:space="preserve"> 9.6 years). Bulgaria, Serbia and Greece show </w:t>
      </w:r>
      <w:r w:rsidR="00B118E7" w:rsidRPr="00462F98">
        <w:rPr>
          <w:rFonts w:ascii="Times New Roman" w:hAnsi="Times New Roman" w:cs="Times New Roman"/>
          <w:sz w:val="24"/>
          <w:szCs w:val="24"/>
          <w:lang w:val="en-GB"/>
        </w:rPr>
        <w:t>the three shor</w:t>
      </w:r>
      <w:r w:rsidR="0009342C" w:rsidRPr="00462F98">
        <w:rPr>
          <w:rFonts w:ascii="Times New Roman" w:hAnsi="Times New Roman" w:cs="Times New Roman"/>
          <w:sz w:val="24"/>
          <w:szCs w:val="24"/>
          <w:lang w:val="en-GB"/>
        </w:rPr>
        <w:t>test spells</w:t>
      </w:r>
      <w:r w:rsidR="00515659" w:rsidRPr="00462F98">
        <w:rPr>
          <w:rFonts w:ascii="Times New Roman" w:hAnsi="Times New Roman" w:cs="Times New Roman"/>
          <w:sz w:val="24"/>
          <w:szCs w:val="24"/>
          <w:lang w:val="en-GB"/>
        </w:rPr>
        <w:t>, stabilising</w:t>
      </w:r>
      <w:r w:rsidR="00B118E7" w:rsidRPr="00462F98">
        <w:rPr>
          <w:rFonts w:ascii="Times New Roman" w:hAnsi="Times New Roman" w:cs="Times New Roman"/>
          <w:sz w:val="24"/>
          <w:szCs w:val="24"/>
          <w:lang w:val="en-GB"/>
        </w:rPr>
        <w:t xml:space="preserve"> their exchange-rates </w:t>
      </w:r>
      <w:r w:rsidR="00515659" w:rsidRPr="00462F98">
        <w:rPr>
          <w:rFonts w:ascii="Times New Roman" w:hAnsi="Times New Roman" w:cs="Times New Roman"/>
          <w:sz w:val="24"/>
          <w:szCs w:val="24"/>
          <w:lang w:val="en-GB"/>
        </w:rPr>
        <w:t xml:space="preserve">only </w:t>
      </w:r>
      <w:r w:rsidR="00B118E7" w:rsidRPr="00462F98">
        <w:rPr>
          <w:rFonts w:ascii="Times New Roman" w:hAnsi="Times New Roman" w:cs="Times New Roman"/>
          <w:sz w:val="24"/>
          <w:szCs w:val="24"/>
          <w:lang w:val="en-GB"/>
        </w:rPr>
        <w:t xml:space="preserve">in 1906, 1909 and 1910, respectively. Romania stands out with 22 years from 1890 to </w:t>
      </w:r>
      <w:r w:rsidR="00515659" w:rsidRPr="00462F98">
        <w:rPr>
          <w:rFonts w:ascii="Times New Roman" w:hAnsi="Times New Roman" w:cs="Times New Roman"/>
          <w:sz w:val="24"/>
          <w:szCs w:val="24"/>
          <w:lang w:val="en-GB"/>
        </w:rPr>
        <w:t>1912.</w:t>
      </w:r>
    </w:p>
    <w:p w:rsidR="007B7B74" w:rsidRPr="00462F98" w:rsidRDefault="00462F98" w:rsidP="009F052F">
      <w:pPr>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ab/>
      </w:r>
      <w:r w:rsidR="007B7B74" w:rsidRPr="00462F98">
        <w:rPr>
          <w:rFonts w:ascii="Times New Roman" w:hAnsi="Times New Roman" w:cs="Times New Roman"/>
          <w:color w:val="000000" w:themeColor="text1"/>
          <w:sz w:val="24"/>
          <w:szCs w:val="24"/>
          <w:lang w:val="en-GB"/>
        </w:rPr>
        <w:t xml:space="preserve">SEE </w:t>
      </w:r>
      <w:r w:rsidR="00515659" w:rsidRPr="00462F98">
        <w:rPr>
          <w:rFonts w:ascii="Times New Roman" w:hAnsi="Times New Roman" w:cs="Times New Roman"/>
          <w:color w:val="000000" w:themeColor="text1"/>
          <w:sz w:val="24"/>
          <w:szCs w:val="24"/>
          <w:lang w:val="en-GB"/>
        </w:rPr>
        <w:t xml:space="preserve">also </w:t>
      </w:r>
      <w:r w:rsidR="007B7B74" w:rsidRPr="00462F98">
        <w:rPr>
          <w:rFonts w:ascii="Times New Roman" w:hAnsi="Times New Roman" w:cs="Times New Roman"/>
          <w:color w:val="000000" w:themeColor="text1"/>
          <w:sz w:val="24"/>
          <w:szCs w:val="24"/>
          <w:lang w:val="en-GB"/>
        </w:rPr>
        <w:t xml:space="preserve">shows the shortest </w:t>
      </w:r>
      <w:r w:rsidR="0009342C" w:rsidRPr="00462F98">
        <w:rPr>
          <w:rFonts w:ascii="Times New Roman" w:hAnsi="Times New Roman" w:cs="Times New Roman"/>
          <w:color w:val="000000" w:themeColor="text1"/>
          <w:sz w:val="24"/>
          <w:szCs w:val="24"/>
          <w:lang w:val="en-GB"/>
        </w:rPr>
        <w:t xml:space="preserve">interwar </w:t>
      </w:r>
      <w:r w:rsidR="007B7B74" w:rsidRPr="00462F98">
        <w:rPr>
          <w:rFonts w:ascii="Times New Roman" w:hAnsi="Times New Roman" w:cs="Times New Roman"/>
          <w:color w:val="000000" w:themeColor="text1"/>
          <w:sz w:val="24"/>
          <w:szCs w:val="24"/>
          <w:lang w:val="en-GB"/>
        </w:rPr>
        <w:t xml:space="preserve">adherence </w:t>
      </w:r>
      <w:r w:rsidR="00600543" w:rsidRPr="00462F98">
        <w:rPr>
          <w:rFonts w:ascii="Times New Roman" w:hAnsi="Times New Roman" w:cs="Times New Roman"/>
          <w:color w:val="000000" w:themeColor="text1"/>
          <w:sz w:val="24"/>
          <w:szCs w:val="24"/>
          <w:lang w:val="en-GB"/>
        </w:rPr>
        <w:t>(</w:t>
      </w:r>
      <w:r w:rsidR="00BB331D">
        <w:rPr>
          <w:rFonts w:ascii="Times New Roman" w:hAnsi="Times New Roman" w:cs="Times New Roman"/>
          <w:color w:val="000000" w:themeColor="text1"/>
          <w:sz w:val="24"/>
          <w:szCs w:val="24"/>
          <w:lang w:val="en-GB"/>
        </w:rPr>
        <w:t xml:space="preserve">average: </w:t>
      </w:r>
      <w:r w:rsidR="00600543" w:rsidRPr="00462F98">
        <w:rPr>
          <w:rFonts w:ascii="Times New Roman" w:hAnsi="Times New Roman" w:cs="Times New Roman"/>
          <w:color w:val="000000" w:themeColor="text1"/>
          <w:sz w:val="24"/>
          <w:szCs w:val="24"/>
          <w:lang w:val="en-GB"/>
        </w:rPr>
        <w:t>2</w:t>
      </w:r>
      <w:r w:rsidR="0009342C" w:rsidRPr="00462F98">
        <w:rPr>
          <w:rFonts w:ascii="Times New Roman" w:hAnsi="Times New Roman" w:cs="Times New Roman"/>
          <w:color w:val="000000" w:themeColor="text1"/>
          <w:sz w:val="24"/>
          <w:szCs w:val="24"/>
          <w:lang w:val="en-GB"/>
        </w:rPr>
        <w:t>.5</w:t>
      </w:r>
      <w:r w:rsidR="00600543" w:rsidRPr="00462F98">
        <w:rPr>
          <w:rFonts w:ascii="Times New Roman" w:hAnsi="Times New Roman" w:cs="Times New Roman"/>
          <w:color w:val="000000" w:themeColor="text1"/>
          <w:sz w:val="24"/>
          <w:szCs w:val="24"/>
          <w:lang w:val="en-GB"/>
        </w:rPr>
        <w:t xml:space="preserve"> years</w:t>
      </w:r>
      <w:r w:rsidR="007B7B74" w:rsidRPr="00462F98">
        <w:rPr>
          <w:rFonts w:ascii="Times New Roman" w:hAnsi="Times New Roman" w:cs="Times New Roman"/>
          <w:color w:val="000000" w:themeColor="text1"/>
          <w:sz w:val="24"/>
          <w:szCs w:val="24"/>
          <w:lang w:val="en-GB"/>
        </w:rPr>
        <w:t>)</w:t>
      </w:r>
      <w:r w:rsidR="00DC4C4A" w:rsidRPr="00462F98">
        <w:rPr>
          <w:rFonts w:ascii="Times New Roman" w:hAnsi="Times New Roman" w:cs="Times New Roman"/>
          <w:color w:val="000000" w:themeColor="text1"/>
          <w:sz w:val="24"/>
          <w:szCs w:val="24"/>
          <w:lang w:val="en-GB"/>
        </w:rPr>
        <w:t>, followed by Southern Europe</w:t>
      </w:r>
      <w:r w:rsidR="007B7B74" w:rsidRPr="00462F98">
        <w:rPr>
          <w:rFonts w:ascii="Times New Roman" w:hAnsi="Times New Roman" w:cs="Times New Roman"/>
          <w:color w:val="000000" w:themeColor="text1"/>
          <w:sz w:val="24"/>
          <w:szCs w:val="24"/>
          <w:lang w:val="en-GB"/>
        </w:rPr>
        <w:t xml:space="preserve">. </w:t>
      </w:r>
      <w:r w:rsidR="00B118E7" w:rsidRPr="00462F98">
        <w:rPr>
          <w:rFonts w:ascii="Times New Roman" w:hAnsi="Times New Roman" w:cs="Times New Roman"/>
          <w:color w:val="000000" w:themeColor="text1"/>
          <w:sz w:val="24"/>
          <w:szCs w:val="24"/>
          <w:lang w:val="en-GB"/>
        </w:rPr>
        <w:t xml:space="preserve">If the benchmark is exchange-rate stabilisation instead of convertibility, </w:t>
      </w:r>
      <w:r w:rsidR="007B7B74" w:rsidRPr="00462F98">
        <w:rPr>
          <w:rFonts w:ascii="Times New Roman" w:hAnsi="Times New Roman" w:cs="Times New Roman"/>
          <w:color w:val="000000" w:themeColor="text1"/>
          <w:sz w:val="24"/>
          <w:szCs w:val="24"/>
          <w:lang w:val="en-GB"/>
        </w:rPr>
        <w:t>both regions change positions</w:t>
      </w:r>
      <w:r w:rsidR="00A766E9" w:rsidRPr="00462F98">
        <w:rPr>
          <w:rFonts w:ascii="Times New Roman" w:hAnsi="Times New Roman" w:cs="Times New Roman"/>
          <w:color w:val="000000" w:themeColor="text1"/>
          <w:sz w:val="24"/>
          <w:szCs w:val="24"/>
          <w:lang w:val="en-GB"/>
        </w:rPr>
        <w:t>, but</w:t>
      </w:r>
      <w:r w:rsidR="00DC4C4A" w:rsidRPr="00462F98">
        <w:rPr>
          <w:rFonts w:ascii="Times New Roman" w:hAnsi="Times New Roman" w:cs="Times New Roman"/>
          <w:color w:val="000000" w:themeColor="text1"/>
          <w:sz w:val="24"/>
          <w:szCs w:val="24"/>
          <w:lang w:val="en-GB"/>
        </w:rPr>
        <w:t xml:space="preserve"> on both</w:t>
      </w:r>
      <w:r w:rsidR="007B7B74" w:rsidRPr="00462F98">
        <w:rPr>
          <w:rFonts w:ascii="Times New Roman" w:hAnsi="Times New Roman" w:cs="Times New Roman"/>
          <w:color w:val="000000" w:themeColor="text1"/>
          <w:sz w:val="24"/>
          <w:szCs w:val="24"/>
          <w:lang w:val="en-GB"/>
        </w:rPr>
        <w:t xml:space="preserve"> account</w:t>
      </w:r>
      <w:r w:rsidR="00DC4C4A" w:rsidRPr="00462F98">
        <w:rPr>
          <w:rFonts w:ascii="Times New Roman" w:hAnsi="Times New Roman" w:cs="Times New Roman"/>
          <w:color w:val="000000" w:themeColor="text1"/>
          <w:sz w:val="24"/>
          <w:szCs w:val="24"/>
          <w:lang w:val="en-GB"/>
        </w:rPr>
        <w:t>s the two</w:t>
      </w:r>
      <w:r w:rsidR="007B7B74" w:rsidRPr="00462F98">
        <w:rPr>
          <w:rFonts w:ascii="Times New Roman" w:hAnsi="Times New Roman" w:cs="Times New Roman"/>
          <w:color w:val="000000" w:themeColor="text1"/>
          <w:sz w:val="24"/>
          <w:szCs w:val="24"/>
          <w:lang w:val="en-GB"/>
        </w:rPr>
        <w:t xml:space="preserve"> </w:t>
      </w:r>
      <w:r w:rsidR="00B118E7" w:rsidRPr="00462F98">
        <w:rPr>
          <w:rFonts w:ascii="Times New Roman" w:hAnsi="Times New Roman" w:cs="Times New Roman"/>
          <w:color w:val="000000" w:themeColor="text1"/>
          <w:sz w:val="24"/>
          <w:szCs w:val="24"/>
          <w:lang w:val="en-GB"/>
        </w:rPr>
        <w:t xml:space="preserve">regions </w:t>
      </w:r>
      <w:r w:rsidR="007B7B74" w:rsidRPr="00462F98">
        <w:rPr>
          <w:rFonts w:ascii="Times New Roman" w:hAnsi="Times New Roman" w:cs="Times New Roman"/>
          <w:color w:val="000000" w:themeColor="text1"/>
          <w:sz w:val="24"/>
          <w:szCs w:val="24"/>
          <w:lang w:val="en-GB"/>
        </w:rPr>
        <w:t xml:space="preserve">trail Western Europe, the Nordic countries and even </w:t>
      </w:r>
      <w:r w:rsidR="00B118E7" w:rsidRPr="00462F98">
        <w:rPr>
          <w:rFonts w:ascii="Times New Roman" w:hAnsi="Times New Roman" w:cs="Times New Roman"/>
          <w:color w:val="000000" w:themeColor="text1"/>
          <w:sz w:val="24"/>
          <w:szCs w:val="24"/>
          <w:lang w:val="en-GB"/>
        </w:rPr>
        <w:t xml:space="preserve">the newly independent </w:t>
      </w:r>
      <w:r w:rsidR="00DC4C4A" w:rsidRPr="00462F98">
        <w:rPr>
          <w:rFonts w:ascii="Times New Roman" w:hAnsi="Times New Roman" w:cs="Times New Roman"/>
          <w:color w:val="000000" w:themeColor="text1"/>
          <w:sz w:val="24"/>
          <w:szCs w:val="24"/>
          <w:lang w:val="en-GB"/>
        </w:rPr>
        <w:t xml:space="preserve">Central European </w:t>
      </w:r>
      <w:r w:rsidR="00B118E7" w:rsidRPr="00462F98">
        <w:rPr>
          <w:rFonts w:ascii="Times New Roman" w:hAnsi="Times New Roman" w:cs="Times New Roman"/>
          <w:color w:val="000000" w:themeColor="text1"/>
          <w:sz w:val="24"/>
          <w:szCs w:val="24"/>
          <w:lang w:val="en-GB"/>
        </w:rPr>
        <w:t>countries</w:t>
      </w:r>
      <w:r w:rsidR="007B7B74" w:rsidRPr="00462F98">
        <w:rPr>
          <w:rFonts w:ascii="Times New Roman" w:hAnsi="Times New Roman" w:cs="Times New Roman"/>
          <w:color w:val="000000" w:themeColor="text1"/>
          <w:sz w:val="24"/>
          <w:szCs w:val="24"/>
          <w:lang w:val="en-GB"/>
        </w:rPr>
        <w:t xml:space="preserve">. </w:t>
      </w:r>
    </w:p>
    <w:p w:rsidR="00B118E7" w:rsidRPr="00462F98" w:rsidRDefault="00462F98" w:rsidP="009F052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7D3F62" w:rsidRPr="00462F98">
        <w:rPr>
          <w:rFonts w:ascii="Times New Roman" w:hAnsi="Times New Roman" w:cs="Times New Roman"/>
          <w:sz w:val="24"/>
          <w:szCs w:val="24"/>
          <w:lang w:val="en-GB"/>
        </w:rPr>
        <w:t>The</w:t>
      </w:r>
      <w:r w:rsidR="00055C0F" w:rsidRPr="00462F98">
        <w:rPr>
          <w:rFonts w:ascii="Times New Roman" w:hAnsi="Times New Roman" w:cs="Times New Roman"/>
          <w:sz w:val="24"/>
          <w:szCs w:val="24"/>
          <w:lang w:val="en-GB"/>
        </w:rPr>
        <w:t xml:space="preserve"> </w:t>
      </w:r>
      <w:r w:rsidR="00B118E7" w:rsidRPr="00462F98">
        <w:rPr>
          <w:rFonts w:ascii="Times New Roman" w:hAnsi="Times New Roman" w:cs="Times New Roman"/>
          <w:sz w:val="24"/>
          <w:szCs w:val="24"/>
          <w:lang w:val="en-GB"/>
        </w:rPr>
        <w:t xml:space="preserve">SEE countries depreciated their currencies against pre-war parity more strongly than </w:t>
      </w:r>
      <w:r w:rsidR="00055C0F" w:rsidRPr="00462F98">
        <w:rPr>
          <w:rFonts w:ascii="Times New Roman" w:hAnsi="Times New Roman" w:cs="Times New Roman"/>
          <w:sz w:val="24"/>
          <w:szCs w:val="24"/>
          <w:lang w:val="en-GB"/>
        </w:rPr>
        <w:t>else</w:t>
      </w:r>
      <w:r w:rsidR="00515659" w:rsidRPr="00462F98">
        <w:rPr>
          <w:rFonts w:ascii="Times New Roman" w:hAnsi="Times New Roman" w:cs="Times New Roman"/>
          <w:sz w:val="24"/>
          <w:szCs w:val="24"/>
          <w:lang w:val="en-GB"/>
        </w:rPr>
        <w:t>where</w:t>
      </w:r>
      <w:r w:rsidR="00055C0F" w:rsidRPr="00462F98">
        <w:rPr>
          <w:rFonts w:ascii="Times New Roman" w:hAnsi="Times New Roman" w:cs="Times New Roman"/>
          <w:sz w:val="24"/>
          <w:szCs w:val="24"/>
          <w:lang w:val="en-GB"/>
        </w:rPr>
        <w:t xml:space="preserve"> </w:t>
      </w:r>
      <w:r w:rsidR="00B118E7" w:rsidRPr="00462F98">
        <w:rPr>
          <w:rFonts w:ascii="Times New Roman" w:hAnsi="Times New Roman" w:cs="Times New Roman"/>
          <w:sz w:val="24"/>
          <w:szCs w:val="24"/>
          <w:lang w:val="en-GB"/>
        </w:rPr>
        <w:t>in Europe</w:t>
      </w:r>
      <w:r w:rsidR="00902458" w:rsidRPr="00462F98">
        <w:rPr>
          <w:rFonts w:ascii="Times New Roman" w:hAnsi="Times New Roman" w:cs="Times New Roman"/>
          <w:sz w:val="24"/>
          <w:szCs w:val="24"/>
          <w:lang w:val="en-GB"/>
        </w:rPr>
        <w:t xml:space="preserve"> (table 1, column 5)</w:t>
      </w:r>
      <w:r w:rsidR="00B118E7" w:rsidRPr="00462F98">
        <w:rPr>
          <w:rFonts w:ascii="Times New Roman" w:hAnsi="Times New Roman" w:cs="Times New Roman"/>
          <w:sz w:val="24"/>
          <w:szCs w:val="24"/>
          <w:lang w:val="en-GB"/>
        </w:rPr>
        <w:t xml:space="preserve">. </w:t>
      </w:r>
      <w:r w:rsidR="00515659" w:rsidRPr="00462F98">
        <w:rPr>
          <w:rFonts w:ascii="Times New Roman" w:hAnsi="Times New Roman" w:cs="Times New Roman"/>
          <w:sz w:val="24"/>
          <w:szCs w:val="24"/>
          <w:lang w:val="en-GB"/>
        </w:rPr>
        <w:t xml:space="preserve">Such devaluation </w:t>
      </w:r>
      <w:r w:rsidR="00B118E7" w:rsidRPr="00462F98">
        <w:rPr>
          <w:rFonts w:ascii="Times New Roman" w:hAnsi="Times New Roman" w:cs="Times New Roman"/>
          <w:sz w:val="24"/>
          <w:szCs w:val="24"/>
          <w:lang w:val="en-GB"/>
        </w:rPr>
        <w:t xml:space="preserve">did not necessarily </w:t>
      </w:r>
      <w:r w:rsidR="00515659" w:rsidRPr="00462F98">
        <w:rPr>
          <w:rFonts w:ascii="Times New Roman" w:hAnsi="Times New Roman" w:cs="Times New Roman"/>
          <w:sz w:val="24"/>
          <w:szCs w:val="24"/>
          <w:lang w:val="en-GB"/>
        </w:rPr>
        <w:t xml:space="preserve">imply short adherence or </w:t>
      </w:r>
      <w:r w:rsidR="00B118E7" w:rsidRPr="00462F98">
        <w:rPr>
          <w:rFonts w:ascii="Times New Roman" w:hAnsi="Times New Roman" w:cs="Times New Roman"/>
          <w:sz w:val="24"/>
          <w:szCs w:val="24"/>
          <w:lang w:val="en-GB"/>
        </w:rPr>
        <w:t xml:space="preserve">poor </w:t>
      </w:r>
      <w:r w:rsidR="00662855" w:rsidRPr="00462F98">
        <w:rPr>
          <w:rFonts w:ascii="Times New Roman" w:hAnsi="Times New Roman" w:cs="Times New Roman"/>
          <w:sz w:val="24"/>
          <w:szCs w:val="24"/>
          <w:lang w:val="en-GB"/>
        </w:rPr>
        <w:t xml:space="preserve">interwar </w:t>
      </w:r>
      <w:r w:rsidR="00B118E7" w:rsidRPr="00462F98">
        <w:rPr>
          <w:rFonts w:ascii="Times New Roman" w:hAnsi="Times New Roman" w:cs="Times New Roman"/>
          <w:sz w:val="24"/>
          <w:szCs w:val="24"/>
          <w:lang w:val="en-GB"/>
        </w:rPr>
        <w:t>performance; in</w:t>
      </w:r>
      <w:r w:rsidR="00055C0F" w:rsidRPr="00462F98">
        <w:rPr>
          <w:rFonts w:ascii="Times New Roman" w:hAnsi="Times New Roman" w:cs="Times New Roman"/>
          <w:sz w:val="24"/>
          <w:szCs w:val="24"/>
          <w:lang w:val="en-GB"/>
        </w:rPr>
        <w:t xml:space="preserve"> </w:t>
      </w:r>
      <w:r w:rsidR="00B118E7" w:rsidRPr="00462F98">
        <w:rPr>
          <w:rFonts w:ascii="Times New Roman" w:hAnsi="Times New Roman" w:cs="Times New Roman"/>
          <w:sz w:val="24"/>
          <w:szCs w:val="24"/>
          <w:lang w:val="en-GB"/>
        </w:rPr>
        <w:t xml:space="preserve">France </w:t>
      </w:r>
      <w:r w:rsidR="00055C0F" w:rsidRPr="00462F98">
        <w:rPr>
          <w:rFonts w:ascii="Times New Roman" w:hAnsi="Times New Roman" w:cs="Times New Roman"/>
          <w:sz w:val="24"/>
          <w:szCs w:val="24"/>
          <w:lang w:val="en-GB"/>
        </w:rPr>
        <w:t xml:space="preserve">it has been argued that this </w:t>
      </w:r>
      <w:r w:rsidR="00B118E7" w:rsidRPr="00462F98">
        <w:rPr>
          <w:rFonts w:ascii="Times New Roman" w:hAnsi="Times New Roman" w:cs="Times New Roman"/>
          <w:sz w:val="24"/>
          <w:szCs w:val="24"/>
          <w:lang w:val="en-GB"/>
        </w:rPr>
        <w:t xml:space="preserve">made the gold link more bearable </w:t>
      </w:r>
      <w:r w:rsidR="00E669B1" w:rsidRPr="00462F98">
        <w:rPr>
          <w:rFonts w:ascii="Times New Roman" w:hAnsi="Times New Roman" w:cs="Times New Roman"/>
          <w:color w:val="000000" w:themeColor="text1"/>
          <w:sz w:val="24"/>
          <w:szCs w:val="24"/>
          <w:lang w:val="en-GB"/>
        </w:rPr>
        <w:t>(</w:t>
      </w:r>
      <w:proofErr w:type="spellStart"/>
      <w:r w:rsidR="00E669B1" w:rsidRPr="00462F98">
        <w:rPr>
          <w:rFonts w:ascii="Times New Roman" w:hAnsi="Times New Roman" w:cs="Times New Roman"/>
          <w:color w:val="000000" w:themeColor="text1"/>
          <w:sz w:val="24"/>
          <w:szCs w:val="24"/>
          <w:lang w:val="en-GB"/>
        </w:rPr>
        <w:t>Eichengreen</w:t>
      </w:r>
      <w:proofErr w:type="spellEnd"/>
      <w:r w:rsidR="00E669B1" w:rsidRPr="00462F98">
        <w:rPr>
          <w:rFonts w:ascii="Times New Roman" w:hAnsi="Times New Roman" w:cs="Times New Roman"/>
          <w:color w:val="000000" w:themeColor="text1"/>
          <w:sz w:val="24"/>
          <w:szCs w:val="24"/>
          <w:lang w:val="en-GB"/>
        </w:rPr>
        <w:t xml:space="preserve"> 1996</w:t>
      </w:r>
      <w:r w:rsidR="00600543" w:rsidRPr="00462F98">
        <w:rPr>
          <w:rFonts w:ascii="Times New Roman" w:hAnsi="Times New Roman" w:cs="Times New Roman"/>
          <w:color w:val="000000" w:themeColor="text1"/>
          <w:sz w:val="24"/>
          <w:szCs w:val="24"/>
          <w:lang w:val="en-GB"/>
        </w:rPr>
        <w:t>: 49-55</w:t>
      </w:r>
      <w:r w:rsidR="00DB0F7B" w:rsidRPr="00462F98">
        <w:rPr>
          <w:rFonts w:ascii="Times New Roman" w:hAnsi="Times New Roman" w:cs="Times New Roman"/>
          <w:color w:val="000000" w:themeColor="text1"/>
          <w:sz w:val="24"/>
          <w:szCs w:val="24"/>
          <w:lang w:val="en-GB"/>
        </w:rPr>
        <w:t>)</w:t>
      </w:r>
      <w:r w:rsidR="00B118E7" w:rsidRPr="00462F98">
        <w:rPr>
          <w:rFonts w:ascii="Times New Roman" w:hAnsi="Times New Roman" w:cs="Times New Roman"/>
          <w:color w:val="000000" w:themeColor="text1"/>
          <w:sz w:val="24"/>
          <w:szCs w:val="24"/>
          <w:lang w:val="en-GB"/>
        </w:rPr>
        <w:t>.</w:t>
      </w:r>
      <w:r w:rsidR="00DB0F7B" w:rsidRPr="00462F98">
        <w:rPr>
          <w:rFonts w:ascii="Times New Roman" w:hAnsi="Times New Roman" w:cs="Times New Roman"/>
          <w:color w:val="000000" w:themeColor="text1"/>
          <w:sz w:val="24"/>
          <w:szCs w:val="24"/>
          <w:lang w:val="en-GB"/>
        </w:rPr>
        <w:t xml:space="preserve"> </w:t>
      </w:r>
      <w:r w:rsidR="00515659" w:rsidRPr="00462F98">
        <w:rPr>
          <w:rFonts w:ascii="Times New Roman" w:hAnsi="Times New Roman" w:cs="Times New Roman"/>
          <w:color w:val="000000" w:themeColor="text1"/>
          <w:sz w:val="24"/>
          <w:szCs w:val="24"/>
          <w:lang w:val="en-GB"/>
        </w:rPr>
        <w:t xml:space="preserve">Yet </w:t>
      </w:r>
      <w:r w:rsidR="00515659" w:rsidRPr="00462F98">
        <w:rPr>
          <w:rFonts w:ascii="Times New Roman" w:hAnsi="Times New Roman" w:cs="Times New Roman"/>
          <w:sz w:val="24"/>
          <w:szCs w:val="24"/>
          <w:lang w:val="en-GB"/>
        </w:rPr>
        <w:t xml:space="preserve">high depreciation </w:t>
      </w:r>
      <w:r w:rsidR="005344D2" w:rsidRPr="00462F98">
        <w:rPr>
          <w:rFonts w:ascii="Times New Roman" w:hAnsi="Times New Roman" w:cs="Times New Roman"/>
          <w:sz w:val="24"/>
          <w:szCs w:val="24"/>
          <w:lang w:val="en-GB"/>
        </w:rPr>
        <w:t>suggest</w:t>
      </w:r>
      <w:r w:rsidR="00973815" w:rsidRPr="00462F98">
        <w:rPr>
          <w:rFonts w:ascii="Times New Roman" w:hAnsi="Times New Roman" w:cs="Times New Roman"/>
          <w:sz w:val="24"/>
          <w:szCs w:val="24"/>
          <w:lang w:val="en-GB"/>
        </w:rPr>
        <w:t>s</w:t>
      </w:r>
      <w:r w:rsidR="005344D2" w:rsidRPr="00462F98">
        <w:rPr>
          <w:rFonts w:ascii="Times New Roman" w:hAnsi="Times New Roman" w:cs="Times New Roman"/>
          <w:sz w:val="24"/>
          <w:szCs w:val="24"/>
          <w:lang w:val="en-GB"/>
        </w:rPr>
        <w:t xml:space="preserve"> </w:t>
      </w:r>
      <w:r w:rsidR="00515659" w:rsidRPr="00462F98">
        <w:rPr>
          <w:rFonts w:ascii="Times New Roman" w:hAnsi="Times New Roman" w:cs="Times New Roman"/>
          <w:sz w:val="24"/>
          <w:szCs w:val="24"/>
          <w:lang w:val="en-GB"/>
        </w:rPr>
        <w:t xml:space="preserve">that </w:t>
      </w:r>
      <w:r w:rsidR="00973815" w:rsidRPr="00462F98">
        <w:rPr>
          <w:rFonts w:ascii="Times New Roman" w:hAnsi="Times New Roman" w:cs="Times New Roman"/>
          <w:sz w:val="24"/>
          <w:szCs w:val="24"/>
          <w:lang w:val="en-GB"/>
        </w:rPr>
        <w:t xml:space="preserve">the </w:t>
      </w:r>
      <w:r w:rsidR="00515659" w:rsidRPr="00462F98">
        <w:rPr>
          <w:rFonts w:ascii="Times New Roman" w:hAnsi="Times New Roman" w:cs="Times New Roman"/>
          <w:color w:val="000000" w:themeColor="text1"/>
          <w:sz w:val="24"/>
          <w:szCs w:val="24"/>
          <w:lang w:val="en-GB"/>
        </w:rPr>
        <w:t>printing press</w:t>
      </w:r>
      <w:r w:rsidR="00515659" w:rsidRPr="00462F98">
        <w:rPr>
          <w:rFonts w:ascii="Times New Roman" w:hAnsi="Times New Roman" w:cs="Times New Roman"/>
          <w:sz w:val="24"/>
          <w:szCs w:val="24"/>
          <w:lang w:val="en-GB"/>
        </w:rPr>
        <w:t xml:space="preserve"> </w:t>
      </w:r>
      <w:r w:rsidR="00005181">
        <w:rPr>
          <w:rFonts w:ascii="Times New Roman" w:hAnsi="Times New Roman" w:cs="Times New Roman"/>
          <w:sz w:val="24"/>
          <w:szCs w:val="24"/>
          <w:lang w:val="en-GB"/>
        </w:rPr>
        <w:t xml:space="preserve">was </w:t>
      </w:r>
      <w:r w:rsidR="00733929" w:rsidRPr="00462F98">
        <w:rPr>
          <w:rFonts w:ascii="Times New Roman" w:hAnsi="Times New Roman" w:cs="Times New Roman"/>
          <w:sz w:val="24"/>
          <w:szCs w:val="24"/>
          <w:lang w:val="en-GB"/>
        </w:rPr>
        <w:t xml:space="preserve">important in </w:t>
      </w:r>
      <w:r w:rsidR="007D3F62" w:rsidRPr="00462F98">
        <w:rPr>
          <w:rFonts w:ascii="Times New Roman" w:hAnsi="Times New Roman" w:cs="Times New Roman"/>
          <w:sz w:val="24"/>
          <w:szCs w:val="24"/>
          <w:lang w:val="en-GB"/>
        </w:rPr>
        <w:t xml:space="preserve">financing </w:t>
      </w:r>
      <w:r w:rsidR="00751DA4" w:rsidRPr="00462F98">
        <w:rPr>
          <w:rFonts w:ascii="Times New Roman" w:hAnsi="Times New Roman" w:cs="Times New Roman"/>
          <w:sz w:val="24"/>
          <w:szCs w:val="24"/>
          <w:lang w:val="en-GB"/>
        </w:rPr>
        <w:t>WW1</w:t>
      </w:r>
      <w:r w:rsidR="00733929" w:rsidRPr="00462F98">
        <w:rPr>
          <w:rFonts w:ascii="Times New Roman" w:hAnsi="Times New Roman" w:cs="Times New Roman"/>
          <w:sz w:val="24"/>
          <w:szCs w:val="24"/>
          <w:lang w:val="en-GB"/>
        </w:rPr>
        <w:t>.</w:t>
      </w:r>
      <w:r w:rsidR="00DB0F7B" w:rsidRPr="00462F98">
        <w:rPr>
          <w:rFonts w:ascii="Times New Roman" w:hAnsi="Times New Roman" w:cs="Times New Roman"/>
          <w:sz w:val="24"/>
          <w:szCs w:val="24"/>
          <w:lang w:val="en-GB"/>
        </w:rPr>
        <w:t xml:space="preserve"> </w:t>
      </w:r>
    </w:p>
    <w:p w:rsidR="007E7368" w:rsidRPr="00462F98" w:rsidRDefault="007E7368" w:rsidP="009F052F">
      <w:pPr>
        <w:spacing w:after="0" w:line="360" w:lineRule="auto"/>
        <w:jc w:val="both"/>
        <w:rPr>
          <w:rFonts w:ascii="Times New Roman" w:hAnsi="Times New Roman" w:cs="Times New Roman"/>
          <w:sz w:val="24"/>
          <w:szCs w:val="24"/>
          <w:lang w:val="en-GB"/>
        </w:rPr>
      </w:pPr>
    </w:p>
    <w:p w:rsidR="00587C0E" w:rsidRPr="00462F98" w:rsidRDefault="00587C0E" w:rsidP="009F052F">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sz w:val="24"/>
          <w:szCs w:val="24"/>
          <w:lang w:val="en-GB"/>
        </w:rPr>
        <w:t xml:space="preserve"> </w:t>
      </w:r>
      <w:r w:rsidR="00427F5C" w:rsidRPr="00462F98">
        <w:rPr>
          <w:rFonts w:ascii="Times New Roman" w:hAnsi="Times New Roman" w:cs="Times New Roman"/>
          <w:b/>
          <w:sz w:val="24"/>
          <w:szCs w:val="24"/>
          <w:lang w:val="en-GB"/>
        </w:rPr>
        <w:t xml:space="preserve">2.2 </w:t>
      </w:r>
      <w:r w:rsidR="00415E9A" w:rsidRPr="00462F98">
        <w:rPr>
          <w:rFonts w:ascii="Times New Roman" w:hAnsi="Times New Roman" w:cs="Times New Roman"/>
          <w:b/>
          <w:sz w:val="24"/>
          <w:szCs w:val="24"/>
          <w:lang w:val="en-GB"/>
        </w:rPr>
        <w:t>Performance under gold</w:t>
      </w:r>
    </w:p>
    <w:p w:rsidR="00427F5C" w:rsidRPr="00462F98" w:rsidRDefault="00415E9A" w:rsidP="00733929">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Two </w:t>
      </w:r>
      <w:r w:rsidR="00427F5C" w:rsidRPr="00462F98">
        <w:rPr>
          <w:rFonts w:ascii="Times New Roman" w:hAnsi="Times New Roman" w:cs="Times New Roman"/>
          <w:sz w:val="24"/>
          <w:szCs w:val="24"/>
          <w:lang w:val="en-GB"/>
        </w:rPr>
        <w:t xml:space="preserve">important indicators are long-term </w:t>
      </w:r>
      <w:r w:rsidRPr="00462F98">
        <w:rPr>
          <w:rFonts w:ascii="Times New Roman" w:hAnsi="Times New Roman" w:cs="Times New Roman"/>
          <w:sz w:val="24"/>
          <w:szCs w:val="24"/>
          <w:lang w:val="en-GB"/>
        </w:rPr>
        <w:t>and</w:t>
      </w:r>
      <w:r w:rsidR="00427F5C" w:rsidRPr="00462F98">
        <w:rPr>
          <w:rFonts w:ascii="Times New Roman" w:hAnsi="Times New Roman" w:cs="Times New Roman"/>
          <w:sz w:val="24"/>
          <w:szCs w:val="24"/>
          <w:lang w:val="en-GB"/>
        </w:rPr>
        <w:t xml:space="preserve"> short-term interest rates. </w:t>
      </w:r>
      <w:r w:rsidR="00973815" w:rsidRPr="00462F98">
        <w:rPr>
          <w:rFonts w:ascii="Times New Roman" w:hAnsi="Times New Roman" w:cs="Times New Roman"/>
          <w:sz w:val="24"/>
          <w:szCs w:val="24"/>
          <w:lang w:val="en-GB"/>
        </w:rPr>
        <w:t>Gold standard members hoped for lower borrowing costs (</w:t>
      </w:r>
      <w:proofErr w:type="spellStart"/>
      <w:r w:rsidR="00973815" w:rsidRPr="00462F98">
        <w:rPr>
          <w:rFonts w:ascii="Times New Roman" w:hAnsi="Times New Roman" w:cs="Times New Roman"/>
          <w:sz w:val="24"/>
          <w:szCs w:val="24"/>
          <w:lang w:val="en-GB"/>
        </w:rPr>
        <w:t>Bordo&amp;Rockoff</w:t>
      </w:r>
      <w:proofErr w:type="spellEnd"/>
      <w:r w:rsidR="00973815" w:rsidRPr="00462F98">
        <w:rPr>
          <w:rFonts w:ascii="Times New Roman" w:hAnsi="Times New Roman" w:cs="Times New Roman"/>
          <w:sz w:val="24"/>
          <w:szCs w:val="24"/>
          <w:lang w:val="en-GB"/>
        </w:rPr>
        <w:t xml:space="preserve"> 1996), though expectations were not always fulfilled (</w:t>
      </w:r>
      <w:proofErr w:type="spellStart"/>
      <w:r w:rsidR="00973815" w:rsidRPr="00462F98">
        <w:rPr>
          <w:rFonts w:ascii="Times New Roman" w:hAnsi="Times New Roman" w:cs="Times New Roman"/>
          <w:sz w:val="24"/>
          <w:szCs w:val="24"/>
          <w:lang w:val="en-GB"/>
        </w:rPr>
        <w:t>Ferguso</w:t>
      </w:r>
      <w:r w:rsidR="00662855" w:rsidRPr="00462F98">
        <w:rPr>
          <w:rFonts w:ascii="Times New Roman" w:hAnsi="Times New Roman" w:cs="Times New Roman"/>
          <w:sz w:val="24"/>
          <w:szCs w:val="24"/>
          <w:lang w:val="en-GB"/>
        </w:rPr>
        <w:t>n&amp;Schularick</w:t>
      </w:r>
      <w:proofErr w:type="spellEnd"/>
      <w:r w:rsidR="00662855" w:rsidRPr="00462F98">
        <w:rPr>
          <w:rFonts w:ascii="Times New Roman" w:hAnsi="Times New Roman" w:cs="Times New Roman"/>
          <w:sz w:val="24"/>
          <w:szCs w:val="24"/>
          <w:lang w:val="en-GB"/>
        </w:rPr>
        <w:t xml:space="preserve"> 2012). Y</w:t>
      </w:r>
      <w:r w:rsidR="00973815" w:rsidRPr="00462F98">
        <w:rPr>
          <w:rFonts w:ascii="Times New Roman" w:hAnsi="Times New Roman" w:cs="Times New Roman"/>
          <w:sz w:val="24"/>
          <w:szCs w:val="24"/>
          <w:lang w:val="en-GB"/>
        </w:rPr>
        <w:t xml:space="preserve">ields </w:t>
      </w:r>
      <w:r w:rsidR="00733929" w:rsidRPr="00462F98">
        <w:rPr>
          <w:rFonts w:ascii="Times New Roman" w:hAnsi="Times New Roman" w:cs="Times New Roman"/>
          <w:sz w:val="24"/>
          <w:szCs w:val="24"/>
          <w:lang w:val="en-GB"/>
        </w:rPr>
        <w:t xml:space="preserve">remained </w:t>
      </w:r>
      <w:r w:rsidR="007D3F62" w:rsidRPr="00462F98">
        <w:rPr>
          <w:rFonts w:ascii="Times New Roman" w:hAnsi="Times New Roman" w:cs="Times New Roman"/>
          <w:sz w:val="24"/>
          <w:szCs w:val="24"/>
          <w:lang w:val="en-GB"/>
        </w:rPr>
        <w:t>distinctly elevated in SEE</w:t>
      </w:r>
      <w:r w:rsidR="00733929" w:rsidRPr="00462F98">
        <w:rPr>
          <w:rFonts w:ascii="Times New Roman" w:hAnsi="Times New Roman" w:cs="Times New Roman"/>
          <w:sz w:val="24"/>
          <w:szCs w:val="24"/>
          <w:lang w:val="en-GB"/>
        </w:rPr>
        <w:t xml:space="preserve">, exhibiting </w:t>
      </w:r>
      <w:r w:rsidR="00973815" w:rsidRPr="00462F98">
        <w:rPr>
          <w:rFonts w:ascii="Times New Roman" w:hAnsi="Times New Roman" w:cs="Times New Roman"/>
          <w:sz w:val="24"/>
          <w:szCs w:val="24"/>
          <w:lang w:val="en-GB"/>
        </w:rPr>
        <w:t>the highest value</w:t>
      </w:r>
      <w:r w:rsidRPr="00462F98">
        <w:rPr>
          <w:rFonts w:ascii="Times New Roman" w:hAnsi="Times New Roman" w:cs="Times New Roman"/>
          <w:sz w:val="24"/>
          <w:szCs w:val="24"/>
          <w:lang w:val="en-GB"/>
        </w:rPr>
        <w:t xml:space="preserve"> of all Europe</w:t>
      </w:r>
      <w:r w:rsidR="005344D2" w:rsidRPr="00462F98">
        <w:rPr>
          <w:rFonts w:ascii="Times New Roman" w:hAnsi="Times New Roman" w:cs="Times New Roman"/>
          <w:sz w:val="24"/>
          <w:szCs w:val="24"/>
          <w:lang w:val="en-GB"/>
        </w:rPr>
        <w:t>an countries</w:t>
      </w:r>
      <w:r w:rsidR="00733929" w:rsidRPr="00462F98">
        <w:rPr>
          <w:rFonts w:ascii="Times New Roman" w:hAnsi="Times New Roman" w:cs="Times New Roman"/>
          <w:sz w:val="24"/>
          <w:szCs w:val="24"/>
          <w:lang w:val="en-GB"/>
        </w:rPr>
        <w:t xml:space="preserve"> in both periods</w:t>
      </w:r>
      <w:r w:rsidRPr="00462F98">
        <w:rPr>
          <w:rFonts w:ascii="Times New Roman" w:hAnsi="Times New Roman" w:cs="Times New Roman"/>
          <w:sz w:val="24"/>
          <w:szCs w:val="24"/>
          <w:lang w:val="en-GB"/>
        </w:rPr>
        <w:t xml:space="preserve">. </w:t>
      </w:r>
    </w:p>
    <w:p w:rsidR="00055C0F" w:rsidRPr="00462F98" w:rsidRDefault="00055C0F" w:rsidP="009F052F">
      <w:pPr>
        <w:spacing w:after="0" w:line="360" w:lineRule="auto"/>
        <w:jc w:val="both"/>
        <w:rPr>
          <w:rFonts w:ascii="Times New Roman" w:hAnsi="Times New Roman" w:cs="Times New Roman"/>
          <w:sz w:val="12"/>
          <w:szCs w:val="12"/>
          <w:lang w:val="en-GB"/>
        </w:rPr>
      </w:pPr>
    </w:p>
    <w:p w:rsidR="00055C0F" w:rsidRPr="00462F98" w:rsidRDefault="007D3F62" w:rsidP="009F052F">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lastRenderedPageBreak/>
        <w:tab/>
        <w:t>[table_2</w:t>
      </w:r>
      <w:r w:rsidR="00055C0F" w:rsidRPr="00462F98">
        <w:rPr>
          <w:rFonts w:ascii="Times New Roman" w:hAnsi="Times New Roman" w:cs="Times New Roman"/>
          <w:b/>
          <w:sz w:val="24"/>
          <w:szCs w:val="24"/>
          <w:lang w:val="en-GB"/>
        </w:rPr>
        <w:t>]</w:t>
      </w:r>
    </w:p>
    <w:p w:rsidR="00055C0F" w:rsidRPr="00462F98" w:rsidRDefault="00055C0F" w:rsidP="009F052F">
      <w:pPr>
        <w:spacing w:after="0" w:line="360" w:lineRule="auto"/>
        <w:jc w:val="both"/>
        <w:rPr>
          <w:rFonts w:ascii="Times New Roman" w:hAnsi="Times New Roman" w:cs="Times New Roman"/>
          <w:sz w:val="12"/>
          <w:szCs w:val="12"/>
          <w:lang w:val="en-GB"/>
        </w:rPr>
      </w:pPr>
    </w:p>
    <w:p w:rsidR="007D3F62" w:rsidRPr="00462F98" w:rsidRDefault="0068707A" w:rsidP="009F052F">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The short end of the yield curve </w:t>
      </w:r>
      <w:r w:rsidR="005344D2" w:rsidRPr="00462F98">
        <w:rPr>
          <w:rFonts w:ascii="Times New Roman" w:hAnsi="Times New Roman" w:cs="Times New Roman"/>
          <w:sz w:val="24"/>
          <w:szCs w:val="24"/>
          <w:lang w:val="en-GB"/>
        </w:rPr>
        <w:t>confirms</w:t>
      </w:r>
      <w:r w:rsidRPr="00462F98">
        <w:rPr>
          <w:rFonts w:ascii="Times New Roman" w:hAnsi="Times New Roman" w:cs="Times New Roman"/>
          <w:sz w:val="24"/>
          <w:szCs w:val="24"/>
          <w:lang w:val="en-GB"/>
        </w:rPr>
        <w:t xml:space="preserve"> the </w:t>
      </w:r>
      <w:r w:rsidR="007D3F62" w:rsidRPr="00462F98">
        <w:rPr>
          <w:rFonts w:ascii="Times New Roman" w:hAnsi="Times New Roman" w:cs="Times New Roman"/>
          <w:sz w:val="24"/>
          <w:szCs w:val="24"/>
          <w:lang w:val="en-GB"/>
        </w:rPr>
        <w:t xml:space="preserve">SEE </w:t>
      </w:r>
      <w:r w:rsidRPr="00462F98">
        <w:rPr>
          <w:rFonts w:ascii="Times New Roman" w:hAnsi="Times New Roman" w:cs="Times New Roman"/>
          <w:sz w:val="24"/>
          <w:szCs w:val="24"/>
          <w:lang w:val="en-GB"/>
        </w:rPr>
        <w:t>out</w:t>
      </w:r>
      <w:r w:rsidR="00055C0F" w:rsidRPr="00462F98">
        <w:rPr>
          <w:rFonts w:ascii="Times New Roman" w:hAnsi="Times New Roman" w:cs="Times New Roman"/>
          <w:sz w:val="24"/>
          <w:szCs w:val="24"/>
          <w:lang w:val="en-GB"/>
        </w:rPr>
        <w:t xml:space="preserve">lier status. </w:t>
      </w:r>
      <w:r w:rsidRPr="00462F98">
        <w:rPr>
          <w:rFonts w:ascii="Times New Roman" w:hAnsi="Times New Roman" w:cs="Times New Roman"/>
          <w:sz w:val="24"/>
          <w:szCs w:val="24"/>
          <w:lang w:val="en-GB"/>
        </w:rPr>
        <w:t>Before 1914, four of the five highest rates were applied in SEE</w:t>
      </w:r>
      <w:r w:rsidR="00662855" w:rsidRPr="00462F98">
        <w:rPr>
          <w:rFonts w:ascii="Times New Roman" w:hAnsi="Times New Roman" w:cs="Times New Roman"/>
          <w:sz w:val="24"/>
          <w:szCs w:val="24"/>
          <w:lang w:val="en-GB"/>
        </w:rPr>
        <w:t>.</w:t>
      </w:r>
      <w:r w:rsidR="00427F5C" w:rsidRPr="00462F98">
        <w:rPr>
          <w:rFonts w:ascii="Times New Roman" w:hAnsi="Times New Roman" w:cs="Times New Roman"/>
          <w:sz w:val="24"/>
          <w:szCs w:val="24"/>
          <w:lang w:val="en-GB"/>
        </w:rPr>
        <w:t xml:space="preserve"> </w:t>
      </w:r>
      <w:r w:rsidR="007D3F62" w:rsidRPr="00462F98">
        <w:rPr>
          <w:rFonts w:ascii="Times New Roman" w:hAnsi="Times New Roman" w:cs="Times New Roman"/>
          <w:sz w:val="24"/>
          <w:szCs w:val="24"/>
          <w:lang w:val="en-GB"/>
        </w:rPr>
        <w:t>Interwar r</w:t>
      </w:r>
      <w:r w:rsidR="00427F5C" w:rsidRPr="00462F98">
        <w:rPr>
          <w:rFonts w:ascii="Times New Roman" w:hAnsi="Times New Roman" w:cs="Times New Roman"/>
          <w:sz w:val="24"/>
          <w:szCs w:val="24"/>
          <w:lang w:val="en-GB"/>
        </w:rPr>
        <w:t xml:space="preserve">esults </w:t>
      </w:r>
      <w:r w:rsidR="005344D2" w:rsidRPr="00462F98">
        <w:rPr>
          <w:rFonts w:ascii="Times New Roman" w:hAnsi="Times New Roman" w:cs="Times New Roman"/>
          <w:sz w:val="24"/>
          <w:szCs w:val="24"/>
          <w:lang w:val="en-GB"/>
        </w:rPr>
        <w:t>exhibit more country-specific idiosyncras</w:t>
      </w:r>
      <w:r w:rsidR="00427F5C" w:rsidRPr="00462F98">
        <w:rPr>
          <w:rFonts w:ascii="Times New Roman" w:hAnsi="Times New Roman" w:cs="Times New Roman"/>
          <w:sz w:val="24"/>
          <w:szCs w:val="24"/>
          <w:lang w:val="en-GB"/>
        </w:rPr>
        <w:t xml:space="preserve">ies, but SEE </w:t>
      </w:r>
      <w:r w:rsidRPr="00462F98">
        <w:rPr>
          <w:rFonts w:ascii="Times New Roman" w:hAnsi="Times New Roman" w:cs="Times New Roman"/>
          <w:sz w:val="24"/>
          <w:szCs w:val="24"/>
          <w:lang w:val="en-GB"/>
        </w:rPr>
        <w:t xml:space="preserve">was again </w:t>
      </w:r>
      <w:r w:rsidR="00427F5C" w:rsidRPr="00462F98">
        <w:rPr>
          <w:rFonts w:ascii="Times New Roman" w:hAnsi="Times New Roman" w:cs="Times New Roman"/>
          <w:sz w:val="24"/>
          <w:szCs w:val="24"/>
          <w:lang w:val="en-GB"/>
        </w:rPr>
        <w:t xml:space="preserve">the region with the highest </w:t>
      </w:r>
      <w:r w:rsidR="00AB3A6F" w:rsidRPr="00462F98">
        <w:rPr>
          <w:rFonts w:ascii="Times New Roman" w:hAnsi="Times New Roman" w:cs="Times New Roman"/>
          <w:sz w:val="24"/>
          <w:szCs w:val="24"/>
          <w:lang w:val="en-GB"/>
        </w:rPr>
        <w:t xml:space="preserve">discount </w:t>
      </w:r>
      <w:r w:rsidR="00427F5C" w:rsidRPr="00462F98">
        <w:rPr>
          <w:rFonts w:ascii="Times New Roman" w:hAnsi="Times New Roman" w:cs="Times New Roman"/>
          <w:sz w:val="24"/>
          <w:szCs w:val="24"/>
          <w:lang w:val="en-GB"/>
        </w:rPr>
        <w:t>rate.</w:t>
      </w:r>
    </w:p>
    <w:p w:rsidR="00825F5C" w:rsidRPr="00462F98" w:rsidRDefault="001877AD" w:rsidP="003A1715">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color w:val="000000" w:themeColor="text1"/>
          <w:sz w:val="24"/>
          <w:szCs w:val="24"/>
          <w:lang w:val="en-GB"/>
        </w:rPr>
        <w:tab/>
        <w:t>O</w:t>
      </w:r>
      <w:r w:rsidR="00B65C7A" w:rsidRPr="00462F98">
        <w:rPr>
          <w:rFonts w:ascii="Times New Roman" w:hAnsi="Times New Roman" w:cs="Times New Roman"/>
          <w:color w:val="000000" w:themeColor="text1"/>
          <w:sz w:val="24"/>
          <w:szCs w:val="24"/>
          <w:lang w:val="en-GB"/>
        </w:rPr>
        <w:t xml:space="preserve">ther indicators support the conclusion that SEE found </w:t>
      </w:r>
      <w:r w:rsidR="00005181">
        <w:rPr>
          <w:rFonts w:ascii="Times New Roman" w:hAnsi="Times New Roman" w:cs="Times New Roman"/>
          <w:color w:val="000000" w:themeColor="text1"/>
          <w:sz w:val="24"/>
          <w:szCs w:val="24"/>
          <w:lang w:val="en-GB"/>
        </w:rPr>
        <w:t xml:space="preserve">adherence to gold </w:t>
      </w:r>
      <w:r w:rsidR="00B65C7A" w:rsidRPr="00462F98">
        <w:rPr>
          <w:rFonts w:ascii="Times New Roman" w:hAnsi="Times New Roman" w:cs="Times New Roman"/>
          <w:color w:val="000000" w:themeColor="text1"/>
          <w:sz w:val="24"/>
          <w:szCs w:val="24"/>
          <w:lang w:val="en-GB"/>
        </w:rPr>
        <w:t>difficult.</w:t>
      </w:r>
      <w:r w:rsidR="00005181">
        <w:rPr>
          <w:rFonts w:ascii="Times New Roman" w:hAnsi="Times New Roman" w:cs="Times New Roman"/>
          <w:sz w:val="24"/>
          <w:szCs w:val="24"/>
          <w:lang w:val="en-GB"/>
        </w:rPr>
        <w:t xml:space="preserve"> </w:t>
      </w:r>
      <w:r w:rsidR="00733929" w:rsidRPr="00462F98">
        <w:rPr>
          <w:rFonts w:ascii="Times New Roman" w:hAnsi="Times New Roman" w:cs="Times New Roman"/>
          <w:sz w:val="24"/>
          <w:szCs w:val="24"/>
          <w:lang w:val="en-GB"/>
        </w:rPr>
        <w:t>A</w:t>
      </w:r>
      <w:r w:rsidR="00571A45">
        <w:rPr>
          <w:rFonts w:ascii="Times New Roman" w:hAnsi="Times New Roman" w:cs="Times New Roman"/>
          <w:sz w:val="24"/>
          <w:szCs w:val="24"/>
          <w:lang w:val="en-GB"/>
        </w:rPr>
        <w:t>n</w:t>
      </w:r>
      <w:r w:rsidR="00F60423" w:rsidRPr="00462F98">
        <w:rPr>
          <w:rFonts w:ascii="Times New Roman" w:hAnsi="Times New Roman" w:cs="Times New Roman"/>
          <w:sz w:val="24"/>
          <w:szCs w:val="24"/>
          <w:lang w:val="en-GB"/>
        </w:rPr>
        <w:t xml:space="preserve"> example for</w:t>
      </w:r>
      <w:r w:rsidR="00733929" w:rsidRPr="00462F98">
        <w:rPr>
          <w:rFonts w:ascii="Times New Roman" w:hAnsi="Times New Roman" w:cs="Times New Roman"/>
          <w:sz w:val="24"/>
          <w:szCs w:val="24"/>
          <w:lang w:val="en-GB"/>
        </w:rPr>
        <w:t xml:space="preserve"> following gold standard</w:t>
      </w:r>
      <w:r w:rsidR="00A766E9" w:rsidRPr="00462F98">
        <w:rPr>
          <w:rFonts w:ascii="Times New Roman" w:hAnsi="Times New Roman" w:cs="Times New Roman"/>
          <w:sz w:val="24"/>
          <w:szCs w:val="24"/>
          <w:lang w:val="en-GB"/>
        </w:rPr>
        <w:t xml:space="preserve"> rules but</w:t>
      </w:r>
      <w:r w:rsidRPr="00462F98">
        <w:rPr>
          <w:rFonts w:ascii="Times New Roman" w:hAnsi="Times New Roman" w:cs="Times New Roman"/>
          <w:sz w:val="24"/>
          <w:szCs w:val="24"/>
          <w:lang w:val="en-GB"/>
        </w:rPr>
        <w:t xml:space="preserve"> twisting them at the margin relates to the </w:t>
      </w:r>
      <w:r w:rsidR="004B35F8" w:rsidRPr="00462F98">
        <w:rPr>
          <w:rFonts w:ascii="Times New Roman" w:hAnsi="Times New Roman" w:cs="Times New Roman"/>
          <w:i/>
          <w:sz w:val="24"/>
          <w:szCs w:val="24"/>
          <w:lang w:val="en-GB"/>
        </w:rPr>
        <w:t>de facto</w:t>
      </w:r>
      <w:r w:rsidRPr="00462F98">
        <w:rPr>
          <w:rFonts w:ascii="Times New Roman" w:hAnsi="Times New Roman" w:cs="Times New Roman"/>
          <w:sz w:val="24"/>
          <w:szCs w:val="24"/>
          <w:lang w:val="en-GB"/>
        </w:rPr>
        <w:t xml:space="preserve"> stabilisation of Bulgaria and Yugoslavia. </w:t>
      </w:r>
      <w:r w:rsidR="007F0237" w:rsidRPr="00462F98">
        <w:rPr>
          <w:rFonts w:ascii="Times New Roman" w:hAnsi="Times New Roman" w:cs="Times New Roman"/>
          <w:sz w:val="24"/>
          <w:szCs w:val="24"/>
          <w:lang w:val="en-GB"/>
        </w:rPr>
        <w:t>Both count</w:t>
      </w:r>
      <w:r w:rsidR="00733929" w:rsidRPr="00462F98">
        <w:rPr>
          <w:rFonts w:ascii="Times New Roman" w:hAnsi="Times New Roman" w:cs="Times New Roman"/>
          <w:sz w:val="24"/>
          <w:szCs w:val="24"/>
          <w:lang w:val="en-GB"/>
        </w:rPr>
        <w:t xml:space="preserve">ries took part in the first </w:t>
      </w:r>
      <w:r w:rsidR="007F0237" w:rsidRPr="00462F98">
        <w:rPr>
          <w:rFonts w:ascii="Times New Roman" w:hAnsi="Times New Roman" w:cs="Times New Roman"/>
          <w:sz w:val="24"/>
          <w:szCs w:val="24"/>
          <w:lang w:val="en-GB"/>
        </w:rPr>
        <w:t>wave of countries re</w:t>
      </w:r>
      <w:r w:rsidR="005815CC" w:rsidRPr="00462F98">
        <w:rPr>
          <w:rFonts w:ascii="Times New Roman" w:hAnsi="Times New Roman" w:cs="Times New Roman"/>
          <w:sz w:val="24"/>
          <w:szCs w:val="24"/>
          <w:lang w:val="en-GB"/>
        </w:rPr>
        <w:t xml:space="preserve">surrecting </w:t>
      </w:r>
      <w:r w:rsidR="007F0237" w:rsidRPr="00462F98">
        <w:rPr>
          <w:rFonts w:ascii="Times New Roman" w:hAnsi="Times New Roman" w:cs="Times New Roman"/>
          <w:sz w:val="24"/>
          <w:szCs w:val="24"/>
          <w:lang w:val="en-GB"/>
        </w:rPr>
        <w:t>g</w:t>
      </w:r>
      <w:r w:rsidR="00733929" w:rsidRPr="00462F98">
        <w:rPr>
          <w:rFonts w:ascii="Times New Roman" w:hAnsi="Times New Roman" w:cs="Times New Roman"/>
          <w:sz w:val="24"/>
          <w:szCs w:val="24"/>
          <w:lang w:val="en-GB"/>
        </w:rPr>
        <w:t>old</w:t>
      </w:r>
      <w:r w:rsidR="005815CC" w:rsidRPr="00462F98">
        <w:rPr>
          <w:rFonts w:ascii="Times New Roman" w:hAnsi="Times New Roman" w:cs="Times New Roman"/>
          <w:sz w:val="24"/>
          <w:szCs w:val="24"/>
          <w:lang w:val="en-GB"/>
        </w:rPr>
        <w:t>, but</w:t>
      </w:r>
      <w:r w:rsidR="00733929" w:rsidRPr="00462F98">
        <w:rPr>
          <w:rFonts w:ascii="Times New Roman" w:hAnsi="Times New Roman" w:cs="Times New Roman"/>
          <w:sz w:val="24"/>
          <w:szCs w:val="24"/>
          <w:lang w:val="en-GB"/>
        </w:rPr>
        <w:t xml:space="preserve"> this</w:t>
      </w:r>
      <w:r w:rsidR="007F0237" w:rsidRPr="00462F98">
        <w:rPr>
          <w:rFonts w:ascii="Times New Roman" w:hAnsi="Times New Roman" w:cs="Times New Roman"/>
          <w:sz w:val="24"/>
          <w:szCs w:val="24"/>
          <w:lang w:val="en-GB"/>
        </w:rPr>
        <w:t xml:space="preserve"> </w:t>
      </w:r>
      <w:r w:rsidR="00733929" w:rsidRPr="00462F98">
        <w:rPr>
          <w:rFonts w:ascii="Times New Roman" w:hAnsi="Times New Roman" w:cs="Times New Roman"/>
          <w:sz w:val="24"/>
          <w:szCs w:val="24"/>
          <w:lang w:val="en-GB"/>
        </w:rPr>
        <w:t>was</w:t>
      </w:r>
      <w:r w:rsidR="007F0237" w:rsidRPr="00462F98">
        <w:rPr>
          <w:rFonts w:ascii="Times New Roman" w:hAnsi="Times New Roman" w:cs="Times New Roman"/>
          <w:sz w:val="24"/>
          <w:szCs w:val="24"/>
          <w:lang w:val="en-GB"/>
        </w:rPr>
        <w:t xml:space="preserve"> achieve</w:t>
      </w:r>
      <w:r w:rsidR="00733929" w:rsidRPr="00462F98">
        <w:rPr>
          <w:rFonts w:ascii="Times New Roman" w:hAnsi="Times New Roman" w:cs="Times New Roman"/>
          <w:sz w:val="24"/>
          <w:szCs w:val="24"/>
          <w:lang w:val="en-GB"/>
        </w:rPr>
        <w:t>d</w:t>
      </w:r>
      <w:r w:rsidR="007F0237" w:rsidRPr="00462F98">
        <w:rPr>
          <w:rFonts w:ascii="Times New Roman" w:hAnsi="Times New Roman" w:cs="Times New Roman"/>
          <w:sz w:val="24"/>
          <w:szCs w:val="24"/>
          <w:lang w:val="en-GB"/>
        </w:rPr>
        <w:t xml:space="preserve"> only by imposing simultaneously capital controls</w:t>
      </w:r>
      <w:r w:rsidR="00D5156D" w:rsidRPr="00462F98">
        <w:rPr>
          <w:rFonts w:ascii="Times New Roman" w:hAnsi="Times New Roman" w:cs="Times New Roman"/>
          <w:sz w:val="24"/>
          <w:szCs w:val="24"/>
          <w:lang w:val="en-GB"/>
        </w:rPr>
        <w:t xml:space="preserve"> (</w:t>
      </w:r>
      <w:proofErr w:type="spellStart"/>
      <w:r w:rsidR="00D5156D" w:rsidRPr="00462F98">
        <w:rPr>
          <w:rFonts w:ascii="Times New Roman" w:hAnsi="Times New Roman" w:cs="Times New Roman"/>
          <w:sz w:val="24"/>
          <w:szCs w:val="24"/>
          <w:lang w:val="en-GB"/>
        </w:rPr>
        <w:t>Dimitrova&amp;Ivanov</w:t>
      </w:r>
      <w:proofErr w:type="spellEnd"/>
      <w:r w:rsidR="00D5156D" w:rsidRPr="00462F98">
        <w:rPr>
          <w:rFonts w:ascii="Times New Roman" w:hAnsi="Times New Roman" w:cs="Times New Roman"/>
          <w:sz w:val="24"/>
          <w:szCs w:val="24"/>
          <w:lang w:val="en-GB"/>
        </w:rPr>
        <w:t xml:space="preserve"> 2014: 202 and </w:t>
      </w:r>
      <w:proofErr w:type="spellStart"/>
      <w:r w:rsidR="00D5156D" w:rsidRPr="00462F98">
        <w:rPr>
          <w:rFonts w:ascii="Times New Roman" w:hAnsi="Times New Roman" w:cs="Times New Roman"/>
          <w:sz w:val="24"/>
          <w:szCs w:val="24"/>
          <w:lang w:val="en-GB"/>
        </w:rPr>
        <w:t>Hinic</w:t>
      </w:r>
      <w:proofErr w:type="spellEnd"/>
      <w:r w:rsidR="00D5156D" w:rsidRPr="00462F98">
        <w:rPr>
          <w:rFonts w:ascii="Times New Roman" w:hAnsi="Times New Roman" w:cs="Times New Roman"/>
          <w:sz w:val="24"/>
          <w:szCs w:val="24"/>
          <w:lang w:val="en-GB"/>
        </w:rPr>
        <w:t xml:space="preserve"> et al. 2014: 296)</w:t>
      </w:r>
      <w:r w:rsidR="004B35F8" w:rsidRPr="00462F98">
        <w:rPr>
          <w:rFonts w:ascii="Times New Roman" w:hAnsi="Times New Roman" w:cs="Times New Roman"/>
          <w:sz w:val="24"/>
          <w:szCs w:val="24"/>
          <w:lang w:val="en-GB"/>
        </w:rPr>
        <w:t xml:space="preserve"> in</w:t>
      </w:r>
      <w:r w:rsidR="007F0237" w:rsidRPr="00462F98">
        <w:rPr>
          <w:rFonts w:ascii="Times New Roman" w:hAnsi="Times New Roman" w:cs="Times New Roman"/>
          <w:sz w:val="24"/>
          <w:szCs w:val="24"/>
          <w:lang w:val="en-GB"/>
        </w:rPr>
        <w:t xml:space="preserve"> </w:t>
      </w:r>
      <w:r w:rsidR="004B35F8" w:rsidRPr="00462F98">
        <w:rPr>
          <w:rFonts w:ascii="Times New Roman" w:hAnsi="Times New Roman" w:cs="Times New Roman"/>
          <w:sz w:val="24"/>
          <w:szCs w:val="24"/>
          <w:lang w:val="en-GB"/>
        </w:rPr>
        <w:t xml:space="preserve">clear </w:t>
      </w:r>
      <w:r w:rsidR="007F0237" w:rsidRPr="00462F98">
        <w:rPr>
          <w:rFonts w:ascii="Times New Roman" w:hAnsi="Times New Roman" w:cs="Times New Roman"/>
          <w:sz w:val="24"/>
          <w:szCs w:val="24"/>
          <w:lang w:val="en-GB"/>
        </w:rPr>
        <w:t xml:space="preserve">deviation from the </w:t>
      </w:r>
      <w:r w:rsidR="00AB3A6F" w:rsidRPr="00462F98">
        <w:rPr>
          <w:rFonts w:ascii="Times New Roman" w:hAnsi="Times New Roman" w:cs="Times New Roman"/>
          <w:sz w:val="24"/>
          <w:szCs w:val="24"/>
          <w:lang w:val="en-GB"/>
        </w:rPr>
        <w:t>monetary</w:t>
      </w:r>
      <w:r w:rsidR="007F0237" w:rsidRPr="00462F98">
        <w:rPr>
          <w:rFonts w:ascii="Times New Roman" w:hAnsi="Times New Roman" w:cs="Times New Roman"/>
          <w:sz w:val="24"/>
          <w:szCs w:val="24"/>
          <w:lang w:val="en-GB"/>
        </w:rPr>
        <w:t xml:space="preserve"> orthod</w:t>
      </w:r>
      <w:r w:rsidR="00D5156D" w:rsidRPr="00462F98">
        <w:rPr>
          <w:rFonts w:ascii="Times New Roman" w:hAnsi="Times New Roman" w:cs="Times New Roman"/>
          <w:sz w:val="24"/>
          <w:szCs w:val="24"/>
          <w:lang w:val="en-GB"/>
        </w:rPr>
        <w:t>oxy wh</w:t>
      </w:r>
      <w:r w:rsidR="00733929" w:rsidRPr="00462F98">
        <w:rPr>
          <w:rFonts w:ascii="Times New Roman" w:hAnsi="Times New Roman" w:cs="Times New Roman"/>
          <w:sz w:val="24"/>
          <w:szCs w:val="24"/>
          <w:lang w:val="en-GB"/>
        </w:rPr>
        <w:t>ich was meant to be re</w:t>
      </w:r>
      <w:r w:rsidR="005815CC" w:rsidRPr="00462F98">
        <w:rPr>
          <w:rFonts w:ascii="Times New Roman" w:hAnsi="Times New Roman" w:cs="Times New Roman"/>
          <w:sz w:val="24"/>
          <w:szCs w:val="24"/>
          <w:lang w:val="en-GB"/>
        </w:rPr>
        <w:t>stored</w:t>
      </w:r>
      <w:r w:rsidR="007F0237" w:rsidRPr="00462F98">
        <w:rPr>
          <w:rFonts w:ascii="Times New Roman" w:hAnsi="Times New Roman" w:cs="Times New Roman"/>
          <w:sz w:val="24"/>
          <w:szCs w:val="24"/>
          <w:lang w:val="en-GB"/>
        </w:rPr>
        <w:t>.</w:t>
      </w:r>
      <w:r w:rsidR="00D5156D" w:rsidRPr="00462F98">
        <w:rPr>
          <w:rFonts w:ascii="Times New Roman" w:hAnsi="Times New Roman" w:cs="Times New Roman"/>
          <w:sz w:val="24"/>
          <w:szCs w:val="24"/>
          <w:lang w:val="en-GB"/>
        </w:rPr>
        <w:t xml:space="preserve"> </w:t>
      </w:r>
      <w:r w:rsidR="003A1715" w:rsidRPr="00462F98">
        <w:rPr>
          <w:rFonts w:ascii="Times New Roman" w:hAnsi="Times New Roman" w:cs="Times New Roman"/>
          <w:sz w:val="24"/>
          <w:szCs w:val="24"/>
          <w:lang w:val="en-GB"/>
        </w:rPr>
        <w:t>Furthermore</w:t>
      </w:r>
      <w:r w:rsidR="00825F5C" w:rsidRPr="00462F98">
        <w:rPr>
          <w:rFonts w:ascii="Times New Roman" w:hAnsi="Times New Roman" w:cs="Times New Roman"/>
          <w:sz w:val="24"/>
          <w:szCs w:val="24"/>
          <w:lang w:val="en-GB"/>
        </w:rPr>
        <w:t xml:space="preserve">, the SEE countries exposed themselves to balance sheet risks by relying </w:t>
      </w:r>
      <w:r w:rsidR="00482957" w:rsidRPr="00462F98">
        <w:rPr>
          <w:rFonts w:ascii="Times New Roman" w:hAnsi="Times New Roman" w:cs="Times New Roman"/>
          <w:sz w:val="24"/>
          <w:szCs w:val="24"/>
          <w:lang w:val="en-GB"/>
        </w:rPr>
        <w:t>predominantly on foreign exchange. In the cases of Greece and Bulgaria, for instance, m</w:t>
      </w:r>
      <w:r w:rsidR="00825F5C" w:rsidRPr="00462F98">
        <w:rPr>
          <w:rFonts w:ascii="Times New Roman" w:hAnsi="Times New Roman" w:cs="Times New Roman"/>
          <w:sz w:val="24"/>
          <w:szCs w:val="24"/>
          <w:lang w:val="en-GB"/>
        </w:rPr>
        <w:t xml:space="preserve">etallic holdings as part of total reserves accounted for only 22.1% and 39.9% </w:t>
      </w:r>
      <w:r w:rsidR="00DB04A3" w:rsidRPr="00462F98">
        <w:rPr>
          <w:rFonts w:ascii="Times New Roman" w:hAnsi="Times New Roman" w:cs="Times New Roman"/>
          <w:sz w:val="24"/>
          <w:szCs w:val="24"/>
          <w:lang w:val="en-GB"/>
        </w:rPr>
        <w:t>at the time of</w:t>
      </w:r>
      <w:r w:rsidR="007E7368" w:rsidRPr="00462F98">
        <w:rPr>
          <w:rFonts w:ascii="Times New Roman" w:hAnsi="Times New Roman" w:cs="Times New Roman"/>
          <w:sz w:val="24"/>
          <w:szCs w:val="24"/>
          <w:lang w:val="en-GB"/>
        </w:rPr>
        <w:t xml:space="preserve"> </w:t>
      </w:r>
      <w:r w:rsidR="00825F5C" w:rsidRPr="00462F98">
        <w:rPr>
          <w:rFonts w:ascii="Times New Roman" w:hAnsi="Times New Roman" w:cs="Times New Roman"/>
          <w:i/>
          <w:sz w:val="24"/>
          <w:szCs w:val="24"/>
          <w:lang w:val="en-GB"/>
        </w:rPr>
        <w:t>de jure</w:t>
      </w:r>
      <w:r w:rsidR="00825F5C" w:rsidRPr="00462F98">
        <w:rPr>
          <w:rFonts w:ascii="Times New Roman" w:hAnsi="Times New Roman" w:cs="Times New Roman"/>
          <w:sz w:val="24"/>
          <w:szCs w:val="24"/>
          <w:lang w:val="en-GB"/>
        </w:rPr>
        <w:t xml:space="preserve"> stabilisation </w:t>
      </w:r>
      <w:r w:rsidR="000C142F" w:rsidRPr="00462F98">
        <w:rPr>
          <w:rFonts w:ascii="Times New Roman" w:hAnsi="Times New Roman" w:cs="Times New Roman"/>
          <w:sz w:val="24"/>
          <w:szCs w:val="24"/>
          <w:lang w:val="en-GB"/>
        </w:rPr>
        <w:t>(</w:t>
      </w:r>
      <w:proofErr w:type="spellStart"/>
      <w:r w:rsidR="000C142F" w:rsidRPr="00462F98">
        <w:rPr>
          <w:rFonts w:ascii="Times New Roman" w:hAnsi="Times New Roman" w:cs="Times New Roman"/>
          <w:sz w:val="24"/>
          <w:szCs w:val="24"/>
          <w:lang w:val="en-GB"/>
        </w:rPr>
        <w:t>Dimi</w:t>
      </w:r>
      <w:r w:rsidR="00DB04A3" w:rsidRPr="00462F98">
        <w:rPr>
          <w:rFonts w:ascii="Times New Roman" w:hAnsi="Times New Roman" w:cs="Times New Roman"/>
          <w:sz w:val="24"/>
          <w:szCs w:val="24"/>
          <w:lang w:val="en-GB"/>
        </w:rPr>
        <w:t>t</w:t>
      </w:r>
      <w:r w:rsidR="000C142F" w:rsidRPr="00462F98">
        <w:rPr>
          <w:rFonts w:ascii="Times New Roman" w:hAnsi="Times New Roman" w:cs="Times New Roman"/>
          <w:sz w:val="24"/>
          <w:szCs w:val="24"/>
          <w:lang w:val="en-GB"/>
        </w:rPr>
        <w:t>rova&amp;Ivanov</w:t>
      </w:r>
      <w:proofErr w:type="spellEnd"/>
      <w:r w:rsidR="000C142F" w:rsidRPr="00462F98">
        <w:rPr>
          <w:rFonts w:ascii="Times New Roman" w:hAnsi="Times New Roman" w:cs="Times New Roman"/>
          <w:sz w:val="24"/>
          <w:szCs w:val="24"/>
          <w:lang w:val="en-GB"/>
        </w:rPr>
        <w:t xml:space="preserve"> 2014, </w:t>
      </w:r>
      <w:proofErr w:type="spellStart"/>
      <w:r w:rsidR="000C142F" w:rsidRPr="00462F98">
        <w:rPr>
          <w:rFonts w:ascii="Times New Roman" w:hAnsi="Times New Roman" w:cs="Times New Roman"/>
          <w:sz w:val="24"/>
          <w:szCs w:val="24"/>
          <w:lang w:val="en-GB"/>
        </w:rPr>
        <w:t>Lazaretou</w:t>
      </w:r>
      <w:proofErr w:type="spellEnd"/>
      <w:r w:rsidR="000C142F" w:rsidRPr="00462F98">
        <w:rPr>
          <w:rFonts w:ascii="Times New Roman" w:hAnsi="Times New Roman" w:cs="Times New Roman"/>
          <w:sz w:val="24"/>
          <w:szCs w:val="24"/>
          <w:lang w:val="en-GB"/>
        </w:rPr>
        <w:t xml:space="preserve"> 2014</w:t>
      </w:r>
      <w:r w:rsidR="00825F5C" w:rsidRPr="00462F98">
        <w:rPr>
          <w:rFonts w:ascii="Times New Roman" w:hAnsi="Times New Roman" w:cs="Times New Roman"/>
          <w:sz w:val="24"/>
          <w:szCs w:val="24"/>
          <w:lang w:val="en-GB"/>
        </w:rPr>
        <w:t>).  On some level this was understandable</w:t>
      </w:r>
      <w:r w:rsidR="00482957" w:rsidRPr="00462F98">
        <w:rPr>
          <w:rFonts w:ascii="Times New Roman" w:hAnsi="Times New Roman" w:cs="Times New Roman"/>
          <w:sz w:val="24"/>
          <w:szCs w:val="24"/>
          <w:lang w:val="en-GB"/>
        </w:rPr>
        <w:t xml:space="preserve"> and followed League of Nations advi</w:t>
      </w:r>
      <w:r w:rsidR="004B35F8" w:rsidRPr="00462F98">
        <w:rPr>
          <w:rFonts w:ascii="Times New Roman" w:hAnsi="Times New Roman" w:cs="Times New Roman"/>
          <w:sz w:val="24"/>
          <w:szCs w:val="24"/>
          <w:lang w:val="en-GB"/>
        </w:rPr>
        <w:t xml:space="preserve">ce: </w:t>
      </w:r>
      <w:r w:rsidR="005A6312" w:rsidRPr="00462F98">
        <w:rPr>
          <w:rFonts w:ascii="Times New Roman" w:hAnsi="Times New Roman" w:cs="Times New Roman"/>
          <w:sz w:val="24"/>
          <w:szCs w:val="24"/>
          <w:lang w:val="en-GB"/>
        </w:rPr>
        <w:t>reserves had</w:t>
      </w:r>
      <w:r w:rsidR="004B35F8" w:rsidRPr="00462F98">
        <w:rPr>
          <w:rFonts w:ascii="Times New Roman" w:hAnsi="Times New Roman" w:cs="Times New Roman"/>
          <w:sz w:val="24"/>
          <w:szCs w:val="24"/>
          <w:lang w:val="en-GB"/>
        </w:rPr>
        <w:t xml:space="preserve"> been obtained by </w:t>
      </w:r>
      <w:r w:rsidR="005A6312" w:rsidRPr="00462F98">
        <w:rPr>
          <w:rFonts w:ascii="Times New Roman" w:hAnsi="Times New Roman" w:cs="Times New Roman"/>
          <w:sz w:val="24"/>
          <w:szCs w:val="24"/>
          <w:lang w:val="en-GB"/>
        </w:rPr>
        <w:t>loans</w:t>
      </w:r>
      <w:r w:rsidR="004B35F8" w:rsidRPr="00462F98">
        <w:rPr>
          <w:rFonts w:ascii="Times New Roman" w:hAnsi="Times New Roman" w:cs="Times New Roman"/>
          <w:sz w:val="24"/>
          <w:szCs w:val="24"/>
          <w:lang w:val="en-GB"/>
        </w:rPr>
        <w:t xml:space="preserve"> and</w:t>
      </w:r>
      <w:r w:rsidR="00482957" w:rsidRPr="00462F98">
        <w:rPr>
          <w:rFonts w:ascii="Times New Roman" w:hAnsi="Times New Roman" w:cs="Times New Roman"/>
          <w:sz w:val="24"/>
          <w:szCs w:val="24"/>
          <w:lang w:val="en-GB"/>
        </w:rPr>
        <w:t xml:space="preserve"> central bank</w:t>
      </w:r>
      <w:r w:rsidR="007E7368" w:rsidRPr="00462F98">
        <w:rPr>
          <w:rFonts w:ascii="Times New Roman" w:hAnsi="Times New Roman" w:cs="Times New Roman"/>
          <w:sz w:val="24"/>
          <w:szCs w:val="24"/>
          <w:lang w:val="en-GB"/>
        </w:rPr>
        <w:t>s wanted</w:t>
      </w:r>
      <w:r w:rsidR="005A6312" w:rsidRPr="00462F98">
        <w:rPr>
          <w:rFonts w:ascii="Times New Roman" w:hAnsi="Times New Roman" w:cs="Times New Roman"/>
          <w:sz w:val="24"/>
          <w:szCs w:val="24"/>
          <w:lang w:val="en-GB"/>
        </w:rPr>
        <w:t xml:space="preserve"> to generate interest on them. Ye</w:t>
      </w:r>
      <w:r w:rsidR="00482957" w:rsidRPr="00462F98">
        <w:rPr>
          <w:rFonts w:ascii="Times New Roman" w:hAnsi="Times New Roman" w:cs="Times New Roman"/>
          <w:sz w:val="24"/>
          <w:szCs w:val="24"/>
          <w:lang w:val="en-GB"/>
        </w:rPr>
        <w:t>t it went</w:t>
      </w:r>
      <w:r w:rsidR="005A6312" w:rsidRPr="00462F98">
        <w:rPr>
          <w:rFonts w:ascii="Times New Roman" w:hAnsi="Times New Roman" w:cs="Times New Roman"/>
          <w:sz w:val="24"/>
          <w:szCs w:val="24"/>
          <w:lang w:val="en-GB"/>
        </w:rPr>
        <w:t xml:space="preserve"> against the recent t</w:t>
      </w:r>
      <w:r w:rsidR="004B35F8" w:rsidRPr="00462F98">
        <w:rPr>
          <w:rFonts w:ascii="Times New Roman" w:hAnsi="Times New Roman" w:cs="Times New Roman"/>
          <w:sz w:val="24"/>
          <w:szCs w:val="24"/>
          <w:lang w:val="en-GB"/>
        </w:rPr>
        <w:t xml:space="preserve">rend – spearheaded by the Bank of France – to switch back </w:t>
      </w:r>
      <w:r w:rsidR="005A6312" w:rsidRPr="00462F98">
        <w:rPr>
          <w:rFonts w:ascii="Times New Roman" w:hAnsi="Times New Roman" w:cs="Times New Roman"/>
          <w:sz w:val="24"/>
          <w:szCs w:val="24"/>
          <w:lang w:val="en-GB"/>
        </w:rPr>
        <w:t xml:space="preserve">to gold. </w:t>
      </w:r>
      <w:r w:rsidR="004B35F8" w:rsidRPr="00462F98">
        <w:rPr>
          <w:rFonts w:ascii="Times New Roman" w:hAnsi="Times New Roman" w:cs="Times New Roman"/>
          <w:sz w:val="24"/>
          <w:szCs w:val="24"/>
          <w:lang w:val="en-GB"/>
        </w:rPr>
        <w:t>T</w:t>
      </w:r>
      <w:r w:rsidR="005A6312" w:rsidRPr="00462F98">
        <w:rPr>
          <w:rFonts w:ascii="Times New Roman" w:hAnsi="Times New Roman" w:cs="Times New Roman"/>
          <w:sz w:val="24"/>
          <w:szCs w:val="24"/>
          <w:lang w:val="en-GB"/>
        </w:rPr>
        <w:t>he SEE countries exp</w:t>
      </w:r>
      <w:r w:rsidR="004B35F8" w:rsidRPr="00462F98">
        <w:rPr>
          <w:rFonts w:ascii="Times New Roman" w:hAnsi="Times New Roman" w:cs="Times New Roman"/>
          <w:sz w:val="24"/>
          <w:szCs w:val="24"/>
          <w:lang w:val="en-GB"/>
        </w:rPr>
        <w:t xml:space="preserve">osed themselves to considerable </w:t>
      </w:r>
      <w:r w:rsidR="005A6312" w:rsidRPr="00462F98">
        <w:rPr>
          <w:rFonts w:ascii="Times New Roman" w:hAnsi="Times New Roman" w:cs="Times New Roman"/>
          <w:sz w:val="24"/>
          <w:szCs w:val="24"/>
          <w:lang w:val="en-GB"/>
        </w:rPr>
        <w:t xml:space="preserve">risk which has been held responsible for </w:t>
      </w:r>
      <w:r w:rsidR="00482957" w:rsidRPr="00462F98">
        <w:rPr>
          <w:rFonts w:ascii="Times New Roman" w:hAnsi="Times New Roman" w:cs="Times New Roman"/>
          <w:sz w:val="24"/>
          <w:szCs w:val="24"/>
          <w:lang w:val="en-GB"/>
        </w:rPr>
        <w:t xml:space="preserve">quickly </w:t>
      </w:r>
      <w:r w:rsidR="003A1715" w:rsidRPr="00462F98">
        <w:rPr>
          <w:rFonts w:ascii="Times New Roman" w:hAnsi="Times New Roman" w:cs="Times New Roman"/>
          <w:sz w:val="24"/>
          <w:szCs w:val="24"/>
          <w:lang w:val="en-GB"/>
        </w:rPr>
        <w:t>succumbing to the 1931</w:t>
      </w:r>
      <w:r w:rsidR="005A6312" w:rsidRPr="00462F98">
        <w:rPr>
          <w:rFonts w:ascii="Times New Roman" w:hAnsi="Times New Roman" w:cs="Times New Roman"/>
          <w:sz w:val="24"/>
          <w:szCs w:val="24"/>
          <w:lang w:val="en-GB"/>
        </w:rPr>
        <w:t xml:space="preserve"> financial crisis</w:t>
      </w:r>
      <w:r w:rsidR="00482957" w:rsidRPr="00462F98">
        <w:rPr>
          <w:rFonts w:ascii="Times New Roman" w:hAnsi="Times New Roman" w:cs="Times New Roman"/>
          <w:sz w:val="24"/>
          <w:szCs w:val="24"/>
          <w:lang w:val="en-GB"/>
        </w:rPr>
        <w:t xml:space="preserve"> (</w:t>
      </w:r>
      <w:proofErr w:type="spellStart"/>
      <w:r w:rsidR="00482957" w:rsidRPr="00462F98">
        <w:rPr>
          <w:rFonts w:ascii="Times New Roman" w:hAnsi="Times New Roman" w:cs="Times New Roman"/>
          <w:sz w:val="24"/>
          <w:szCs w:val="24"/>
          <w:lang w:val="en-GB"/>
        </w:rPr>
        <w:t>Christodoulakis</w:t>
      </w:r>
      <w:proofErr w:type="spellEnd"/>
      <w:r w:rsidR="00482957" w:rsidRPr="00462F98">
        <w:rPr>
          <w:rFonts w:ascii="Times New Roman" w:hAnsi="Times New Roman" w:cs="Times New Roman"/>
          <w:sz w:val="24"/>
          <w:szCs w:val="24"/>
          <w:lang w:val="en-GB"/>
        </w:rPr>
        <w:t xml:space="preserve"> 2013)</w:t>
      </w:r>
      <w:r w:rsidR="005A6312" w:rsidRPr="00462F98">
        <w:rPr>
          <w:rFonts w:ascii="Times New Roman" w:hAnsi="Times New Roman" w:cs="Times New Roman"/>
          <w:sz w:val="24"/>
          <w:szCs w:val="24"/>
          <w:lang w:val="en-GB"/>
        </w:rPr>
        <w:t>.</w:t>
      </w:r>
    </w:p>
    <w:p w:rsidR="005671BD" w:rsidRDefault="005671BD" w:rsidP="005671BD">
      <w:pPr>
        <w:spacing w:after="0" w:line="360" w:lineRule="auto"/>
        <w:jc w:val="both"/>
        <w:rPr>
          <w:rFonts w:ascii="Times New Roman" w:hAnsi="Times New Roman" w:cs="Times New Roman"/>
          <w:sz w:val="24"/>
          <w:szCs w:val="24"/>
          <w:lang w:val="en-GB"/>
        </w:rPr>
      </w:pPr>
    </w:p>
    <w:p w:rsidR="009D0A87" w:rsidRPr="00462F98" w:rsidRDefault="009D0A87" w:rsidP="005671BD">
      <w:pPr>
        <w:spacing w:after="0" w:line="360" w:lineRule="auto"/>
        <w:jc w:val="both"/>
        <w:rPr>
          <w:rFonts w:ascii="Times New Roman" w:hAnsi="Times New Roman" w:cs="Times New Roman"/>
          <w:sz w:val="24"/>
          <w:szCs w:val="24"/>
          <w:lang w:val="en-GB"/>
        </w:rPr>
      </w:pPr>
    </w:p>
    <w:p w:rsidR="008C72EE" w:rsidRPr="00462F98" w:rsidRDefault="008C72EE" w:rsidP="00F72D7E">
      <w:pPr>
        <w:pStyle w:val="ListParagraph"/>
        <w:numPr>
          <w:ilvl w:val="0"/>
          <w:numId w:val="4"/>
        </w:numPr>
        <w:spacing w:after="0" w:line="360" w:lineRule="auto"/>
        <w:rPr>
          <w:rFonts w:ascii="Times New Roman" w:hAnsi="Times New Roman" w:cs="Times New Roman"/>
          <w:b/>
          <w:sz w:val="24"/>
          <w:szCs w:val="24"/>
        </w:rPr>
      </w:pPr>
      <w:r w:rsidRPr="00462F98">
        <w:rPr>
          <w:rFonts w:ascii="Times New Roman" w:hAnsi="Times New Roman" w:cs="Times New Roman"/>
          <w:b/>
          <w:sz w:val="24"/>
          <w:szCs w:val="24"/>
        </w:rPr>
        <w:t>Seigniorage, capital imports and financial supervision: a short monetary history in seven acts</w:t>
      </w:r>
    </w:p>
    <w:p w:rsidR="00063A89" w:rsidRPr="00462F98" w:rsidRDefault="00255241" w:rsidP="008C72EE">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D67A09" w:rsidRPr="00462F98">
        <w:rPr>
          <w:rFonts w:ascii="Times New Roman" w:hAnsi="Times New Roman" w:cs="Times New Roman"/>
          <w:sz w:val="24"/>
          <w:szCs w:val="24"/>
          <w:lang w:val="en-GB"/>
        </w:rPr>
        <w:t>he SEE-4</w:t>
      </w:r>
      <w:r w:rsidR="008C72EE" w:rsidRPr="00462F98">
        <w:rPr>
          <w:rFonts w:ascii="Times New Roman" w:hAnsi="Times New Roman" w:cs="Times New Roman"/>
          <w:sz w:val="24"/>
          <w:szCs w:val="24"/>
          <w:lang w:val="en-GB"/>
        </w:rPr>
        <w:t xml:space="preserve"> suffered fro</w:t>
      </w:r>
      <w:r w:rsidR="00DD2AEF" w:rsidRPr="00462F98">
        <w:rPr>
          <w:rFonts w:ascii="Times New Roman" w:hAnsi="Times New Roman" w:cs="Times New Roman"/>
          <w:sz w:val="24"/>
          <w:szCs w:val="24"/>
          <w:lang w:val="en-GB"/>
        </w:rPr>
        <w:t xml:space="preserve">m fiscal dominance but </w:t>
      </w:r>
      <w:r>
        <w:rPr>
          <w:rFonts w:ascii="Times New Roman" w:hAnsi="Times New Roman" w:cs="Times New Roman"/>
          <w:sz w:val="24"/>
          <w:szCs w:val="24"/>
          <w:lang w:val="en-GB"/>
        </w:rPr>
        <w:t>t</w:t>
      </w:r>
      <w:r w:rsidR="00DD2AEF" w:rsidRPr="00462F98">
        <w:rPr>
          <w:rFonts w:ascii="Times New Roman" w:hAnsi="Times New Roman" w:cs="Times New Roman"/>
          <w:sz w:val="24"/>
          <w:szCs w:val="24"/>
          <w:lang w:val="en-GB"/>
        </w:rPr>
        <w:t>he</w:t>
      </w:r>
      <w:r w:rsidR="008C72EE" w:rsidRPr="00462F98">
        <w:rPr>
          <w:rFonts w:ascii="Times New Roman" w:hAnsi="Times New Roman" w:cs="Times New Roman"/>
          <w:sz w:val="24"/>
          <w:szCs w:val="24"/>
          <w:lang w:val="en-GB"/>
        </w:rPr>
        <w:t xml:space="preserve"> pattern was </w:t>
      </w:r>
      <w:r w:rsidR="00DD2AEF" w:rsidRPr="00462F98">
        <w:rPr>
          <w:rFonts w:ascii="Times New Roman" w:hAnsi="Times New Roman" w:cs="Times New Roman"/>
          <w:sz w:val="24"/>
          <w:szCs w:val="24"/>
          <w:lang w:val="en-GB"/>
        </w:rPr>
        <w:t>interrupted</w:t>
      </w:r>
      <w:r w:rsidR="008C72EE" w:rsidRPr="00462F98">
        <w:rPr>
          <w:rFonts w:ascii="Times New Roman" w:hAnsi="Times New Roman" w:cs="Times New Roman"/>
          <w:sz w:val="24"/>
          <w:szCs w:val="24"/>
          <w:lang w:val="en-GB"/>
        </w:rPr>
        <w:t xml:space="preserve"> in periods of financial </w:t>
      </w:r>
      <w:r w:rsidR="00DD2AEF" w:rsidRPr="00462F98">
        <w:rPr>
          <w:rFonts w:ascii="Times New Roman" w:hAnsi="Times New Roman" w:cs="Times New Roman"/>
          <w:sz w:val="24"/>
          <w:szCs w:val="24"/>
          <w:lang w:val="en-GB"/>
        </w:rPr>
        <w:t>supervision</w:t>
      </w:r>
      <w:r w:rsidR="008C72EE" w:rsidRPr="00462F98">
        <w:rPr>
          <w:rFonts w:ascii="Times New Roman" w:hAnsi="Times New Roman" w:cs="Times New Roman"/>
          <w:sz w:val="24"/>
          <w:szCs w:val="24"/>
          <w:lang w:val="en-GB"/>
        </w:rPr>
        <w:t xml:space="preserve">. </w:t>
      </w:r>
      <w:r>
        <w:rPr>
          <w:rFonts w:ascii="Times New Roman" w:hAnsi="Times New Roman" w:cs="Times New Roman"/>
          <w:sz w:val="24"/>
          <w:szCs w:val="24"/>
          <w:lang w:val="en-GB"/>
        </w:rPr>
        <w:t>We motivate</w:t>
      </w:r>
      <w:r w:rsidR="00DD2AEF" w:rsidRPr="00462F98">
        <w:rPr>
          <w:rFonts w:ascii="Times New Roman" w:hAnsi="Times New Roman" w:cs="Times New Roman"/>
          <w:sz w:val="24"/>
          <w:szCs w:val="24"/>
          <w:lang w:val="en-GB"/>
        </w:rPr>
        <w:t xml:space="preserve"> the first part of our</w:t>
      </w:r>
      <w:r w:rsidR="008C72EE" w:rsidRPr="00462F98">
        <w:rPr>
          <w:rFonts w:ascii="Times New Roman" w:hAnsi="Times New Roman" w:cs="Times New Roman"/>
          <w:sz w:val="24"/>
          <w:szCs w:val="24"/>
          <w:lang w:val="en-GB"/>
        </w:rPr>
        <w:t xml:space="preserve"> hypothesis with reference to table 3 which shows seigniorage as percentage of GDP. </w:t>
      </w:r>
      <w:r w:rsidR="00063A89" w:rsidRPr="00462F98">
        <w:rPr>
          <w:rFonts w:ascii="Times New Roman" w:hAnsi="Times New Roman" w:cs="Times New Roman"/>
          <w:color w:val="000000" w:themeColor="text1"/>
          <w:sz w:val="24"/>
          <w:szCs w:val="24"/>
          <w:lang w:val="en-GB"/>
        </w:rPr>
        <w:t xml:space="preserve">Seigniorage initially </w:t>
      </w:r>
      <w:r w:rsidR="00063A89" w:rsidRPr="00462F98">
        <w:rPr>
          <w:rFonts w:ascii="Times New Roman" w:hAnsi="Times New Roman" w:cs="Times New Roman"/>
          <w:sz w:val="24"/>
          <w:szCs w:val="24"/>
          <w:lang w:val="en-GB"/>
        </w:rPr>
        <w:t>came from token coin and</w:t>
      </w:r>
      <w:r>
        <w:rPr>
          <w:rFonts w:ascii="Times New Roman" w:hAnsi="Times New Roman" w:cs="Times New Roman"/>
          <w:sz w:val="24"/>
          <w:szCs w:val="24"/>
          <w:lang w:val="en-GB"/>
        </w:rPr>
        <w:t xml:space="preserve"> later from </w:t>
      </w:r>
      <w:r w:rsidR="00063A89" w:rsidRPr="00462F98">
        <w:rPr>
          <w:rFonts w:ascii="Times New Roman" w:hAnsi="Times New Roman" w:cs="Times New Roman"/>
          <w:sz w:val="24"/>
          <w:szCs w:val="24"/>
          <w:lang w:val="en-GB"/>
        </w:rPr>
        <w:t xml:space="preserve">the issuance of bank notes against government debt. </w:t>
      </w:r>
      <w:r>
        <w:rPr>
          <w:rFonts w:ascii="Times New Roman" w:hAnsi="Times New Roman" w:cs="Times New Roman"/>
          <w:sz w:val="24"/>
          <w:szCs w:val="24"/>
          <w:lang w:val="en-GB"/>
        </w:rPr>
        <w:t>W</w:t>
      </w:r>
      <w:r w:rsidR="00063A89" w:rsidRPr="00462F98">
        <w:rPr>
          <w:rFonts w:ascii="Times New Roman" w:hAnsi="Times New Roman" w:cs="Times New Roman"/>
          <w:sz w:val="24"/>
          <w:szCs w:val="24"/>
          <w:lang w:val="en-GB"/>
        </w:rPr>
        <w:t xml:space="preserve">e follow the seigniorage definition used by </w:t>
      </w:r>
      <w:proofErr w:type="spellStart"/>
      <w:r w:rsidR="00063A89" w:rsidRPr="00462F98">
        <w:rPr>
          <w:rFonts w:ascii="Times New Roman" w:hAnsi="Times New Roman" w:cs="Times New Roman"/>
          <w:sz w:val="24"/>
          <w:szCs w:val="24"/>
          <w:lang w:val="en-GB"/>
        </w:rPr>
        <w:t>Fratianni&amp;Spinelli</w:t>
      </w:r>
      <w:proofErr w:type="spellEnd"/>
      <w:r w:rsidR="00063A89" w:rsidRPr="00462F98">
        <w:rPr>
          <w:rFonts w:ascii="Times New Roman" w:hAnsi="Times New Roman" w:cs="Times New Roman"/>
          <w:sz w:val="24"/>
          <w:szCs w:val="24"/>
          <w:lang w:val="en-GB"/>
        </w:rPr>
        <w:t xml:space="preserve"> (</w:t>
      </w:r>
      <w:r w:rsidR="00A76257" w:rsidRPr="00462F98">
        <w:rPr>
          <w:rFonts w:ascii="Times New Roman" w:hAnsi="Times New Roman" w:cs="Times New Roman"/>
          <w:sz w:val="24"/>
          <w:szCs w:val="24"/>
          <w:lang w:val="en-GB"/>
        </w:rPr>
        <w:t>2001</w:t>
      </w:r>
      <w:r w:rsidR="00063A89" w:rsidRPr="00462F98">
        <w:rPr>
          <w:rFonts w:ascii="Times New Roman" w:hAnsi="Times New Roman" w:cs="Times New Roman"/>
          <w:sz w:val="24"/>
          <w:szCs w:val="24"/>
          <w:lang w:val="en-GB"/>
        </w:rPr>
        <w:t xml:space="preserve">) </w:t>
      </w:r>
      <w:r w:rsidR="00A76257" w:rsidRPr="00462F98">
        <w:rPr>
          <w:rFonts w:ascii="Times New Roman" w:hAnsi="Times New Roman" w:cs="Times New Roman"/>
          <w:sz w:val="24"/>
          <w:szCs w:val="24"/>
          <w:lang w:val="en-GB"/>
        </w:rPr>
        <w:t xml:space="preserve">and by </w:t>
      </w:r>
      <w:proofErr w:type="spellStart"/>
      <w:r w:rsidR="00A76257" w:rsidRPr="00462F98">
        <w:rPr>
          <w:rFonts w:ascii="Times New Roman" w:hAnsi="Times New Roman" w:cs="Times New Roman"/>
          <w:sz w:val="24"/>
          <w:szCs w:val="24"/>
          <w:lang w:val="en-GB"/>
        </w:rPr>
        <w:t>Sabaté</w:t>
      </w:r>
      <w:proofErr w:type="spellEnd"/>
      <w:r w:rsidR="00A76257" w:rsidRPr="00462F98">
        <w:rPr>
          <w:rFonts w:ascii="Times New Roman" w:hAnsi="Times New Roman" w:cs="Times New Roman"/>
          <w:sz w:val="24"/>
          <w:szCs w:val="24"/>
          <w:lang w:val="en-GB"/>
        </w:rPr>
        <w:t xml:space="preserve"> et al. (2015)</w:t>
      </w:r>
      <w:r w:rsidR="00063A89" w:rsidRPr="00462F98">
        <w:rPr>
          <w:rFonts w:ascii="Times New Roman" w:hAnsi="Times New Roman" w:cs="Times New Roman"/>
          <w:sz w:val="24"/>
          <w:szCs w:val="24"/>
          <w:lang w:val="en-GB"/>
        </w:rPr>
        <w:t>:</w:t>
      </w:r>
    </w:p>
    <w:p w:rsidR="00063A89" w:rsidRPr="00462F98" w:rsidRDefault="00063A89" w:rsidP="008C72EE">
      <w:pPr>
        <w:spacing w:after="0" w:line="360" w:lineRule="auto"/>
        <w:jc w:val="both"/>
        <w:rPr>
          <w:rFonts w:ascii="Times New Roman" w:hAnsi="Times New Roman" w:cs="Times New Roman"/>
          <w:sz w:val="12"/>
          <w:szCs w:val="12"/>
          <w:lang w:val="en-GB"/>
        </w:rPr>
      </w:pPr>
    </w:p>
    <w:p w:rsidR="00063A89" w:rsidRPr="00462F98" w:rsidRDefault="00063A89" w:rsidP="00063A89">
      <w:pPr>
        <w:pStyle w:val="ListParagraph"/>
        <w:numPr>
          <w:ilvl w:val="0"/>
          <w:numId w:val="9"/>
        </w:numPr>
        <w:spacing w:after="0" w:line="360" w:lineRule="auto"/>
        <w:jc w:val="both"/>
        <w:rPr>
          <w:rFonts w:ascii="Times New Roman" w:hAnsi="Times New Roman" w:cs="Times New Roman"/>
          <w:sz w:val="24"/>
          <w:szCs w:val="24"/>
        </w:rPr>
      </w:pPr>
      <w:r w:rsidRPr="00462F98">
        <w:rPr>
          <w:rFonts w:ascii="Times New Roman" w:hAnsi="Times New Roman" w:cs="Times New Roman"/>
          <w:sz w:val="24"/>
          <w:szCs w:val="24"/>
        </w:rPr>
        <w:tab/>
      </w:r>
      <w:proofErr w:type="spellStart"/>
      <w:r w:rsidRPr="00462F98">
        <w:rPr>
          <w:rFonts w:ascii="Times New Roman" w:hAnsi="Times New Roman" w:cs="Times New Roman"/>
          <w:sz w:val="24"/>
          <w:szCs w:val="24"/>
        </w:rPr>
        <w:t>TR</w:t>
      </w:r>
      <w:r w:rsidRPr="00462F98">
        <w:rPr>
          <w:rFonts w:ascii="Times New Roman" w:hAnsi="Times New Roman" w:cs="Times New Roman"/>
          <w:sz w:val="24"/>
          <w:szCs w:val="24"/>
          <w:vertAlign w:val="subscript"/>
        </w:rPr>
        <w:t>t</w:t>
      </w:r>
      <w:proofErr w:type="spellEnd"/>
      <w:r w:rsidRPr="00462F98">
        <w:rPr>
          <w:rFonts w:ascii="Times New Roman" w:hAnsi="Times New Roman" w:cs="Times New Roman"/>
          <w:sz w:val="24"/>
          <w:szCs w:val="24"/>
        </w:rPr>
        <w:t xml:space="preserve"> = </w:t>
      </w:r>
      <w:proofErr w:type="spellStart"/>
      <w:r w:rsidRPr="00462F98">
        <w:rPr>
          <w:rFonts w:ascii="Times New Roman" w:hAnsi="Times New Roman" w:cs="Times New Roman"/>
          <w:sz w:val="24"/>
          <w:szCs w:val="24"/>
        </w:rPr>
        <w:t>ΔMBTC</w:t>
      </w:r>
      <w:r w:rsidRPr="00462F98">
        <w:rPr>
          <w:rFonts w:ascii="Times New Roman" w:hAnsi="Times New Roman" w:cs="Times New Roman"/>
          <w:sz w:val="24"/>
          <w:szCs w:val="24"/>
          <w:vertAlign w:val="subscript"/>
        </w:rPr>
        <w:t>t</w:t>
      </w:r>
      <w:proofErr w:type="spellEnd"/>
      <w:r w:rsidRPr="00462F98">
        <w:rPr>
          <w:rFonts w:ascii="Times New Roman" w:hAnsi="Times New Roman" w:cs="Times New Roman"/>
          <w:sz w:val="24"/>
          <w:szCs w:val="24"/>
        </w:rPr>
        <w:t xml:space="preserve"> = </w:t>
      </w:r>
      <w:proofErr w:type="spellStart"/>
      <w:r w:rsidRPr="00462F98">
        <w:rPr>
          <w:rFonts w:ascii="Times New Roman" w:hAnsi="Times New Roman" w:cs="Times New Roman"/>
          <w:sz w:val="24"/>
          <w:szCs w:val="24"/>
        </w:rPr>
        <w:t>MBTC</w:t>
      </w:r>
      <w:r w:rsidRPr="00462F98">
        <w:rPr>
          <w:rFonts w:ascii="Times New Roman" w:hAnsi="Times New Roman" w:cs="Times New Roman"/>
          <w:sz w:val="24"/>
          <w:szCs w:val="24"/>
          <w:vertAlign w:val="subscript"/>
        </w:rPr>
        <w:t>t</w:t>
      </w:r>
      <w:proofErr w:type="spellEnd"/>
      <w:r w:rsidRPr="00462F98">
        <w:rPr>
          <w:rFonts w:ascii="Times New Roman" w:hAnsi="Times New Roman" w:cs="Times New Roman"/>
          <w:sz w:val="24"/>
          <w:szCs w:val="24"/>
        </w:rPr>
        <w:t xml:space="preserve"> – MBTC</w:t>
      </w:r>
      <w:r w:rsidRPr="00462F98">
        <w:rPr>
          <w:rFonts w:ascii="Times New Roman" w:hAnsi="Times New Roman" w:cs="Times New Roman"/>
          <w:sz w:val="24"/>
          <w:szCs w:val="24"/>
          <w:vertAlign w:val="subscript"/>
        </w:rPr>
        <w:t>t-1</w:t>
      </w:r>
    </w:p>
    <w:p w:rsidR="00063A89" w:rsidRPr="00462F98" w:rsidRDefault="00063A89" w:rsidP="008C72EE">
      <w:pPr>
        <w:spacing w:after="0" w:line="360" w:lineRule="auto"/>
        <w:jc w:val="both"/>
        <w:rPr>
          <w:rFonts w:ascii="Times New Roman" w:hAnsi="Times New Roman" w:cs="Times New Roman"/>
          <w:sz w:val="12"/>
          <w:szCs w:val="12"/>
          <w:lang w:val="en-GB"/>
        </w:rPr>
      </w:pPr>
    </w:p>
    <w:p w:rsidR="00063A89" w:rsidRPr="00462F98" w:rsidRDefault="00063A89" w:rsidP="008C72EE">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MBTC is the treasury component of the monetary base</w:t>
      </w:r>
      <w:r w:rsidR="00A76257" w:rsidRPr="00462F98">
        <w:rPr>
          <w:rFonts w:ascii="Times New Roman" w:hAnsi="Times New Roman" w:cs="Times New Roman"/>
          <w:sz w:val="24"/>
          <w:szCs w:val="24"/>
          <w:lang w:val="en-GB"/>
        </w:rPr>
        <w:t xml:space="preserve"> and consists of token coin in circulation plus bank notes issued against government debt</w:t>
      </w:r>
      <w:r w:rsidRPr="00462F98">
        <w:rPr>
          <w:rFonts w:ascii="Times New Roman" w:hAnsi="Times New Roman" w:cs="Times New Roman"/>
          <w:sz w:val="24"/>
          <w:szCs w:val="24"/>
          <w:lang w:val="en-GB"/>
        </w:rPr>
        <w:t xml:space="preserve">. As the issuance of token coin preceded the foundation of a bank of note issue, the time series for seigniorage (TR) begins with the year of the coinage act (Romania: 1867; Serbia: 1873; Bulgaria: 1880). </w:t>
      </w:r>
      <w:r w:rsidR="00662855" w:rsidRPr="00462F98">
        <w:rPr>
          <w:rFonts w:ascii="Times New Roman" w:hAnsi="Times New Roman" w:cs="Times New Roman"/>
          <w:sz w:val="24"/>
          <w:szCs w:val="24"/>
          <w:lang w:val="en-GB"/>
        </w:rPr>
        <w:t xml:space="preserve">Only </w:t>
      </w:r>
      <w:r w:rsidR="00B159DD" w:rsidRPr="00462F98">
        <w:rPr>
          <w:rFonts w:ascii="Times New Roman" w:hAnsi="Times New Roman" w:cs="Times New Roman"/>
          <w:sz w:val="24"/>
          <w:szCs w:val="24"/>
          <w:lang w:val="en-GB"/>
        </w:rPr>
        <w:t xml:space="preserve">the </w:t>
      </w:r>
      <w:r w:rsidR="00662855" w:rsidRPr="00462F98">
        <w:rPr>
          <w:rFonts w:ascii="Times New Roman" w:hAnsi="Times New Roman" w:cs="Times New Roman"/>
          <w:sz w:val="24"/>
          <w:szCs w:val="24"/>
          <w:lang w:val="en-GB"/>
        </w:rPr>
        <w:lastRenderedPageBreak/>
        <w:t>Greek</w:t>
      </w:r>
      <w:r w:rsidR="00B159DD"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series begin</w:t>
      </w:r>
      <w:r w:rsidR="00B159DD" w:rsidRPr="00462F98">
        <w:rPr>
          <w:rFonts w:ascii="Times New Roman" w:hAnsi="Times New Roman" w:cs="Times New Roman"/>
          <w:sz w:val="24"/>
          <w:szCs w:val="24"/>
          <w:lang w:val="en-GB"/>
        </w:rPr>
        <w:t>s</w:t>
      </w:r>
      <w:r w:rsidRPr="00462F98">
        <w:rPr>
          <w:rFonts w:ascii="Times New Roman" w:hAnsi="Times New Roman" w:cs="Times New Roman"/>
          <w:sz w:val="24"/>
          <w:szCs w:val="24"/>
          <w:lang w:val="en-GB"/>
        </w:rPr>
        <w:t xml:space="preserve"> with the </w:t>
      </w:r>
      <w:r w:rsidR="00662855" w:rsidRPr="00462F98">
        <w:rPr>
          <w:rFonts w:ascii="Times New Roman" w:hAnsi="Times New Roman" w:cs="Times New Roman"/>
          <w:sz w:val="24"/>
          <w:szCs w:val="24"/>
          <w:lang w:val="en-GB"/>
        </w:rPr>
        <w:t xml:space="preserve">NBG </w:t>
      </w:r>
      <w:r w:rsidRPr="00462F98">
        <w:rPr>
          <w:rFonts w:ascii="Times New Roman" w:hAnsi="Times New Roman" w:cs="Times New Roman"/>
          <w:sz w:val="24"/>
          <w:szCs w:val="24"/>
          <w:lang w:val="en-GB"/>
        </w:rPr>
        <w:t xml:space="preserve">foundation in 1841, as sources do not allow quantifying </w:t>
      </w:r>
      <w:r w:rsidR="00DD2AEF" w:rsidRPr="00462F98">
        <w:rPr>
          <w:rFonts w:ascii="Times New Roman" w:hAnsi="Times New Roman" w:cs="Times New Roman"/>
          <w:sz w:val="24"/>
          <w:szCs w:val="24"/>
          <w:lang w:val="en-GB"/>
        </w:rPr>
        <w:t xml:space="preserve">coinage </w:t>
      </w:r>
      <w:r w:rsidRPr="00462F98">
        <w:rPr>
          <w:rFonts w:ascii="Times New Roman" w:hAnsi="Times New Roman" w:cs="Times New Roman"/>
          <w:sz w:val="24"/>
          <w:szCs w:val="24"/>
          <w:lang w:val="en-GB"/>
        </w:rPr>
        <w:t xml:space="preserve">before </w:t>
      </w:r>
      <w:r w:rsidR="00A76257" w:rsidRPr="00462F98">
        <w:rPr>
          <w:rFonts w:ascii="Times New Roman" w:hAnsi="Times New Roman" w:cs="Times New Roman"/>
          <w:sz w:val="24"/>
          <w:szCs w:val="24"/>
          <w:lang w:val="en-GB"/>
        </w:rPr>
        <w:t xml:space="preserve">the country’s 1867 LMU coinage act </w:t>
      </w:r>
      <w:r w:rsidR="00AB3A6F"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table 4 and d</w:t>
      </w:r>
      <w:r w:rsidR="00DD2AEF" w:rsidRPr="00462F98">
        <w:rPr>
          <w:rFonts w:ascii="Times New Roman" w:hAnsi="Times New Roman" w:cs="Times New Roman"/>
          <w:sz w:val="24"/>
          <w:szCs w:val="24"/>
          <w:lang w:val="en-GB"/>
        </w:rPr>
        <w:t>ata appendix</w:t>
      </w:r>
      <w:r w:rsidRPr="00462F98">
        <w:rPr>
          <w:rFonts w:ascii="Times New Roman" w:hAnsi="Times New Roman" w:cs="Times New Roman"/>
          <w:sz w:val="24"/>
          <w:szCs w:val="24"/>
          <w:lang w:val="en-GB"/>
        </w:rPr>
        <w:t>).</w:t>
      </w:r>
    </w:p>
    <w:p w:rsidR="00A76257" w:rsidRPr="00462F98" w:rsidRDefault="00A76257" w:rsidP="008C72EE">
      <w:pPr>
        <w:spacing w:after="0" w:line="360" w:lineRule="auto"/>
        <w:jc w:val="both"/>
        <w:rPr>
          <w:rFonts w:ascii="Times New Roman" w:hAnsi="Times New Roman" w:cs="Times New Roman"/>
          <w:sz w:val="12"/>
          <w:szCs w:val="12"/>
          <w:lang w:val="en-GB"/>
        </w:rPr>
      </w:pPr>
    </w:p>
    <w:p w:rsidR="00063A89" w:rsidRPr="00462F98" w:rsidRDefault="00DD2AEF" w:rsidP="00063A89">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ab/>
        <w:t>[table_</w:t>
      </w:r>
      <w:r w:rsidR="00063A89" w:rsidRPr="00462F98">
        <w:rPr>
          <w:rFonts w:ascii="Times New Roman" w:hAnsi="Times New Roman" w:cs="Times New Roman"/>
          <w:b/>
          <w:sz w:val="24"/>
          <w:szCs w:val="24"/>
          <w:lang w:val="en-GB"/>
        </w:rPr>
        <w:t>3]</w:t>
      </w:r>
    </w:p>
    <w:p w:rsidR="00063A89" w:rsidRPr="00462F98" w:rsidRDefault="00063A89" w:rsidP="008C72EE">
      <w:pPr>
        <w:spacing w:after="0" w:line="360" w:lineRule="auto"/>
        <w:jc w:val="both"/>
        <w:rPr>
          <w:rFonts w:ascii="Times New Roman" w:hAnsi="Times New Roman" w:cs="Times New Roman"/>
          <w:sz w:val="12"/>
          <w:szCs w:val="12"/>
          <w:lang w:val="en-GB"/>
        </w:rPr>
      </w:pPr>
    </w:p>
    <w:p w:rsidR="0003658A" w:rsidRPr="003B276C" w:rsidRDefault="0003658A" w:rsidP="0003658A">
      <w:pPr>
        <w:spacing w:after="0" w:line="360" w:lineRule="auto"/>
        <w:jc w:val="both"/>
        <w:rPr>
          <w:rFonts w:ascii="Times New Roman" w:hAnsi="Times New Roman" w:cs="Times New Roman"/>
          <w:color w:val="000000" w:themeColor="text1"/>
          <w:sz w:val="24"/>
          <w:szCs w:val="24"/>
          <w:lang w:val="en-GB"/>
        </w:rPr>
      </w:pPr>
      <w:r w:rsidRPr="003B276C">
        <w:rPr>
          <w:rFonts w:ascii="Times New Roman" w:hAnsi="Times New Roman" w:cs="Times New Roman"/>
          <w:color w:val="000000" w:themeColor="text1"/>
          <w:sz w:val="24"/>
          <w:szCs w:val="24"/>
          <w:lang w:val="en-GB"/>
        </w:rPr>
        <w:t xml:space="preserve">Greece exhibits </w:t>
      </w:r>
      <w:r w:rsidR="00571A45">
        <w:rPr>
          <w:rFonts w:ascii="Times New Roman" w:hAnsi="Times New Roman" w:cs="Times New Roman"/>
          <w:color w:val="000000" w:themeColor="text1"/>
          <w:sz w:val="24"/>
          <w:szCs w:val="24"/>
          <w:lang w:val="en-GB"/>
        </w:rPr>
        <w:t xml:space="preserve">(peace-time) </w:t>
      </w:r>
      <w:r w:rsidRPr="003B276C">
        <w:rPr>
          <w:rFonts w:ascii="Times New Roman" w:hAnsi="Times New Roman" w:cs="Times New Roman"/>
          <w:color w:val="000000" w:themeColor="text1"/>
          <w:sz w:val="24"/>
          <w:szCs w:val="24"/>
          <w:lang w:val="en-GB"/>
        </w:rPr>
        <w:t xml:space="preserve">seigniorage rates twice as high as Italy. Serbia/Yugoslavia and Bulgaria also show higher levels and only the Romanian experience </w:t>
      </w:r>
      <w:r w:rsidR="00571A45">
        <w:rPr>
          <w:rFonts w:ascii="Times New Roman" w:hAnsi="Times New Roman" w:cs="Times New Roman"/>
          <w:color w:val="000000" w:themeColor="text1"/>
          <w:sz w:val="24"/>
          <w:szCs w:val="24"/>
          <w:lang w:val="en-GB"/>
        </w:rPr>
        <w:t xml:space="preserve">resembles </w:t>
      </w:r>
      <w:r w:rsidR="00255241">
        <w:rPr>
          <w:rFonts w:ascii="Times New Roman" w:hAnsi="Times New Roman" w:cs="Times New Roman"/>
          <w:color w:val="000000" w:themeColor="text1"/>
          <w:sz w:val="24"/>
          <w:szCs w:val="24"/>
          <w:lang w:val="en-GB"/>
        </w:rPr>
        <w:t xml:space="preserve">Italy, </w:t>
      </w:r>
      <w:r w:rsidRPr="003B276C">
        <w:rPr>
          <w:rFonts w:ascii="Times New Roman" w:hAnsi="Times New Roman" w:cs="Times New Roman"/>
          <w:color w:val="000000" w:themeColor="text1"/>
          <w:sz w:val="24"/>
          <w:szCs w:val="24"/>
          <w:lang w:val="en-GB"/>
        </w:rPr>
        <w:t xml:space="preserve">a </w:t>
      </w:r>
      <w:r w:rsidR="00005181">
        <w:rPr>
          <w:rFonts w:ascii="Times New Roman" w:hAnsi="Times New Roman" w:cs="Times New Roman"/>
          <w:color w:val="000000" w:themeColor="text1"/>
          <w:sz w:val="24"/>
          <w:szCs w:val="24"/>
          <w:lang w:val="en-GB"/>
        </w:rPr>
        <w:t xml:space="preserve">well-documented </w:t>
      </w:r>
      <w:r w:rsidRPr="003B276C">
        <w:rPr>
          <w:rFonts w:ascii="Times New Roman" w:hAnsi="Times New Roman" w:cs="Times New Roman"/>
          <w:color w:val="000000" w:themeColor="text1"/>
          <w:sz w:val="24"/>
          <w:szCs w:val="24"/>
          <w:lang w:val="en-GB"/>
        </w:rPr>
        <w:t>case of strong and persistent fiscal dominance (</w:t>
      </w:r>
      <w:proofErr w:type="spellStart"/>
      <w:r w:rsidRPr="003B276C">
        <w:rPr>
          <w:rFonts w:ascii="Times New Roman" w:hAnsi="Times New Roman" w:cs="Times New Roman"/>
          <w:color w:val="000000" w:themeColor="text1"/>
          <w:sz w:val="24"/>
          <w:szCs w:val="24"/>
          <w:lang w:val="en-GB"/>
        </w:rPr>
        <w:t>Fratianni&amp;Spinelli</w:t>
      </w:r>
      <w:proofErr w:type="spellEnd"/>
      <w:r w:rsidRPr="003B276C">
        <w:rPr>
          <w:rFonts w:ascii="Times New Roman" w:hAnsi="Times New Roman" w:cs="Times New Roman"/>
          <w:color w:val="000000" w:themeColor="text1"/>
          <w:sz w:val="24"/>
          <w:szCs w:val="24"/>
          <w:lang w:val="en-GB"/>
        </w:rPr>
        <w:t xml:space="preserve"> 2001).</w:t>
      </w:r>
    </w:p>
    <w:p w:rsidR="00A363F0" w:rsidRPr="00462F98" w:rsidRDefault="00A363F0" w:rsidP="00A363F0">
      <w:pPr>
        <w:spacing w:after="0" w:line="360" w:lineRule="auto"/>
        <w:jc w:val="both"/>
        <w:rPr>
          <w:rFonts w:ascii="Times New Roman" w:hAnsi="Times New Roman" w:cs="Times New Roman"/>
          <w:sz w:val="12"/>
          <w:szCs w:val="12"/>
          <w:lang w:val="en-GB"/>
        </w:rPr>
      </w:pPr>
    </w:p>
    <w:p w:rsidR="00A363F0" w:rsidRPr="00462F98" w:rsidRDefault="00DD2AEF" w:rsidP="00A363F0">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ab/>
        <w:t>[table_</w:t>
      </w:r>
      <w:r w:rsidR="00A363F0" w:rsidRPr="00462F98">
        <w:rPr>
          <w:rFonts w:ascii="Times New Roman" w:hAnsi="Times New Roman" w:cs="Times New Roman"/>
          <w:b/>
          <w:sz w:val="24"/>
          <w:szCs w:val="24"/>
          <w:lang w:val="en-GB"/>
        </w:rPr>
        <w:t>4]</w:t>
      </w:r>
    </w:p>
    <w:p w:rsidR="00A363F0" w:rsidRPr="00462F98" w:rsidRDefault="00A363F0" w:rsidP="00A363F0">
      <w:pPr>
        <w:spacing w:after="0" w:line="360" w:lineRule="auto"/>
        <w:jc w:val="both"/>
        <w:rPr>
          <w:rFonts w:ascii="Times New Roman" w:hAnsi="Times New Roman" w:cs="Times New Roman"/>
          <w:sz w:val="12"/>
          <w:szCs w:val="12"/>
          <w:lang w:val="en-GB"/>
        </w:rPr>
      </w:pPr>
    </w:p>
    <w:p w:rsidR="00695A87" w:rsidRPr="00462F98" w:rsidRDefault="0003658A" w:rsidP="0003658A">
      <w:pPr>
        <w:spacing w:after="0" w:line="360" w:lineRule="auto"/>
        <w:jc w:val="both"/>
        <w:rPr>
          <w:rFonts w:ascii="Times New Roman" w:hAnsi="Times New Roman" w:cs="Times New Roman"/>
          <w:color w:val="FF0000"/>
          <w:sz w:val="24"/>
          <w:szCs w:val="24"/>
          <w:lang w:val="en-GB"/>
        </w:rPr>
      </w:pPr>
      <w:r w:rsidRPr="003B276C">
        <w:rPr>
          <w:rFonts w:ascii="Times New Roman" w:hAnsi="Times New Roman" w:cs="Times New Roman"/>
          <w:color w:val="000000" w:themeColor="text1"/>
          <w:sz w:val="24"/>
          <w:szCs w:val="24"/>
          <w:lang w:val="en-GB"/>
        </w:rPr>
        <w:t xml:space="preserve">Motivating the second part of the hypothesis – the role of financial supervision in breaking the dominant pattern – requires </w:t>
      </w:r>
      <w:r w:rsidR="00695A87" w:rsidRPr="003B276C">
        <w:rPr>
          <w:rFonts w:ascii="Times New Roman" w:hAnsi="Times New Roman" w:cs="Times New Roman"/>
          <w:color w:val="000000" w:themeColor="text1"/>
          <w:sz w:val="24"/>
          <w:szCs w:val="24"/>
          <w:lang w:val="en-GB"/>
        </w:rPr>
        <w:t xml:space="preserve">a </w:t>
      </w:r>
      <w:r w:rsidRPr="003B276C">
        <w:rPr>
          <w:rFonts w:ascii="Times New Roman" w:hAnsi="Times New Roman" w:cs="Times New Roman"/>
          <w:color w:val="000000" w:themeColor="text1"/>
          <w:sz w:val="24"/>
          <w:szCs w:val="24"/>
          <w:lang w:val="en-GB"/>
        </w:rPr>
        <w:t xml:space="preserve">theoretical </w:t>
      </w:r>
      <w:r w:rsidR="00695A87" w:rsidRPr="003B276C">
        <w:rPr>
          <w:rFonts w:ascii="Times New Roman" w:hAnsi="Times New Roman" w:cs="Times New Roman"/>
          <w:color w:val="000000" w:themeColor="text1"/>
          <w:sz w:val="24"/>
          <w:szCs w:val="24"/>
          <w:lang w:val="en-GB"/>
        </w:rPr>
        <w:t>framework</w:t>
      </w:r>
      <w:r w:rsidRPr="003B276C">
        <w:rPr>
          <w:rFonts w:ascii="Times New Roman" w:hAnsi="Times New Roman" w:cs="Times New Roman"/>
          <w:color w:val="000000" w:themeColor="text1"/>
          <w:sz w:val="24"/>
          <w:szCs w:val="24"/>
          <w:lang w:val="en-GB"/>
        </w:rPr>
        <w:t xml:space="preserve">. </w:t>
      </w:r>
      <w:r w:rsidR="00255241">
        <w:rPr>
          <w:rFonts w:ascii="Times New Roman" w:hAnsi="Times New Roman" w:cs="Times New Roman"/>
          <w:color w:val="000000" w:themeColor="text1"/>
          <w:sz w:val="24"/>
          <w:szCs w:val="24"/>
          <w:lang w:val="en-GB"/>
        </w:rPr>
        <w:t>F</w:t>
      </w:r>
      <w:r w:rsidRPr="003B276C">
        <w:rPr>
          <w:rFonts w:ascii="Times New Roman" w:hAnsi="Times New Roman" w:cs="Times New Roman"/>
          <w:color w:val="000000" w:themeColor="text1"/>
          <w:sz w:val="24"/>
          <w:szCs w:val="24"/>
          <w:lang w:val="en-GB"/>
        </w:rPr>
        <w:t xml:space="preserve">inancial supervision helped solve a time inconsistency problem. As debt monetisation levels were inconsistent with the pursuit of stable-exchange-rates, a credible constraint </w:t>
      </w:r>
      <w:r w:rsidR="00981E28">
        <w:rPr>
          <w:rFonts w:ascii="Times New Roman" w:hAnsi="Times New Roman" w:cs="Times New Roman"/>
          <w:color w:val="000000" w:themeColor="text1"/>
          <w:sz w:val="24"/>
          <w:szCs w:val="24"/>
          <w:lang w:val="en-GB"/>
        </w:rPr>
        <w:t xml:space="preserve">was </w:t>
      </w:r>
      <w:r w:rsidRPr="003B276C">
        <w:rPr>
          <w:rFonts w:ascii="Times New Roman" w:hAnsi="Times New Roman" w:cs="Times New Roman"/>
          <w:color w:val="000000" w:themeColor="text1"/>
          <w:sz w:val="24"/>
          <w:szCs w:val="24"/>
          <w:lang w:val="en-GB"/>
        </w:rPr>
        <w:t xml:space="preserve">achieved by </w:t>
      </w:r>
      <w:r w:rsidR="00462F98" w:rsidRPr="003B276C">
        <w:rPr>
          <w:rFonts w:ascii="Times New Roman" w:hAnsi="Times New Roman" w:cs="Times New Roman"/>
          <w:color w:val="000000" w:themeColor="text1"/>
          <w:sz w:val="24"/>
          <w:szCs w:val="24"/>
          <w:lang w:val="en-GB"/>
        </w:rPr>
        <w:t xml:space="preserve">effectively </w:t>
      </w:r>
      <w:r w:rsidRPr="003B276C">
        <w:rPr>
          <w:rFonts w:ascii="Times New Roman" w:hAnsi="Times New Roman" w:cs="Times New Roman"/>
          <w:color w:val="000000" w:themeColor="text1"/>
          <w:sz w:val="24"/>
          <w:szCs w:val="24"/>
          <w:lang w:val="en-GB"/>
        </w:rPr>
        <w:t>delegating fiscal policy to the foreign supervisors. Delegati</w:t>
      </w:r>
      <w:r w:rsidR="00695A87" w:rsidRPr="003B276C">
        <w:rPr>
          <w:rFonts w:ascii="Times New Roman" w:hAnsi="Times New Roman" w:cs="Times New Roman"/>
          <w:color w:val="000000" w:themeColor="text1"/>
          <w:sz w:val="24"/>
          <w:szCs w:val="24"/>
          <w:lang w:val="en-GB"/>
        </w:rPr>
        <w:t>on solution</w:t>
      </w:r>
      <w:r w:rsidR="00345F9E">
        <w:rPr>
          <w:rFonts w:ascii="Times New Roman" w:hAnsi="Times New Roman" w:cs="Times New Roman"/>
          <w:color w:val="000000" w:themeColor="text1"/>
          <w:sz w:val="24"/>
          <w:szCs w:val="24"/>
          <w:lang w:val="en-GB"/>
        </w:rPr>
        <w:t>s</w:t>
      </w:r>
      <w:r w:rsidR="00695A87" w:rsidRPr="003B276C">
        <w:rPr>
          <w:rFonts w:ascii="Times New Roman" w:hAnsi="Times New Roman" w:cs="Times New Roman"/>
          <w:color w:val="000000" w:themeColor="text1"/>
          <w:sz w:val="24"/>
          <w:szCs w:val="24"/>
          <w:lang w:val="en-GB"/>
        </w:rPr>
        <w:t xml:space="preserve"> are a </w:t>
      </w:r>
      <w:r w:rsidRPr="003B276C">
        <w:rPr>
          <w:rFonts w:ascii="Times New Roman" w:hAnsi="Times New Roman" w:cs="Times New Roman"/>
          <w:color w:val="000000" w:themeColor="text1"/>
          <w:sz w:val="24"/>
          <w:szCs w:val="24"/>
          <w:lang w:val="en-GB"/>
        </w:rPr>
        <w:t xml:space="preserve">typical device to overcome pre-commitment problems </w:t>
      </w:r>
      <w:r w:rsidR="00161730" w:rsidRPr="003B276C">
        <w:rPr>
          <w:rFonts w:ascii="Times New Roman" w:hAnsi="Times New Roman" w:cs="Times New Roman"/>
          <w:color w:val="000000" w:themeColor="text1"/>
          <w:sz w:val="24"/>
          <w:szCs w:val="24"/>
          <w:lang w:val="en-GB"/>
        </w:rPr>
        <w:t>(Rogoff 1985</w:t>
      </w:r>
      <w:r w:rsidR="00255241">
        <w:rPr>
          <w:rFonts w:ascii="Times New Roman" w:hAnsi="Times New Roman" w:cs="Times New Roman"/>
          <w:color w:val="000000" w:themeColor="text1"/>
          <w:sz w:val="24"/>
          <w:szCs w:val="24"/>
          <w:lang w:val="en-GB"/>
        </w:rPr>
        <w:t>), y</w:t>
      </w:r>
      <w:r w:rsidRPr="003B276C">
        <w:rPr>
          <w:rFonts w:ascii="Times New Roman" w:hAnsi="Times New Roman" w:cs="Times New Roman"/>
          <w:color w:val="000000" w:themeColor="text1"/>
          <w:sz w:val="24"/>
          <w:szCs w:val="24"/>
          <w:lang w:val="en-GB"/>
        </w:rPr>
        <w:t>et the SEE experience stands out in that countr</w:t>
      </w:r>
      <w:r w:rsidR="00695A87" w:rsidRPr="003B276C">
        <w:rPr>
          <w:rFonts w:ascii="Times New Roman" w:hAnsi="Times New Roman" w:cs="Times New Roman"/>
          <w:color w:val="000000" w:themeColor="text1"/>
          <w:sz w:val="24"/>
          <w:szCs w:val="24"/>
          <w:lang w:val="en-GB"/>
        </w:rPr>
        <w:t>ies settl</w:t>
      </w:r>
      <w:r w:rsidRPr="003B276C">
        <w:rPr>
          <w:rFonts w:ascii="Times New Roman" w:hAnsi="Times New Roman" w:cs="Times New Roman"/>
          <w:color w:val="000000" w:themeColor="text1"/>
          <w:sz w:val="24"/>
          <w:szCs w:val="24"/>
          <w:lang w:val="en-GB"/>
        </w:rPr>
        <w:t>ed for an institution outside of their domestic institutional structure.</w:t>
      </w:r>
    </w:p>
    <w:p w:rsidR="00617412" w:rsidRPr="00462F98" w:rsidRDefault="003C58D5" w:rsidP="008C72EE">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r>
      <w:r w:rsidR="00DD2AEF" w:rsidRPr="00462F98">
        <w:rPr>
          <w:rFonts w:ascii="Times New Roman" w:hAnsi="Times New Roman" w:cs="Times New Roman"/>
          <w:sz w:val="24"/>
          <w:szCs w:val="24"/>
          <w:lang w:val="en-GB"/>
        </w:rPr>
        <w:t>C</w:t>
      </w:r>
      <w:r w:rsidRPr="00462F98">
        <w:rPr>
          <w:rFonts w:ascii="Times New Roman" w:hAnsi="Times New Roman" w:cs="Times New Roman"/>
          <w:sz w:val="24"/>
          <w:szCs w:val="24"/>
          <w:lang w:val="en-GB"/>
        </w:rPr>
        <w:t xml:space="preserve">apital imports </w:t>
      </w:r>
      <w:r w:rsidR="00617412" w:rsidRPr="00462F98">
        <w:rPr>
          <w:rFonts w:ascii="Times New Roman" w:hAnsi="Times New Roman" w:cs="Times New Roman"/>
          <w:sz w:val="24"/>
          <w:szCs w:val="24"/>
          <w:lang w:val="en-GB"/>
        </w:rPr>
        <w:t xml:space="preserve">and </w:t>
      </w:r>
      <w:r w:rsidRPr="00462F98">
        <w:rPr>
          <w:rFonts w:ascii="Times New Roman" w:hAnsi="Times New Roman" w:cs="Times New Roman"/>
          <w:sz w:val="24"/>
          <w:szCs w:val="24"/>
          <w:lang w:val="en-GB"/>
        </w:rPr>
        <w:t xml:space="preserve">seigniorage </w:t>
      </w:r>
      <w:r w:rsidR="00617412" w:rsidRPr="00462F98">
        <w:rPr>
          <w:rFonts w:ascii="Times New Roman" w:hAnsi="Times New Roman" w:cs="Times New Roman"/>
          <w:sz w:val="24"/>
          <w:szCs w:val="24"/>
          <w:lang w:val="en-GB"/>
        </w:rPr>
        <w:t xml:space="preserve">are linked </w:t>
      </w:r>
      <w:r w:rsidR="00DD2AEF" w:rsidRPr="00462F98">
        <w:rPr>
          <w:rFonts w:ascii="Times New Roman" w:hAnsi="Times New Roman" w:cs="Times New Roman"/>
          <w:sz w:val="24"/>
          <w:szCs w:val="24"/>
          <w:lang w:val="en-GB"/>
        </w:rPr>
        <w:t>by the budget constraint</w:t>
      </w:r>
      <w:r w:rsidRPr="00462F98">
        <w:rPr>
          <w:rFonts w:ascii="Times New Roman" w:hAnsi="Times New Roman" w:cs="Times New Roman"/>
          <w:sz w:val="24"/>
          <w:szCs w:val="24"/>
          <w:lang w:val="en-GB"/>
        </w:rPr>
        <w:t>: confronted with weak budgets, governments resorted to seigniorage, capital imports or a combinati</w:t>
      </w:r>
      <w:r w:rsidR="00D62303">
        <w:rPr>
          <w:rFonts w:ascii="Times New Roman" w:hAnsi="Times New Roman" w:cs="Times New Roman"/>
          <w:sz w:val="24"/>
          <w:szCs w:val="24"/>
          <w:lang w:val="en-GB"/>
        </w:rPr>
        <w:t>on</w:t>
      </w:r>
      <w:r w:rsidR="005377E6">
        <w:rPr>
          <w:rFonts w:ascii="Times New Roman" w:hAnsi="Times New Roman" w:cs="Times New Roman"/>
          <w:sz w:val="24"/>
          <w:szCs w:val="24"/>
          <w:lang w:val="en-GB"/>
        </w:rPr>
        <w:t xml:space="preserve"> of both</w:t>
      </w:r>
      <w:r w:rsidR="00DD2AEF" w:rsidRPr="00462F98">
        <w:rPr>
          <w:rFonts w:ascii="Times New Roman" w:hAnsi="Times New Roman" w:cs="Times New Roman"/>
          <w:sz w:val="24"/>
          <w:szCs w:val="24"/>
          <w:lang w:val="en-GB"/>
        </w:rPr>
        <w:t>.</w:t>
      </w:r>
    </w:p>
    <w:p w:rsidR="00617412" w:rsidRPr="00462F98" w:rsidRDefault="00617412" w:rsidP="008C72EE">
      <w:pPr>
        <w:spacing w:after="0" w:line="360" w:lineRule="auto"/>
        <w:jc w:val="both"/>
        <w:rPr>
          <w:rFonts w:ascii="Times New Roman" w:hAnsi="Times New Roman" w:cs="Times New Roman"/>
          <w:sz w:val="12"/>
          <w:szCs w:val="12"/>
          <w:lang w:val="en-GB"/>
        </w:rPr>
      </w:pPr>
    </w:p>
    <w:p w:rsidR="00617412" w:rsidRPr="00462F98" w:rsidRDefault="00617412" w:rsidP="00617412">
      <w:pPr>
        <w:pStyle w:val="ListParagraph"/>
        <w:numPr>
          <w:ilvl w:val="0"/>
          <w:numId w:val="9"/>
        </w:numPr>
        <w:spacing w:after="0" w:line="360" w:lineRule="auto"/>
        <w:jc w:val="both"/>
        <w:rPr>
          <w:rFonts w:ascii="Times New Roman" w:hAnsi="Times New Roman" w:cs="Times New Roman"/>
          <w:sz w:val="24"/>
          <w:szCs w:val="24"/>
        </w:rPr>
      </w:pPr>
      <w:r w:rsidRPr="00462F98">
        <w:rPr>
          <w:rFonts w:ascii="Times New Roman" w:hAnsi="Times New Roman" w:cs="Times New Roman"/>
          <w:sz w:val="24"/>
          <w:szCs w:val="24"/>
        </w:rPr>
        <w:tab/>
      </w:r>
      <w:r w:rsidRPr="00462F98">
        <w:rPr>
          <w:rFonts w:ascii="Times New Roman" w:hAnsi="Times New Roman" w:cs="Times New Roman"/>
          <w:sz w:val="24"/>
          <w:szCs w:val="24"/>
        </w:rPr>
        <w:tab/>
      </w:r>
      <w:proofErr w:type="spellStart"/>
      <w:r w:rsidRPr="00462F98">
        <w:rPr>
          <w:rFonts w:ascii="Times New Roman" w:hAnsi="Times New Roman" w:cs="Times New Roman"/>
          <w:sz w:val="24"/>
          <w:szCs w:val="24"/>
        </w:rPr>
        <w:t>ΔS</w:t>
      </w:r>
      <w:r w:rsidRPr="00462F98">
        <w:rPr>
          <w:rFonts w:ascii="Times New Roman" w:hAnsi="Times New Roman" w:cs="Times New Roman"/>
          <w:sz w:val="24"/>
          <w:szCs w:val="24"/>
          <w:vertAlign w:val="subscript"/>
        </w:rPr>
        <w:t>t</w:t>
      </w:r>
      <w:proofErr w:type="spellEnd"/>
      <w:r w:rsidRPr="00462F98">
        <w:rPr>
          <w:rFonts w:ascii="Times New Roman" w:hAnsi="Times New Roman" w:cs="Times New Roman"/>
          <w:sz w:val="24"/>
          <w:szCs w:val="24"/>
        </w:rPr>
        <w:t xml:space="preserve"> </w:t>
      </w:r>
      <w:r w:rsidRPr="00462F98">
        <w:rPr>
          <w:rFonts w:ascii="Times New Roman" w:hAnsi="Times New Roman" w:cs="Times New Roman"/>
          <w:sz w:val="24"/>
          <w:szCs w:val="24"/>
        </w:rPr>
        <w:tab/>
        <w:t xml:space="preserve">       =</w:t>
      </w:r>
      <w:r w:rsidRPr="00462F98">
        <w:rPr>
          <w:rFonts w:ascii="Times New Roman" w:hAnsi="Times New Roman" w:cs="Times New Roman"/>
          <w:sz w:val="24"/>
          <w:szCs w:val="24"/>
        </w:rPr>
        <w:tab/>
        <w:t xml:space="preserve">   </w:t>
      </w:r>
      <w:r w:rsidR="00DD2AEF" w:rsidRPr="00462F98">
        <w:rPr>
          <w:rFonts w:ascii="Times New Roman" w:hAnsi="Times New Roman" w:cs="Times New Roman"/>
          <w:sz w:val="24"/>
          <w:szCs w:val="24"/>
        </w:rPr>
        <w:t>(</w:t>
      </w:r>
      <w:r w:rsidRPr="00462F98">
        <w:rPr>
          <w:rFonts w:ascii="Times New Roman" w:hAnsi="Times New Roman" w:cs="Times New Roman"/>
          <w:sz w:val="24"/>
          <w:szCs w:val="24"/>
        </w:rPr>
        <w:t>G</w:t>
      </w:r>
      <w:r w:rsidRPr="00462F98">
        <w:rPr>
          <w:rFonts w:ascii="Times New Roman" w:hAnsi="Times New Roman" w:cs="Times New Roman"/>
          <w:sz w:val="24"/>
          <w:szCs w:val="24"/>
          <w:vertAlign w:val="subscript"/>
        </w:rPr>
        <w:t>t</w:t>
      </w:r>
      <w:r w:rsidRPr="00462F98">
        <w:rPr>
          <w:rFonts w:ascii="Times New Roman" w:hAnsi="Times New Roman" w:cs="Times New Roman"/>
          <w:sz w:val="24"/>
          <w:szCs w:val="24"/>
        </w:rPr>
        <w:t xml:space="preserve">  –  T</w:t>
      </w:r>
      <w:r w:rsidRPr="00462F98">
        <w:rPr>
          <w:rFonts w:ascii="Times New Roman" w:hAnsi="Times New Roman" w:cs="Times New Roman"/>
          <w:sz w:val="24"/>
          <w:szCs w:val="24"/>
          <w:vertAlign w:val="subscript"/>
        </w:rPr>
        <w:t>t</w:t>
      </w:r>
      <w:r w:rsidRPr="00462F98">
        <w:rPr>
          <w:rFonts w:ascii="Times New Roman" w:hAnsi="Times New Roman" w:cs="Times New Roman"/>
          <w:sz w:val="24"/>
          <w:szCs w:val="24"/>
        </w:rPr>
        <w:t xml:space="preserve">)         </w:t>
      </w:r>
      <w:r w:rsidR="00DD2AEF" w:rsidRPr="00462F98">
        <w:rPr>
          <w:rFonts w:ascii="Times New Roman" w:hAnsi="Times New Roman" w:cs="Times New Roman"/>
          <w:sz w:val="24"/>
          <w:szCs w:val="24"/>
        </w:rPr>
        <w:t xml:space="preserve">  </w:t>
      </w:r>
      <w:r w:rsidRPr="00462F98">
        <w:rPr>
          <w:rFonts w:ascii="Times New Roman" w:hAnsi="Times New Roman" w:cs="Times New Roman"/>
          <w:sz w:val="24"/>
          <w:szCs w:val="24"/>
        </w:rPr>
        <w:t xml:space="preserve">- </w:t>
      </w:r>
      <w:r w:rsidRPr="00462F98">
        <w:rPr>
          <w:rFonts w:ascii="Times New Roman" w:hAnsi="Times New Roman" w:cs="Times New Roman"/>
          <w:sz w:val="24"/>
          <w:szCs w:val="24"/>
        </w:rPr>
        <w:tab/>
        <w:t xml:space="preserve">        </w:t>
      </w:r>
      <w:proofErr w:type="spellStart"/>
      <w:r w:rsidRPr="00462F98">
        <w:rPr>
          <w:rFonts w:ascii="Times New Roman" w:hAnsi="Times New Roman" w:cs="Times New Roman"/>
          <w:sz w:val="24"/>
          <w:szCs w:val="24"/>
        </w:rPr>
        <w:t>TR</w:t>
      </w:r>
      <w:r w:rsidRPr="00462F98">
        <w:rPr>
          <w:rFonts w:ascii="Times New Roman" w:hAnsi="Times New Roman" w:cs="Times New Roman"/>
          <w:sz w:val="24"/>
          <w:szCs w:val="24"/>
          <w:vertAlign w:val="subscript"/>
        </w:rPr>
        <w:t>t</w:t>
      </w:r>
      <w:proofErr w:type="spellEnd"/>
    </w:p>
    <w:p w:rsidR="00617412" w:rsidRPr="00462F98" w:rsidRDefault="00617412" w:rsidP="00617412">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ab/>
        <w:t xml:space="preserve">       change in consolidated</w:t>
      </w:r>
      <w:proofErr w:type="gramStart"/>
      <w:r w:rsidRPr="00462F98">
        <w:rPr>
          <w:rFonts w:ascii="Times New Roman" w:hAnsi="Times New Roman" w:cs="Times New Roman"/>
          <w:sz w:val="24"/>
          <w:szCs w:val="24"/>
          <w:lang w:val="en-GB"/>
        </w:rPr>
        <w:tab/>
      </w:r>
      <w:r w:rsidR="009964CA" w:rsidRPr="00462F98">
        <w:rPr>
          <w:rFonts w:ascii="Times New Roman" w:hAnsi="Times New Roman" w:cs="Times New Roman"/>
          <w:sz w:val="24"/>
          <w:szCs w:val="24"/>
          <w:lang w:val="en-GB"/>
        </w:rPr>
        <w:t xml:space="preserve">  budget</w:t>
      </w:r>
      <w:proofErr w:type="gramEnd"/>
      <w:r w:rsidR="009964CA" w:rsidRPr="00462F98">
        <w:rPr>
          <w:rFonts w:ascii="Times New Roman" w:hAnsi="Times New Roman" w:cs="Times New Roman"/>
          <w:sz w:val="24"/>
          <w:szCs w:val="24"/>
          <w:lang w:val="en-GB"/>
        </w:rPr>
        <w:t xml:space="preserve"> deficit </w:t>
      </w:r>
      <w:r w:rsidRPr="00462F98">
        <w:rPr>
          <w:rFonts w:ascii="Times New Roman" w:hAnsi="Times New Roman" w:cs="Times New Roman"/>
          <w:sz w:val="24"/>
          <w:szCs w:val="24"/>
          <w:lang w:val="en-GB"/>
        </w:rPr>
        <w:t xml:space="preserve">            seigniorage</w:t>
      </w:r>
    </w:p>
    <w:p w:rsidR="00617412" w:rsidRPr="00462F98" w:rsidRDefault="00617412" w:rsidP="00617412">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ab/>
        <w:t xml:space="preserve"> </w:t>
      </w:r>
      <w:r w:rsidRPr="00462F98">
        <w:rPr>
          <w:rFonts w:ascii="Times New Roman" w:hAnsi="Times New Roman" w:cs="Times New Roman"/>
          <w:sz w:val="24"/>
          <w:szCs w:val="24"/>
          <w:lang w:val="en-GB"/>
        </w:rPr>
        <w:tab/>
        <w:t>government debt</w:t>
      </w:r>
      <w:r w:rsidRPr="00462F98">
        <w:rPr>
          <w:rFonts w:ascii="Times New Roman" w:hAnsi="Times New Roman" w:cs="Times New Roman"/>
          <w:sz w:val="24"/>
          <w:szCs w:val="24"/>
          <w:lang w:val="en-GB"/>
        </w:rPr>
        <w:tab/>
      </w:r>
      <w:r w:rsidRPr="00462F98">
        <w:rPr>
          <w:rFonts w:ascii="Times New Roman" w:hAnsi="Times New Roman" w:cs="Times New Roman"/>
          <w:sz w:val="24"/>
          <w:szCs w:val="24"/>
          <w:lang w:val="en-GB"/>
        </w:rPr>
        <w:tab/>
      </w:r>
      <w:r w:rsidRPr="00462F98">
        <w:rPr>
          <w:rFonts w:ascii="Times New Roman" w:hAnsi="Times New Roman" w:cs="Times New Roman"/>
          <w:sz w:val="24"/>
          <w:szCs w:val="24"/>
          <w:lang w:val="en-GB"/>
        </w:rPr>
        <w:tab/>
      </w:r>
      <w:r w:rsidRPr="00462F98">
        <w:rPr>
          <w:rFonts w:ascii="Times New Roman" w:hAnsi="Times New Roman" w:cs="Times New Roman"/>
          <w:sz w:val="24"/>
          <w:szCs w:val="24"/>
          <w:lang w:val="en-GB"/>
        </w:rPr>
        <w:tab/>
        <w:t xml:space="preserve">      </w:t>
      </w:r>
    </w:p>
    <w:p w:rsidR="00617412" w:rsidRPr="00462F98" w:rsidRDefault="00617412" w:rsidP="008C72EE">
      <w:pPr>
        <w:spacing w:after="0" w:line="360" w:lineRule="auto"/>
        <w:jc w:val="both"/>
        <w:rPr>
          <w:rFonts w:ascii="Times New Roman" w:hAnsi="Times New Roman" w:cs="Times New Roman"/>
          <w:sz w:val="12"/>
          <w:szCs w:val="12"/>
          <w:lang w:val="en-GB"/>
        </w:rPr>
      </w:pPr>
    </w:p>
    <w:p w:rsidR="00B20811" w:rsidRPr="00462F98" w:rsidRDefault="00B20811" w:rsidP="003A1715">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Eq. (2) makes reference to “consolidated government debt”, whose increase can be financed domestically or externally. Given the scarcity of domestic savings, almost all consolidated government debt was financed externally</w:t>
      </w:r>
      <w:r w:rsidR="00FC0B10" w:rsidRPr="00462F98">
        <w:rPr>
          <w:rFonts w:ascii="Times New Roman" w:hAnsi="Times New Roman" w:cs="Times New Roman"/>
          <w:sz w:val="24"/>
          <w:szCs w:val="24"/>
          <w:lang w:val="en-GB"/>
        </w:rPr>
        <w:t xml:space="preserve"> </w:t>
      </w:r>
      <w:r w:rsidR="00FC0B10" w:rsidRPr="00462F98">
        <w:rPr>
          <w:rFonts w:ascii="Times New Roman" w:hAnsi="Times New Roman" w:cs="Times New Roman"/>
          <w:color w:val="000000" w:themeColor="text1"/>
          <w:sz w:val="24"/>
          <w:szCs w:val="24"/>
          <w:lang w:val="en-GB"/>
        </w:rPr>
        <w:t>(</w:t>
      </w:r>
      <w:proofErr w:type="spellStart"/>
      <w:r w:rsidR="00FC0B10" w:rsidRPr="00462F98">
        <w:rPr>
          <w:rFonts w:ascii="Times New Roman" w:hAnsi="Times New Roman" w:cs="Times New Roman"/>
          <w:color w:val="000000" w:themeColor="text1"/>
          <w:sz w:val="24"/>
          <w:szCs w:val="24"/>
          <w:lang w:val="en-GB"/>
        </w:rPr>
        <w:t>Reinhart&amp;Trebesch</w:t>
      </w:r>
      <w:proofErr w:type="spellEnd"/>
      <w:r w:rsidR="00FC0B10" w:rsidRPr="00462F98">
        <w:rPr>
          <w:rFonts w:ascii="Times New Roman" w:hAnsi="Times New Roman" w:cs="Times New Roman"/>
          <w:color w:val="000000" w:themeColor="text1"/>
          <w:sz w:val="24"/>
          <w:szCs w:val="24"/>
          <w:lang w:val="en-GB"/>
        </w:rPr>
        <w:t xml:space="preserve"> 2015 </w:t>
      </w:r>
      <w:r w:rsidR="00FC0B10" w:rsidRPr="00462F98">
        <w:rPr>
          <w:rFonts w:ascii="Times New Roman" w:hAnsi="Times New Roman" w:cs="Times New Roman"/>
          <w:sz w:val="24"/>
          <w:szCs w:val="24"/>
          <w:lang w:val="en-GB"/>
        </w:rPr>
        <w:t>for Greece). Privately held domestic government debt as a share of total government debt accounted in the interwar period for only 8.1% (Bulgaria), 14.0% (Greece), 4.8% (Romania) and 15.5% (Yugoslavia), respectively.</w:t>
      </w:r>
      <w:r w:rsidR="00FC0B10" w:rsidRPr="00462F98">
        <w:rPr>
          <w:rStyle w:val="FootnoteReference"/>
          <w:rFonts w:ascii="Times New Roman" w:hAnsi="Times New Roman" w:cs="Times New Roman"/>
          <w:sz w:val="24"/>
          <w:szCs w:val="24"/>
          <w:lang w:val="en-GB"/>
        </w:rPr>
        <w:footnoteReference w:id="1"/>
      </w:r>
      <w:r w:rsidR="00FC0B10" w:rsidRPr="00462F98">
        <w:rPr>
          <w:rFonts w:ascii="Times New Roman" w:hAnsi="Times New Roman" w:cs="Times New Roman"/>
          <w:sz w:val="24"/>
          <w:szCs w:val="24"/>
          <w:lang w:val="en-GB"/>
        </w:rPr>
        <w:t xml:space="preserve"> All indications are that this share was even lower before WW1 (</w:t>
      </w:r>
      <w:r w:rsidR="00751DA4" w:rsidRPr="00462F98">
        <w:rPr>
          <w:rFonts w:ascii="Times New Roman" w:hAnsi="Times New Roman" w:cs="Times New Roman"/>
          <w:sz w:val="24"/>
          <w:szCs w:val="24"/>
          <w:lang w:val="en-GB"/>
        </w:rPr>
        <w:t>Austrian National Bank et al. 2014</w:t>
      </w:r>
      <w:r w:rsidRPr="00462F98">
        <w:rPr>
          <w:rFonts w:ascii="Times New Roman" w:hAnsi="Times New Roman" w:cs="Times New Roman"/>
          <w:sz w:val="24"/>
          <w:szCs w:val="24"/>
          <w:lang w:val="en-GB"/>
        </w:rPr>
        <w:t xml:space="preserve">). With this </w:t>
      </w:r>
      <w:r w:rsidR="00FC0267" w:rsidRPr="00462F98">
        <w:rPr>
          <w:rFonts w:ascii="Times New Roman" w:hAnsi="Times New Roman" w:cs="Times New Roman"/>
          <w:sz w:val="24"/>
          <w:szCs w:val="24"/>
          <w:lang w:val="en-GB"/>
        </w:rPr>
        <w:t xml:space="preserve">caveat </w:t>
      </w:r>
      <w:r w:rsidRPr="00462F98">
        <w:rPr>
          <w:rFonts w:ascii="Times New Roman" w:hAnsi="Times New Roman" w:cs="Times New Roman"/>
          <w:sz w:val="24"/>
          <w:szCs w:val="24"/>
          <w:lang w:val="en-GB"/>
        </w:rPr>
        <w:t xml:space="preserve">in mind, </w:t>
      </w:r>
      <w:proofErr w:type="spellStart"/>
      <w:r w:rsidRPr="00462F98">
        <w:rPr>
          <w:rFonts w:ascii="Times New Roman" w:hAnsi="Times New Roman" w:cs="Times New Roman"/>
          <w:sz w:val="24"/>
          <w:szCs w:val="24"/>
          <w:lang w:val="en-GB"/>
        </w:rPr>
        <w:t>ΔS</w:t>
      </w:r>
      <w:r w:rsidRPr="00462F98">
        <w:rPr>
          <w:rFonts w:ascii="Times New Roman" w:hAnsi="Times New Roman" w:cs="Times New Roman"/>
          <w:sz w:val="24"/>
          <w:szCs w:val="24"/>
          <w:vertAlign w:val="subscript"/>
          <w:lang w:val="en-GB"/>
        </w:rPr>
        <w:t>t</w:t>
      </w:r>
      <w:proofErr w:type="spellEnd"/>
      <w:r w:rsidRPr="00462F98">
        <w:rPr>
          <w:rFonts w:ascii="Times New Roman" w:hAnsi="Times New Roman" w:cs="Times New Roman"/>
          <w:sz w:val="24"/>
          <w:szCs w:val="24"/>
          <w:lang w:val="en-GB"/>
        </w:rPr>
        <w:t xml:space="preserve"> stands in practice for capital imports. </w:t>
      </w:r>
    </w:p>
    <w:p w:rsidR="003C58D5" w:rsidRPr="00462F98" w:rsidRDefault="00617412" w:rsidP="0006120B">
      <w:pPr>
        <w:spacing w:after="0" w:line="360" w:lineRule="auto"/>
        <w:ind w:firstLine="720"/>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U</w:t>
      </w:r>
      <w:r w:rsidR="003C58D5" w:rsidRPr="00462F98">
        <w:rPr>
          <w:rFonts w:ascii="Times New Roman" w:hAnsi="Times New Roman" w:cs="Times New Roman"/>
          <w:sz w:val="24"/>
          <w:szCs w:val="24"/>
          <w:lang w:val="en-GB"/>
        </w:rPr>
        <w:t>nderstanding the brevity, the weakness and the ultimate triumph of the gold standard requires analysi</w:t>
      </w:r>
      <w:r w:rsidRPr="00462F98">
        <w:rPr>
          <w:rFonts w:ascii="Times New Roman" w:hAnsi="Times New Roman" w:cs="Times New Roman"/>
          <w:sz w:val="24"/>
          <w:szCs w:val="24"/>
          <w:lang w:val="en-GB"/>
        </w:rPr>
        <w:t>ng seigniorage</w:t>
      </w:r>
      <w:r w:rsidR="008C1466" w:rsidRPr="00462F98">
        <w:rPr>
          <w:rFonts w:ascii="Times New Roman" w:hAnsi="Times New Roman" w:cs="Times New Roman"/>
          <w:sz w:val="24"/>
          <w:szCs w:val="24"/>
          <w:lang w:val="en-GB"/>
        </w:rPr>
        <w:t xml:space="preserve">, capital imports </w:t>
      </w:r>
      <w:r w:rsidRPr="00462F98">
        <w:rPr>
          <w:rFonts w:ascii="Times New Roman" w:hAnsi="Times New Roman" w:cs="Times New Roman"/>
          <w:sz w:val="24"/>
          <w:szCs w:val="24"/>
          <w:lang w:val="en-GB"/>
        </w:rPr>
        <w:t>and</w:t>
      </w:r>
      <w:r w:rsidR="003C58D5" w:rsidRPr="00462F98">
        <w:rPr>
          <w:rFonts w:ascii="Times New Roman" w:hAnsi="Times New Roman" w:cs="Times New Roman"/>
          <w:sz w:val="24"/>
          <w:szCs w:val="24"/>
          <w:lang w:val="en-GB"/>
        </w:rPr>
        <w:t xml:space="preserve"> financial supervision </w:t>
      </w:r>
      <w:r w:rsidRPr="00462F98">
        <w:rPr>
          <w:rFonts w:ascii="Times New Roman" w:hAnsi="Times New Roman" w:cs="Times New Roman"/>
          <w:sz w:val="24"/>
          <w:szCs w:val="24"/>
          <w:lang w:val="en-GB"/>
        </w:rPr>
        <w:t>together</w:t>
      </w:r>
      <w:r w:rsidR="003C58D5"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w:t>
      </w:r>
      <w:r w:rsidR="005377E6">
        <w:rPr>
          <w:rFonts w:ascii="Times New Roman" w:hAnsi="Times New Roman" w:cs="Times New Roman"/>
          <w:sz w:val="24"/>
          <w:szCs w:val="24"/>
          <w:lang w:val="en-GB"/>
        </w:rPr>
        <w:t>A</w:t>
      </w:r>
      <w:r w:rsidR="003C58D5" w:rsidRPr="00462F98">
        <w:rPr>
          <w:rFonts w:ascii="Times New Roman" w:hAnsi="Times New Roman" w:cs="Times New Roman"/>
          <w:sz w:val="24"/>
          <w:szCs w:val="24"/>
          <w:lang w:val="en-GB"/>
        </w:rPr>
        <w:t xml:space="preserve">ll four countries followed a similar pattern, and their monetary histories can be condensed into </w:t>
      </w:r>
      <w:r w:rsidR="00D62303">
        <w:rPr>
          <w:rFonts w:ascii="Times New Roman" w:hAnsi="Times New Roman" w:cs="Times New Roman"/>
          <w:sz w:val="24"/>
          <w:szCs w:val="24"/>
          <w:lang w:val="en-GB"/>
        </w:rPr>
        <w:t xml:space="preserve">seven </w:t>
      </w:r>
      <w:r w:rsidR="00D62303">
        <w:rPr>
          <w:rFonts w:ascii="Times New Roman" w:hAnsi="Times New Roman" w:cs="Times New Roman"/>
          <w:sz w:val="24"/>
          <w:szCs w:val="24"/>
          <w:lang w:val="en-GB"/>
        </w:rPr>
        <w:lastRenderedPageBreak/>
        <w:t>episodes</w:t>
      </w:r>
      <w:r w:rsidR="003C58D5" w:rsidRPr="00462F98">
        <w:rPr>
          <w:rFonts w:ascii="Times New Roman" w:hAnsi="Times New Roman" w:cs="Times New Roman"/>
          <w:sz w:val="24"/>
          <w:szCs w:val="24"/>
          <w:lang w:val="en-GB"/>
        </w:rPr>
        <w:t xml:space="preserve">. The synchronicity </w:t>
      </w:r>
      <w:r w:rsidR="00A150AD" w:rsidRPr="00462F98">
        <w:rPr>
          <w:rFonts w:ascii="Times New Roman" w:hAnsi="Times New Roman" w:cs="Times New Roman"/>
          <w:sz w:val="24"/>
          <w:szCs w:val="24"/>
          <w:lang w:val="en-GB"/>
        </w:rPr>
        <w:t>stems from</w:t>
      </w:r>
      <w:r w:rsidR="003C58D5" w:rsidRPr="00462F98">
        <w:rPr>
          <w:rFonts w:ascii="Times New Roman" w:hAnsi="Times New Roman" w:cs="Times New Roman"/>
          <w:sz w:val="24"/>
          <w:szCs w:val="24"/>
          <w:lang w:val="en-GB"/>
        </w:rPr>
        <w:t xml:space="preserve"> the fact that </w:t>
      </w:r>
      <w:r w:rsidR="002423E9" w:rsidRPr="00462F98">
        <w:rPr>
          <w:rFonts w:ascii="Times New Roman" w:hAnsi="Times New Roman" w:cs="Times New Roman"/>
          <w:sz w:val="24"/>
          <w:szCs w:val="24"/>
          <w:lang w:val="en-GB"/>
        </w:rPr>
        <w:t>th</w:t>
      </w:r>
      <w:r w:rsidR="005377E6">
        <w:rPr>
          <w:rFonts w:ascii="Times New Roman" w:hAnsi="Times New Roman" w:cs="Times New Roman"/>
          <w:sz w:val="24"/>
          <w:szCs w:val="24"/>
          <w:lang w:val="en-GB"/>
        </w:rPr>
        <w:t xml:space="preserve">ey </w:t>
      </w:r>
      <w:r w:rsidR="003C58D5" w:rsidRPr="00462F98">
        <w:rPr>
          <w:rFonts w:ascii="Times New Roman" w:hAnsi="Times New Roman" w:cs="Times New Roman"/>
          <w:sz w:val="24"/>
          <w:szCs w:val="24"/>
          <w:lang w:val="en-GB"/>
        </w:rPr>
        <w:t>were exposed to key political events at approximately (political independence) or exactly the same time (B</w:t>
      </w:r>
      <w:r w:rsidR="004778D4" w:rsidRPr="00462F98">
        <w:rPr>
          <w:rFonts w:ascii="Times New Roman" w:hAnsi="Times New Roman" w:cs="Times New Roman"/>
          <w:sz w:val="24"/>
          <w:szCs w:val="24"/>
          <w:lang w:val="en-GB"/>
        </w:rPr>
        <w:t>alkan Wars</w:t>
      </w:r>
      <w:r w:rsidR="00D62303">
        <w:rPr>
          <w:rFonts w:ascii="Times New Roman" w:hAnsi="Times New Roman" w:cs="Times New Roman"/>
          <w:sz w:val="24"/>
          <w:szCs w:val="24"/>
          <w:lang w:val="en-GB"/>
        </w:rPr>
        <w:t xml:space="preserve">, </w:t>
      </w:r>
      <w:r w:rsidR="00751DA4" w:rsidRPr="00462F98">
        <w:rPr>
          <w:rFonts w:ascii="Times New Roman" w:hAnsi="Times New Roman" w:cs="Times New Roman"/>
          <w:sz w:val="24"/>
          <w:szCs w:val="24"/>
          <w:lang w:val="en-GB"/>
        </w:rPr>
        <w:t>WW1</w:t>
      </w:r>
      <w:r w:rsidR="003C58D5" w:rsidRPr="00462F98">
        <w:rPr>
          <w:rFonts w:ascii="Times New Roman" w:hAnsi="Times New Roman" w:cs="Times New Roman"/>
          <w:sz w:val="24"/>
          <w:szCs w:val="24"/>
          <w:lang w:val="en-GB"/>
        </w:rPr>
        <w:t>)</w:t>
      </w:r>
      <w:r w:rsidR="00005181">
        <w:rPr>
          <w:rFonts w:ascii="Times New Roman" w:hAnsi="Times New Roman" w:cs="Times New Roman"/>
          <w:sz w:val="24"/>
          <w:szCs w:val="24"/>
          <w:lang w:val="en-GB"/>
        </w:rPr>
        <w:t>,</w:t>
      </w:r>
      <w:r w:rsidR="003C58D5" w:rsidRPr="00462F98">
        <w:rPr>
          <w:rFonts w:ascii="Times New Roman" w:hAnsi="Times New Roman" w:cs="Times New Roman"/>
          <w:sz w:val="24"/>
          <w:szCs w:val="24"/>
          <w:lang w:val="en-GB"/>
        </w:rPr>
        <w:t xml:space="preserve"> and </w:t>
      </w:r>
      <w:r w:rsidRPr="00462F98">
        <w:rPr>
          <w:rFonts w:ascii="Times New Roman" w:hAnsi="Times New Roman" w:cs="Times New Roman"/>
          <w:sz w:val="24"/>
          <w:szCs w:val="24"/>
          <w:lang w:val="en-GB"/>
        </w:rPr>
        <w:t xml:space="preserve">that they </w:t>
      </w:r>
      <w:r w:rsidR="003C58D5" w:rsidRPr="00462F98">
        <w:rPr>
          <w:rFonts w:ascii="Times New Roman" w:hAnsi="Times New Roman" w:cs="Times New Roman"/>
          <w:sz w:val="24"/>
          <w:szCs w:val="24"/>
          <w:lang w:val="en-GB"/>
        </w:rPr>
        <w:t>received capital imports from the same countries</w:t>
      </w:r>
      <w:r w:rsidRPr="00462F98">
        <w:rPr>
          <w:rFonts w:ascii="Times New Roman" w:hAnsi="Times New Roman" w:cs="Times New Roman"/>
          <w:sz w:val="24"/>
          <w:szCs w:val="24"/>
          <w:lang w:val="en-GB"/>
        </w:rPr>
        <w:t xml:space="preserve"> (mainly Britain, France and Germany) </w:t>
      </w:r>
      <w:r w:rsidR="003C58D5" w:rsidRPr="00462F98">
        <w:rPr>
          <w:rFonts w:ascii="Times New Roman" w:hAnsi="Times New Roman" w:cs="Times New Roman"/>
          <w:sz w:val="24"/>
          <w:szCs w:val="24"/>
          <w:lang w:val="en-GB"/>
        </w:rPr>
        <w:t xml:space="preserve">and were hence subject to the same </w:t>
      </w:r>
      <w:r w:rsidRPr="00462F98">
        <w:rPr>
          <w:rFonts w:ascii="Times New Roman" w:hAnsi="Times New Roman" w:cs="Times New Roman"/>
          <w:sz w:val="24"/>
          <w:szCs w:val="24"/>
          <w:lang w:val="en-GB"/>
        </w:rPr>
        <w:t>capital flow cycle</w:t>
      </w:r>
      <w:r w:rsidR="003C58D5" w:rsidRPr="00462F98">
        <w:rPr>
          <w:rFonts w:ascii="Times New Roman" w:hAnsi="Times New Roman" w:cs="Times New Roman"/>
          <w:sz w:val="24"/>
          <w:szCs w:val="24"/>
          <w:lang w:val="en-GB"/>
        </w:rPr>
        <w:t>.</w:t>
      </w:r>
      <w:r w:rsidR="00695A87" w:rsidRPr="00462F98">
        <w:rPr>
          <w:rFonts w:ascii="Times New Roman" w:hAnsi="Times New Roman" w:cs="Times New Roman"/>
          <w:sz w:val="24"/>
          <w:szCs w:val="24"/>
          <w:lang w:val="en-GB"/>
        </w:rPr>
        <w:t xml:space="preserve"> </w:t>
      </w:r>
      <w:r w:rsidR="00005181">
        <w:rPr>
          <w:rFonts w:ascii="Times New Roman" w:hAnsi="Times New Roman" w:cs="Times New Roman"/>
          <w:sz w:val="24"/>
          <w:szCs w:val="24"/>
          <w:lang w:val="en-GB"/>
        </w:rPr>
        <w:t>Episodes are</w:t>
      </w:r>
      <w:r w:rsidR="0006120B" w:rsidRPr="00462F98">
        <w:rPr>
          <w:rFonts w:ascii="Times New Roman" w:hAnsi="Times New Roman" w:cs="Times New Roman"/>
          <w:sz w:val="24"/>
          <w:szCs w:val="24"/>
          <w:lang w:val="en-GB"/>
        </w:rPr>
        <w:t xml:space="preserve"> defined by </w:t>
      </w:r>
      <w:r w:rsidR="003C58D5" w:rsidRPr="00462F98">
        <w:rPr>
          <w:rFonts w:ascii="Times New Roman" w:hAnsi="Times New Roman" w:cs="Times New Roman"/>
          <w:sz w:val="24"/>
          <w:szCs w:val="24"/>
          <w:lang w:val="en-GB"/>
        </w:rPr>
        <w:t>the way in which deficits</w:t>
      </w:r>
      <w:r w:rsidR="00FC0267" w:rsidRPr="00462F98">
        <w:rPr>
          <w:rFonts w:ascii="Times New Roman" w:hAnsi="Times New Roman" w:cs="Times New Roman"/>
          <w:sz w:val="24"/>
          <w:szCs w:val="24"/>
          <w:lang w:val="en-GB"/>
        </w:rPr>
        <w:t xml:space="preserve"> were financed: did countries</w:t>
      </w:r>
      <w:r w:rsidR="003C58D5" w:rsidRPr="00462F98">
        <w:rPr>
          <w:rFonts w:ascii="Times New Roman" w:hAnsi="Times New Roman" w:cs="Times New Roman"/>
          <w:sz w:val="24"/>
          <w:szCs w:val="24"/>
          <w:lang w:val="en-GB"/>
        </w:rPr>
        <w:t xml:space="preserve"> rely on seigniorage, capital imports or a combination of the two? </w:t>
      </w:r>
    </w:p>
    <w:p w:rsidR="00114B35" w:rsidRPr="00462F98" w:rsidRDefault="008C1466" w:rsidP="00114B35">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r>
      <w:r w:rsidR="00114B35" w:rsidRPr="00462F98">
        <w:rPr>
          <w:rFonts w:ascii="Times New Roman" w:hAnsi="Times New Roman" w:cs="Times New Roman"/>
          <w:sz w:val="24"/>
          <w:szCs w:val="24"/>
          <w:lang w:val="en-GB"/>
        </w:rPr>
        <w:t>Tables 5 and 6 provide calculations of seig</w:t>
      </w:r>
      <w:r w:rsidR="00D62303">
        <w:rPr>
          <w:rFonts w:ascii="Times New Roman" w:hAnsi="Times New Roman" w:cs="Times New Roman"/>
          <w:sz w:val="24"/>
          <w:szCs w:val="24"/>
          <w:lang w:val="en-GB"/>
        </w:rPr>
        <w:t xml:space="preserve">niorage </w:t>
      </w:r>
      <w:r w:rsidR="00114B35" w:rsidRPr="00462F98">
        <w:rPr>
          <w:rFonts w:ascii="Times New Roman" w:hAnsi="Times New Roman" w:cs="Times New Roman"/>
          <w:sz w:val="24"/>
          <w:szCs w:val="24"/>
          <w:lang w:val="en-GB"/>
        </w:rPr>
        <w:t xml:space="preserve">and capital imports. The column to the right shows an average/total number; comparing </w:t>
      </w:r>
      <w:r w:rsidR="00D62303">
        <w:rPr>
          <w:rFonts w:ascii="Times New Roman" w:hAnsi="Times New Roman" w:cs="Times New Roman"/>
          <w:sz w:val="24"/>
          <w:szCs w:val="24"/>
          <w:lang w:val="en-GB"/>
        </w:rPr>
        <w:t xml:space="preserve">this column in </w:t>
      </w:r>
      <w:r w:rsidR="00114B35" w:rsidRPr="00462F98">
        <w:rPr>
          <w:rFonts w:ascii="Times New Roman" w:hAnsi="Times New Roman" w:cs="Times New Roman"/>
          <w:sz w:val="24"/>
          <w:szCs w:val="24"/>
          <w:lang w:val="en-GB"/>
        </w:rPr>
        <w:t xml:space="preserve">both tables shows the inverse </w:t>
      </w:r>
      <w:r w:rsidR="00036172" w:rsidRPr="00462F98">
        <w:rPr>
          <w:rFonts w:ascii="Times New Roman" w:hAnsi="Times New Roman" w:cs="Times New Roman"/>
          <w:sz w:val="24"/>
          <w:szCs w:val="24"/>
          <w:lang w:val="en-GB"/>
        </w:rPr>
        <w:t>relationship</w:t>
      </w:r>
      <w:r w:rsidR="00114B35" w:rsidRPr="00462F98">
        <w:rPr>
          <w:rFonts w:ascii="Times New Roman" w:hAnsi="Times New Roman" w:cs="Times New Roman"/>
          <w:sz w:val="24"/>
          <w:szCs w:val="24"/>
          <w:lang w:val="en-GB"/>
        </w:rPr>
        <w:t xml:space="preserve"> between seigniorage and capital imports.</w:t>
      </w:r>
    </w:p>
    <w:p w:rsidR="00114B35" w:rsidRPr="00462F98" w:rsidRDefault="00114B35" w:rsidP="00114B35">
      <w:pPr>
        <w:spacing w:after="0" w:line="360" w:lineRule="auto"/>
        <w:jc w:val="both"/>
        <w:rPr>
          <w:rFonts w:ascii="Times New Roman" w:hAnsi="Times New Roman" w:cs="Times New Roman"/>
          <w:sz w:val="24"/>
          <w:szCs w:val="24"/>
          <w:lang w:val="en-GB"/>
        </w:rPr>
      </w:pPr>
    </w:p>
    <w:p w:rsidR="00114B35" w:rsidRPr="00462F98" w:rsidRDefault="00F52E04" w:rsidP="00114B35">
      <w:pPr>
        <w:spacing w:after="0" w:line="360" w:lineRule="auto"/>
        <w:jc w:val="both"/>
        <w:rPr>
          <w:rFonts w:ascii="Times New Roman" w:hAnsi="Times New Roman" w:cs="Times New Roman"/>
          <w:b/>
          <w:color w:val="000000" w:themeColor="text1"/>
          <w:sz w:val="24"/>
          <w:szCs w:val="24"/>
          <w:lang w:val="en-GB"/>
        </w:rPr>
      </w:pPr>
      <w:r w:rsidRPr="00462F98">
        <w:rPr>
          <w:rFonts w:ascii="Times New Roman" w:hAnsi="Times New Roman" w:cs="Times New Roman"/>
          <w:b/>
          <w:color w:val="000000" w:themeColor="text1"/>
          <w:sz w:val="24"/>
          <w:szCs w:val="24"/>
          <w:lang w:val="en-GB"/>
        </w:rPr>
        <w:tab/>
        <w:t>[tables_5_</w:t>
      </w:r>
      <w:r w:rsidR="00114B35" w:rsidRPr="00462F98">
        <w:rPr>
          <w:rFonts w:ascii="Times New Roman" w:hAnsi="Times New Roman" w:cs="Times New Roman"/>
          <w:b/>
          <w:color w:val="000000" w:themeColor="text1"/>
          <w:sz w:val="24"/>
          <w:szCs w:val="24"/>
          <w:lang w:val="en-GB"/>
        </w:rPr>
        <w:t>6]</w:t>
      </w:r>
    </w:p>
    <w:p w:rsidR="00A150AD" w:rsidRPr="00462F98" w:rsidRDefault="00A150AD">
      <w:pPr>
        <w:rPr>
          <w:rFonts w:ascii="Times New Roman" w:hAnsi="Times New Roman" w:cs="Times New Roman"/>
          <w:b/>
          <w:sz w:val="24"/>
          <w:szCs w:val="24"/>
          <w:lang w:val="en-GB"/>
        </w:rPr>
      </w:pPr>
    </w:p>
    <w:p w:rsidR="00272CF6" w:rsidRPr="00462F98" w:rsidRDefault="003B2E1C" w:rsidP="004937E6">
      <w:pPr>
        <w:spacing w:after="0" w:line="360" w:lineRule="auto"/>
        <w:rPr>
          <w:rFonts w:ascii="Times New Roman" w:hAnsi="Times New Roman" w:cs="Times New Roman"/>
          <w:b/>
          <w:i/>
          <w:sz w:val="24"/>
          <w:szCs w:val="24"/>
          <w:lang w:val="en-GB"/>
        </w:rPr>
      </w:pPr>
      <w:r>
        <w:rPr>
          <w:rFonts w:ascii="Times New Roman" w:hAnsi="Times New Roman" w:cs="Times New Roman"/>
          <w:b/>
          <w:sz w:val="24"/>
          <w:szCs w:val="24"/>
          <w:lang w:val="en-GB"/>
        </w:rPr>
        <w:t>Period I</w:t>
      </w:r>
      <w:r w:rsidR="00272CF6" w:rsidRPr="00462F98">
        <w:rPr>
          <w:rFonts w:ascii="Times New Roman" w:hAnsi="Times New Roman" w:cs="Times New Roman"/>
          <w:b/>
          <w:sz w:val="24"/>
          <w:szCs w:val="24"/>
          <w:lang w:val="en-GB"/>
        </w:rPr>
        <w:t xml:space="preserve">: </w:t>
      </w:r>
      <w:r w:rsidR="008A2D91" w:rsidRPr="00462F98">
        <w:rPr>
          <w:rFonts w:ascii="Times New Roman" w:hAnsi="Times New Roman" w:cs="Times New Roman"/>
          <w:b/>
          <w:sz w:val="24"/>
          <w:szCs w:val="24"/>
          <w:lang w:val="en-GB"/>
        </w:rPr>
        <w:t>From political autonomy to the first bond issue</w:t>
      </w:r>
      <w:r w:rsidR="0050568A" w:rsidRPr="00462F98">
        <w:rPr>
          <w:rFonts w:ascii="Times New Roman" w:hAnsi="Times New Roman" w:cs="Times New Roman"/>
          <w:b/>
          <w:sz w:val="24"/>
          <w:szCs w:val="24"/>
          <w:lang w:val="en-GB"/>
        </w:rPr>
        <w:t xml:space="preserve"> </w:t>
      </w:r>
      <w:r w:rsidR="0050568A" w:rsidRPr="00462F98">
        <w:rPr>
          <w:rFonts w:ascii="Times New Roman" w:hAnsi="Times New Roman" w:cs="Times New Roman"/>
          <w:b/>
          <w:i/>
          <w:sz w:val="24"/>
          <w:szCs w:val="24"/>
          <w:lang w:val="en-GB"/>
        </w:rPr>
        <w:t>(only seigniorage)</w:t>
      </w:r>
    </w:p>
    <w:p w:rsidR="00787D39" w:rsidRDefault="008A2D91" w:rsidP="006332E3">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When legislating for national coinage between 1867 and 1880, all four </w:t>
      </w:r>
      <w:r w:rsidR="00C46CE9" w:rsidRPr="00462F98">
        <w:rPr>
          <w:rFonts w:ascii="Times New Roman" w:hAnsi="Times New Roman" w:cs="Times New Roman"/>
          <w:sz w:val="24"/>
          <w:szCs w:val="24"/>
          <w:lang w:val="en-GB"/>
        </w:rPr>
        <w:t xml:space="preserve">countries </w:t>
      </w:r>
      <w:r w:rsidRPr="00462F98">
        <w:rPr>
          <w:rFonts w:ascii="Times New Roman" w:hAnsi="Times New Roman" w:cs="Times New Roman"/>
          <w:sz w:val="24"/>
          <w:szCs w:val="24"/>
          <w:lang w:val="en-GB"/>
        </w:rPr>
        <w:t>followed the spirit of the time – first clearly articulated at the 1867 International Monetary Conference – and adopted gol</w:t>
      </w:r>
      <w:r w:rsidR="00D62303">
        <w:rPr>
          <w:rFonts w:ascii="Times New Roman" w:hAnsi="Times New Roman" w:cs="Times New Roman"/>
          <w:sz w:val="24"/>
          <w:szCs w:val="24"/>
          <w:lang w:val="en-GB"/>
        </w:rPr>
        <w:t>d standard legislation (</w:t>
      </w:r>
      <w:proofErr w:type="spellStart"/>
      <w:r w:rsidR="00D62303">
        <w:rPr>
          <w:rFonts w:ascii="Times New Roman" w:hAnsi="Times New Roman" w:cs="Times New Roman"/>
          <w:sz w:val="24"/>
          <w:szCs w:val="24"/>
          <w:lang w:val="en-GB"/>
        </w:rPr>
        <w:t>Morys</w:t>
      </w:r>
      <w:proofErr w:type="spellEnd"/>
      <w:r w:rsidR="00D62303">
        <w:rPr>
          <w:rFonts w:ascii="Times New Roman" w:hAnsi="Times New Roman" w:cs="Times New Roman"/>
          <w:sz w:val="24"/>
          <w:szCs w:val="24"/>
          <w:lang w:val="en-GB"/>
        </w:rPr>
        <w:t xml:space="preserve"> 2017). </w:t>
      </w:r>
      <w:r w:rsidR="00DE7B85" w:rsidRPr="00462F98">
        <w:rPr>
          <w:rFonts w:ascii="Times New Roman" w:hAnsi="Times New Roman" w:cs="Times New Roman"/>
          <w:sz w:val="24"/>
          <w:szCs w:val="24"/>
          <w:lang w:val="en-GB"/>
        </w:rPr>
        <w:t>Recent research on Bulgaria (</w:t>
      </w:r>
      <w:proofErr w:type="spellStart"/>
      <w:r w:rsidR="00DE7B85" w:rsidRPr="00462F98">
        <w:rPr>
          <w:rFonts w:ascii="Times New Roman" w:hAnsi="Times New Roman" w:cs="Times New Roman"/>
          <w:sz w:val="24"/>
          <w:szCs w:val="24"/>
          <w:lang w:val="en-GB"/>
        </w:rPr>
        <w:t>Avramov</w:t>
      </w:r>
      <w:proofErr w:type="spellEnd"/>
      <w:r w:rsidR="00DE7B85" w:rsidRPr="00462F98">
        <w:rPr>
          <w:rFonts w:ascii="Times New Roman" w:hAnsi="Times New Roman" w:cs="Times New Roman"/>
          <w:sz w:val="24"/>
          <w:szCs w:val="24"/>
          <w:lang w:val="en-GB"/>
        </w:rPr>
        <w:t xml:space="preserve"> 2006, </w:t>
      </w:r>
      <w:proofErr w:type="spellStart"/>
      <w:r w:rsidR="00DE7B85" w:rsidRPr="00462F98">
        <w:rPr>
          <w:rFonts w:ascii="Times New Roman" w:hAnsi="Times New Roman" w:cs="Times New Roman"/>
          <w:sz w:val="24"/>
          <w:szCs w:val="24"/>
          <w:lang w:val="en-GB"/>
        </w:rPr>
        <w:t>Dimitrova&amp;Ivanov</w:t>
      </w:r>
      <w:proofErr w:type="spellEnd"/>
      <w:r w:rsidR="00DE7B85" w:rsidRPr="00462F98">
        <w:rPr>
          <w:rFonts w:ascii="Times New Roman" w:hAnsi="Times New Roman" w:cs="Times New Roman"/>
          <w:sz w:val="24"/>
          <w:szCs w:val="24"/>
          <w:lang w:val="en-GB"/>
        </w:rPr>
        <w:t xml:space="preserve"> 2014), Greece (Dritsas 1999, </w:t>
      </w:r>
      <w:proofErr w:type="spellStart"/>
      <w:r w:rsidR="00DE7B85" w:rsidRPr="00462F98">
        <w:rPr>
          <w:rFonts w:ascii="Times New Roman" w:hAnsi="Times New Roman" w:cs="Times New Roman"/>
          <w:sz w:val="24"/>
          <w:szCs w:val="24"/>
          <w:lang w:val="en-GB"/>
        </w:rPr>
        <w:t>Lazaretou</w:t>
      </w:r>
      <w:proofErr w:type="spellEnd"/>
      <w:r w:rsidR="00DE7B85" w:rsidRPr="00462F98">
        <w:rPr>
          <w:rFonts w:ascii="Times New Roman" w:hAnsi="Times New Roman" w:cs="Times New Roman"/>
          <w:sz w:val="24"/>
          <w:szCs w:val="24"/>
          <w:lang w:val="en-GB"/>
        </w:rPr>
        <w:t xml:space="preserve"> 2005), Romania (</w:t>
      </w:r>
      <w:proofErr w:type="spellStart"/>
      <w:r w:rsidR="00DE7B85" w:rsidRPr="00462F98">
        <w:rPr>
          <w:rFonts w:ascii="Times New Roman" w:hAnsi="Times New Roman" w:cs="Times New Roman"/>
          <w:sz w:val="24"/>
          <w:szCs w:val="24"/>
          <w:lang w:val="en-GB"/>
        </w:rPr>
        <w:t>Stoenescu</w:t>
      </w:r>
      <w:proofErr w:type="spellEnd"/>
      <w:r w:rsidR="00DE7B85" w:rsidRPr="00462F98">
        <w:rPr>
          <w:rFonts w:ascii="Times New Roman" w:hAnsi="Times New Roman" w:cs="Times New Roman"/>
          <w:sz w:val="24"/>
          <w:szCs w:val="24"/>
          <w:lang w:val="en-GB"/>
        </w:rPr>
        <w:t xml:space="preserve"> et al. 2011) and Serbia (</w:t>
      </w:r>
      <w:proofErr w:type="spellStart"/>
      <w:r w:rsidR="00DE7B85" w:rsidRPr="00462F98">
        <w:rPr>
          <w:rFonts w:ascii="Times New Roman" w:hAnsi="Times New Roman" w:cs="Times New Roman"/>
          <w:sz w:val="24"/>
          <w:szCs w:val="24"/>
          <w:lang w:val="en-GB"/>
        </w:rPr>
        <w:t>Gnjatovic</w:t>
      </w:r>
      <w:proofErr w:type="spellEnd"/>
      <w:r w:rsidR="00DE7B85" w:rsidRPr="00462F98">
        <w:rPr>
          <w:rFonts w:ascii="Times New Roman" w:hAnsi="Times New Roman" w:cs="Times New Roman"/>
          <w:sz w:val="24"/>
          <w:szCs w:val="24"/>
          <w:lang w:val="en-GB"/>
        </w:rPr>
        <w:t xml:space="preserve"> 2006) has improved our understanding on why the Balkan countries took the bold step of tying their currencies to those of the most advanced economies of the time. Standard economic arguments – increase in foreign trade with and better access to capital from gold standard countries, </w:t>
      </w:r>
      <w:r w:rsidR="00F95A1C" w:rsidRPr="00462F98">
        <w:rPr>
          <w:rFonts w:ascii="Times New Roman" w:hAnsi="Times New Roman" w:cs="Times New Roman"/>
          <w:sz w:val="24"/>
          <w:szCs w:val="24"/>
          <w:lang w:val="en-GB"/>
        </w:rPr>
        <w:t xml:space="preserve">avoiding a currency mismatch between tax revenue and interest rate payments (in gold given the inability to borrow in domestic currency), </w:t>
      </w:r>
      <w:r w:rsidR="00DE7B85" w:rsidRPr="00462F98">
        <w:rPr>
          <w:rFonts w:ascii="Times New Roman" w:hAnsi="Times New Roman" w:cs="Times New Roman"/>
          <w:sz w:val="24"/>
          <w:szCs w:val="24"/>
          <w:lang w:val="en-GB"/>
        </w:rPr>
        <w:t>reduction of transactions costs and the benefits of reduced exchange-rate volatility – all</w:t>
      </w:r>
      <w:r w:rsidR="00A766E9" w:rsidRPr="00462F98">
        <w:rPr>
          <w:rFonts w:ascii="Times New Roman" w:hAnsi="Times New Roman" w:cs="Times New Roman"/>
          <w:sz w:val="24"/>
          <w:szCs w:val="24"/>
          <w:lang w:val="en-GB"/>
        </w:rPr>
        <w:t xml:space="preserve"> played</w:t>
      </w:r>
      <w:r w:rsidR="00D62303">
        <w:rPr>
          <w:rFonts w:ascii="Times New Roman" w:hAnsi="Times New Roman" w:cs="Times New Roman"/>
          <w:sz w:val="24"/>
          <w:szCs w:val="24"/>
          <w:lang w:val="en-GB"/>
        </w:rPr>
        <w:t xml:space="preserve"> </w:t>
      </w:r>
      <w:r w:rsidR="00D62303" w:rsidRPr="0037616A">
        <w:rPr>
          <w:rFonts w:ascii="Times New Roman" w:hAnsi="Times New Roman" w:cs="Times New Roman"/>
          <w:sz w:val="24"/>
          <w:szCs w:val="24"/>
          <w:lang w:val="en-GB"/>
        </w:rPr>
        <w:t>an important role. Scholars from the region like to add broader political factors.</w:t>
      </w:r>
      <w:r w:rsidR="00D62303">
        <w:rPr>
          <w:rFonts w:ascii="Times New Roman" w:hAnsi="Times New Roman" w:cs="Times New Roman"/>
          <w:sz w:val="24"/>
          <w:szCs w:val="24"/>
          <w:lang w:val="en-GB"/>
        </w:rPr>
        <w:t xml:space="preserve"> </w:t>
      </w:r>
      <w:r w:rsidR="00DE7B85" w:rsidRPr="00462F98">
        <w:rPr>
          <w:rFonts w:ascii="Times New Roman" w:hAnsi="Times New Roman" w:cs="Times New Roman"/>
          <w:sz w:val="24"/>
          <w:szCs w:val="24"/>
          <w:lang w:val="en-GB"/>
        </w:rPr>
        <w:t xml:space="preserve">Weighing up economic and political factors, </w:t>
      </w:r>
      <w:proofErr w:type="spellStart"/>
      <w:r w:rsidR="00DE7B85" w:rsidRPr="00462F98">
        <w:rPr>
          <w:rFonts w:ascii="Times New Roman" w:hAnsi="Times New Roman" w:cs="Times New Roman"/>
          <w:sz w:val="24"/>
          <w:szCs w:val="24"/>
          <w:lang w:val="en-GB"/>
        </w:rPr>
        <w:t>Stoenescu</w:t>
      </w:r>
      <w:proofErr w:type="spellEnd"/>
      <w:r w:rsidR="00DE7B85" w:rsidRPr="00462F98">
        <w:rPr>
          <w:rFonts w:ascii="Times New Roman" w:hAnsi="Times New Roman" w:cs="Times New Roman"/>
          <w:sz w:val="24"/>
          <w:szCs w:val="24"/>
          <w:lang w:val="en-GB"/>
        </w:rPr>
        <w:t xml:space="preserve"> et al. (2011: </w:t>
      </w:r>
      <w:r w:rsidR="00787D39" w:rsidRPr="00462F98">
        <w:rPr>
          <w:rFonts w:ascii="Times New Roman" w:hAnsi="Times New Roman" w:cs="Times New Roman"/>
          <w:sz w:val="24"/>
          <w:szCs w:val="24"/>
          <w:lang w:val="en-GB"/>
        </w:rPr>
        <w:t xml:space="preserve">173) </w:t>
      </w:r>
      <w:r w:rsidR="00DE7B85" w:rsidRPr="00462F98">
        <w:rPr>
          <w:rFonts w:ascii="Times New Roman" w:hAnsi="Times New Roman" w:cs="Times New Roman"/>
          <w:sz w:val="24"/>
          <w:szCs w:val="24"/>
          <w:lang w:val="en-GB"/>
        </w:rPr>
        <w:t>conclude that it was “first and foremo</w:t>
      </w:r>
      <w:r w:rsidR="00C46CE9" w:rsidRPr="00462F98">
        <w:rPr>
          <w:rFonts w:ascii="Times New Roman" w:hAnsi="Times New Roman" w:cs="Times New Roman"/>
          <w:sz w:val="24"/>
          <w:szCs w:val="24"/>
          <w:lang w:val="en-GB"/>
        </w:rPr>
        <w:t>st political reasons” behind Romania’s</w:t>
      </w:r>
      <w:r w:rsidR="00DE7B85" w:rsidRPr="00462F98">
        <w:rPr>
          <w:rFonts w:ascii="Times New Roman" w:hAnsi="Times New Roman" w:cs="Times New Roman"/>
          <w:sz w:val="24"/>
          <w:szCs w:val="24"/>
          <w:lang w:val="en-GB"/>
        </w:rPr>
        <w:t xml:space="preserve"> gold standard legislation.</w:t>
      </w:r>
      <w:r w:rsidR="00787D39" w:rsidRPr="00462F98">
        <w:rPr>
          <w:rFonts w:ascii="Times New Roman" w:hAnsi="Times New Roman" w:cs="Times New Roman"/>
          <w:sz w:val="24"/>
          <w:szCs w:val="24"/>
          <w:lang w:val="en-GB"/>
        </w:rPr>
        <w:t xml:space="preserve"> Similarly, Dritsas </w:t>
      </w:r>
      <w:r w:rsidR="0050568A" w:rsidRPr="00462F98">
        <w:rPr>
          <w:rFonts w:ascii="Times New Roman" w:hAnsi="Times New Roman" w:cs="Times New Roman"/>
          <w:sz w:val="24"/>
          <w:szCs w:val="24"/>
          <w:lang w:val="en-GB"/>
        </w:rPr>
        <w:t xml:space="preserve">(1999: 39) </w:t>
      </w:r>
      <w:r w:rsidR="00787D39" w:rsidRPr="00462F98">
        <w:rPr>
          <w:rFonts w:ascii="Times New Roman" w:hAnsi="Times New Roman" w:cs="Times New Roman"/>
          <w:sz w:val="24"/>
          <w:szCs w:val="24"/>
          <w:lang w:val="en-GB"/>
        </w:rPr>
        <w:t>argue</w:t>
      </w:r>
      <w:r w:rsidR="00005181">
        <w:rPr>
          <w:rFonts w:ascii="Times New Roman" w:hAnsi="Times New Roman" w:cs="Times New Roman"/>
          <w:sz w:val="24"/>
          <w:szCs w:val="24"/>
          <w:lang w:val="en-GB"/>
        </w:rPr>
        <w:t>s</w:t>
      </w:r>
      <w:r w:rsidR="00787D39" w:rsidRPr="00462F98">
        <w:rPr>
          <w:rFonts w:ascii="Times New Roman" w:hAnsi="Times New Roman" w:cs="Times New Roman"/>
          <w:sz w:val="24"/>
          <w:szCs w:val="24"/>
          <w:lang w:val="en-GB"/>
        </w:rPr>
        <w:t xml:space="preserve"> that the Greek </w:t>
      </w:r>
      <w:r w:rsidR="009F5E38">
        <w:rPr>
          <w:rFonts w:ascii="Times New Roman" w:hAnsi="Times New Roman" w:cs="Times New Roman"/>
          <w:sz w:val="24"/>
          <w:szCs w:val="24"/>
          <w:lang w:val="en-GB"/>
        </w:rPr>
        <w:t xml:space="preserve">monetary reform </w:t>
      </w:r>
      <w:r w:rsidR="00787D39" w:rsidRPr="00462F98">
        <w:rPr>
          <w:rFonts w:ascii="Times New Roman" w:hAnsi="Times New Roman" w:cs="Times New Roman"/>
          <w:sz w:val="24"/>
          <w:szCs w:val="24"/>
          <w:lang w:val="en-GB"/>
        </w:rPr>
        <w:t xml:space="preserve">should not be seen as purely </w:t>
      </w:r>
      <w:r w:rsidR="006E62D5">
        <w:rPr>
          <w:rFonts w:ascii="Times New Roman" w:hAnsi="Times New Roman" w:cs="Times New Roman"/>
          <w:sz w:val="24"/>
          <w:szCs w:val="24"/>
          <w:lang w:val="en-GB"/>
        </w:rPr>
        <w:t>economic; rather “m</w:t>
      </w:r>
      <w:r w:rsidR="00787D39" w:rsidRPr="00462F98">
        <w:rPr>
          <w:rFonts w:ascii="Times New Roman" w:hAnsi="Times New Roman" w:cs="Times New Roman"/>
          <w:sz w:val="24"/>
          <w:szCs w:val="24"/>
          <w:lang w:val="en-GB"/>
        </w:rPr>
        <w:t xml:space="preserve">odern monetary arrangements in Greece were part of a more general process of national political and economic development.” </w:t>
      </w:r>
    </w:p>
    <w:p w:rsidR="007B671C" w:rsidRPr="00462F98" w:rsidRDefault="005D0F4F" w:rsidP="009B6BB9">
      <w:pPr>
        <w:spacing w:after="0" w:line="360" w:lineRule="auto"/>
        <w:ind w:firstLine="720"/>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 xml:space="preserve">The </w:t>
      </w:r>
      <w:r w:rsidR="00DE4D51" w:rsidRPr="00462F98">
        <w:rPr>
          <w:rFonts w:ascii="Times New Roman" w:hAnsi="Times New Roman" w:cs="Times New Roman"/>
          <w:sz w:val="24"/>
          <w:szCs w:val="24"/>
          <w:lang w:val="en-GB"/>
        </w:rPr>
        <w:t>challenge was implementing the gold standard legislation. The Balkan countries operated on a third</w:t>
      </w:r>
      <w:r w:rsidRPr="00462F98">
        <w:rPr>
          <w:rFonts w:ascii="Times New Roman" w:hAnsi="Times New Roman" w:cs="Times New Roman"/>
          <w:sz w:val="24"/>
          <w:szCs w:val="24"/>
          <w:lang w:val="en-GB"/>
        </w:rPr>
        <w:t xml:space="preserve"> of Western European </w:t>
      </w:r>
      <w:r w:rsidR="00DE4D51" w:rsidRPr="00462F98">
        <w:rPr>
          <w:rFonts w:ascii="Times New Roman" w:hAnsi="Times New Roman" w:cs="Times New Roman"/>
          <w:sz w:val="24"/>
          <w:szCs w:val="24"/>
          <w:lang w:val="en-GB"/>
        </w:rPr>
        <w:t>income levels (</w:t>
      </w:r>
      <w:proofErr w:type="spellStart"/>
      <w:r w:rsidR="00DE4D51" w:rsidRPr="00462F98">
        <w:rPr>
          <w:rFonts w:ascii="Times New Roman" w:hAnsi="Times New Roman" w:cs="Times New Roman"/>
          <w:sz w:val="24"/>
          <w:szCs w:val="24"/>
          <w:lang w:val="en-GB"/>
        </w:rPr>
        <w:t>Morys</w:t>
      </w:r>
      <w:proofErr w:type="spellEnd"/>
      <w:r w:rsidR="00DE4D51" w:rsidRPr="00462F98">
        <w:rPr>
          <w:rFonts w:ascii="Times New Roman" w:hAnsi="Times New Roman" w:cs="Times New Roman"/>
          <w:sz w:val="24"/>
          <w:szCs w:val="24"/>
          <w:lang w:val="en-GB"/>
        </w:rPr>
        <w:t xml:space="preserve"> 2006), but faced high expenditure in the absence of any meaningful capacity to collect revenue.</w:t>
      </w:r>
      <w:r w:rsidR="004937E6" w:rsidRPr="00462F98">
        <w:rPr>
          <w:rFonts w:ascii="Times New Roman" w:hAnsi="Times New Roman" w:cs="Times New Roman"/>
          <w:sz w:val="24"/>
          <w:szCs w:val="24"/>
          <w:lang w:val="en-GB"/>
        </w:rPr>
        <w:t xml:space="preserve"> A</w:t>
      </w:r>
      <w:r w:rsidR="009B6BB9">
        <w:rPr>
          <w:rFonts w:ascii="Times New Roman" w:hAnsi="Times New Roman" w:cs="Times New Roman"/>
          <w:sz w:val="24"/>
          <w:szCs w:val="24"/>
          <w:lang w:val="en-GB"/>
        </w:rPr>
        <w:t xml:space="preserve">n </w:t>
      </w:r>
      <w:r w:rsidR="009E303D" w:rsidRPr="00462F98">
        <w:rPr>
          <w:rFonts w:ascii="Times New Roman" w:hAnsi="Times New Roman" w:cs="Times New Roman"/>
          <w:sz w:val="24"/>
          <w:szCs w:val="24"/>
          <w:lang w:val="en-GB"/>
        </w:rPr>
        <w:t xml:space="preserve">administrative structure needed to be built </w:t>
      </w:r>
      <w:r w:rsidR="009B6BB9">
        <w:rPr>
          <w:rFonts w:ascii="Times New Roman" w:hAnsi="Times New Roman" w:cs="Times New Roman"/>
          <w:sz w:val="24"/>
          <w:szCs w:val="24"/>
          <w:lang w:val="en-GB"/>
        </w:rPr>
        <w:t>a</w:t>
      </w:r>
      <w:r w:rsidR="00F47255" w:rsidRPr="00462F98">
        <w:rPr>
          <w:rFonts w:ascii="Times New Roman" w:hAnsi="Times New Roman" w:cs="Times New Roman"/>
          <w:sz w:val="24"/>
          <w:szCs w:val="24"/>
          <w:lang w:val="en-GB"/>
        </w:rPr>
        <w:t>new</w:t>
      </w:r>
      <w:r w:rsidR="00005181">
        <w:rPr>
          <w:rFonts w:ascii="Times New Roman" w:hAnsi="Times New Roman" w:cs="Times New Roman"/>
          <w:sz w:val="24"/>
          <w:szCs w:val="24"/>
          <w:lang w:val="en-GB"/>
        </w:rPr>
        <w:t>, and m</w:t>
      </w:r>
      <w:r w:rsidR="009E303D" w:rsidRPr="00462F98">
        <w:rPr>
          <w:rFonts w:ascii="Times New Roman" w:hAnsi="Times New Roman" w:cs="Times New Roman"/>
          <w:sz w:val="24"/>
          <w:szCs w:val="24"/>
          <w:lang w:val="en-GB"/>
        </w:rPr>
        <w:t xml:space="preserve">ilitary expenditure was high given lingering border conflicts and </w:t>
      </w:r>
      <w:r w:rsidR="009E303D" w:rsidRPr="00462F98">
        <w:rPr>
          <w:rFonts w:ascii="Times New Roman" w:hAnsi="Times New Roman" w:cs="Times New Roman"/>
          <w:color w:val="000000" w:themeColor="text1"/>
          <w:sz w:val="24"/>
          <w:szCs w:val="24"/>
          <w:lang w:val="en-GB"/>
        </w:rPr>
        <w:t xml:space="preserve">the irredentist agenda. </w:t>
      </w:r>
      <w:r w:rsidR="00005181">
        <w:rPr>
          <w:rFonts w:ascii="Times New Roman" w:hAnsi="Times New Roman" w:cs="Times New Roman"/>
          <w:color w:val="000000" w:themeColor="text1"/>
          <w:sz w:val="24"/>
          <w:szCs w:val="24"/>
          <w:lang w:val="en-GB"/>
        </w:rPr>
        <w:t>As</w:t>
      </w:r>
      <w:r w:rsidR="00F711DD" w:rsidRPr="00462F98">
        <w:rPr>
          <w:rFonts w:ascii="Times New Roman" w:hAnsi="Times New Roman" w:cs="Times New Roman"/>
          <w:color w:val="000000" w:themeColor="text1"/>
          <w:sz w:val="24"/>
          <w:szCs w:val="24"/>
          <w:lang w:val="en-GB"/>
        </w:rPr>
        <w:t xml:space="preserve"> </w:t>
      </w:r>
      <w:r w:rsidR="004937E6" w:rsidRPr="00462F98">
        <w:rPr>
          <w:rFonts w:ascii="Times New Roman" w:hAnsi="Times New Roman" w:cs="Times New Roman"/>
          <w:color w:val="000000" w:themeColor="text1"/>
          <w:sz w:val="24"/>
          <w:szCs w:val="24"/>
          <w:lang w:val="en-GB"/>
        </w:rPr>
        <w:t xml:space="preserve">accessing international bond markets </w:t>
      </w:r>
      <w:r w:rsidR="0098038B">
        <w:rPr>
          <w:rFonts w:ascii="Times New Roman" w:hAnsi="Times New Roman" w:cs="Times New Roman"/>
          <w:color w:val="000000" w:themeColor="text1"/>
          <w:sz w:val="24"/>
          <w:szCs w:val="24"/>
          <w:lang w:val="en-GB"/>
        </w:rPr>
        <w:t>required</w:t>
      </w:r>
      <w:r w:rsidR="004937E6" w:rsidRPr="00462F98">
        <w:rPr>
          <w:rFonts w:ascii="Times New Roman" w:hAnsi="Times New Roman" w:cs="Times New Roman"/>
          <w:color w:val="000000" w:themeColor="text1"/>
          <w:sz w:val="24"/>
          <w:szCs w:val="24"/>
          <w:lang w:val="en-GB"/>
        </w:rPr>
        <w:t xml:space="preserve"> </w:t>
      </w:r>
      <w:r w:rsidR="004937E6" w:rsidRPr="00462F98">
        <w:rPr>
          <w:rFonts w:ascii="Times New Roman" w:hAnsi="Times New Roman" w:cs="Times New Roman"/>
          <w:color w:val="000000" w:themeColor="text1"/>
          <w:sz w:val="24"/>
          <w:szCs w:val="24"/>
          <w:lang w:val="en-GB"/>
        </w:rPr>
        <w:lastRenderedPageBreak/>
        <w:t>establishing a good reputation first</w:t>
      </w:r>
      <w:r w:rsidR="0098038B">
        <w:rPr>
          <w:rFonts w:ascii="Times New Roman" w:hAnsi="Times New Roman" w:cs="Times New Roman"/>
          <w:color w:val="000000" w:themeColor="text1"/>
          <w:sz w:val="24"/>
          <w:szCs w:val="24"/>
          <w:lang w:val="en-GB"/>
        </w:rPr>
        <w:t>, g</w:t>
      </w:r>
      <w:r w:rsidR="004937E6" w:rsidRPr="00462F98">
        <w:rPr>
          <w:rFonts w:ascii="Times New Roman" w:hAnsi="Times New Roman" w:cs="Times New Roman"/>
          <w:color w:val="000000" w:themeColor="text1"/>
          <w:sz w:val="24"/>
          <w:szCs w:val="24"/>
          <w:lang w:val="en-GB"/>
        </w:rPr>
        <w:t xml:space="preserve">enerating revenue from seigniorage was </w:t>
      </w:r>
      <w:r w:rsidR="00AF7C68">
        <w:rPr>
          <w:rFonts w:ascii="Times New Roman" w:hAnsi="Times New Roman" w:cs="Times New Roman"/>
          <w:color w:val="000000" w:themeColor="text1"/>
          <w:sz w:val="24"/>
          <w:szCs w:val="24"/>
          <w:lang w:val="en-GB"/>
        </w:rPr>
        <w:t xml:space="preserve">initially </w:t>
      </w:r>
      <w:r w:rsidR="004937E6" w:rsidRPr="00462F98">
        <w:rPr>
          <w:rFonts w:ascii="Times New Roman" w:hAnsi="Times New Roman" w:cs="Times New Roman"/>
          <w:color w:val="000000" w:themeColor="text1"/>
          <w:sz w:val="24"/>
          <w:szCs w:val="24"/>
          <w:lang w:val="en-GB"/>
        </w:rPr>
        <w:t>the only option.</w:t>
      </w:r>
      <w:r w:rsidR="00977D92" w:rsidRPr="00462F98">
        <w:rPr>
          <w:rFonts w:ascii="Times New Roman" w:hAnsi="Times New Roman" w:cs="Times New Roman"/>
          <w:color w:val="000000" w:themeColor="text1"/>
          <w:sz w:val="24"/>
          <w:szCs w:val="24"/>
          <w:lang w:val="en-GB"/>
        </w:rPr>
        <w:t xml:space="preserve"> </w:t>
      </w:r>
      <w:r w:rsidRPr="00462F98">
        <w:rPr>
          <w:rFonts w:ascii="Times New Roman" w:hAnsi="Times New Roman" w:cs="Times New Roman"/>
          <w:color w:val="000000" w:themeColor="text1"/>
          <w:sz w:val="24"/>
          <w:szCs w:val="24"/>
          <w:lang w:val="en-GB"/>
        </w:rPr>
        <w:t>C</w:t>
      </w:r>
      <w:r w:rsidR="00556F60" w:rsidRPr="00462F98">
        <w:rPr>
          <w:rFonts w:ascii="Times New Roman" w:hAnsi="Times New Roman" w:cs="Times New Roman"/>
          <w:color w:val="000000" w:themeColor="text1"/>
          <w:sz w:val="24"/>
          <w:szCs w:val="24"/>
          <w:lang w:val="en-GB"/>
        </w:rPr>
        <w:t xml:space="preserve">ountries first coined copper, followed </w:t>
      </w:r>
      <w:r w:rsidR="009B6BB9">
        <w:rPr>
          <w:rFonts w:ascii="Times New Roman" w:hAnsi="Times New Roman" w:cs="Times New Roman"/>
          <w:color w:val="000000" w:themeColor="text1"/>
          <w:sz w:val="24"/>
          <w:szCs w:val="24"/>
          <w:lang w:val="en-GB"/>
        </w:rPr>
        <w:t xml:space="preserve">reluctantly </w:t>
      </w:r>
      <w:r w:rsidR="00E92035" w:rsidRPr="00462F98">
        <w:rPr>
          <w:rFonts w:ascii="Times New Roman" w:hAnsi="Times New Roman" w:cs="Times New Roman"/>
          <w:color w:val="000000" w:themeColor="text1"/>
          <w:sz w:val="24"/>
          <w:szCs w:val="24"/>
          <w:lang w:val="en-GB"/>
        </w:rPr>
        <w:t xml:space="preserve">by </w:t>
      </w:r>
      <w:r w:rsidR="00556F60" w:rsidRPr="00462F98">
        <w:rPr>
          <w:rFonts w:ascii="Times New Roman" w:hAnsi="Times New Roman" w:cs="Times New Roman"/>
          <w:color w:val="000000" w:themeColor="text1"/>
          <w:sz w:val="24"/>
          <w:szCs w:val="24"/>
          <w:lang w:val="en-GB"/>
        </w:rPr>
        <w:t>a silver issue; gold coinage</w:t>
      </w:r>
      <w:r w:rsidR="004937E6" w:rsidRPr="00462F98">
        <w:rPr>
          <w:rFonts w:ascii="Times New Roman" w:hAnsi="Times New Roman" w:cs="Times New Roman"/>
          <w:color w:val="000000" w:themeColor="text1"/>
          <w:sz w:val="24"/>
          <w:szCs w:val="24"/>
          <w:lang w:val="en-GB"/>
        </w:rPr>
        <w:t xml:space="preserve"> happened more than </w:t>
      </w:r>
      <w:r w:rsidR="00DB1334" w:rsidRPr="00462F98">
        <w:rPr>
          <w:rFonts w:ascii="Times New Roman" w:hAnsi="Times New Roman" w:cs="Times New Roman"/>
          <w:color w:val="000000" w:themeColor="text1"/>
          <w:sz w:val="24"/>
          <w:szCs w:val="24"/>
          <w:lang w:val="en-GB"/>
        </w:rPr>
        <w:t xml:space="preserve">10 </w:t>
      </w:r>
      <w:r w:rsidR="004937E6" w:rsidRPr="00462F98">
        <w:rPr>
          <w:rFonts w:ascii="Times New Roman" w:hAnsi="Times New Roman" w:cs="Times New Roman"/>
          <w:color w:val="000000" w:themeColor="text1"/>
          <w:sz w:val="24"/>
          <w:szCs w:val="24"/>
          <w:lang w:val="en-GB"/>
        </w:rPr>
        <w:t>years after the coinage act and remained of negligible size</w:t>
      </w:r>
      <w:r w:rsidR="004839CA" w:rsidRPr="00462F98">
        <w:rPr>
          <w:rFonts w:ascii="Times New Roman" w:hAnsi="Times New Roman" w:cs="Times New Roman"/>
          <w:color w:val="000000" w:themeColor="text1"/>
          <w:sz w:val="24"/>
          <w:szCs w:val="24"/>
          <w:lang w:val="en-GB"/>
        </w:rPr>
        <w:t>.</w:t>
      </w:r>
      <w:r w:rsidR="00556F60" w:rsidRPr="00462F98">
        <w:rPr>
          <w:rFonts w:ascii="Times New Roman" w:hAnsi="Times New Roman" w:cs="Times New Roman"/>
          <w:color w:val="000000" w:themeColor="text1"/>
          <w:sz w:val="24"/>
          <w:szCs w:val="24"/>
          <w:lang w:val="en-GB"/>
        </w:rPr>
        <w:t xml:space="preserve"> </w:t>
      </w:r>
      <w:r w:rsidR="004839CA" w:rsidRPr="00462F98">
        <w:rPr>
          <w:rFonts w:ascii="Times New Roman" w:hAnsi="Times New Roman" w:cs="Times New Roman"/>
          <w:color w:val="000000" w:themeColor="text1"/>
          <w:sz w:val="24"/>
          <w:szCs w:val="24"/>
          <w:lang w:val="en-GB"/>
        </w:rPr>
        <w:t xml:space="preserve">Even by </w:t>
      </w:r>
      <w:r w:rsidR="00751DA4" w:rsidRPr="00462F98">
        <w:rPr>
          <w:rFonts w:ascii="Times New Roman" w:hAnsi="Times New Roman" w:cs="Times New Roman"/>
          <w:color w:val="000000" w:themeColor="text1"/>
          <w:sz w:val="24"/>
          <w:szCs w:val="24"/>
          <w:lang w:val="en-GB"/>
        </w:rPr>
        <w:t>WW1</w:t>
      </w:r>
      <w:r w:rsidR="00556F60" w:rsidRPr="00462F98">
        <w:rPr>
          <w:rFonts w:ascii="Times New Roman" w:hAnsi="Times New Roman" w:cs="Times New Roman"/>
          <w:color w:val="000000" w:themeColor="text1"/>
          <w:sz w:val="24"/>
          <w:szCs w:val="24"/>
          <w:lang w:val="en-GB"/>
        </w:rPr>
        <w:t xml:space="preserve">, </w:t>
      </w:r>
      <w:r w:rsidR="004839CA" w:rsidRPr="00462F98">
        <w:rPr>
          <w:rFonts w:ascii="Times New Roman" w:hAnsi="Times New Roman" w:cs="Times New Roman"/>
          <w:color w:val="000000" w:themeColor="text1"/>
          <w:sz w:val="24"/>
          <w:szCs w:val="24"/>
          <w:lang w:val="en-GB"/>
        </w:rPr>
        <w:t xml:space="preserve">none </w:t>
      </w:r>
      <w:r w:rsidR="00F72D7E" w:rsidRPr="00462F98">
        <w:rPr>
          <w:rFonts w:ascii="Times New Roman" w:hAnsi="Times New Roman" w:cs="Times New Roman"/>
          <w:color w:val="000000" w:themeColor="text1"/>
          <w:sz w:val="24"/>
          <w:szCs w:val="24"/>
          <w:lang w:val="en-GB"/>
        </w:rPr>
        <w:t>of the countries had coined more</w:t>
      </w:r>
      <w:r w:rsidR="004839CA" w:rsidRPr="00462F98">
        <w:rPr>
          <w:rFonts w:ascii="Times New Roman" w:hAnsi="Times New Roman" w:cs="Times New Roman"/>
          <w:color w:val="000000" w:themeColor="text1"/>
          <w:sz w:val="24"/>
          <w:szCs w:val="24"/>
          <w:lang w:val="en-GB"/>
        </w:rPr>
        <w:t xml:space="preserve"> than 10% in gold</w:t>
      </w:r>
      <w:r w:rsidR="007A6B46" w:rsidRPr="00462F98">
        <w:rPr>
          <w:rFonts w:ascii="Times New Roman" w:hAnsi="Times New Roman" w:cs="Times New Roman"/>
          <w:color w:val="000000" w:themeColor="text1"/>
          <w:sz w:val="24"/>
          <w:szCs w:val="24"/>
          <w:lang w:val="en-GB"/>
        </w:rPr>
        <w:t xml:space="preserve"> (</w:t>
      </w:r>
      <w:r w:rsidR="00AF7C68" w:rsidRPr="00462F98">
        <w:rPr>
          <w:rFonts w:ascii="Times New Roman" w:hAnsi="Times New Roman" w:cs="Times New Roman"/>
          <w:color w:val="000000" w:themeColor="text1"/>
          <w:sz w:val="24"/>
          <w:szCs w:val="24"/>
          <w:lang w:val="en-GB"/>
        </w:rPr>
        <w:t>Haupt 1886: 218-222&amp;357-364</w:t>
      </w:r>
      <w:r w:rsidR="00AF7C68">
        <w:rPr>
          <w:rFonts w:ascii="Times New Roman" w:hAnsi="Times New Roman" w:cs="Times New Roman"/>
          <w:color w:val="000000" w:themeColor="text1"/>
          <w:sz w:val="24"/>
          <w:szCs w:val="24"/>
          <w:lang w:val="en-GB"/>
        </w:rPr>
        <w:t xml:space="preserve">, </w:t>
      </w:r>
      <w:proofErr w:type="spellStart"/>
      <w:r w:rsidR="007A6B46" w:rsidRPr="00462F98">
        <w:rPr>
          <w:rFonts w:ascii="Times New Roman" w:hAnsi="Times New Roman" w:cs="Times New Roman"/>
          <w:color w:val="000000" w:themeColor="text1"/>
          <w:sz w:val="24"/>
          <w:szCs w:val="24"/>
          <w:lang w:val="en-GB"/>
        </w:rPr>
        <w:t>Morys</w:t>
      </w:r>
      <w:proofErr w:type="spellEnd"/>
      <w:r w:rsidR="007A6B46" w:rsidRPr="00462F98">
        <w:rPr>
          <w:rFonts w:ascii="Times New Roman" w:hAnsi="Times New Roman" w:cs="Times New Roman"/>
          <w:color w:val="000000" w:themeColor="text1"/>
          <w:sz w:val="24"/>
          <w:szCs w:val="24"/>
          <w:lang w:val="en-GB"/>
        </w:rPr>
        <w:t xml:space="preserve"> 2017: 11)</w:t>
      </w:r>
      <w:r w:rsidR="00511572" w:rsidRPr="00462F98">
        <w:rPr>
          <w:rFonts w:ascii="Times New Roman" w:hAnsi="Times New Roman" w:cs="Times New Roman"/>
          <w:color w:val="000000" w:themeColor="text1"/>
          <w:sz w:val="24"/>
          <w:szCs w:val="24"/>
          <w:lang w:val="en-GB"/>
        </w:rPr>
        <w:t>.</w:t>
      </w:r>
      <w:r w:rsidR="004839CA" w:rsidRPr="00462F98">
        <w:rPr>
          <w:rFonts w:ascii="Times New Roman" w:hAnsi="Times New Roman" w:cs="Times New Roman"/>
          <w:color w:val="000000" w:themeColor="text1"/>
          <w:sz w:val="24"/>
          <w:szCs w:val="24"/>
          <w:lang w:val="en-GB"/>
        </w:rPr>
        <w:t xml:space="preserve"> </w:t>
      </w:r>
      <w:r w:rsidR="00136F2F" w:rsidRPr="00462F98">
        <w:rPr>
          <w:rFonts w:ascii="Times New Roman" w:hAnsi="Times New Roman" w:cs="Times New Roman"/>
          <w:color w:val="000000" w:themeColor="text1"/>
          <w:sz w:val="24"/>
          <w:szCs w:val="24"/>
          <w:lang w:val="en-GB"/>
        </w:rPr>
        <w:t>Gold developed a premium against silver, c</w:t>
      </w:r>
      <w:r w:rsidR="00F711DD" w:rsidRPr="00462F98">
        <w:rPr>
          <w:rFonts w:ascii="Times New Roman" w:hAnsi="Times New Roman" w:cs="Times New Roman"/>
          <w:color w:val="000000" w:themeColor="text1"/>
          <w:sz w:val="24"/>
          <w:szCs w:val="24"/>
          <w:lang w:val="en-GB"/>
        </w:rPr>
        <w:t xml:space="preserve">opper and, </w:t>
      </w:r>
      <w:r w:rsidR="0098038B">
        <w:rPr>
          <w:rFonts w:ascii="Times New Roman" w:hAnsi="Times New Roman" w:cs="Times New Roman"/>
          <w:color w:val="000000" w:themeColor="text1"/>
          <w:sz w:val="24"/>
          <w:szCs w:val="24"/>
          <w:lang w:val="en-GB"/>
        </w:rPr>
        <w:t>later</w:t>
      </w:r>
      <w:r w:rsidR="004839CA" w:rsidRPr="00462F98">
        <w:rPr>
          <w:rFonts w:ascii="Times New Roman" w:hAnsi="Times New Roman" w:cs="Times New Roman"/>
          <w:color w:val="000000" w:themeColor="text1"/>
          <w:sz w:val="24"/>
          <w:szCs w:val="24"/>
          <w:lang w:val="en-GB"/>
        </w:rPr>
        <w:t>, bank notes: the fiat standard was born which lasted until the early 20</w:t>
      </w:r>
      <w:r w:rsidR="004839CA" w:rsidRPr="00462F98">
        <w:rPr>
          <w:rFonts w:ascii="Times New Roman" w:hAnsi="Times New Roman" w:cs="Times New Roman"/>
          <w:color w:val="000000" w:themeColor="text1"/>
          <w:sz w:val="24"/>
          <w:szCs w:val="24"/>
          <w:vertAlign w:val="superscript"/>
          <w:lang w:val="en-GB"/>
        </w:rPr>
        <w:t>th</w:t>
      </w:r>
      <w:r w:rsidR="004839CA" w:rsidRPr="00462F98">
        <w:rPr>
          <w:rFonts w:ascii="Times New Roman" w:hAnsi="Times New Roman" w:cs="Times New Roman"/>
          <w:color w:val="000000" w:themeColor="text1"/>
          <w:sz w:val="24"/>
          <w:szCs w:val="24"/>
          <w:lang w:val="en-GB"/>
        </w:rPr>
        <w:t xml:space="preserve"> century.</w:t>
      </w:r>
      <w:r w:rsidR="00136F2F" w:rsidRPr="00462F98">
        <w:rPr>
          <w:rFonts w:ascii="Times New Roman" w:hAnsi="Times New Roman" w:cs="Times New Roman"/>
          <w:color w:val="000000" w:themeColor="text1"/>
          <w:sz w:val="24"/>
          <w:szCs w:val="24"/>
          <w:lang w:val="en-GB"/>
        </w:rPr>
        <w:t xml:space="preserve"> </w:t>
      </w:r>
      <w:r w:rsidR="007A6B46" w:rsidRPr="00462F98">
        <w:rPr>
          <w:rFonts w:ascii="Times New Roman" w:hAnsi="Times New Roman" w:cs="Times New Roman"/>
          <w:color w:val="000000" w:themeColor="text1"/>
          <w:sz w:val="24"/>
          <w:szCs w:val="24"/>
          <w:lang w:val="en-GB"/>
        </w:rPr>
        <w:t>The fiscal needs had made an illusion out of the gold standard legislation passed between 1867 and 1880.</w:t>
      </w:r>
    </w:p>
    <w:p w:rsidR="008C1466" w:rsidRPr="00462F98" w:rsidRDefault="008C1466" w:rsidP="008C1466">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In order to</w:t>
      </w:r>
      <w:r w:rsidR="009321EE">
        <w:rPr>
          <w:rFonts w:ascii="Times New Roman" w:hAnsi="Times New Roman" w:cs="Times New Roman"/>
          <w:sz w:val="24"/>
          <w:szCs w:val="24"/>
          <w:lang w:val="en-GB"/>
        </w:rPr>
        <w:t xml:space="preserve"> calculate seigniorage, period one</w:t>
      </w:r>
      <w:r w:rsidRPr="00462F98">
        <w:rPr>
          <w:rFonts w:ascii="Times New Roman" w:hAnsi="Times New Roman" w:cs="Times New Roman"/>
          <w:sz w:val="24"/>
          <w:szCs w:val="24"/>
          <w:lang w:val="en-GB"/>
        </w:rPr>
        <w:t xml:space="preserve"> begins with the coinage act (rather than the year of autonomy) and ends with the first bond issue. The Greek case was historically different, but fits the same public finance pattern</w:t>
      </w:r>
      <w:r w:rsidR="009B6BB9">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the country relied exclusively on seigniorage between 1841 (foundation of the NBG) and 1879 (debt compromise with the country’s creditors which re-opened international capital markets after the 1843 default).</w:t>
      </w:r>
    </w:p>
    <w:p w:rsidR="00AF7C68" w:rsidRDefault="00AF7C68" w:rsidP="004E48B1">
      <w:pPr>
        <w:spacing w:after="0" w:line="360" w:lineRule="auto"/>
        <w:jc w:val="both"/>
        <w:rPr>
          <w:rFonts w:ascii="Times New Roman" w:hAnsi="Times New Roman" w:cs="Times New Roman"/>
          <w:b/>
          <w:sz w:val="24"/>
          <w:szCs w:val="24"/>
          <w:lang w:val="en-GB"/>
        </w:rPr>
      </w:pPr>
    </w:p>
    <w:p w:rsidR="004E48B1" w:rsidRPr="00462F98" w:rsidRDefault="003B2E1C" w:rsidP="004E48B1">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Period II</w:t>
      </w:r>
      <w:r w:rsidR="004E48B1" w:rsidRPr="00462F98">
        <w:rPr>
          <w:rFonts w:ascii="Times New Roman" w:hAnsi="Times New Roman" w:cs="Times New Roman"/>
          <w:b/>
          <w:sz w:val="24"/>
          <w:szCs w:val="24"/>
          <w:lang w:val="en-GB"/>
        </w:rPr>
        <w:t>: First bond issue to the establishment of International Financial Control</w:t>
      </w:r>
    </w:p>
    <w:p w:rsidR="006D7EC4" w:rsidRPr="00462F98" w:rsidRDefault="006D7EC4" w:rsidP="004E48B1">
      <w:pPr>
        <w:spacing w:after="0" w:line="360" w:lineRule="auto"/>
        <w:jc w:val="both"/>
        <w:rPr>
          <w:rFonts w:ascii="Times New Roman" w:hAnsi="Times New Roman" w:cs="Times New Roman"/>
          <w:b/>
          <w:i/>
          <w:sz w:val="24"/>
          <w:szCs w:val="24"/>
          <w:lang w:val="en-GB"/>
        </w:rPr>
      </w:pPr>
      <w:r w:rsidRPr="00462F98">
        <w:rPr>
          <w:rFonts w:ascii="Times New Roman" w:hAnsi="Times New Roman" w:cs="Times New Roman"/>
          <w:b/>
          <w:i/>
          <w:sz w:val="24"/>
          <w:szCs w:val="24"/>
          <w:lang w:val="en-GB"/>
        </w:rPr>
        <w:t>(mixed finance: seigniorage and capital imports)</w:t>
      </w:r>
    </w:p>
    <w:p w:rsidR="004E48B1" w:rsidRPr="00462F98" w:rsidRDefault="008C1466" w:rsidP="004E48B1">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The second period begins with the first bond issue and lasts until the establishment of financial supervision.</w:t>
      </w:r>
      <w:r w:rsidR="009B6BB9">
        <w:rPr>
          <w:rStyle w:val="FootnoteReference"/>
          <w:rFonts w:ascii="Times New Roman" w:hAnsi="Times New Roman" w:cs="Times New Roman"/>
          <w:sz w:val="24"/>
          <w:szCs w:val="24"/>
          <w:lang w:val="en-GB"/>
        </w:rPr>
        <w:footnoteReference w:id="2"/>
      </w:r>
      <w:r w:rsidRPr="00462F98">
        <w:rPr>
          <w:rFonts w:ascii="Times New Roman" w:hAnsi="Times New Roman" w:cs="Times New Roman"/>
          <w:sz w:val="24"/>
          <w:szCs w:val="24"/>
          <w:lang w:val="en-GB"/>
        </w:rPr>
        <w:t xml:space="preserve"> </w:t>
      </w:r>
      <w:r w:rsidR="004E48B1" w:rsidRPr="00462F98">
        <w:rPr>
          <w:rFonts w:ascii="Times New Roman" w:hAnsi="Times New Roman" w:cs="Times New Roman"/>
          <w:sz w:val="24"/>
          <w:szCs w:val="24"/>
          <w:lang w:val="en-GB"/>
        </w:rPr>
        <w:t>Long-standing</w:t>
      </w:r>
      <w:r w:rsidR="00B26D38"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 xml:space="preserve">domestic </w:t>
      </w:r>
      <w:r w:rsidR="004E48B1" w:rsidRPr="00462F98">
        <w:rPr>
          <w:rFonts w:ascii="Times New Roman" w:hAnsi="Times New Roman" w:cs="Times New Roman"/>
          <w:sz w:val="24"/>
          <w:szCs w:val="24"/>
          <w:lang w:val="en-GB"/>
        </w:rPr>
        <w:t xml:space="preserve">efforts at attracting capital bore fruit in </w:t>
      </w:r>
      <w:r w:rsidR="009B6BB9">
        <w:rPr>
          <w:rFonts w:ascii="Times New Roman" w:hAnsi="Times New Roman" w:cs="Times New Roman"/>
          <w:sz w:val="24"/>
          <w:szCs w:val="24"/>
          <w:lang w:val="en-GB"/>
        </w:rPr>
        <w:t xml:space="preserve">the 1880s, </w:t>
      </w:r>
      <w:r w:rsidR="004E48B1" w:rsidRPr="00462F98">
        <w:rPr>
          <w:rFonts w:ascii="Times New Roman" w:hAnsi="Times New Roman" w:cs="Times New Roman"/>
          <w:sz w:val="24"/>
          <w:szCs w:val="24"/>
          <w:lang w:val="en-GB"/>
        </w:rPr>
        <w:t>a decade in which Britain, France and Germany made un</w:t>
      </w:r>
      <w:r w:rsidR="008C0233">
        <w:rPr>
          <w:rFonts w:ascii="Times New Roman" w:hAnsi="Times New Roman" w:cs="Times New Roman"/>
          <w:sz w:val="24"/>
          <w:szCs w:val="24"/>
          <w:lang w:val="en-GB"/>
        </w:rPr>
        <w:t xml:space="preserve">precedented amounts of </w:t>
      </w:r>
      <w:r w:rsidR="004E48B1" w:rsidRPr="00462F98">
        <w:rPr>
          <w:rFonts w:ascii="Times New Roman" w:hAnsi="Times New Roman" w:cs="Times New Roman"/>
          <w:sz w:val="24"/>
          <w:szCs w:val="24"/>
          <w:lang w:val="en-GB"/>
        </w:rPr>
        <w:t>saving available for foreign lending</w:t>
      </w:r>
      <w:r w:rsidR="00B26D38" w:rsidRPr="00462F98">
        <w:rPr>
          <w:rFonts w:ascii="Times New Roman" w:hAnsi="Times New Roman" w:cs="Times New Roman"/>
          <w:sz w:val="24"/>
          <w:szCs w:val="24"/>
          <w:lang w:val="en-GB"/>
        </w:rPr>
        <w:t xml:space="preserve"> (</w:t>
      </w:r>
      <w:proofErr w:type="spellStart"/>
      <w:r w:rsidR="00B26D38" w:rsidRPr="00462F98">
        <w:rPr>
          <w:rFonts w:ascii="Times New Roman" w:hAnsi="Times New Roman" w:cs="Times New Roman"/>
          <w:sz w:val="24"/>
          <w:szCs w:val="24"/>
          <w:lang w:val="en-GB"/>
        </w:rPr>
        <w:t>Daudin</w:t>
      </w:r>
      <w:proofErr w:type="spellEnd"/>
      <w:r w:rsidR="00B26D38" w:rsidRPr="00462F98">
        <w:rPr>
          <w:rFonts w:ascii="Times New Roman" w:hAnsi="Times New Roman" w:cs="Times New Roman"/>
          <w:sz w:val="24"/>
          <w:szCs w:val="24"/>
          <w:lang w:val="en-GB"/>
        </w:rPr>
        <w:t xml:space="preserve"> et al. 2010)</w:t>
      </w:r>
      <w:r w:rsidR="004E48B1" w:rsidRPr="00462F98">
        <w:rPr>
          <w:rFonts w:ascii="Times New Roman" w:hAnsi="Times New Roman" w:cs="Times New Roman"/>
          <w:sz w:val="24"/>
          <w:szCs w:val="24"/>
          <w:lang w:val="en-GB"/>
        </w:rPr>
        <w:t xml:space="preserve">. </w:t>
      </w:r>
      <w:r w:rsidR="009B6BB9">
        <w:rPr>
          <w:rFonts w:ascii="Times New Roman" w:hAnsi="Times New Roman" w:cs="Times New Roman"/>
          <w:sz w:val="24"/>
          <w:szCs w:val="24"/>
          <w:lang w:val="en-GB"/>
        </w:rPr>
        <w:t>Between 1875 and</w:t>
      </w:r>
      <w:r w:rsidR="004E48B1" w:rsidRPr="00462F98">
        <w:rPr>
          <w:rFonts w:ascii="Times New Roman" w:hAnsi="Times New Roman" w:cs="Times New Roman"/>
          <w:sz w:val="24"/>
          <w:szCs w:val="24"/>
          <w:lang w:val="en-GB"/>
        </w:rPr>
        <w:t xml:space="preserve"> 1881,</w:t>
      </w:r>
      <w:r w:rsidR="008C0233">
        <w:rPr>
          <w:rFonts w:ascii="Times New Roman" w:hAnsi="Times New Roman" w:cs="Times New Roman"/>
          <w:sz w:val="24"/>
          <w:szCs w:val="24"/>
          <w:lang w:val="en-GB"/>
        </w:rPr>
        <w:t xml:space="preserve"> Romania, Greece and Serbia all </w:t>
      </w:r>
      <w:r w:rsidR="004E48B1" w:rsidRPr="00462F98">
        <w:rPr>
          <w:rFonts w:ascii="Times New Roman" w:hAnsi="Times New Roman" w:cs="Times New Roman"/>
          <w:sz w:val="24"/>
          <w:szCs w:val="24"/>
          <w:lang w:val="en-GB"/>
        </w:rPr>
        <w:t>obtained major loans, with Bulgaria following in 1888.</w:t>
      </w:r>
    </w:p>
    <w:p w:rsidR="004E48B1" w:rsidRPr="008C0233" w:rsidRDefault="004E48B1" w:rsidP="004E48B1">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ab/>
        <w:t>The Balkan countries preferred</w:t>
      </w:r>
      <w:r w:rsidR="00AB3E48" w:rsidRPr="00462F98">
        <w:rPr>
          <w:rFonts w:ascii="Times New Roman" w:hAnsi="Times New Roman" w:cs="Times New Roman"/>
          <w:color w:val="000000" w:themeColor="text1"/>
          <w:sz w:val="24"/>
          <w:szCs w:val="24"/>
          <w:lang w:val="en-GB"/>
        </w:rPr>
        <w:t xml:space="preserve"> capital imports over seigniorage: </w:t>
      </w:r>
      <w:r w:rsidRPr="00462F98">
        <w:rPr>
          <w:rFonts w:ascii="Times New Roman" w:hAnsi="Times New Roman" w:cs="Times New Roman"/>
          <w:color w:val="000000" w:themeColor="text1"/>
          <w:sz w:val="24"/>
          <w:szCs w:val="24"/>
          <w:lang w:val="en-GB"/>
        </w:rPr>
        <w:t xml:space="preserve">they allowed a genuine resource transfer </w:t>
      </w:r>
      <w:r w:rsidR="00AB3E48" w:rsidRPr="00462F98">
        <w:rPr>
          <w:rFonts w:ascii="Times New Roman" w:hAnsi="Times New Roman" w:cs="Times New Roman"/>
          <w:color w:val="000000" w:themeColor="text1"/>
          <w:sz w:val="24"/>
          <w:szCs w:val="24"/>
          <w:lang w:val="en-GB"/>
        </w:rPr>
        <w:t xml:space="preserve">and </w:t>
      </w:r>
      <w:r w:rsidR="006D7EC4" w:rsidRPr="00462F98">
        <w:rPr>
          <w:rFonts w:ascii="Times New Roman" w:hAnsi="Times New Roman" w:cs="Times New Roman"/>
          <w:color w:val="000000" w:themeColor="text1"/>
          <w:sz w:val="24"/>
          <w:szCs w:val="24"/>
          <w:lang w:val="en-GB"/>
        </w:rPr>
        <w:t xml:space="preserve">were </w:t>
      </w:r>
      <w:r w:rsidR="00AB3E48" w:rsidRPr="00462F98">
        <w:rPr>
          <w:rFonts w:ascii="Times New Roman" w:hAnsi="Times New Roman" w:cs="Times New Roman"/>
          <w:color w:val="000000" w:themeColor="text1"/>
          <w:sz w:val="24"/>
          <w:szCs w:val="24"/>
          <w:lang w:val="en-GB"/>
        </w:rPr>
        <w:t>bigger in size. O</w:t>
      </w:r>
      <w:r w:rsidRPr="00462F98">
        <w:rPr>
          <w:rFonts w:ascii="Times New Roman" w:hAnsi="Times New Roman" w:cs="Times New Roman"/>
          <w:color w:val="000000" w:themeColor="text1"/>
          <w:sz w:val="24"/>
          <w:szCs w:val="24"/>
          <w:lang w:val="en-GB"/>
        </w:rPr>
        <w:t xml:space="preserve">ur calculations suggest that capital imports </w:t>
      </w:r>
      <w:r w:rsidR="006D7EC4" w:rsidRPr="00462F98">
        <w:rPr>
          <w:rFonts w:ascii="Times New Roman" w:hAnsi="Times New Roman" w:cs="Times New Roman"/>
          <w:color w:val="000000" w:themeColor="text1"/>
          <w:sz w:val="24"/>
          <w:szCs w:val="24"/>
          <w:lang w:val="en-GB"/>
        </w:rPr>
        <w:t>exceed</w:t>
      </w:r>
      <w:r w:rsidR="002B4DAE" w:rsidRPr="00462F98">
        <w:rPr>
          <w:rFonts w:ascii="Times New Roman" w:hAnsi="Times New Roman" w:cs="Times New Roman"/>
          <w:color w:val="000000" w:themeColor="text1"/>
          <w:sz w:val="24"/>
          <w:szCs w:val="24"/>
          <w:lang w:val="en-GB"/>
        </w:rPr>
        <w:t>ed</w:t>
      </w:r>
      <w:r w:rsidRPr="00462F98">
        <w:rPr>
          <w:rFonts w:ascii="Times New Roman" w:hAnsi="Times New Roman" w:cs="Times New Roman"/>
          <w:color w:val="000000" w:themeColor="text1"/>
          <w:sz w:val="24"/>
          <w:szCs w:val="24"/>
          <w:lang w:val="en-GB"/>
        </w:rPr>
        <w:t xml:space="preserve"> seigniorage revenue </w:t>
      </w:r>
      <w:r w:rsidR="009321EE">
        <w:rPr>
          <w:rFonts w:ascii="Times New Roman" w:hAnsi="Times New Roman" w:cs="Times New Roman"/>
          <w:color w:val="000000" w:themeColor="text1"/>
          <w:sz w:val="24"/>
          <w:szCs w:val="24"/>
          <w:lang w:val="en-GB"/>
        </w:rPr>
        <w:t>in period two</w:t>
      </w:r>
      <w:r w:rsidR="006D7EC4" w:rsidRPr="00462F98">
        <w:rPr>
          <w:rFonts w:ascii="Times New Roman" w:hAnsi="Times New Roman" w:cs="Times New Roman"/>
          <w:color w:val="000000" w:themeColor="text1"/>
          <w:sz w:val="24"/>
          <w:szCs w:val="24"/>
          <w:lang w:val="en-GB"/>
        </w:rPr>
        <w:t xml:space="preserve"> </w:t>
      </w:r>
      <w:r w:rsidR="009321EE">
        <w:rPr>
          <w:rFonts w:ascii="Times New Roman" w:hAnsi="Times New Roman" w:cs="Times New Roman"/>
          <w:color w:val="000000" w:themeColor="text1"/>
          <w:sz w:val="24"/>
          <w:szCs w:val="24"/>
          <w:lang w:val="en-GB"/>
        </w:rPr>
        <w:t>by at least factor three</w:t>
      </w:r>
      <w:r w:rsidR="00D34709" w:rsidRPr="00462F98">
        <w:rPr>
          <w:rFonts w:ascii="Times New Roman" w:hAnsi="Times New Roman" w:cs="Times New Roman"/>
          <w:color w:val="000000" w:themeColor="text1"/>
          <w:sz w:val="24"/>
          <w:szCs w:val="24"/>
          <w:lang w:val="en-GB"/>
        </w:rPr>
        <w:t>.</w:t>
      </w:r>
      <w:r w:rsidR="009B6BB9">
        <w:rPr>
          <w:rFonts w:ascii="Times New Roman" w:hAnsi="Times New Roman" w:cs="Times New Roman"/>
          <w:color w:val="000000" w:themeColor="text1"/>
          <w:sz w:val="24"/>
          <w:szCs w:val="24"/>
          <w:lang w:val="en-GB"/>
        </w:rPr>
        <w:t xml:space="preserve"> G</w:t>
      </w:r>
      <w:r w:rsidRPr="00462F98">
        <w:rPr>
          <w:rFonts w:ascii="Times New Roman" w:hAnsi="Times New Roman" w:cs="Times New Roman"/>
          <w:sz w:val="24"/>
          <w:szCs w:val="24"/>
          <w:lang w:val="en-GB"/>
        </w:rPr>
        <w:t xml:space="preserve">iven the small </w:t>
      </w:r>
      <w:r w:rsidR="002B4DAE" w:rsidRPr="00462F98">
        <w:rPr>
          <w:rFonts w:ascii="Times New Roman" w:hAnsi="Times New Roman" w:cs="Times New Roman"/>
          <w:sz w:val="24"/>
          <w:szCs w:val="24"/>
          <w:lang w:val="en-GB"/>
        </w:rPr>
        <w:t xml:space="preserve">country </w:t>
      </w:r>
      <w:r w:rsidRPr="00462F98">
        <w:rPr>
          <w:rFonts w:ascii="Times New Roman" w:hAnsi="Times New Roman" w:cs="Times New Roman"/>
          <w:sz w:val="24"/>
          <w:szCs w:val="24"/>
          <w:lang w:val="en-GB"/>
        </w:rPr>
        <w:t xml:space="preserve">size, capital imports </w:t>
      </w:r>
      <w:r w:rsidR="002B4DAE" w:rsidRPr="00462F98">
        <w:rPr>
          <w:rFonts w:ascii="Times New Roman" w:hAnsi="Times New Roman" w:cs="Times New Roman"/>
          <w:sz w:val="24"/>
          <w:szCs w:val="24"/>
          <w:lang w:val="en-GB"/>
        </w:rPr>
        <w:t>materialised</w:t>
      </w:r>
      <w:r w:rsidRPr="00462F98">
        <w:rPr>
          <w:rFonts w:ascii="Times New Roman" w:hAnsi="Times New Roman" w:cs="Times New Roman"/>
          <w:sz w:val="24"/>
          <w:szCs w:val="24"/>
          <w:lang w:val="en-GB"/>
        </w:rPr>
        <w:t xml:space="preserve"> only once every few years, and only some of the proceeds could be used to fill deficits (the larger part went to infrastructure projects outside of the regular budget). Conseq</w:t>
      </w:r>
      <w:r w:rsidR="009B6BB9">
        <w:rPr>
          <w:rFonts w:ascii="Times New Roman" w:hAnsi="Times New Roman" w:cs="Times New Roman"/>
          <w:sz w:val="24"/>
          <w:szCs w:val="24"/>
          <w:lang w:val="en-GB"/>
        </w:rPr>
        <w:t xml:space="preserve">uently, seigniorage remained </w:t>
      </w:r>
      <w:r w:rsidR="00AB3E48" w:rsidRPr="00462F98">
        <w:rPr>
          <w:rFonts w:ascii="Times New Roman" w:hAnsi="Times New Roman" w:cs="Times New Roman"/>
          <w:sz w:val="24"/>
          <w:szCs w:val="24"/>
          <w:lang w:val="en-GB"/>
        </w:rPr>
        <w:t>important</w:t>
      </w:r>
      <w:r w:rsidRPr="00462F98">
        <w:rPr>
          <w:rFonts w:ascii="Times New Roman" w:hAnsi="Times New Roman" w:cs="Times New Roman"/>
          <w:sz w:val="24"/>
          <w:szCs w:val="24"/>
          <w:lang w:val="en-GB"/>
        </w:rPr>
        <w:t xml:space="preserve">. While seigniorage as percentage of government revenue halved </w:t>
      </w:r>
      <w:r w:rsidRPr="008C0233">
        <w:rPr>
          <w:rFonts w:ascii="Times New Roman" w:hAnsi="Times New Roman" w:cs="Times New Roman"/>
          <w:color w:val="000000" w:themeColor="text1"/>
          <w:sz w:val="24"/>
          <w:szCs w:val="24"/>
          <w:lang w:val="en-GB"/>
        </w:rPr>
        <w:t>compar</w:t>
      </w:r>
      <w:r w:rsidR="009321EE" w:rsidRPr="008C0233">
        <w:rPr>
          <w:rFonts w:ascii="Times New Roman" w:hAnsi="Times New Roman" w:cs="Times New Roman"/>
          <w:color w:val="000000" w:themeColor="text1"/>
          <w:sz w:val="24"/>
          <w:szCs w:val="24"/>
          <w:lang w:val="en-GB"/>
        </w:rPr>
        <w:t xml:space="preserve">ed to period </w:t>
      </w:r>
      <w:r w:rsidR="0098038B">
        <w:rPr>
          <w:rFonts w:ascii="Times New Roman" w:hAnsi="Times New Roman" w:cs="Times New Roman"/>
          <w:color w:val="000000" w:themeColor="text1"/>
          <w:sz w:val="24"/>
          <w:szCs w:val="24"/>
          <w:lang w:val="en-GB"/>
        </w:rPr>
        <w:t>I</w:t>
      </w:r>
      <w:r w:rsidRPr="008C0233">
        <w:rPr>
          <w:rFonts w:ascii="Times New Roman" w:hAnsi="Times New Roman" w:cs="Times New Roman"/>
          <w:color w:val="000000" w:themeColor="text1"/>
          <w:sz w:val="24"/>
          <w:szCs w:val="24"/>
          <w:lang w:val="en-GB"/>
        </w:rPr>
        <w:t xml:space="preserve">, it fell in no case below 3%. </w:t>
      </w:r>
    </w:p>
    <w:p w:rsidR="002B4DAE" w:rsidRPr="00462F98" w:rsidRDefault="004E48B1" w:rsidP="004E48B1">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ab/>
        <w:t xml:space="preserve">Relying </w:t>
      </w:r>
      <w:r w:rsidR="00AF7C68" w:rsidRPr="00462F98">
        <w:rPr>
          <w:rFonts w:ascii="Times New Roman" w:hAnsi="Times New Roman" w:cs="Times New Roman"/>
          <w:sz w:val="24"/>
          <w:szCs w:val="24"/>
          <w:lang w:val="en-GB"/>
        </w:rPr>
        <w:t xml:space="preserve">simultaneously </w:t>
      </w:r>
      <w:r w:rsidRPr="00462F98">
        <w:rPr>
          <w:rFonts w:ascii="Times New Roman" w:hAnsi="Times New Roman" w:cs="Times New Roman"/>
          <w:sz w:val="24"/>
          <w:szCs w:val="24"/>
          <w:lang w:val="en-GB"/>
        </w:rPr>
        <w:t>on capital imports and seigniorage posed a challenge: hard currency debt but a weakening exchange-rate undermine</w:t>
      </w:r>
      <w:r w:rsidR="002B4DAE" w:rsidRPr="00462F98">
        <w:rPr>
          <w:rFonts w:ascii="Times New Roman" w:hAnsi="Times New Roman" w:cs="Times New Roman"/>
          <w:sz w:val="24"/>
          <w:szCs w:val="24"/>
          <w:lang w:val="en-GB"/>
        </w:rPr>
        <w:t>d</w:t>
      </w:r>
      <w:r w:rsidRPr="00462F98">
        <w:rPr>
          <w:rFonts w:ascii="Times New Roman" w:hAnsi="Times New Roman" w:cs="Times New Roman"/>
          <w:sz w:val="24"/>
          <w:szCs w:val="24"/>
          <w:lang w:val="en-GB"/>
        </w:rPr>
        <w:t xml:space="preserve"> debt sustainability. This was not lost on contemporaries, and it spurred reform initiatives in all four countries</w:t>
      </w:r>
      <w:r w:rsidR="00036909" w:rsidRPr="00462F98">
        <w:rPr>
          <w:rFonts w:ascii="Times New Roman" w:hAnsi="Times New Roman" w:cs="Times New Roman"/>
          <w:sz w:val="24"/>
          <w:szCs w:val="24"/>
          <w:lang w:val="en-GB"/>
        </w:rPr>
        <w:t xml:space="preserve"> (Dritsas 1999: 19-39;</w:t>
      </w:r>
      <w:r w:rsidR="007B671C" w:rsidRPr="00462F98">
        <w:rPr>
          <w:rFonts w:ascii="Times New Roman" w:hAnsi="Times New Roman" w:cs="Times New Roman"/>
          <w:sz w:val="24"/>
          <w:szCs w:val="24"/>
          <w:lang w:val="en-GB"/>
        </w:rPr>
        <w:t xml:space="preserve"> Conant 1902: 277-285)</w:t>
      </w:r>
      <w:r w:rsidRPr="00462F98">
        <w:rPr>
          <w:rFonts w:ascii="Times New Roman" w:hAnsi="Times New Roman" w:cs="Times New Roman"/>
          <w:sz w:val="24"/>
          <w:szCs w:val="24"/>
          <w:lang w:val="en-GB"/>
        </w:rPr>
        <w:t xml:space="preserve">. </w:t>
      </w:r>
      <w:r w:rsidR="00B26D38" w:rsidRPr="00462F98">
        <w:rPr>
          <w:rFonts w:ascii="Times New Roman" w:hAnsi="Times New Roman" w:cs="Times New Roman"/>
          <w:sz w:val="24"/>
          <w:szCs w:val="24"/>
          <w:lang w:val="en-GB"/>
        </w:rPr>
        <w:t>S</w:t>
      </w:r>
      <w:r w:rsidRPr="00462F98">
        <w:rPr>
          <w:rFonts w:ascii="Times New Roman" w:hAnsi="Times New Roman" w:cs="Times New Roman"/>
          <w:sz w:val="24"/>
          <w:szCs w:val="24"/>
          <w:lang w:val="en-GB"/>
        </w:rPr>
        <w:t>uch attempts</w:t>
      </w:r>
      <w:r w:rsidR="00B26D38" w:rsidRPr="00462F98">
        <w:rPr>
          <w:rFonts w:ascii="Times New Roman" w:hAnsi="Times New Roman" w:cs="Times New Roman"/>
          <w:sz w:val="24"/>
          <w:szCs w:val="24"/>
          <w:lang w:val="en-GB"/>
        </w:rPr>
        <w:t xml:space="preserve"> at eliminating seigniorage </w:t>
      </w:r>
      <w:r w:rsidRPr="00462F98">
        <w:rPr>
          <w:rFonts w:ascii="Times New Roman" w:hAnsi="Times New Roman" w:cs="Times New Roman"/>
          <w:sz w:val="24"/>
          <w:szCs w:val="24"/>
          <w:lang w:val="en-GB"/>
        </w:rPr>
        <w:t>failed</w:t>
      </w:r>
      <w:r w:rsidR="00B26D38" w:rsidRPr="00462F98">
        <w:rPr>
          <w:rFonts w:ascii="Times New Roman" w:hAnsi="Times New Roman" w:cs="Times New Roman"/>
          <w:sz w:val="24"/>
          <w:szCs w:val="24"/>
          <w:lang w:val="en-GB"/>
        </w:rPr>
        <w:t xml:space="preserve"> in Bulgaria, Greece and Serbia</w:t>
      </w:r>
      <w:r w:rsidRPr="00462F98">
        <w:rPr>
          <w:rFonts w:ascii="Times New Roman" w:hAnsi="Times New Roman" w:cs="Times New Roman"/>
          <w:sz w:val="24"/>
          <w:szCs w:val="24"/>
          <w:lang w:val="en-GB"/>
        </w:rPr>
        <w:t>: suppressing seigniorage would have implied raising taxes on farmers (</w:t>
      </w:r>
      <w:r w:rsidR="00B26D38" w:rsidRPr="00462F98">
        <w:rPr>
          <w:rFonts w:ascii="Times New Roman" w:hAnsi="Times New Roman" w:cs="Times New Roman"/>
          <w:sz w:val="24"/>
          <w:szCs w:val="24"/>
          <w:lang w:val="en-GB"/>
        </w:rPr>
        <w:t xml:space="preserve">the </w:t>
      </w:r>
      <w:r w:rsidR="00B26D38" w:rsidRPr="00462F98">
        <w:rPr>
          <w:rFonts w:ascii="Times New Roman" w:hAnsi="Times New Roman" w:cs="Times New Roman"/>
          <w:sz w:val="24"/>
          <w:szCs w:val="24"/>
          <w:lang w:val="en-GB"/>
        </w:rPr>
        <w:lastRenderedPageBreak/>
        <w:t>bulk of the population), but</w:t>
      </w:r>
      <w:r w:rsidRPr="00462F98">
        <w:rPr>
          <w:rFonts w:ascii="Times New Roman" w:hAnsi="Times New Roman" w:cs="Times New Roman"/>
          <w:sz w:val="24"/>
          <w:szCs w:val="24"/>
          <w:lang w:val="en-GB"/>
        </w:rPr>
        <w:t xml:space="preserve"> this group was politically dominant in SEE and fend</w:t>
      </w:r>
      <w:r w:rsidR="001D5FB8" w:rsidRPr="00462F98">
        <w:rPr>
          <w:rFonts w:ascii="Times New Roman" w:hAnsi="Times New Roman" w:cs="Times New Roman"/>
          <w:sz w:val="24"/>
          <w:szCs w:val="24"/>
          <w:lang w:val="en-GB"/>
        </w:rPr>
        <w:t>ed</w:t>
      </w:r>
      <w:r w:rsidR="00654938" w:rsidRPr="00462F98">
        <w:rPr>
          <w:rFonts w:ascii="Times New Roman" w:hAnsi="Times New Roman" w:cs="Times New Roman"/>
          <w:sz w:val="24"/>
          <w:szCs w:val="24"/>
          <w:lang w:val="en-GB"/>
        </w:rPr>
        <w:t xml:space="preserve"> </w:t>
      </w:r>
      <w:r w:rsidR="005D0F4F" w:rsidRPr="00462F98">
        <w:rPr>
          <w:rFonts w:ascii="Times New Roman" w:hAnsi="Times New Roman" w:cs="Times New Roman"/>
          <w:sz w:val="24"/>
          <w:szCs w:val="24"/>
          <w:lang w:val="en-GB"/>
        </w:rPr>
        <w:t xml:space="preserve">off </w:t>
      </w:r>
      <w:r w:rsidRPr="00462F98">
        <w:rPr>
          <w:rFonts w:ascii="Times New Roman" w:hAnsi="Times New Roman" w:cs="Times New Roman"/>
          <w:sz w:val="24"/>
          <w:szCs w:val="24"/>
          <w:lang w:val="en-GB"/>
        </w:rPr>
        <w:t xml:space="preserve">such </w:t>
      </w:r>
      <w:r w:rsidRPr="00462F98">
        <w:rPr>
          <w:rFonts w:ascii="Times New Roman" w:hAnsi="Times New Roman" w:cs="Times New Roman"/>
          <w:color w:val="000000" w:themeColor="text1"/>
          <w:sz w:val="24"/>
          <w:szCs w:val="24"/>
          <w:lang w:val="en-GB"/>
        </w:rPr>
        <w:t>measures (</w:t>
      </w:r>
      <w:proofErr w:type="spellStart"/>
      <w:r w:rsidRPr="00462F98">
        <w:rPr>
          <w:rFonts w:ascii="Times New Roman" w:hAnsi="Times New Roman" w:cs="Times New Roman"/>
          <w:color w:val="000000" w:themeColor="text1"/>
          <w:sz w:val="24"/>
          <w:szCs w:val="24"/>
          <w:lang w:val="en-GB"/>
        </w:rPr>
        <w:t>Tuncer</w:t>
      </w:r>
      <w:proofErr w:type="spellEnd"/>
      <w:r w:rsidRPr="00462F98">
        <w:rPr>
          <w:rFonts w:ascii="Times New Roman" w:hAnsi="Times New Roman" w:cs="Times New Roman"/>
          <w:color w:val="000000" w:themeColor="text1"/>
          <w:sz w:val="24"/>
          <w:szCs w:val="24"/>
          <w:lang w:val="en-GB"/>
        </w:rPr>
        <w:t xml:space="preserve"> 2015</w:t>
      </w:r>
      <w:r w:rsidR="00B26D38" w:rsidRPr="00462F98">
        <w:rPr>
          <w:rFonts w:ascii="Times New Roman" w:hAnsi="Times New Roman" w:cs="Times New Roman"/>
          <w:color w:val="000000" w:themeColor="text1"/>
          <w:sz w:val="24"/>
          <w:szCs w:val="24"/>
          <w:lang w:val="en-GB"/>
        </w:rPr>
        <w:t xml:space="preserve">; </w:t>
      </w:r>
      <w:proofErr w:type="spellStart"/>
      <w:r w:rsidR="007B671C" w:rsidRPr="00462F98">
        <w:rPr>
          <w:rFonts w:ascii="Times New Roman" w:hAnsi="Times New Roman" w:cs="Times New Roman"/>
          <w:color w:val="000000" w:themeColor="text1"/>
          <w:sz w:val="24"/>
          <w:szCs w:val="24"/>
          <w:lang w:val="en-GB"/>
        </w:rPr>
        <w:t>Lampe&amp;Jackson</w:t>
      </w:r>
      <w:proofErr w:type="spellEnd"/>
      <w:r w:rsidR="007B671C" w:rsidRPr="00462F98">
        <w:rPr>
          <w:rFonts w:ascii="Times New Roman" w:hAnsi="Times New Roman" w:cs="Times New Roman"/>
          <w:color w:val="000000" w:themeColor="text1"/>
          <w:sz w:val="24"/>
          <w:szCs w:val="24"/>
          <w:lang w:val="en-GB"/>
        </w:rPr>
        <w:t xml:space="preserve"> 1985: 202-216</w:t>
      </w:r>
      <w:r w:rsidRPr="00462F98">
        <w:rPr>
          <w:rFonts w:ascii="Times New Roman" w:hAnsi="Times New Roman" w:cs="Times New Roman"/>
          <w:color w:val="000000" w:themeColor="text1"/>
          <w:sz w:val="24"/>
          <w:szCs w:val="24"/>
          <w:lang w:val="en-GB"/>
        </w:rPr>
        <w:t>).</w:t>
      </w:r>
    </w:p>
    <w:p w:rsidR="004E48B1" w:rsidRPr="00462F98" w:rsidRDefault="004E48B1" w:rsidP="004E48B1">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 xml:space="preserve">In the absence of </w:t>
      </w:r>
      <w:r w:rsidR="005D0F4F" w:rsidRPr="00462F98">
        <w:rPr>
          <w:rFonts w:ascii="Times New Roman" w:hAnsi="Times New Roman" w:cs="Times New Roman"/>
          <w:sz w:val="24"/>
          <w:szCs w:val="24"/>
          <w:lang w:val="en-GB"/>
        </w:rPr>
        <w:t xml:space="preserve">sufficient </w:t>
      </w:r>
      <w:r w:rsidRPr="00462F98">
        <w:rPr>
          <w:rFonts w:ascii="Times New Roman" w:hAnsi="Times New Roman" w:cs="Times New Roman"/>
          <w:sz w:val="24"/>
          <w:szCs w:val="24"/>
          <w:lang w:val="en-GB"/>
        </w:rPr>
        <w:t>domestic r</w:t>
      </w:r>
      <w:r w:rsidR="002B4DAE" w:rsidRPr="00462F98">
        <w:rPr>
          <w:rFonts w:ascii="Times New Roman" w:hAnsi="Times New Roman" w:cs="Times New Roman"/>
          <w:sz w:val="24"/>
          <w:szCs w:val="24"/>
          <w:lang w:val="en-GB"/>
        </w:rPr>
        <w:t>eform and with foreign funds flow</w:t>
      </w:r>
      <w:r w:rsidRPr="00462F98">
        <w:rPr>
          <w:rFonts w:ascii="Times New Roman" w:hAnsi="Times New Roman" w:cs="Times New Roman"/>
          <w:sz w:val="24"/>
          <w:szCs w:val="24"/>
          <w:lang w:val="en-GB"/>
        </w:rPr>
        <w:t xml:space="preserve">ing in easily, it was only a matter of time for debt levels to </w:t>
      </w:r>
      <w:r w:rsidR="00036909" w:rsidRPr="00462F98">
        <w:rPr>
          <w:rFonts w:ascii="Times New Roman" w:hAnsi="Times New Roman" w:cs="Times New Roman"/>
          <w:sz w:val="24"/>
          <w:szCs w:val="24"/>
          <w:lang w:val="en-GB"/>
        </w:rPr>
        <w:t>escalate</w:t>
      </w:r>
      <w:r w:rsidRPr="00462F98">
        <w:rPr>
          <w:rFonts w:ascii="Times New Roman" w:hAnsi="Times New Roman" w:cs="Times New Roman"/>
          <w:sz w:val="24"/>
          <w:szCs w:val="24"/>
          <w:lang w:val="en-GB"/>
        </w:rPr>
        <w:t>. Greece and Serbia</w:t>
      </w:r>
      <w:r w:rsidR="001D5FB8"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 xml:space="preserve">had accumulated debt-to-GDP ratios of 176% and 138% in 1893 and 1895, respectively, the year of their default. </w:t>
      </w:r>
      <w:r w:rsidR="009B6BB9">
        <w:rPr>
          <w:rFonts w:ascii="Times New Roman" w:hAnsi="Times New Roman" w:cs="Times New Roman"/>
          <w:sz w:val="24"/>
          <w:szCs w:val="24"/>
          <w:lang w:val="en-GB"/>
        </w:rPr>
        <w:t>B</w:t>
      </w:r>
      <w:r w:rsidRPr="00462F98">
        <w:rPr>
          <w:rFonts w:ascii="Times New Roman" w:hAnsi="Times New Roman" w:cs="Times New Roman"/>
          <w:sz w:val="24"/>
          <w:szCs w:val="24"/>
          <w:lang w:val="en-GB"/>
        </w:rPr>
        <w:t>oth countries wished to move from unilateral default to a debt restructuring,</w:t>
      </w:r>
      <w:r w:rsidR="00AE42B6" w:rsidRPr="00462F98">
        <w:rPr>
          <w:rFonts w:ascii="Times New Roman" w:hAnsi="Times New Roman" w:cs="Times New Roman"/>
          <w:sz w:val="24"/>
          <w:szCs w:val="24"/>
          <w:lang w:val="en-GB"/>
        </w:rPr>
        <w:t xml:space="preserve"> and consented to financial supervision in 1898 and 1895, respectively. The </w:t>
      </w:r>
      <w:r w:rsidR="00AE42B6" w:rsidRPr="00462F98">
        <w:rPr>
          <w:rFonts w:ascii="Times New Roman" w:hAnsi="Times New Roman" w:cs="Times New Roman"/>
          <w:i/>
          <w:sz w:val="24"/>
          <w:szCs w:val="24"/>
          <w:lang w:val="en-GB"/>
        </w:rPr>
        <w:t>quid pro quo</w:t>
      </w:r>
      <w:r w:rsidR="00AE42B6" w:rsidRPr="00462F98">
        <w:rPr>
          <w:rFonts w:ascii="Times New Roman" w:hAnsi="Times New Roman" w:cs="Times New Roman"/>
          <w:sz w:val="24"/>
          <w:szCs w:val="24"/>
          <w:lang w:val="en-GB"/>
        </w:rPr>
        <w:t xml:space="preserve"> was similar for Bulgaria, </w:t>
      </w:r>
      <w:r w:rsidR="000650B3" w:rsidRPr="00462F98">
        <w:rPr>
          <w:rFonts w:ascii="Times New Roman" w:hAnsi="Times New Roman" w:cs="Times New Roman"/>
          <w:sz w:val="24"/>
          <w:szCs w:val="24"/>
          <w:lang w:val="en-GB"/>
        </w:rPr>
        <w:t>al</w:t>
      </w:r>
      <w:r w:rsidR="00AE42B6" w:rsidRPr="00462F98">
        <w:rPr>
          <w:rFonts w:ascii="Times New Roman" w:hAnsi="Times New Roman" w:cs="Times New Roman"/>
          <w:sz w:val="24"/>
          <w:szCs w:val="24"/>
          <w:lang w:val="en-GB"/>
        </w:rPr>
        <w:t>though the country did not default but entered supervision “voluntarily” in 190</w:t>
      </w:r>
      <w:r w:rsidR="001D5FB8" w:rsidRPr="00462F98">
        <w:rPr>
          <w:rFonts w:ascii="Times New Roman" w:hAnsi="Times New Roman" w:cs="Times New Roman"/>
          <w:sz w:val="24"/>
          <w:szCs w:val="24"/>
          <w:lang w:val="en-GB"/>
        </w:rPr>
        <w:t>2</w:t>
      </w:r>
      <w:r w:rsidR="00AE42B6" w:rsidRPr="00462F98">
        <w:rPr>
          <w:rFonts w:ascii="Times New Roman" w:hAnsi="Times New Roman" w:cs="Times New Roman"/>
          <w:sz w:val="24"/>
          <w:szCs w:val="24"/>
          <w:lang w:val="en-GB"/>
        </w:rPr>
        <w:t xml:space="preserve"> to obtain another loan.</w:t>
      </w:r>
    </w:p>
    <w:p w:rsidR="00711D45" w:rsidRPr="0037616A" w:rsidRDefault="00B26D38" w:rsidP="00711D45">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r>
      <w:r w:rsidR="008C1466" w:rsidRPr="00462F98">
        <w:rPr>
          <w:rFonts w:ascii="Times New Roman" w:hAnsi="Times New Roman" w:cs="Times New Roman"/>
          <w:sz w:val="24"/>
          <w:szCs w:val="24"/>
          <w:lang w:val="en-GB"/>
        </w:rPr>
        <w:t xml:space="preserve">Only in </w:t>
      </w:r>
      <w:r w:rsidRPr="00462F98">
        <w:rPr>
          <w:rFonts w:ascii="Times New Roman" w:hAnsi="Times New Roman" w:cs="Times New Roman"/>
          <w:sz w:val="24"/>
          <w:szCs w:val="24"/>
          <w:lang w:val="en-GB"/>
        </w:rPr>
        <w:t xml:space="preserve">Romania </w:t>
      </w:r>
      <w:r w:rsidR="008C1466" w:rsidRPr="00462F98">
        <w:rPr>
          <w:rFonts w:ascii="Times New Roman" w:hAnsi="Times New Roman" w:cs="Times New Roman"/>
          <w:sz w:val="24"/>
          <w:szCs w:val="24"/>
          <w:lang w:val="en-GB"/>
        </w:rPr>
        <w:t>did domestic reforms pave</w:t>
      </w:r>
      <w:r w:rsidRPr="00462F98">
        <w:rPr>
          <w:rFonts w:ascii="Times New Roman" w:hAnsi="Times New Roman" w:cs="Times New Roman"/>
          <w:sz w:val="24"/>
          <w:szCs w:val="24"/>
          <w:lang w:val="en-GB"/>
        </w:rPr>
        <w:t xml:space="preserve"> the way for gold standard membership in 1890 (</w:t>
      </w:r>
      <w:proofErr w:type="spellStart"/>
      <w:r w:rsidRPr="00462F98">
        <w:rPr>
          <w:rFonts w:ascii="Times New Roman" w:hAnsi="Times New Roman" w:cs="Times New Roman"/>
          <w:sz w:val="24"/>
          <w:szCs w:val="24"/>
          <w:lang w:val="en-GB"/>
        </w:rPr>
        <w:t>Stoenescu</w:t>
      </w:r>
      <w:proofErr w:type="spellEnd"/>
      <w:r w:rsidRPr="00462F98">
        <w:rPr>
          <w:rFonts w:ascii="Times New Roman" w:hAnsi="Times New Roman" w:cs="Times New Roman"/>
          <w:sz w:val="24"/>
          <w:szCs w:val="24"/>
          <w:lang w:val="en-GB"/>
        </w:rPr>
        <w:t xml:space="preserve"> et al. 2011: 184-192). The reform agenda pursued in </w:t>
      </w:r>
      <w:r w:rsidR="001D5FB8" w:rsidRPr="00462F98">
        <w:rPr>
          <w:rFonts w:ascii="Times New Roman" w:hAnsi="Times New Roman" w:cs="Times New Roman"/>
          <w:sz w:val="24"/>
          <w:szCs w:val="24"/>
          <w:lang w:val="en-GB"/>
        </w:rPr>
        <w:t xml:space="preserve">the 1880s </w:t>
      </w:r>
      <w:r w:rsidRPr="00462F98">
        <w:rPr>
          <w:rFonts w:ascii="Times New Roman" w:hAnsi="Times New Roman" w:cs="Times New Roman"/>
          <w:sz w:val="24"/>
          <w:szCs w:val="24"/>
          <w:lang w:val="en-GB"/>
        </w:rPr>
        <w:t>was similar (raising new taxes and collecting existing ones m</w:t>
      </w:r>
      <w:r w:rsidR="001D5FB8" w:rsidRPr="00462F98">
        <w:rPr>
          <w:rFonts w:ascii="Times New Roman" w:hAnsi="Times New Roman" w:cs="Times New Roman"/>
          <w:sz w:val="24"/>
          <w:szCs w:val="24"/>
          <w:lang w:val="en-GB"/>
        </w:rPr>
        <w:t xml:space="preserve">ore efficiently; repaying </w:t>
      </w:r>
      <w:r w:rsidRPr="00462F98">
        <w:rPr>
          <w:rFonts w:ascii="Times New Roman" w:hAnsi="Times New Roman" w:cs="Times New Roman"/>
          <w:sz w:val="24"/>
          <w:szCs w:val="24"/>
          <w:lang w:val="en-GB"/>
        </w:rPr>
        <w:t>government debt held</w:t>
      </w:r>
      <w:r w:rsidR="005D0F4F" w:rsidRPr="00462F98">
        <w:rPr>
          <w:rFonts w:ascii="Times New Roman" w:hAnsi="Times New Roman" w:cs="Times New Roman"/>
          <w:sz w:val="24"/>
          <w:szCs w:val="24"/>
          <w:lang w:val="en-GB"/>
        </w:rPr>
        <w:t xml:space="preserve"> by the central bank), but </w:t>
      </w:r>
      <w:r w:rsidRPr="00462F98">
        <w:rPr>
          <w:rFonts w:ascii="Times New Roman" w:hAnsi="Times New Roman" w:cs="Times New Roman"/>
          <w:sz w:val="24"/>
          <w:szCs w:val="24"/>
          <w:lang w:val="en-GB"/>
        </w:rPr>
        <w:t xml:space="preserve">conditions for currency stabilisation </w:t>
      </w:r>
      <w:r w:rsidR="008A26BF">
        <w:rPr>
          <w:rFonts w:ascii="Times New Roman" w:hAnsi="Times New Roman" w:cs="Times New Roman"/>
          <w:sz w:val="24"/>
          <w:szCs w:val="24"/>
          <w:lang w:val="en-GB"/>
        </w:rPr>
        <w:t>were more favourable. F</w:t>
      </w:r>
      <w:r w:rsidRPr="00462F98">
        <w:rPr>
          <w:rFonts w:ascii="Times New Roman" w:hAnsi="Times New Roman" w:cs="Times New Roman"/>
          <w:sz w:val="24"/>
          <w:szCs w:val="24"/>
          <w:lang w:val="en-GB"/>
        </w:rPr>
        <w:t>iscal consolidation was easier given higher per capita income and growth rates (</w:t>
      </w:r>
      <w:proofErr w:type="spellStart"/>
      <w:r w:rsidR="000650B3" w:rsidRPr="00462F98">
        <w:rPr>
          <w:rFonts w:ascii="Times New Roman" w:hAnsi="Times New Roman" w:cs="Times New Roman"/>
          <w:sz w:val="24"/>
          <w:szCs w:val="24"/>
          <w:lang w:val="en-GB"/>
        </w:rPr>
        <w:t>Kopsidis</w:t>
      </w:r>
      <w:proofErr w:type="spellEnd"/>
      <w:r w:rsidR="000650B3" w:rsidRPr="00462F98">
        <w:rPr>
          <w:rFonts w:ascii="Times New Roman" w:hAnsi="Times New Roman" w:cs="Times New Roman"/>
          <w:sz w:val="24"/>
          <w:szCs w:val="24"/>
          <w:lang w:val="en-GB"/>
        </w:rPr>
        <w:t xml:space="preserve"> 2012</w:t>
      </w:r>
      <w:r w:rsidRPr="00462F98">
        <w:rPr>
          <w:rFonts w:ascii="Times New Roman" w:hAnsi="Times New Roman" w:cs="Times New Roman"/>
          <w:sz w:val="24"/>
          <w:szCs w:val="24"/>
          <w:lang w:val="en-GB"/>
        </w:rPr>
        <w:t xml:space="preserve">) as well as a nascent industrial sector </w:t>
      </w:r>
      <w:r w:rsidR="00711D45">
        <w:rPr>
          <w:rFonts w:ascii="Times New Roman" w:hAnsi="Times New Roman" w:cs="Times New Roman"/>
          <w:sz w:val="24"/>
          <w:szCs w:val="24"/>
          <w:lang w:val="en-GB"/>
        </w:rPr>
        <w:t>(</w:t>
      </w:r>
      <w:r w:rsidRPr="00462F98">
        <w:rPr>
          <w:rFonts w:ascii="Times New Roman" w:hAnsi="Times New Roman" w:cs="Times New Roman"/>
          <w:sz w:val="24"/>
          <w:szCs w:val="24"/>
          <w:lang w:val="en-GB"/>
        </w:rPr>
        <w:t>which could be taxed more easily</w:t>
      </w:r>
      <w:r w:rsidR="00711D45">
        <w:rPr>
          <w:rFonts w:ascii="Times New Roman" w:hAnsi="Times New Roman" w:cs="Times New Roman"/>
          <w:sz w:val="24"/>
          <w:szCs w:val="24"/>
          <w:lang w:val="en-GB"/>
        </w:rPr>
        <w:t>)</w:t>
      </w:r>
      <w:r w:rsidR="00AA2F1F">
        <w:rPr>
          <w:rFonts w:ascii="Times New Roman" w:hAnsi="Times New Roman" w:cs="Times New Roman"/>
          <w:sz w:val="24"/>
          <w:szCs w:val="24"/>
          <w:lang w:val="en-GB"/>
        </w:rPr>
        <w:t xml:space="preserve">. </w:t>
      </w:r>
      <w:r w:rsidR="009F5E38">
        <w:rPr>
          <w:rFonts w:ascii="Times New Roman" w:hAnsi="Times New Roman" w:cs="Times New Roman"/>
          <w:sz w:val="24"/>
          <w:szCs w:val="24"/>
          <w:lang w:val="en-GB"/>
        </w:rPr>
        <w:t>T</w:t>
      </w:r>
      <w:r w:rsidRPr="00462F98">
        <w:rPr>
          <w:rFonts w:ascii="Times New Roman" w:hAnsi="Times New Roman" w:cs="Times New Roman"/>
          <w:sz w:val="24"/>
          <w:szCs w:val="24"/>
          <w:lang w:val="en-GB"/>
        </w:rPr>
        <w:t>he country’s balance-of-payments was stronger due to Romania’s position as the world</w:t>
      </w:r>
      <w:r w:rsidR="001D5FB8" w:rsidRPr="00462F98">
        <w:rPr>
          <w:rFonts w:ascii="Times New Roman" w:hAnsi="Times New Roman" w:cs="Times New Roman"/>
          <w:sz w:val="24"/>
          <w:szCs w:val="24"/>
          <w:lang w:val="en-GB"/>
        </w:rPr>
        <w:t>’s</w:t>
      </w:r>
      <w:r w:rsidRPr="00462F98">
        <w:rPr>
          <w:rFonts w:ascii="Times New Roman" w:hAnsi="Times New Roman" w:cs="Times New Roman"/>
          <w:sz w:val="24"/>
          <w:szCs w:val="24"/>
          <w:lang w:val="en-GB"/>
        </w:rPr>
        <w:t xml:space="preserve"> fourth largest wheat exporter and more resilient due to an increasingly diversified export portfolio including mining and p</w:t>
      </w:r>
      <w:r w:rsidR="001D5FB8" w:rsidRPr="00462F98">
        <w:rPr>
          <w:rFonts w:ascii="Times New Roman" w:hAnsi="Times New Roman" w:cs="Times New Roman"/>
          <w:sz w:val="24"/>
          <w:szCs w:val="24"/>
          <w:lang w:val="en-GB"/>
        </w:rPr>
        <w:t xml:space="preserve">etroleum </w:t>
      </w:r>
      <w:r w:rsidR="001D5FB8" w:rsidRPr="00462F98">
        <w:rPr>
          <w:rFonts w:ascii="Times New Roman" w:hAnsi="Times New Roman" w:cs="Times New Roman"/>
          <w:color w:val="000000" w:themeColor="text1"/>
          <w:sz w:val="24"/>
          <w:szCs w:val="24"/>
          <w:lang w:val="en-GB"/>
        </w:rPr>
        <w:t>(</w:t>
      </w:r>
      <w:proofErr w:type="spellStart"/>
      <w:r w:rsidRPr="00462F98">
        <w:rPr>
          <w:rFonts w:ascii="Times New Roman" w:hAnsi="Times New Roman" w:cs="Times New Roman"/>
          <w:sz w:val="24"/>
          <w:szCs w:val="24"/>
          <w:lang w:val="en-GB"/>
        </w:rPr>
        <w:t>Kopsidis</w:t>
      </w:r>
      <w:r w:rsidR="001D5FB8" w:rsidRPr="00462F98">
        <w:rPr>
          <w:rFonts w:ascii="Times New Roman" w:hAnsi="Times New Roman" w:cs="Times New Roman"/>
          <w:sz w:val="24"/>
          <w:szCs w:val="24"/>
          <w:lang w:val="en-GB"/>
        </w:rPr>
        <w:t>&amp;Ivanov</w:t>
      </w:r>
      <w:proofErr w:type="spellEnd"/>
      <w:r w:rsidR="001D5FB8" w:rsidRPr="00462F98">
        <w:rPr>
          <w:rFonts w:ascii="Times New Roman" w:hAnsi="Times New Roman" w:cs="Times New Roman"/>
          <w:sz w:val="24"/>
          <w:szCs w:val="24"/>
          <w:lang w:val="en-GB"/>
        </w:rPr>
        <w:t xml:space="preserve"> 2016</w:t>
      </w:r>
      <w:r w:rsidRPr="00462F98">
        <w:rPr>
          <w:rFonts w:ascii="Times New Roman" w:hAnsi="Times New Roman" w:cs="Times New Roman"/>
          <w:sz w:val="24"/>
          <w:szCs w:val="24"/>
          <w:lang w:val="en-GB"/>
        </w:rPr>
        <w:t>).</w:t>
      </w:r>
      <w:r w:rsidR="00AA2F1F">
        <w:rPr>
          <w:rFonts w:ascii="Times New Roman" w:hAnsi="Times New Roman" w:cs="Times New Roman"/>
          <w:sz w:val="24"/>
          <w:szCs w:val="24"/>
          <w:lang w:val="en-GB"/>
        </w:rPr>
        <w:t xml:space="preserve"> </w:t>
      </w:r>
      <w:r w:rsidR="00711D45" w:rsidRPr="0037616A">
        <w:rPr>
          <w:rFonts w:ascii="Times New Roman" w:hAnsi="Times New Roman" w:cs="Times New Roman"/>
          <w:sz w:val="24"/>
          <w:szCs w:val="24"/>
          <w:lang w:val="en-GB"/>
        </w:rPr>
        <w:t>Last but not least, the Romanian small-scale farmers were politically weaker (</w:t>
      </w:r>
      <w:proofErr w:type="spellStart"/>
      <w:r w:rsidR="00711D45" w:rsidRPr="0037616A">
        <w:rPr>
          <w:rFonts w:ascii="Times New Roman" w:hAnsi="Times New Roman" w:cs="Times New Roman"/>
          <w:sz w:val="24"/>
          <w:szCs w:val="24"/>
          <w:lang w:val="en-GB"/>
        </w:rPr>
        <w:t>Schulze&amp;Kopsidis</w:t>
      </w:r>
      <w:proofErr w:type="spellEnd"/>
      <w:r w:rsidR="00711D45" w:rsidRPr="0037616A">
        <w:rPr>
          <w:rFonts w:ascii="Times New Roman" w:hAnsi="Times New Roman" w:cs="Times New Roman"/>
          <w:sz w:val="24"/>
          <w:szCs w:val="24"/>
          <w:lang w:val="en-GB"/>
        </w:rPr>
        <w:t xml:space="preserve"> 2020)</w:t>
      </w:r>
      <w:r w:rsidR="009F5E38">
        <w:rPr>
          <w:rFonts w:ascii="Times New Roman" w:hAnsi="Times New Roman" w:cs="Times New Roman"/>
          <w:sz w:val="24"/>
          <w:szCs w:val="24"/>
          <w:lang w:val="en-GB"/>
        </w:rPr>
        <w:t xml:space="preserve"> and unable </w:t>
      </w:r>
      <w:r w:rsidR="00711D45" w:rsidRPr="0037616A">
        <w:rPr>
          <w:rFonts w:ascii="Times New Roman" w:hAnsi="Times New Roman" w:cs="Times New Roman"/>
          <w:sz w:val="24"/>
          <w:szCs w:val="24"/>
          <w:lang w:val="en-GB"/>
        </w:rPr>
        <w:t xml:space="preserve">to resist tax increases. The Romanian case resembles the contemporaneous Spanish experience where domestic reforms were able to overcome a pattern of fiscal dominance </w:t>
      </w:r>
      <w:r w:rsidR="00711D45" w:rsidRPr="0037616A">
        <w:rPr>
          <w:rFonts w:ascii="Times New Roman" w:hAnsi="Times New Roman" w:cs="Times New Roman"/>
          <w:color w:val="000000" w:themeColor="text1"/>
          <w:sz w:val="24"/>
          <w:szCs w:val="24"/>
          <w:lang w:val="en-GB"/>
        </w:rPr>
        <w:t>(</w:t>
      </w:r>
      <w:proofErr w:type="spellStart"/>
      <w:r w:rsidR="00711D45" w:rsidRPr="0037616A">
        <w:rPr>
          <w:rFonts w:ascii="Times New Roman" w:hAnsi="Times New Roman" w:cs="Times New Roman"/>
          <w:color w:val="000000" w:themeColor="text1"/>
          <w:sz w:val="24"/>
          <w:szCs w:val="24"/>
          <w:lang w:val="en-GB"/>
        </w:rPr>
        <w:t>Sabaté</w:t>
      </w:r>
      <w:proofErr w:type="spellEnd"/>
      <w:r w:rsidR="00711D45" w:rsidRPr="0037616A">
        <w:rPr>
          <w:rFonts w:ascii="Times New Roman" w:hAnsi="Times New Roman" w:cs="Times New Roman"/>
          <w:color w:val="000000" w:themeColor="text1"/>
          <w:sz w:val="24"/>
          <w:szCs w:val="24"/>
          <w:lang w:val="en-GB"/>
        </w:rPr>
        <w:t xml:space="preserve"> et al. 2015); it also puts to rest any </w:t>
      </w:r>
      <w:r w:rsidR="005D1DF7">
        <w:rPr>
          <w:rFonts w:ascii="Times New Roman" w:hAnsi="Times New Roman" w:cs="Times New Roman"/>
          <w:color w:val="000000" w:themeColor="text1"/>
          <w:sz w:val="24"/>
          <w:szCs w:val="24"/>
          <w:lang w:val="en-GB"/>
        </w:rPr>
        <w:t>suggestion</w:t>
      </w:r>
      <w:r w:rsidR="00711D45" w:rsidRPr="0037616A">
        <w:rPr>
          <w:rFonts w:ascii="Times New Roman" w:hAnsi="Times New Roman" w:cs="Times New Roman"/>
          <w:color w:val="000000" w:themeColor="text1"/>
          <w:sz w:val="24"/>
          <w:szCs w:val="24"/>
          <w:lang w:val="en-GB"/>
        </w:rPr>
        <w:t xml:space="preserve"> that the Balkan countries were per se unable to carry out the necessary reforms. Instead, comparing the experienc</w:t>
      </w:r>
      <w:r w:rsidR="005D1DF7">
        <w:rPr>
          <w:rFonts w:ascii="Times New Roman" w:hAnsi="Times New Roman" w:cs="Times New Roman"/>
          <w:color w:val="000000" w:themeColor="text1"/>
          <w:sz w:val="24"/>
          <w:szCs w:val="24"/>
          <w:lang w:val="en-GB"/>
        </w:rPr>
        <w:t>es</w:t>
      </w:r>
      <w:r w:rsidR="00711D45" w:rsidRPr="0037616A">
        <w:rPr>
          <w:rFonts w:ascii="Times New Roman" w:hAnsi="Times New Roman" w:cs="Times New Roman"/>
          <w:color w:val="000000" w:themeColor="text1"/>
          <w:sz w:val="24"/>
          <w:szCs w:val="24"/>
          <w:lang w:val="en-GB"/>
        </w:rPr>
        <w:t xml:space="preserve"> of the SEE</w:t>
      </w:r>
      <w:r w:rsidR="009F5E38">
        <w:rPr>
          <w:rFonts w:ascii="Times New Roman" w:hAnsi="Times New Roman" w:cs="Times New Roman"/>
          <w:color w:val="000000" w:themeColor="text1"/>
          <w:sz w:val="24"/>
          <w:szCs w:val="24"/>
          <w:lang w:val="en-GB"/>
        </w:rPr>
        <w:t>-4</w:t>
      </w:r>
      <w:r w:rsidR="00711D45" w:rsidRPr="0037616A">
        <w:rPr>
          <w:rFonts w:ascii="Times New Roman" w:hAnsi="Times New Roman" w:cs="Times New Roman"/>
          <w:color w:val="000000" w:themeColor="text1"/>
          <w:sz w:val="24"/>
          <w:szCs w:val="24"/>
          <w:lang w:val="en-GB"/>
        </w:rPr>
        <w:t xml:space="preserve"> suggests that similar reforms, pushed a step further under more benign conditions, could make all the difference.</w:t>
      </w:r>
    </w:p>
    <w:p w:rsidR="00B76E39" w:rsidRPr="00462F98" w:rsidRDefault="00B76E39">
      <w:pPr>
        <w:rPr>
          <w:rFonts w:ascii="Times New Roman" w:hAnsi="Times New Roman" w:cs="Times New Roman"/>
          <w:b/>
          <w:sz w:val="24"/>
          <w:szCs w:val="24"/>
          <w:lang w:val="en-GB"/>
        </w:rPr>
      </w:pPr>
    </w:p>
    <w:p w:rsidR="00CF72A3" w:rsidRPr="00462F98" w:rsidRDefault="003B2E1C" w:rsidP="00CF72A3">
      <w:pPr>
        <w:spacing w:after="0" w:line="360" w:lineRule="auto"/>
        <w:rPr>
          <w:rFonts w:ascii="Times New Roman" w:hAnsi="Times New Roman" w:cs="Times New Roman"/>
          <w:b/>
          <w:i/>
          <w:sz w:val="24"/>
          <w:szCs w:val="24"/>
          <w:lang w:val="en-GB"/>
        </w:rPr>
      </w:pPr>
      <w:r>
        <w:rPr>
          <w:rFonts w:ascii="Times New Roman" w:hAnsi="Times New Roman" w:cs="Times New Roman"/>
          <w:b/>
          <w:sz w:val="24"/>
          <w:szCs w:val="24"/>
          <w:lang w:val="en-GB"/>
        </w:rPr>
        <w:t>Period III</w:t>
      </w:r>
      <w:r w:rsidR="00CF72A3" w:rsidRPr="00462F98">
        <w:rPr>
          <w:rFonts w:ascii="Times New Roman" w:hAnsi="Times New Roman" w:cs="Times New Roman"/>
          <w:b/>
          <w:sz w:val="24"/>
          <w:szCs w:val="24"/>
          <w:lang w:val="en-GB"/>
        </w:rPr>
        <w:t>: From the establishment of International Financial Control to the first Balkan War (1912)</w:t>
      </w:r>
      <w:r w:rsidR="001D5FB8" w:rsidRPr="00462F98">
        <w:rPr>
          <w:rFonts w:ascii="Times New Roman" w:hAnsi="Times New Roman" w:cs="Times New Roman"/>
          <w:b/>
          <w:sz w:val="24"/>
          <w:szCs w:val="24"/>
          <w:lang w:val="en-GB"/>
        </w:rPr>
        <w:t xml:space="preserve"> </w:t>
      </w:r>
      <w:r w:rsidR="001D5FB8" w:rsidRPr="00462F98">
        <w:rPr>
          <w:rFonts w:ascii="Times New Roman" w:hAnsi="Times New Roman" w:cs="Times New Roman"/>
          <w:b/>
          <w:i/>
          <w:sz w:val="24"/>
          <w:szCs w:val="24"/>
          <w:lang w:val="en-GB"/>
        </w:rPr>
        <w:t>(only capital imports)</w:t>
      </w:r>
    </w:p>
    <w:p w:rsidR="00CF72A3" w:rsidRPr="00462F98" w:rsidRDefault="007B671C" w:rsidP="00CF72A3">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The </w:t>
      </w:r>
      <w:r w:rsidR="00CF72A3" w:rsidRPr="00462F98">
        <w:rPr>
          <w:rFonts w:ascii="Times New Roman" w:hAnsi="Times New Roman" w:cs="Times New Roman"/>
          <w:sz w:val="24"/>
          <w:szCs w:val="24"/>
          <w:lang w:val="en-GB"/>
        </w:rPr>
        <w:t>arrangements for Ser</w:t>
      </w:r>
      <w:r w:rsidR="008C1466" w:rsidRPr="00462F98">
        <w:rPr>
          <w:rFonts w:ascii="Times New Roman" w:hAnsi="Times New Roman" w:cs="Times New Roman"/>
          <w:sz w:val="24"/>
          <w:szCs w:val="24"/>
          <w:lang w:val="en-GB"/>
        </w:rPr>
        <w:t xml:space="preserve">bia and Greece </w:t>
      </w:r>
      <w:r w:rsidR="00CF72A3" w:rsidRPr="00462F98">
        <w:rPr>
          <w:rFonts w:ascii="Times New Roman" w:hAnsi="Times New Roman" w:cs="Times New Roman"/>
          <w:sz w:val="24"/>
          <w:szCs w:val="24"/>
          <w:lang w:val="en-GB"/>
        </w:rPr>
        <w:t xml:space="preserve">showed three main </w:t>
      </w:r>
      <w:r w:rsidR="008530CF" w:rsidRPr="00462F98">
        <w:rPr>
          <w:rFonts w:ascii="Times New Roman" w:hAnsi="Times New Roman" w:cs="Times New Roman"/>
          <w:sz w:val="24"/>
          <w:szCs w:val="24"/>
          <w:lang w:val="en-GB"/>
        </w:rPr>
        <w:t>features</w:t>
      </w:r>
      <w:r w:rsidR="00CF72A3" w:rsidRPr="00462F98">
        <w:rPr>
          <w:rFonts w:ascii="Times New Roman" w:hAnsi="Times New Roman" w:cs="Times New Roman"/>
          <w:sz w:val="24"/>
          <w:szCs w:val="24"/>
          <w:lang w:val="en-GB"/>
        </w:rPr>
        <w:t>: securing a well-defined and reliable income stream to meet interest and amortisation payments, monetary reform</w:t>
      </w:r>
      <w:r w:rsidR="005D1DF7">
        <w:rPr>
          <w:rFonts w:ascii="Times New Roman" w:hAnsi="Times New Roman" w:cs="Times New Roman"/>
          <w:sz w:val="24"/>
          <w:szCs w:val="24"/>
          <w:lang w:val="en-GB"/>
        </w:rPr>
        <w:t>,</w:t>
      </w:r>
      <w:r w:rsidR="00CF72A3" w:rsidRPr="00462F98">
        <w:rPr>
          <w:rFonts w:ascii="Times New Roman" w:hAnsi="Times New Roman" w:cs="Times New Roman"/>
          <w:sz w:val="24"/>
          <w:szCs w:val="24"/>
          <w:lang w:val="en-GB"/>
        </w:rPr>
        <w:t xml:space="preserve"> and supervision by foreign governments (rather than bondholders).</w:t>
      </w:r>
    </w:p>
    <w:p w:rsidR="00CF72A3" w:rsidRPr="00462F98" w:rsidRDefault="0094763D" w:rsidP="00CF72A3">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ab/>
        <w:t>F</w:t>
      </w:r>
      <w:r w:rsidR="00CF72A3" w:rsidRPr="00462F98">
        <w:rPr>
          <w:rFonts w:ascii="Times New Roman" w:hAnsi="Times New Roman" w:cs="Times New Roman"/>
          <w:sz w:val="24"/>
          <w:szCs w:val="24"/>
          <w:lang w:val="en-GB"/>
        </w:rPr>
        <w:t>oreign governments brought 30%</w:t>
      </w:r>
      <w:r w:rsidR="0098038B">
        <w:rPr>
          <w:rFonts w:ascii="Times New Roman" w:hAnsi="Times New Roman" w:cs="Times New Roman"/>
          <w:sz w:val="24"/>
          <w:szCs w:val="24"/>
          <w:lang w:val="en-GB"/>
        </w:rPr>
        <w:t>-50%</w:t>
      </w:r>
      <w:r w:rsidR="00CF72A3" w:rsidRPr="00462F98">
        <w:rPr>
          <w:rFonts w:ascii="Times New Roman" w:hAnsi="Times New Roman" w:cs="Times New Roman"/>
          <w:sz w:val="24"/>
          <w:szCs w:val="24"/>
          <w:lang w:val="en-GB"/>
        </w:rPr>
        <w:t xml:space="preserve"> of total government revenues under their control </w:t>
      </w:r>
      <w:r w:rsidRPr="00462F98">
        <w:rPr>
          <w:rFonts w:ascii="Times New Roman" w:hAnsi="Times New Roman" w:cs="Times New Roman"/>
          <w:sz w:val="24"/>
          <w:szCs w:val="24"/>
          <w:lang w:val="en-GB"/>
        </w:rPr>
        <w:t>(</w:t>
      </w:r>
      <w:proofErr w:type="spellStart"/>
      <w:r w:rsidRPr="00462F98">
        <w:rPr>
          <w:rFonts w:ascii="Times New Roman" w:hAnsi="Times New Roman" w:cs="Times New Roman"/>
          <w:sz w:val="24"/>
          <w:szCs w:val="24"/>
          <w:lang w:val="en-GB"/>
        </w:rPr>
        <w:t>Tuncer</w:t>
      </w:r>
      <w:proofErr w:type="spellEnd"/>
      <w:r w:rsidRPr="00462F98">
        <w:rPr>
          <w:rFonts w:ascii="Times New Roman" w:hAnsi="Times New Roman" w:cs="Times New Roman"/>
          <w:sz w:val="24"/>
          <w:szCs w:val="24"/>
          <w:lang w:val="en-GB"/>
        </w:rPr>
        <w:t xml:space="preserve"> 2015)</w:t>
      </w:r>
      <w:r w:rsidR="00CF72A3" w:rsidRPr="00462F98">
        <w:rPr>
          <w:rFonts w:ascii="Times New Roman" w:hAnsi="Times New Roman" w:cs="Times New Roman"/>
          <w:sz w:val="24"/>
          <w:szCs w:val="24"/>
          <w:lang w:val="en-GB"/>
        </w:rPr>
        <w:t>. They did</w:t>
      </w:r>
      <w:r w:rsidR="000650B3" w:rsidRPr="00462F98">
        <w:rPr>
          <w:rFonts w:ascii="Times New Roman" w:hAnsi="Times New Roman" w:cs="Times New Roman"/>
          <w:sz w:val="24"/>
          <w:szCs w:val="24"/>
          <w:lang w:val="en-GB"/>
        </w:rPr>
        <w:t xml:space="preserve"> not collect revenues</w:t>
      </w:r>
      <w:r w:rsidR="00CF72A3" w:rsidRPr="00462F98">
        <w:rPr>
          <w:rFonts w:ascii="Times New Roman" w:hAnsi="Times New Roman" w:cs="Times New Roman"/>
          <w:sz w:val="24"/>
          <w:szCs w:val="24"/>
          <w:lang w:val="en-GB"/>
        </w:rPr>
        <w:t xml:space="preserve">, but only supervised collection; yet </w:t>
      </w:r>
      <w:r w:rsidR="00CF72A3" w:rsidRPr="008C0233">
        <w:rPr>
          <w:rFonts w:ascii="Times New Roman" w:hAnsi="Times New Roman" w:cs="Times New Roman"/>
          <w:color w:val="000000" w:themeColor="text1"/>
          <w:sz w:val="24"/>
          <w:szCs w:val="24"/>
          <w:lang w:val="en-GB"/>
        </w:rPr>
        <w:t xml:space="preserve">even seemingly </w:t>
      </w:r>
      <w:r w:rsidR="00CF72A3" w:rsidRPr="00462F98">
        <w:rPr>
          <w:rFonts w:ascii="Times New Roman" w:hAnsi="Times New Roman" w:cs="Times New Roman"/>
          <w:sz w:val="24"/>
          <w:szCs w:val="24"/>
          <w:lang w:val="en-GB"/>
        </w:rPr>
        <w:t xml:space="preserve">small steps – insisting on collection, sharing best </w:t>
      </w:r>
      <w:r w:rsidRPr="00462F98">
        <w:rPr>
          <w:rFonts w:ascii="Times New Roman" w:hAnsi="Times New Roman" w:cs="Times New Roman"/>
          <w:sz w:val="24"/>
          <w:szCs w:val="24"/>
          <w:lang w:val="en-GB"/>
        </w:rPr>
        <w:t xml:space="preserve">administrative </w:t>
      </w:r>
      <w:r w:rsidR="00CF72A3" w:rsidRPr="00462F98">
        <w:rPr>
          <w:rFonts w:ascii="Times New Roman" w:hAnsi="Times New Roman" w:cs="Times New Roman"/>
          <w:sz w:val="24"/>
          <w:szCs w:val="24"/>
          <w:lang w:val="en-GB"/>
        </w:rPr>
        <w:t>practice, logistical help etc. –</w:t>
      </w:r>
      <w:r w:rsidR="001D5FB8" w:rsidRPr="00462F98">
        <w:rPr>
          <w:rFonts w:ascii="Times New Roman" w:hAnsi="Times New Roman" w:cs="Times New Roman"/>
          <w:sz w:val="24"/>
          <w:szCs w:val="24"/>
          <w:lang w:val="en-GB"/>
        </w:rPr>
        <w:t xml:space="preserve"> </w:t>
      </w:r>
      <w:r w:rsidR="00CF72A3" w:rsidRPr="00462F98">
        <w:rPr>
          <w:rFonts w:ascii="Times New Roman" w:hAnsi="Times New Roman" w:cs="Times New Roman"/>
          <w:sz w:val="24"/>
          <w:szCs w:val="24"/>
          <w:lang w:val="en-GB"/>
        </w:rPr>
        <w:t xml:space="preserve">had a big effect. </w:t>
      </w:r>
      <w:proofErr w:type="spellStart"/>
      <w:r w:rsidR="00CF72A3" w:rsidRPr="00462F98">
        <w:rPr>
          <w:rFonts w:ascii="Times New Roman" w:hAnsi="Times New Roman" w:cs="Times New Roman"/>
          <w:sz w:val="24"/>
          <w:szCs w:val="24"/>
          <w:lang w:val="en-GB"/>
        </w:rPr>
        <w:t>Tuncer</w:t>
      </w:r>
      <w:proofErr w:type="spellEnd"/>
      <w:r w:rsidR="00CF72A3" w:rsidRPr="00462F98">
        <w:rPr>
          <w:rFonts w:ascii="Times New Roman" w:hAnsi="Times New Roman" w:cs="Times New Roman"/>
          <w:sz w:val="24"/>
          <w:szCs w:val="24"/>
          <w:lang w:val="en-GB"/>
        </w:rPr>
        <w:t xml:space="preserve"> (2015) argue</w:t>
      </w:r>
      <w:r w:rsidR="005D1DF7">
        <w:rPr>
          <w:rFonts w:ascii="Times New Roman" w:hAnsi="Times New Roman" w:cs="Times New Roman"/>
          <w:sz w:val="24"/>
          <w:szCs w:val="24"/>
          <w:lang w:val="en-GB"/>
        </w:rPr>
        <w:t>s</w:t>
      </w:r>
      <w:r w:rsidR="00CF72A3" w:rsidRPr="00462F98">
        <w:rPr>
          <w:rFonts w:ascii="Times New Roman" w:hAnsi="Times New Roman" w:cs="Times New Roman"/>
          <w:sz w:val="24"/>
          <w:szCs w:val="24"/>
          <w:lang w:val="en-GB"/>
        </w:rPr>
        <w:t xml:space="preserve"> convincingly that fiscal consolidation did </w:t>
      </w:r>
      <w:r w:rsidR="00CF72A3" w:rsidRPr="00462F98">
        <w:rPr>
          <w:rFonts w:ascii="Times New Roman" w:hAnsi="Times New Roman" w:cs="Times New Roman"/>
          <w:sz w:val="24"/>
          <w:szCs w:val="24"/>
          <w:lang w:val="en-GB"/>
        </w:rPr>
        <w:lastRenderedPageBreak/>
        <w:t xml:space="preserve">not come </w:t>
      </w:r>
      <w:r w:rsidR="001D5FB8" w:rsidRPr="00462F98">
        <w:rPr>
          <w:rFonts w:ascii="Times New Roman" w:hAnsi="Times New Roman" w:cs="Times New Roman"/>
          <w:sz w:val="24"/>
          <w:szCs w:val="24"/>
          <w:lang w:val="en-GB"/>
        </w:rPr>
        <w:t xml:space="preserve">so much </w:t>
      </w:r>
      <w:r w:rsidR="00CF72A3" w:rsidRPr="00462F98">
        <w:rPr>
          <w:rFonts w:ascii="Times New Roman" w:hAnsi="Times New Roman" w:cs="Times New Roman"/>
          <w:sz w:val="24"/>
          <w:szCs w:val="24"/>
          <w:lang w:val="en-GB"/>
        </w:rPr>
        <w:t xml:space="preserve">from </w:t>
      </w:r>
      <w:r w:rsidR="001D5FB8" w:rsidRPr="00462F98">
        <w:rPr>
          <w:rFonts w:ascii="Times New Roman" w:hAnsi="Times New Roman" w:cs="Times New Roman"/>
          <w:sz w:val="24"/>
          <w:szCs w:val="24"/>
          <w:lang w:val="en-GB"/>
        </w:rPr>
        <w:t xml:space="preserve">introducing </w:t>
      </w:r>
      <w:r w:rsidR="00CF72A3" w:rsidRPr="00462F98">
        <w:rPr>
          <w:rFonts w:ascii="Times New Roman" w:hAnsi="Times New Roman" w:cs="Times New Roman"/>
          <w:sz w:val="24"/>
          <w:szCs w:val="24"/>
          <w:lang w:val="en-GB"/>
        </w:rPr>
        <w:t>new taxes but from collectin</w:t>
      </w:r>
      <w:r w:rsidR="00711D45">
        <w:rPr>
          <w:rFonts w:ascii="Times New Roman" w:hAnsi="Times New Roman" w:cs="Times New Roman"/>
          <w:sz w:val="24"/>
          <w:szCs w:val="24"/>
          <w:lang w:val="en-GB"/>
        </w:rPr>
        <w:t>g existing ones more effectively</w:t>
      </w:r>
      <w:r w:rsidR="00CF72A3" w:rsidRPr="00462F98">
        <w:rPr>
          <w:rFonts w:ascii="Times New Roman" w:hAnsi="Times New Roman" w:cs="Times New Roman"/>
          <w:sz w:val="24"/>
          <w:szCs w:val="24"/>
          <w:lang w:val="en-GB"/>
        </w:rPr>
        <w:t xml:space="preserve">. In Greece, for instance, </w:t>
      </w:r>
      <w:r w:rsidR="001D5FB8" w:rsidRPr="00462F98">
        <w:rPr>
          <w:rFonts w:ascii="Times New Roman" w:hAnsi="Times New Roman" w:cs="Times New Roman"/>
          <w:sz w:val="24"/>
          <w:szCs w:val="24"/>
          <w:lang w:val="en-GB"/>
        </w:rPr>
        <w:t xml:space="preserve">the </w:t>
      </w:r>
      <w:r w:rsidR="00CF72A3" w:rsidRPr="00462F98">
        <w:rPr>
          <w:rFonts w:ascii="Times New Roman" w:hAnsi="Times New Roman" w:cs="Times New Roman"/>
          <w:sz w:val="24"/>
          <w:szCs w:val="24"/>
          <w:lang w:val="en-GB"/>
        </w:rPr>
        <w:t>predictability of tax revenues increased as a result of improved bureaucratic structure: the difference between estimated tax</w:t>
      </w:r>
      <w:r w:rsidRPr="00462F98">
        <w:rPr>
          <w:rFonts w:ascii="Times New Roman" w:hAnsi="Times New Roman" w:cs="Times New Roman"/>
          <w:sz w:val="24"/>
          <w:szCs w:val="24"/>
          <w:lang w:val="en-GB"/>
        </w:rPr>
        <w:t>es</w:t>
      </w:r>
      <w:r w:rsidR="00CF72A3" w:rsidRPr="00462F98">
        <w:rPr>
          <w:rFonts w:ascii="Times New Roman" w:hAnsi="Times New Roman" w:cs="Times New Roman"/>
          <w:sz w:val="24"/>
          <w:szCs w:val="24"/>
          <w:lang w:val="en-GB"/>
        </w:rPr>
        <w:t xml:space="preserve"> </w:t>
      </w:r>
      <w:r w:rsidR="005D1DF7">
        <w:rPr>
          <w:rFonts w:ascii="Times New Roman" w:hAnsi="Times New Roman" w:cs="Times New Roman"/>
          <w:sz w:val="24"/>
          <w:szCs w:val="24"/>
          <w:lang w:val="en-GB"/>
        </w:rPr>
        <w:t>(</w:t>
      </w:r>
      <w:r w:rsidR="00CF72A3" w:rsidRPr="00462F98">
        <w:rPr>
          <w:rFonts w:ascii="Times New Roman" w:hAnsi="Times New Roman" w:cs="Times New Roman"/>
          <w:sz w:val="24"/>
          <w:szCs w:val="24"/>
          <w:lang w:val="en-GB"/>
        </w:rPr>
        <w:t>at the beginning of the financial year</w:t>
      </w:r>
      <w:r w:rsidR="005D1DF7">
        <w:rPr>
          <w:rFonts w:ascii="Times New Roman" w:hAnsi="Times New Roman" w:cs="Times New Roman"/>
          <w:sz w:val="24"/>
          <w:szCs w:val="24"/>
          <w:lang w:val="en-GB"/>
        </w:rPr>
        <w:t>)</w:t>
      </w:r>
      <w:r w:rsidR="00CF72A3" w:rsidRPr="00462F98">
        <w:rPr>
          <w:rFonts w:ascii="Times New Roman" w:hAnsi="Times New Roman" w:cs="Times New Roman"/>
          <w:sz w:val="24"/>
          <w:szCs w:val="24"/>
          <w:lang w:val="en-GB"/>
        </w:rPr>
        <w:t xml:space="preserve"> and realised taxes </w:t>
      </w:r>
      <w:r w:rsidR="005D1DF7">
        <w:rPr>
          <w:rFonts w:ascii="Times New Roman" w:hAnsi="Times New Roman" w:cs="Times New Roman"/>
          <w:sz w:val="24"/>
          <w:szCs w:val="24"/>
          <w:lang w:val="en-GB"/>
        </w:rPr>
        <w:t>(</w:t>
      </w:r>
      <w:r w:rsidR="00AB3297" w:rsidRPr="00462F98">
        <w:rPr>
          <w:rFonts w:ascii="Times New Roman" w:hAnsi="Times New Roman" w:cs="Times New Roman"/>
          <w:sz w:val="24"/>
          <w:szCs w:val="24"/>
          <w:lang w:val="en-GB"/>
        </w:rPr>
        <w:t>at the end</w:t>
      </w:r>
      <w:r w:rsidR="005D1DF7">
        <w:rPr>
          <w:rFonts w:ascii="Times New Roman" w:hAnsi="Times New Roman" w:cs="Times New Roman"/>
          <w:sz w:val="24"/>
          <w:szCs w:val="24"/>
          <w:lang w:val="en-GB"/>
        </w:rPr>
        <w:t xml:space="preserve"> of it)</w:t>
      </w:r>
      <w:r w:rsidR="00AB3297" w:rsidRPr="00462F98">
        <w:rPr>
          <w:rFonts w:ascii="Times New Roman" w:hAnsi="Times New Roman" w:cs="Times New Roman"/>
          <w:sz w:val="24"/>
          <w:szCs w:val="24"/>
          <w:lang w:val="en-GB"/>
        </w:rPr>
        <w:t xml:space="preserve"> </w:t>
      </w:r>
      <w:r w:rsidR="00CF72A3" w:rsidRPr="00462F98">
        <w:rPr>
          <w:rFonts w:ascii="Times New Roman" w:hAnsi="Times New Roman" w:cs="Times New Roman"/>
          <w:sz w:val="24"/>
          <w:szCs w:val="24"/>
          <w:lang w:val="en-GB"/>
        </w:rPr>
        <w:t xml:space="preserve">fell from 9.2% to 5.9%. </w:t>
      </w:r>
      <w:r w:rsidR="00711D45">
        <w:rPr>
          <w:rFonts w:ascii="Times New Roman" w:hAnsi="Times New Roman" w:cs="Times New Roman"/>
          <w:sz w:val="24"/>
          <w:szCs w:val="24"/>
          <w:lang w:val="en-GB"/>
        </w:rPr>
        <w:t>B</w:t>
      </w:r>
      <w:r w:rsidR="00DC5BCE" w:rsidRPr="00462F98">
        <w:rPr>
          <w:rFonts w:ascii="Times New Roman" w:hAnsi="Times New Roman" w:cs="Times New Roman"/>
          <w:sz w:val="24"/>
          <w:szCs w:val="24"/>
          <w:lang w:val="en-GB"/>
        </w:rPr>
        <w:t>oth countries also modernised their system of taxation and introduced new taxes</w:t>
      </w:r>
      <w:r w:rsidR="008A26BF">
        <w:rPr>
          <w:rFonts w:ascii="Times New Roman" w:hAnsi="Times New Roman" w:cs="Times New Roman"/>
          <w:sz w:val="24"/>
          <w:szCs w:val="24"/>
          <w:lang w:val="en-GB"/>
        </w:rPr>
        <w:t>,</w:t>
      </w:r>
      <w:r w:rsidR="00DC5BCE" w:rsidRPr="00462F98">
        <w:rPr>
          <w:rFonts w:ascii="Times New Roman" w:hAnsi="Times New Roman" w:cs="Times New Roman"/>
          <w:sz w:val="24"/>
          <w:szCs w:val="24"/>
          <w:lang w:val="en-GB"/>
        </w:rPr>
        <w:t xml:space="preserve"> which were common practice </w:t>
      </w:r>
      <w:r w:rsidRPr="00462F98">
        <w:rPr>
          <w:rFonts w:ascii="Times New Roman" w:hAnsi="Times New Roman" w:cs="Times New Roman"/>
          <w:sz w:val="24"/>
          <w:szCs w:val="24"/>
          <w:lang w:val="en-GB"/>
        </w:rPr>
        <w:t>elsewhere</w:t>
      </w:r>
      <w:r w:rsidR="00DC5BCE" w:rsidRPr="00462F98">
        <w:rPr>
          <w:rFonts w:ascii="Times New Roman" w:hAnsi="Times New Roman" w:cs="Times New Roman"/>
          <w:sz w:val="24"/>
          <w:szCs w:val="24"/>
          <w:lang w:val="en-GB"/>
        </w:rPr>
        <w:t>: Greece introduced inherita</w:t>
      </w:r>
      <w:r w:rsidR="001D5FB8" w:rsidRPr="00462F98">
        <w:rPr>
          <w:rFonts w:ascii="Times New Roman" w:hAnsi="Times New Roman" w:cs="Times New Roman"/>
          <w:sz w:val="24"/>
          <w:szCs w:val="24"/>
          <w:lang w:val="en-GB"/>
        </w:rPr>
        <w:t xml:space="preserve">nce and income tax </w:t>
      </w:r>
      <w:r w:rsidR="00DC5BCE" w:rsidRPr="00462F98">
        <w:rPr>
          <w:rFonts w:ascii="Times New Roman" w:hAnsi="Times New Roman" w:cs="Times New Roman"/>
          <w:sz w:val="24"/>
          <w:szCs w:val="24"/>
          <w:lang w:val="en-GB"/>
        </w:rPr>
        <w:t>in 1898 and 1910, respectively, following decades of futile reform attempts before</w:t>
      </w:r>
      <w:r w:rsidR="003842EF" w:rsidRPr="00462F98">
        <w:rPr>
          <w:rFonts w:ascii="Times New Roman" w:hAnsi="Times New Roman" w:cs="Times New Roman"/>
          <w:sz w:val="24"/>
          <w:szCs w:val="24"/>
          <w:lang w:val="en-GB"/>
        </w:rPr>
        <w:t xml:space="preserve"> (Angelopoulos 1933, </w:t>
      </w:r>
      <w:proofErr w:type="spellStart"/>
      <w:r w:rsidR="003842EF" w:rsidRPr="00462F98">
        <w:rPr>
          <w:rFonts w:ascii="Times New Roman" w:hAnsi="Times New Roman" w:cs="Times New Roman"/>
          <w:sz w:val="24"/>
          <w:szCs w:val="24"/>
          <w:lang w:val="en-GB"/>
        </w:rPr>
        <w:t>Tuncer</w:t>
      </w:r>
      <w:proofErr w:type="spellEnd"/>
      <w:r w:rsidR="003842EF" w:rsidRPr="00462F98">
        <w:rPr>
          <w:rFonts w:ascii="Times New Roman" w:hAnsi="Times New Roman" w:cs="Times New Roman"/>
          <w:sz w:val="24"/>
          <w:szCs w:val="24"/>
          <w:lang w:val="en-GB"/>
        </w:rPr>
        <w:t xml:space="preserve"> 2015)</w:t>
      </w:r>
      <w:r w:rsidR="00DC5BCE" w:rsidRPr="00462F98">
        <w:rPr>
          <w:rFonts w:ascii="Times New Roman" w:hAnsi="Times New Roman" w:cs="Times New Roman"/>
          <w:sz w:val="24"/>
          <w:szCs w:val="24"/>
          <w:lang w:val="en-GB"/>
        </w:rPr>
        <w:t>.</w:t>
      </w:r>
    </w:p>
    <w:p w:rsidR="00DC5BCE" w:rsidRPr="00462F98" w:rsidRDefault="008C1466" w:rsidP="00DC5BCE">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M</w:t>
      </w:r>
      <w:r w:rsidR="00DC5BCE" w:rsidRPr="00462F98">
        <w:rPr>
          <w:rFonts w:ascii="Times New Roman" w:hAnsi="Times New Roman" w:cs="Times New Roman"/>
          <w:sz w:val="24"/>
          <w:szCs w:val="24"/>
          <w:lang w:val="en-GB"/>
        </w:rPr>
        <w:t xml:space="preserve">onetary stabilisation </w:t>
      </w:r>
      <w:r w:rsidRPr="00462F98">
        <w:rPr>
          <w:rFonts w:ascii="Times New Roman" w:hAnsi="Times New Roman" w:cs="Times New Roman"/>
          <w:sz w:val="24"/>
          <w:szCs w:val="24"/>
          <w:lang w:val="en-GB"/>
        </w:rPr>
        <w:t>was the second pillar</w:t>
      </w:r>
      <w:r w:rsidR="00DC5BCE" w:rsidRPr="00462F98">
        <w:rPr>
          <w:rFonts w:ascii="Times New Roman" w:hAnsi="Times New Roman" w:cs="Times New Roman"/>
          <w:sz w:val="24"/>
          <w:szCs w:val="24"/>
          <w:lang w:val="en-GB"/>
        </w:rPr>
        <w:t xml:space="preserve">: </w:t>
      </w:r>
      <w:r w:rsidR="00711D45">
        <w:rPr>
          <w:rFonts w:ascii="Times New Roman" w:hAnsi="Times New Roman" w:cs="Times New Roman"/>
          <w:sz w:val="24"/>
          <w:szCs w:val="24"/>
          <w:lang w:val="en-GB"/>
        </w:rPr>
        <w:t>it</w:t>
      </w:r>
      <w:r w:rsidR="00DC5BCE" w:rsidRPr="00462F98">
        <w:rPr>
          <w:rFonts w:ascii="Times New Roman" w:hAnsi="Times New Roman" w:cs="Times New Roman"/>
          <w:sz w:val="24"/>
          <w:szCs w:val="24"/>
          <w:lang w:val="en-GB"/>
        </w:rPr>
        <w:t xml:space="preserve"> was seen as </w:t>
      </w:r>
      <w:r w:rsidR="003842EF" w:rsidRPr="00462F98">
        <w:rPr>
          <w:rFonts w:ascii="Times New Roman" w:hAnsi="Times New Roman" w:cs="Times New Roman"/>
          <w:sz w:val="24"/>
          <w:szCs w:val="24"/>
          <w:lang w:val="en-GB"/>
        </w:rPr>
        <w:t>a</w:t>
      </w:r>
      <w:r w:rsidR="00DC5BCE" w:rsidRPr="00462F98">
        <w:rPr>
          <w:rFonts w:ascii="Times New Roman" w:hAnsi="Times New Roman" w:cs="Times New Roman"/>
          <w:sz w:val="24"/>
          <w:szCs w:val="24"/>
          <w:lang w:val="en-GB"/>
        </w:rPr>
        <w:t xml:space="preserve"> means to ensure debt repayment. Theoretically, there was no connection between domestic monetary system and foreign loans which were all denominated in foreign cur</w:t>
      </w:r>
      <w:r w:rsidR="00A766E9" w:rsidRPr="00462F98">
        <w:rPr>
          <w:rFonts w:ascii="Times New Roman" w:hAnsi="Times New Roman" w:cs="Times New Roman"/>
          <w:sz w:val="24"/>
          <w:szCs w:val="24"/>
          <w:lang w:val="en-GB"/>
        </w:rPr>
        <w:t>rency;</w:t>
      </w:r>
      <w:r w:rsidR="00DC5BCE" w:rsidRPr="00462F98">
        <w:rPr>
          <w:rFonts w:ascii="Times New Roman" w:hAnsi="Times New Roman" w:cs="Times New Roman"/>
          <w:sz w:val="24"/>
          <w:szCs w:val="24"/>
          <w:lang w:val="en-GB"/>
        </w:rPr>
        <w:t xml:space="preserve"> in practice, stable exchange-rates help avoid </w:t>
      </w:r>
      <w:r w:rsidR="003842EF" w:rsidRPr="00462F98">
        <w:rPr>
          <w:rFonts w:ascii="Times New Roman" w:hAnsi="Times New Roman" w:cs="Times New Roman"/>
          <w:sz w:val="24"/>
          <w:szCs w:val="24"/>
          <w:lang w:val="en-GB"/>
        </w:rPr>
        <w:t xml:space="preserve">a </w:t>
      </w:r>
      <w:r w:rsidR="00DC5BCE" w:rsidRPr="00462F98">
        <w:rPr>
          <w:rFonts w:ascii="Times New Roman" w:hAnsi="Times New Roman" w:cs="Times New Roman"/>
          <w:sz w:val="24"/>
          <w:szCs w:val="24"/>
          <w:lang w:val="en-GB"/>
        </w:rPr>
        <w:t>currency mismatch between government r</w:t>
      </w:r>
      <w:r w:rsidR="003842EF" w:rsidRPr="00462F98">
        <w:rPr>
          <w:rFonts w:ascii="Times New Roman" w:hAnsi="Times New Roman" w:cs="Times New Roman"/>
          <w:sz w:val="24"/>
          <w:szCs w:val="24"/>
          <w:lang w:val="en-GB"/>
        </w:rPr>
        <w:t xml:space="preserve">evenue and expenditure, </w:t>
      </w:r>
      <w:r w:rsidR="00DC5BCE" w:rsidRPr="00462F98">
        <w:rPr>
          <w:rFonts w:ascii="Times New Roman" w:hAnsi="Times New Roman" w:cs="Times New Roman"/>
          <w:sz w:val="24"/>
          <w:szCs w:val="24"/>
          <w:lang w:val="en-GB"/>
        </w:rPr>
        <w:t>making foreign debt payments more likely.</w:t>
      </w:r>
      <w:r w:rsidR="000650B3" w:rsidRPr="00462F98">
        <w:rPr>
          <w:rFonts w:ascii="Times New Roman" w:hAnsi="Times New Roman" w:cs="Times New Roman"/>
          <w:sz w:val="24"/>
          <w:szCs w:val="24"/>
          <w:lang w:val="en-GB"/>
        </w:rPr>
        <w:t xml:space="preserve"> </w:t>
      </w:r>
      <w:r w:rsidR="00DC5BCE" w:rsidRPr="00462F98">
        <w:rPr>
          <w:rFonts w:ascii="Times New Roman" w:hAnsi="Times New Roman" w:cs="Times New Roman"/>
          <w:color w:val="000000" w:themeColor="text1"/>
          <w:sz w:val="24"/>
          <w:szCs w:val="24"/>
          <w:lang w:val="en-GB"/>
        </w:rPr>
        <w:t xml:space="preserve">Consequently, international lenders strengthened </w:t>
      </w:r>
      <w:r w:rsidR="00DC5BCE" w:rsidRPr="00462F98">
        <w:rPr>
          <w:rFonts w:ascii="Times New Roman" w:hAnsi="Times New Roman" w:cs="Times New Roman"/>
          <w:sz w:val="24"/>
          <w:szCs w:val="24"/>
          <w:lang w:val="en-GB"/>
        </w:rPr>
        <w:t xml:space="preserve">the position of the </w:t>
      </w:r>
      <w:r w:rsidR="0094763D" w:rsidRPr="00462F98">
        <w:rPr>
          <w:rFonts w:ascii="Times New Roman" w:hAnsi="Times New Roman" w:cs="Times New Roman"/>
          <w:sz w:val="24"/>
          <w:szCs w:val="24"/>
          <w:lang w:val="en-GB"/>
        </w:rPr>
        <w:t xml:space="preserve">central </w:t>
      </w:r>
      <w:r w:rsidR="00DC5BCE" w:rsidRPr="00462F98">
        <w:rPr>
          <w:rFonts w:ascii="Times New Roman" w:hAnsi="Times New Roman" w:cs="Times New Roman"/>
          <w:sz w:val="24"/>
          <w:szCs w:val="24"/>
          <w:lang w:val="en-GB"/>
        </w:rPr>
        <w:t>bank by prohibiting debt moneti</w:t>
      </w:r>
      <w:r w:rsidR="003842EF" w:rsidRPr="00462F98">
        <w:rPr>
          <w:rFonts w:ascii="Times New Roman" w:hAnsi="Times New Roman" w:cs="Times New Roman"/>
          <w:sz w:val="24"/>
          <w:szCs w:val="24"/>
          <w:lang w:val="en-GB"/>
        </w:rPr>
        <w:t>s</w:t>
      </w:r>
      <w:r w:rsidR="00AA2F1F">
        <w:rPr>
          <w:rFonts w:ascii="Times New Roman" w:hAnsi="Times New Roman" w:cs="Times New Roman"/>
          <w:sz w:val="24"/>
          <w:szCs w:val="24"/>
          <w:lang w:val="en-GB"/>
        </w:rPr>
        <w:t>ation</w:t>
      </w:r>
      <w:r w:rsidR="00DC5BCE" w:rsidRPr="00462F98">
        <w:rPr>
          <w:rFonts w:ascii="Times New Roman" w:hAnsi="Times New Roman" w:cs="Times New Roman"/>
          <w:sz w:val="24"/>
          <w:szCs w:val="24"/>
          <w:lang w:val="en-GB"/>
        </w:rPr>
        <w:t xml:space="preserve"> and asked the gover</w:t>
      </w:r>
      <w:r w:rsidR="00AA2F1F">
        <w:rPr>
          <w:rFonts w:ascii="Times New Roman" w:hAnsi="Times New Roman" w:cs="Times New Roman"/>
          <w:sz w:val="24"/>
          <w:szCs w:val="24"/>
          <w:lang w:val="en-GB"/>
        </w:rPr>
        <w:t>nment to pay back earlier loans. G</w:t>
      </w:r>
      <w:r w:rsidR="00DC5BCE" w:rsidRPr="00462F98">
        <w:rPr>
          <w:rFonts w:ascii="Times New Roman" w:hAnsi="Times New Roman" w:cs="Times New Roman"/>
          <w:sz w:val="24"/>
          <w:szCs w:val="24"/>
          <w:lang w:val="en-GB"/>
        </w:rPr>
        <w:t xml:space="preserve">overnment debt held by the </w:t>
      </w:r>
      <w:r w:rsidR="0094763D" w:rsidRPr="00462F98">
        <w:rPr>
          <w:rFonts w:ascii="Times New Roman" w:hAnsi="Times New Roman" w:cs="Times New Roman"/>
          <w:sz w:val="24"/>
          <w:szCs w:val="24"/>
          <w:lang w:val="en-GB"/>
        </w:rPr>
        <w:t>NBG</w:t>
      </w:r>
      <w:r w:rsidR="003842EF" w:rsidRPr="00462F98">
        <w:rPr>
          <w:rFonts w:ascii="Times New Roman" w:hAnsi="Times New Roman" w:cs="Times New Roman"/>
          <w:sz w:val="24"/>
          <w:szCs w:val="24"/>
          <w:lang w:val="en-GB"/>
        </w:rPr>
        <w:t>, for instance,</w:t>
      </w:r>
      <w:r w:rsidR="00DC5BCE" w:rsidRPr="00462F98">
        <w:rPr>
          <w:rFonts w:ascii="Times New Roman" w:hAnsi="Times New Roman" w:cs="Times New Roman"/>
          <w:sz w:val="24"/>
          <w:szCs w:val="24"/>
          <w:lang w:val="en-GB"/>
        </w:rPr>
        <w:t xml:space="preserve"> was more than halved by 1910 </w:t>
      </w:r>
      <w:r w:rsidR="003842EF" w:rsidRPr="00462F98">
        <w:rPr>
          <w:rFonts w:ascii="Times New Roman" w:hAnsi="Times New Roman" w:cs="Times New Roman"/>
          <w:sz w:val="24"/>
          <w:szCs w:val="24"/>
          <w:lang w:val="en-GB"/>
        </w:rPr>
        <w:t>(</w:t>
      </w:r>
      <w:proofErr w:type="spellStart"/>
      <w:r w:rsidR="003842EF" w:rsidRPr="00462F98">
        <w:rPr>
          <w:rFonts w:ascii="Times New Roman" w:hAnsi="Times New Roman" w:cs="Times New Roman"/>
          <w:sz w:val="24"/>
          <w:szCs w:val="24"/>
          <w:lang w:val="en-GB"/>
        </w:rPr>
        <w:t>Lazaretou</w:t>
      </w:r>
      <w:proofErr w:type="spellEnd"/>
      <w:r w:rsidR="003842EF" w:rsidRPr="00462F98">
        <w:rPr>
          <w:rFonts w:ascii="Times New Roman" w:hAnsi="Times New Roman" w:cs="Times New Roman"/>
          <w:sz w:val="24"/>
          <w:szCs w:val="24"/>
          <w:lang w:val="en-GB"/>
        </w:rPr>
        <w:t xml:space="preserve"> 2014)</w:t>
      </w:r>
      <w:r w:rsidR="00DC5BCE" w:rsidRPr="00462F98">
        <w:rPr>
          <w:rFonts w:ascii="Times New Roman" w:hAnsi="Times New Roman" w:cs="Times New Roman"/>
          <w:sz w:val="24"/>
          <w:szCs w:val="24"/>
          <w:lang w:val="en-GB"/>
        </w:rPr>
        <w:t xml:space="preserve">. </w:t>
      </w:r>
      <w:r w:rsidR="0094763D" w:rsidRPr="00462F98">
        <w:rPr>
          <w:rFonts w:ascii="Times New Roman" w:hAnsi="Times New Roman" w:cs="Times New Roman"/>
          <w:sz w:val="24"/>
          <w:szCs w:val="24"/>
          <w:lang w:val="en-GB"/>
        </w:rPr>
        <w:t>L</w:t>
      </w:r>
      <w:r w:rsidR="00DC5BCE" w:rsidRPr="00462F98">
        <w:rPr>
          <w:rFonts w:ascii="Times New Roman" w:hAnsi="Times New Roman" w:cs="Times New Roman"/>
          <w:sz w:val="24"/>
          <w:szCs w:val="24"/>
          <w:lang w:val="en-GB"/>
        </w:rPr>
        <w:t xml:space="preserve">enders sensed that the </w:t>
      </w:r>
      <w:r w:rsidR="00711D45">
        <w:rPr>
          <w:rFonts w:ascii="Times New Roman" w:hAnsi="Times New Roman" w:cs="Times New Roman"/>
          <w:sz w:val="24"/>
          <w:szCs w:val="24"/>
          <w:lang w:val="en-GB"/>
        </w:rPr>
        <w:t xml:space="preserve">national </w:t>
      </w:r>
      <w:r w:rsidR="0094763D" w:rsidRPr="00462F98">
        <w:rPr>
          <w:rFonts w:ascii="Times New Roman" w:hAnsi="Times New Roman" w:cs="Times New Roman"/>
          <w:sz w:val="24"/>
          <w:szCs w:val="24"/>
          <w:lang w:val="en-GB"/>
        </w:rPr>
        <w:t xml:space="preserve">banks </w:t>
      </w:r>
      <w:r w:rsidR="00DC5BCE" w:rsidRPr="00462F98">
        <w:rPr>
          <w:rFonts w:ascii="Times New Roman" w:hAnsi="Times New Roman" w:cs="Times New Roman"/>
          <w:sz w:val="24"/>
          <w:szCs w:val="24"/>
          <w:lang w:val="en-GB"/>
        </w:rPr>
        <w:t xml:space="preserve">had only grudgingly accepted debt </w:t>
      </w:r>
      <w:proofErr w:type="spellStart"/>
      <w:r w:rsidR="00DC5BCE" w:rsidRPr="00462F98">
        <w:rPr>
          <w:rFonts w:ascii="Times New Roman" w:hAnsi="Times New Roman" w:cs="Times New Roman"/>
          <w:sz w:val="24"/>
          <w:szCs w:val="24"/>
          <w:lang w:val="en-GB"/>
        </w:rPr>
        <w:t>monetisation</w:t>
      </w:r>
      <w:r w:rsidR="00711D45">
        <w:rPr>
          <w:rFonts w:ascii="Times New Roman" w:hAnsi="Times New Roman" w:cs="Times New Roman"/>
          <w:sz w:val="24"/>
          <w:szCs w:val="24"/>
          <w:lang w:val="en-GB"/>
        </w:rPr>
        <w:t>s</w:t>
      </w:r>
      <w:proofErr w:type="spellEnd"/>
      <w:r w:rsidR="00DC5BCE" w:rsidRPr="00462F98">
        <w:rPr>
          <w:rFonts w:ascii="Times New Roman" w:hAnsi="Times New Roman" w:cs="Times New Roman"/>
          <w:sz w:val="24"/>
          <w:szCs w:val="24"/>
          <w:lang w:val="en-GB"/>
        </w:rPr>
        <w:t xml:space="preserve"> and made a deliberate effort to bring them on their side; in the Serbian case, </w:t>
      </w:r>
      <w:r w:rsidR="0094763D" w:rsidRPr="00462F98">
        <w:rPr>
          <w:rFonts w:ascii="Times New Roman" w:hAnsi="Times New Roman" w:cs="Times New Roman"/>
          <w:sz w:val="24"/>
          <w:szCs w:val="24"/>
          <w:lang w:val="en-GB"/>
        </w:rPr>
        <w:t xml:space="preserve">they even granted </w:t>
      </w:r>
      <w:r w:rsidR="00DC5BCE" w:rsidRPr="00462F98">
        <w:rPr>
          <w:rFonts w:ascii="Times New Roman" w:hAnsi="Times New Roman" w:cs="Times New Roman"/>
          <w:sz w:val="24"/>
          <w:szCs w:val="24"/>
          <w:lang w:val="en-GB"/>
        </w:rPr>
        <w:t xml:space="preserve">two seats on the </w:t>
      </w:r>
      <w:r w:rsidR="00C43B86" w:rsidRPr="00462F98">
        <w:rPr>
          <w:rFonts w:ascii="Times New Roman" w:hAnsi="Times New Roman" w:cs="Times New Roman"/>
          <w:sz w:val="24"/>
          <w:szCs w:val="24"/>
          <w:lang w:val="en-GB"/>
        </w:rPr>
        <w:t xml:space="preserve">Financial Supervision Managing </w:t>
      </w:r>
      <w:r w:rsidR="00DC5BCE" w:rsidRPr="00462F98">
        <w:rPr>
          <w:rFonts w:ascii="Times New Roman" w:hAnsi="Times New Roman" w:cs="Times New Roman"/>
          <w:color w:val="000000" w:themeColor="text1"/>
          <w:sz w:val="24"/>
          <w:szCs w:val="24"/>
          <w:lang w:val="en-GB"/>
        </w:rPr>
        <w:t xml:space="preserve">Council </w:t>
      </w:r>
      <w:r w:rsidR="00DC5BCE" w:rsidRPr="00462F98">
        <w:rPr>
          <w:rFonts w:ascii="Times New Roman" w:hAnsi="Times New Roman" w:cs="Times New Roman"/>
          <w:sz w:val="24"/>
          <w:szCs w:val="24"/>
          <w:lang w:val="en-GB"/>
        </w:rPr>
        <w:t>to representatives of the National Bank of Serbia</w:t>
      </w:r>
      <w:r w:rsidR="00C43B86" w:rsidRPr="00462F98">
        <w:rPr>
          <w:rFonts w:ascii="Times New Roman" w:hAnsi="Times New Roman" w:cs="Times New Roman"/>
          <w:sz w:val="24"/>
          <w:szCs w:val="24"/>
          <w:lang w:val="en-GB"/>
        </w:rPr>
        <w:t xml:space="preserve"> (</w:t>
      </w:r>
      <w:proofErr w:type="spellStart"/>
      <w:r w:rsidR="00C43B86" w:rsidRPr="00462F98">
        <w:rPr>
          <w:rFonts w:ascii="Times New Roman" w:hAnsi="Times New Roman" w:cs="Times New Roman"/>
          <w:sz w:val="24"/>
          <w:szCs w:val="24"/>
          <w:lang w:val="en-GB"/>
        </w:rPr>
        <w:t>Tuncer</w:t>
      </w:r>
      <w:proofErr w:type="spellEnd"/>
      <w:r w:rsidR="00C43B86" w:rsidRPr="00462F98">
        <w:rPr>
          <w:rFonts w:ascii="Times New Roman" w:hAnsi="Times New Roman" w:cs="Times New Roman"/>
          <w:sz w:val="24"/>
          <w:szCs w:val="24"/>
          <w:lang w:val="en-GB"/>
        </w:rPr>
        <w:t xml:space="preserve"> 2015)</w:t>
      </w:r>
      <w:r w:rsidR="00DC5BCE" w:rsidRPr="00462F98">
        <w:rPr>
          <w:rFonts w:ascii="Times New Roman" w:hAnsi="Times New Roman" w:cs="Times New Roman"/>
          <w:sz w:val="24"/>
          <w:szCs w:val="24"/>
          <w:lang w:val="en-GB"/>
        </w:rPr>
        <w:t>.</w:t>
      </w:r>
    </w:p>
    <w:p w:rsidR="00E31AAA" w:rsidRPr="00462F98" w:rsidRDefault="00E31AAA" w:rsidP="00DC5BCE">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r>
      <w:r w:rsidR="0094763D" w:rsidRPr="00462F98">
        <w:rPr>
          <w:rFonts w:ascii="Times New Roman" w:hAnsi="Times New Roman" w:cs="Times New Roman"/>
          <w:sz w:val="24"/>
          <w:szCs w:val="24"/>
          <w:lang w:val="en-GB"/>
        </w:rPr>
        <w:t>Third</w:t>
      </w:r>
      <w:r w:rsidRPr="00462F98">
        <w:rPr>
          <w:rFonts w:ascii="Times New Roman" w:hAnsi="Times New Roman" w:cs="Times New Roman"/>
          <w:sz w:val="24"/>
          <w:szCs w:val="24"/>
          <w:lang w:val="en-GB"/>
        </w:rPr>
        <w:t xml:space="preserve">, financial supervision involved foreign governments and not the bondholders they represented. This was a departure from earlier forms of </w:t>
      </w:r>
      <w:r w:rsidR="00C43B86" w:rsidRPr="00462F98">
        <w:rPr>
          <w:rFonts w:ascii="Times New Roman" w:hAnsi="Times New Roman" w:cs="Times New Roman"/>
          <w:sz w:val="24"/>
          <w:szCs w:val="24"/>
          <w:lang w:val="en-GB"/>
        </w:rPr>
        <w:t xml:space="preserve">international financial control </w:t>
      </w:r>
      <w:r w:rsidR="007D22F5" w:rsidRPr="00462F98">
        <w:rPr>
          <w:rFonts w:ascii="Times New Roman" w:hAnsi="Times New Roman" w:cs="Times New Roman"/>
          <w:sz w:val="24"/>
          <w:szCs w:val="24"/>
          <w:lang w:val="en-GB"/>
        </w:rPr>
        <w:t xml:space="preserve">with the </w:t>
      </w:r>
      <w:r w:rsidRPr="00462F98">
        <w:rPr>
          <w:rFonts w:ascii="Times New Roman" w:hAnsi="Times New Roman" w:cs="Times New Roman"/>
          <w:sz w:val="24"/>
          <w:szCs w:val="24"/>
          <w:lang w:val="en-GB"/>
        </w:rPr>
        <w:t>intention of increasing leverage: governments were connected with each other in a myriad of ways, and economic, political and military con</w:t>
      </w:r>
      <w:r w:rsidR="00547EA3" w:rsidRPr="00462F98">
        <w:rPr>
          <w:rFonts w:ascii="Times New Roman" w:hAnsi="Times New Roman" w:cs="Times New Roman"/>
          <w:sz w:val="24"/>
          <w:szCs w:val="24"/>
          <w:lang w:val="en-GB"/>
        </w:rPr>
        <w:t>cessions by the creditors in an unrelated</w:t>
      </w:r>
      <w:r w:rsidRPr="00462F98">
        <w:rPr>
          <w:rFonts w:ascii="Times New Roman" w:hAnsi="Times New Roman" w:cs="Times New Roman"/>
          <w:sz w:val="24"/>
          <w:szCs w:val="24"/>
          <w:lang w:val="en-GB"/>
        </w:rPr>
        <w:t xml:space="preserve"> area </w:t>
      </w:r>
      <w:r w:rsidR="00547EA3" w:rsidRPr="00462F98">
        <w:rPr>
          <w:rFonts w:ascii="Times New Roman" w:hAnsi="Times New Roman" w:cs="Times New Roman"/>
          <w:sz w:val="24"/>
          <w:szCs w:val="24"/>
          <w:lang w:val="en-GB"/>
        </w:rPr>
        <w:t>could be</w:t>
      </w:r>
      <w:r w:rsidRPr="00462F98">
        <w:rPr>
          <w:rFonts w:ascii="Times New Roman" w:hAnsi="Times New Roman" w:cs="Times New Roman"/>
          <w:sz w:val="24"/>
          <w:szCs w:val="24"/>
          <w:lang w:val="en-GB"/>
        </w:rPr>
        <w:t xml:space="preserve"> used as </w:t>
      </w:r>
      <w:r w:rsidR="00C43B86" w:rsidRPr="00462F98">
        <w:rPr>
          <w:rFonts w:ascii="Times New Roman" w:hAnsi="Times New Roman" w:cs="Times New Roman"/>
          <w:sz w:val="24"/>
          <w:szCs w:val="24"/>
          <w:lang w:val="en-GB"/>
        </w:rPr>
        <w:t>incentives</w:t>
      </w:r>
      <w:r w:rsidRPr="00462F98">
        <w:rPr>
          <w:rFonts w:ascii="Times New Roman" w:hAnsi="Times New Roman" w:cs="Times New Roman"/>
          <w:sz w:val="24"/>
          <w:szCs w:val="24"/>
          <w:lang w:val="en-GB"/>
        </w:rPr>
        <w:t xml:space="preserve"> to maintain debt service.</w:t>
      </w:r>
    </w:p>
    <w:p w:rsidR="00E31AAA" w:rsidRPr="00462F98" w:rsidRDefault="00E31AAA" w:rsidP="00DC5BCE">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 xml:space="preserve">The supervision of Bulgaria </w:t>
      </w:r>
      <w:r w:rsidR="00D0167E" w:rsidRPr="00462F98">
        <w:rPr>
          <w:rFonts w:ascii="Times New Roman" w:hAnsi="Times New Roman" w:cs="Times New Roman"/>
          <w:sz w:val="24"/>
          <w:szCs w:val="24"/>
          <w:lang w:val="en-GB"/>
        </w:rPr>
        <w:t>was less intrusive</w:t>
      </w:r>
      <w:r w:rsidR="00A766E9" w:rsidRPr="00462F98">
        <w:rPr>
          <w:rFonts w:ascii="Times New Roman" w:hAnsi="Times New Roman" w:cs="Times New Roman"/>
          <w:sz w:val="24"/>
          <w:szCs w:val="24"/>
          <w:lang w:val="en-GB"/>
        </w:rPr>
        <w:t>. But</w:t>
      </w:r>
      <w:r w:rsidRPr="00462F98">
        <w:rPr>
          <w:rFonts w:ascii="Times New Roman" w:hAnsi="Times New Roman" w:cs="Times New Roman"/>
          <w:sz w:val="24"/>
          <w:szCs w:val="24"/>
          <w:lang w:val="en-GB"/>
        </w:rPr>
        <w:t xml:space="preserve"> the three characteristics o</w:t>
      </w:r>
      <w:r w:rsidR="00AB3297" w:rsidRPr="00462F98">
        <w:rPr>
          <w:rFonts w:ascii="Times New Roman" w:hAnsi="Times New Roman" w:cs="Times New Roman"/>
          <w:sz w:val="24"/>
          <w:szCs w:val="24"/>
          <w:lang w:val="en-GB"/>
        </w:rPr>
        <w:t>utlined above were also present</w:t>
      </w:r>
      <w:r w:rsidR="00B26D38" w:rsidRPr="00462F98">
        <w:rPr>
          <w:rFonts w:ascii="Times New Roman" w:hAnsi="Times New Roman" w:cs="Times New Roman"/>
          <w:sz w:val="24"/>
          <w:szCs w:val="24"/>
          <w:lang w:val="en-GB"/>
        </w:rPr>
        <w:t xml:space="preserve">: creditors took </w:t>
      </w:r>
      <w:r w:rsidRPr="00462F98">
        <w:rPr>
          <w:rFonts w:ascii="Times New Roman" w:hAnsi="Times New Roman" w:cs="Times New Roman"/>
          <w:sz w:val="24"/>
          <w:szCs w:val="24"/>
          <w:lang w:val="en-GB"/>
        </w:rPr>
        <w:t xml:space="preserve">control of a specific income stream (tax on tobacco, Bulgaria’s main export commodity), they insisted on monetary stabilisation (no further loans to the government and a gradual move towards </w:t>
      </w:r>
      <w:r w:rsidR="00547EA3" w:rsidRPr="00462F98">
        <w:rPr>
          <w:rFonts w:ascii="Times New Roman" w:hAnsi="Times New Roman" w:cs="Times New Roman"/>
          <w:sz w:val="24"/>
          <w:szCs w:val="24"/>
          <w:lang w:val="en-GB"/>
        </w:rPr>
        <w:t xml:space="preserve">stable </w:t>
      </w:r>
      <w:r w:rsidRPr="00462F98">
        <w:rPr>
          <w:rFonts w:ascii="Times New Roman" w:hAnsi="Times New Roman" w:cs="Times New Roman"/>
          <w:sz w:val="24"/>
          <w:szCs w:val="24"/>
          <w:lang w:val="en-GB"/>
        </w:rPr>
        <w:t>exchange-rate</w:t>
      </w:r>
      <w:r w:rsidR="00547EA3" w:rsidRPr="00462F98">
        <w:rPr>
          <w:rFonts w:ascii="Times New Roman" w:hAnsi="Times New Roman" w:cs="Times New Roman"/>
          <w:sz w:val="24"/>
          <w:szCs w:val="24"/>
          <w:lang w:val="en-GB"/>
        </w:rPr>
        <w:t>s</w:t>
      </w:r>
      <w:r w:rsidRPr="00462F98">
        <w:rPr>
          <w:rFonts w:ascii="Times New Roman" w:hAnsi="Times New Roman" w:cs="Times New Roman"/>
          <w:sz w:val="24"/>
          <w:szCs w:val="24"/>
          <w:lang w:val="en-GB"/>
        </w:rPr>
        <w:t xml:space="preserve">), and the bondholder’s representative in Sofia required endorsement by </w:t>
      </w:r>
      <w:r w:rsidR="00B90135">
        <w:rPr>
          <w:rFonts w:ascii="Times New Roman" w:hAnsi="Times New Roman" w:cs="Times New Roman"/>
          <w:sz w:val="24"/>
          <w:szCs w:val="24"/>
          <w:lang w:val="en-GB"/>
        </w:rPr>
        <w:t>France</w:t>
      </w:r>
      <w:r w:rsidRPr="00462F98">
        <w:rPr>
          <w:rFonts w:ascii="Times New Roman" w:hAnsi="Times New Roman" w:cs="Times New Roman"/>
          <w:sz w:val="24"/>
          <w:szCs w:val="24"/>
          <w:lang w:val="en-GB"/>
        </w:rPr>
        <w:t xml:space="preserve">, the main </w:t>
      </w:r>
      <w:r w:rsidR="00AB3297" w:rsidRPr="00462F98">
        <w:rPr>
          <w:rFonts w:ascii="Times New Roman" w:hAnsi="Times New Roman" w:cs="Times New Roman"/>
          <w:sz w:val="24"/>
          <w:szCs w:val="24"/>
          <w:lang w:val="en-GB"/>
        </w:rPr>
        <w:t xml:space="preserve">foreign </w:t>
      </w:r>
      <w:r w:rsidRPr="00462F98">
        <w:rPr>
          <w:rFonts w:ascii="Times New Roman" w:hAnsi="Times New Roman" w:cs="Times New Roman"/>
          <w:sz w:val="24"/>
          <w:szCs w:val="24"/>
          <w:lang w:val="en-GB"/>
        </w:rPr>
        <w:t>player.</w:t>
      </w:r>
    </w:p>
    <w:p w:rsidR="00E31AAA" w:rsidRPr="00462F98" w:rsidRDefault="0094763D" w:rsidP="00DC5BCE">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The combined effect</w:t>
      </w:r>
      <w:r w:rsidR="00E31AAA" w:rsidRPr="00462F98">
        <w:rPr>
          <w:rFonts w:ascii="Times New Roman" w:hAnsi="Times New Roman" w:cs="Times New Roman"/>
          <w:sz w:val="24"/>
          <w:szCs w:val="24"/>
          <w:lang w:val="en-GB"/>
        </w:rPr>
        <w:t xml:space="preserve"> of domestic reform and foreign pressure stabilised economic conditions</w:t>
      </w:r>
      <w:r w:rsidR="00AB3297" w:rsidRPr="00462F98">
        <w:rPr>
          <w:rFonts w:ascii="Times New Roman" w:hAnsi="Times New Roman" w:cs="Times New Roman"/>
          <w:sz w:val="24"/>
          <w:szCs w:val="24"/>
          <w:lang w:val="en-GB"/>
        </w:rPr>
        <w:t xml:space="preserve">, improved public finances and eventually </w:t>
      </w:r>
      <w:r w:rsidR="00E31AAA" w:rsidRPr="00462F98">
        <w:rPr>
          <w:rFonts w:ascii="Times New Roman" w:hAnsi="Times New Roman" w:cs="Times New Roman"/>
          <w:sz w:val="24"/>
          <w:szCs w:val="24"/>
          <w:lang w:val="en-GB"/>
        </w:rPr>
        <w:t xml:space="preserve">allowed to leave </w:t>
      </w:r>
      <w:r w:rsidRPr="00462F98">
        <w:rPr>
          <w:rFonts w:ascii="Times New Roman" w:hAnsi="Times New Roman" w:cs="Times New Roman"/>
          <w:sz w:val="24"/>
          <w:szCs w:val="24"/>
          <w:lang w:val="en-GB"/>
        </w:rPr>
        <w:t xml:space="preserve">behind </w:t>
      </w:r>
      <w:r w:rsidR="00E31AAA" w:rsidRPr="00462F98">
        <w:rPr>
          <w:rFonts w:ascii="Times New Roman" w:hAnsi="Times New Roman" w:cs="Times New Roman"/>
          <w:sz w:val="24"/>
          <w:szCs w:val="24"/>
          <w:lang w:val="en-GB"/>
        </w:rPr>
        <w:t xml:space="preserve">the “chaotic years” </w:t>
      </w:r>
      <w:r w:rsidR="00D34709" w:rsidRPr="00462F98">
        <w:rPr>
          <w:rFonts w:ascii="Times New Roman" w:hAnsi="Times New Roman" w:cs="Times New Roman"/>
          <w:color w:val="000000" w:themeColor="text1"/>
          <w:sz w:val="24"/>
          <w:szCs w:val="24"/>
          <w:lang w:val="en-GB"/>
        </w:rPr>
        <w:t>(</w:t>
      </w:r>
      <w:proofErr w:type="spellStart"/>
      <w:r w:rsidR="00D34709" w:rsidRPr="00462F98">
        <w:rPr>
          <w:rFonts w:ascii="Times New Roman" w:hAnsi="Times New Roman" w:cs="Times New Roman"/>
          <w:color w:val="000000" w:themeColor="text1"/>
          <w:sz w:val="24"/>
          <w:szCs w:val="24"/>
          <w:lang w:val="en-GB"/>
        </w:rPr>
        <w:t>Kiosseva</w:t>
      </w:r>
      <w:proofErr w:type="spellEnd"/>
      <w:r w:rsidR="00D34709" w:rsidRPr="00462F98">
        <w:rPr>
          <w:rFonts w:ascii="Times New Roman" w:hAnsi="Times New Roman" w:cs="Times New Roman"/>
          <w:color w:val="000000" w:themeColor="text1"/>
          <w:sz w:val="24"/>
          <w:szCs w:val="24"/>
          <w:lang w:val="en-GB"/>
        </w:rPr>
        <w:t xml:space="preserve"> 2000</w:t>
      </w:r>
      <w:r w:rsidR="00E31AAA" w:rsidRPr="00462F98">
        <w:rPr>
          <w:rFonts w:ascii="Times New Roman" w:hAnsi="Times New Roman" w:cs="Times New Roman"/>
          <w:color w:val="000000" w:themeColor="text1"/>
          <w:sz w:val="24"/>
          <w:szCs w:val="24"/>
          <w:lang w:val="en-GB"/>
        </w:rPr>
        <w:t>)</w:t>
      </w:r>
      <w:r w:rsidR="00E31AAA" w:rsidRPr="00462F98">
        <w:rPr>
          <w:rFonts w:ascii="Times New Roman" w:hAnsi="Times New Roman" w:cs="Times New Roman"/>
          <w:sz w:val="24"/>
          <w:szCs w:val="24"/>
          <w:lang w:val="en-GB"/>
        </w:rPr>
        <w:t xml:space="preserve">. </w:t>
      </w:r>
      <w:r w:rsidR="00AB3297" w:rsidRPr="00462F98">
        <w:rPr>
          <w:rFonts w:ascii="Times New Roman" w:hAnsi="Times New Roman" w:cs="Times New Roman"/>
          <w:sz w:val="24"/>
          <w:szCs w:val="24"/>
          <w:lang w:val="en-GB"/>
        </w:rPr>
        <w:t>While fiscal stabilisation is the raison d’être of any financial supervision, the historical evidence suggests that it often fails to achieve this objective (</w:t>
      </w:r>
      <w:proofErr w:type="spellStart"/>
      <w:r w:rsidR="00AB3297" w:rsidRPr="00462F98">
        <w:rPr>
          <w:rFonts w:ascii="Times New Roman" w:hAnsi="Times New Roman" w:cs="Times New Roman"/>
          <w:sz w:val="24"/>
          <w:szCs w:val="24"/>
          <w:lang w:val="en-GB"/>
        </w:rPr>
        <w:t>Maurer&amp;Arroyo</w:t>
      </w:r>
      <w:proofErr w:type="spellEnd"/>
      <w:r w:rsidR="00AB3297" w:rsidRPr="00462F98">
        <w:rPr>
          <w:rFonts w:ascii="Times New Roman" w:hAnsi="Times New Roman" w:cs="Times New Roman"/>
          <w:sz w:val="24"/>
          <w:szCs w:val="24"/>
          <w:lang w:val="en-GB"/>
        </w:rPr>
        <w:t xml:space="preserve"> Abad 2017). The SEE experience was more benign: t</w:t>
      </w:r>
      <w:r w:rsidR="00E31AAA" w:rsidRPr="00462F98">
        <w:rPr>
          <w:rFonts w:ascii="Times New Roman" w:hAnsi="Times New Roman" w:cs="Times New Roman"/>
          <w:sz w:val="24"/>
          <w:szCs w:val="24"/>
          <w:lang w:val="en-GB"/>
        </w:rPr>
        <w:t>he exchange-rate appreciated, debt-to-GDP levels came down, access to capital markets</w:t>
      </w:r>
      <w:r w:rsidR="00AB3297" w:rsidRPr="00462F98">
        <w:rPr>
          <w:rFonts w:ascii="Times New Roman" w:hAnsi="Times New Roman" w:cs="Times New Roman"/>
          <w:sz w:val="24"/>
          <w:szCs w:val="24"/>
          <w:lang w:val="en-GB"/>
        </w:rPr>
        <w:t xml:space="preserve"> became secure and </w:t>
      </w:r>
      <w:r w:rsidR="00AB3297" w:rsidRPr="00462F98">
        <w:rPr>
          <w:rFonts w:ascii="Times New Roman" w:hAnsi="Times New Roman" w:cs="Times New Roman"/>
          <w:sz w:val="24"/>
          <w:szCs w:val="24"/>
          <w:lang w:val="en-GB"/>
        </w:rPr>
        <w:lastRenderedPageBreak/>
        <w:t xml:space="preserve">seigniorage </w:t>
      </w:r>
      <w:r w:rsidR="00E31AAA" w:rsidRPr="00462F98">
        <w:rPr>
          <w:rFonts w:ascii="Times New Roman" w:hAnsi="Times New Roman" w:cs="Times New Roman"/>
          <w:sz w:val="24"/>
          <w:szCs w:val="24"/>
          <w:lang w:val="en-GB"/>
        </w:rPr>
        <w:t>was no longer required to finance deficits. In this environment, Bulgaria</w:t>
      </w:r>
      <w:r w:rsidR="005D0F4F" w:rsidRPr="00462F98">
        <w:rPr>
          <w:rFonts w:ascii="Times New Roman" w:hAnsi="Times New Roman" w:cs="Times New Roman"/>
          <w:sz w:val="24"/>
          <w:szCs w:val="24"/>
          <w:lang w:val="en-GB"/>
        </w:rPr>
        <w:t xml:space="preserve"> </w:t>
      </w:r>
      <w:r w:rsidR="00036909" w:rsidRPr="00462F98">
        <w:rPr>
          <w:rFonts w:ascii="Times New Roman" w:hAnsi="Times New Roman" w:cs="Times New Roman"/>
          <w:sz w:val="24"/>
          <w:szCs w:val="24"/>
          <w:lang w:val="en-GB"/>
        </w:rPr>
        <w:t>began</w:t>
      </w:r>
      <w:r w:rsidR="00E31AAA" w:rsidRPr="00462F98">
        <w:rPr>
          <w:rFonts w:ascii="Times New Roman" w:hAnsi="Times New Roman" w:cs="Times New Roman"/>
          <w:sz w:val="24"/>
          <w:szCs w:val="24"/>
          <w:lang w:val="en-GB"/>
        </w:rPr>
        <w:t xml:space="preserve"> shadow</w:t>
      </w:r>
      <w:r w:rsidR="00036909" w:rsidRPr="00462F98">
        <w:rPr>
          <w:rFonts w:ascii="Times New Roman" w:hAnsi="Times New Roman" w:cs="Times New Roman"/>
          <w:sz w:val="24"/>
          <w:szCs w:val="24"/>
          <w:lang w:val="en-GB"/>
        </w:rPr>
        <w:t>ing</w:t>
      </w:r>
      <w:r w:rsidR="00E31AAA" w:rsidRPr="00462F98">
        <w:rPr>
          <w:rFonts w:ascii="Times New Roman" w:hAnsi="Times New Roman" w:cs="Times New Roman"/>
          <w:sz w:val="24"/>
          <w:szCs w:val="24"/>
          <w:lang w:val="en-GB"/>
        </w:rPr>
        <w:t xml:space="preserve"> gold in 1906, followed by Serbia in 1909 and Greece in 1910. The SEE countries had finally implemented their gold standard legislation from four decades earlier.</w:t>
      </w:r>
    </w:p>
    <w:p w:rsidR="0098038B" w:rsidRDefault="0098038B" w:rsidP="00694495">
      <w:pPr>
        <w:spacing w:after="0" w:line="360" w:lineRule="auto"/>
        <w:rPr>
          <w:rFonts w:ascii="Times New Roman" w:hAnsi="Times New Roman" w:cs="Times New Roman"/>
          <w:b/>
          <w:color w:val="000000" w:themeColor="text1"/>
          <w:sz w:val="24"/>
          <w:szCs w:val="24"/>
          <w:lang w:val="en-GB"/>
        </w:rPr>
      </w:pPr>
    </w:p>
    <w:p w:rsidR="00694495" w:rsidRPr="00462F98" w:rsidRDefault="003B2E1C" w:rsidP="00694495">
      <w:pPr>
        <w:spacing w:after="0" w:line="360" w:lineRule="auto"/>
        <w:rPr>
          <w:rFonts w:ascii="Times New Roman" w:hAnsi="Times New Roman" w:cs="Times New Roman"/>
          <w:b/>
          <w:i/>
          <w:color w:val="000000" w:themeColor="text1"/>
          <w:sz w:val="24"/>
          <w:szCs w:val="24"/>
          <w:lang w:val="en-GB"/>
        </w:rPr>
      </w:pPr>
      <w:r>
        <w:rPr>
          <w:rFonts w:ascii="Times New Roman" w:hAnsi="Times New Roman" w:cs="Times New Roman"/>
          <w:b/>
          <w:color w:val="000000" w:themeColor="text1"/>
          <w:sz w:val="24"/>
          <w:szCs w:val="24"/>
          <w:lang w:val="en-GB"/>
        </w:rPr>
        <w:t>Period IV</w:t>
      </w:r>
      <w:r w:rsidR="00694495" w:rsidRPr="00462F98">
        <w:rPr>
          <w:rFonts w:ascii="Times New Roman" w:hAnsi="Times New Roman" w:cs="Times New Roman"/>
          <w:b/>
          <w:color w:val="000000" w:themeColor="text1"/>
          <w:sz w:val="24"/>
          <w:szCs w:val="24"/>
          <w:lang w:val="en-GB"/>
        </w:rPr>
        <w:t>: War Period</w:t>
      </w:r>
      <w:r w:rsidR="007D22F5" w:rsidRPr="00462F98">
        <w:rPr>
          <w:rFonts w:ascii="Times New Roman" w:hAnsi="Times New Roman" w:cs="Times New Roman"/>
          <w:b/>
          <w:color w:val="000000" w:themeColor="text1"/>
          <w:sz w:val="24"/>
          <w:szCs w:val="24"/>
          <w:lang w:val="en-GB"/>
        </w:rPr>
        <w:t xml:space="preserve"> 1912-1918</w:t>
      </w:r>
      <w:r w:rsidR="003F4300" w:rsidRPr="00462F98">
        <w:rPr>
          <w:rFonts w:ascii="Times New Roman" w:hAnsi="Times New Roman" w:cs="Times New Roman"/>
          <w:b/>
          <w:color w:val="000000" w:themeColor="text1"/>
          <w:sz w:val="24"/>
          <w:szCs w:val="24"/>
          <w:lang w:val="en-GB"/>
        </w:rPr>
        <w:t xml:space="preserve"> </w:t>
      </w:r>
      <w:r w:rsidR="00F07186" w:rsidRPr="00462F98">
        <w:rPr>
          <w:rFonts w:ascii="Times New Roman" w:hAnsi="Times New Roman" w:cs="Times New Roman"/>
          <w:b/>
          <w:i/>
          <w:color w:val="000000" w:themeColor="text1"/>
          <w:sz w:val="24"/>
          <w:szCs w:val="24"/>
          <w:lang w:val="en-GB"/>
        </w:rPr>
        <w:t>(predominantly seigniorage)</w:t>
      </w:r>
    </w:p>
    <w:p w:rsidR="00CF72A3" w:rsidRPr="00462F98" w:rsidRDefault="00694495" w:rsidP="00CF72A3">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Fiscal consolidation and monetary stabilisation end</w:t>
      </w:r>
      <w:r w:rsidR="00364D18">
        <w:rPr>
          <w:rFonts w:ascii="Times New Roman" w:hAnsi="Times New Roman" w:cs="Times New Roman"/>
          <w:sz w:val="24"/>
          <w:szCs w:val="24"/>
          <w:lang w:val="en-GB"/>
        </w:rPr>
        <w:t>ed</w:t>
      </w:r>
      <w:r w:rsidRPr="00462F98">
        <w:rPr>
          <w:rFonts w:ascii="Times New Roman" w:hAnsi="Times New Roman" w:cs="Times New Roman"/>
          <w:sz w:val="24"/>
          <w:szCs w:val="24"/>
          <w:lang w:val="en-GB"/>
        </w:rPr>
        <w:t xml:space="preserve"> with the Balkan Wars. Wartime exigencies overrode peacetime constraints, </w:t>
      </w:r>
      <w:r w:rsidRPr="00462F98">
        <w:rPr>
          <w:rFonts w:ascii="Times New Roman" w:hAnsi="Times New Roman" w:cs="Times New Roman"/>
          <w:color w:val="000000" w:themeColor="text1"/>
          <w:sz w:val="24"/>
          <w:szCs w:val="24"/>
          <w:lang w:val="en-GB"/>
        </w:rPr>
        <w:t xml:space="preserve">including </w:t>
      </w:r>
      <w:r w:rsidRPr="00462F98">
        <w:rPr>
          <w:rFonts w:ascii="Times New Roman" w:hAnsi="Times New Roman" w:cs="Times New Roman"/>
          <w:sz w:val="24"/>
          <w:szCs w:val="24"/>
          <w:lang w:val="en-GB"/>
        </w:rPr>
        <w:t xml:space="preserve">the supervision arrangements. </w:t>
      </w:r>
      <w:r w:rsidR="00751DA4" w:rsidRPr="00462F98">
        <w:rPr>
          <w:rFonts w:ascii="Times New Roman" w:hAnsi="Times New Roman" w:cs="Times New Roman"/>
          <w:color w:val="000000" w:themeColor="text1"/>
          <w:sz w:val="24"/>
          <w:szCs w:val="24"/>
          <w:lang w:val="en-GB"/>
        </w:rPr>
        <w:t>WW1</w:t>
      </w:r>
      <w:r w:rsidR="00A42F1B" w:rsidRPr="00462F98">
        <w:rPr>
          <w:rFonts w:ascii="Times New Roman" w:hAnsi="Times New Roman" w:cs="Times New Roman"/>
          <w:color w:val="000000" w:themeColor="text1"/>
          <w:sz w:val="24"/>
          <w:szCs w:val="24"/>
          <w:lang w:val="en-GB"/>
        </w:rPr>
        <w:t xml:space="preserve"> </w:t>
      </w:r>
      <w:r w:rsidR="007876DE" w:rsidRPr="00462F98">
        <w:rPr>
          <w:rFonts w:ascii="Times New Roman" w:hAnsi="Times New Roman" w:cs="Times New Roman"/>
          <w:color w:val="000000" w:themeColor="text1"/>
          <w:sz w:val="24"/>
          <w:szCs w:val="24"/>
          <w:lang w:val="en-GB"/>
        </w:rPr>
        <w:t xml:space="preserve">was </w:t>
      </w:r>
      <w:r w:rsidR="00A42F1B" w:rsidRPr="00462F98">
        <w:rPr>
          <w:rFonts w:ascii="Times New Roman" w:hAnsi="Times New Roman" w:cs="Times New Roman"/>
          <w:color w:val="000000" w:themeColor="text1"/>
          <w:sz w:val="24"/>
          <w:szCs w:val="24"/>
          <w:lang w:val="en-GB"/>
        </w:rPr>
        <w:t xml:space="preserve">financed </w:t>
      </w:r>
      <w:r w:rsidR="008C0233">
        <w:rPr>
          <w:rFonts w:ascii="Times New Roman" w:hAnsi="Times New Roman" w:cs="Times New Roman"/>
          <w:color w:val="000000" w:themeColor="text1"/>
          <w:sz w:val="24"/>
          <w:szCs w:val="24"/>
          <w:lang w:val="en-GB"/>
        </w:rPr>
        <w:t>largely</w:t>
      </w:r>
      <w:r w:rsidR="00A42F1B" w:rsidRPr="00462F98">
        <w:rPr>
          <w:rFonts w:ascii="Times New Roman" w:hAnsi="Times New Roman" w:cs="Times New Roman"/>
          <w:color w:val="000000" w:themeColor="text1"/>
          <w:sz w:val="24"/>
          <w:szCs w:val="24"/>
          <w:lang w:val="en-GB"/>
        </w:rPr>
        <w:t xml:space="preserve"> by the printing press.</w:t>
      </w:r>
      <w:r w:rsidR="00547EA3" w:rsidRPr="00462F98">
        <w:rPr>
          <w:rFonts w:ascii="Times New Roman" w:hAnsi="Times New Roman" w:cs="Times New Roman"/>
          <w:color w:val="000000" w:themeColor="text1"/>
          <w:sz w:val="24"/>
          <w:szCs w:val="24"/>
          <w:lang w:val="en-GB"/>
        </w:rPr>
        <w:t xml:space="preserve"> </w:t>
      </w:r>
      <w:r w:rsidR="0070226B" w:rsidRPr="00462F98">
        <w:rPr>
          <w:rFonts w:ascii="Times New Roman" w:hAnsi="Times New Roman" w:cs="Times New Roman"/>
          <w:sz w:val="24"/>
          <w:szCs w:val="24"/>
          <w:lang w:val="en-GB"/>
        </w:rPr>
        <w:t xml:space="preserve">Given the financial needs of three wars within six years, results were as expected: an average annual money </w:t>
      </w:r>
      <w:r w:rsidR="006174AA" w:rsidRPr="00462F98">
        <w:rPr>
          <w:rFonts w:ascii="Times New Roman" w:hAnsi="Times New Roman" w:cs="Times New Roman"/>
          <w:sz w:val="24"/>
          <w:szCs w:val="24"/>
          <w:lang w:val="en-GB"/>
        </w:rPr>
        <w:t>growth rate in excess of 20%</w:t>
      </w:r>
      <w:r w:rsidR="0070226B" w:rsidRPr="00462F98">
        <w:rPr>
          <w:rFonts w:ascii="Times New Roman" w:hAnsi="Times New Roman" w:cs="Times New Roman"/>
          <w:sz w:val="24"/>
          <w:szCs w:val="24"/>
          <w:lang w:val="en-GB"/>
        </w:rPr>
        <w:t xml:space="preserve"> </w:t>
      </w:r>
      <w:r w:rsidR="00013624" w:rsidRPr="00462F98">
        <w:rPr>
          <w:rFonts w:ascii="Times New Roman" w:hAnsi="Times New Roman" w:cs="Times New Roman"/>
          <w:sz w:val="24"/>
          <w:szCs w:val="24"/>
          <w:lang w:val="en-GB"/>
        </w:rPr>
        <w:t>(table 7</w:t>
      </w:r>
      <w:r w:rsidR="006174AA" w:rsidRPr="00462F98">
        <w:rPr>
          <w:rFonts w:ascii="Times New Roman" w:hAnsi="Times New Roman" w:cs="Times New Roman"/>
          <w:sz w:val="24"/>
          <w:szCs w:val="24"/>
          <w:lang w:val="en-GB"/>
        </w:rPr>
        <w:t>)</w:t>
      </w:r>
      <w:r w:rsidR="0070226B" w:rsidRPr="00462F98">
        <w:rPr>
          <w:rFonts w:ascii="Times New Roman" w:hAnsi="Times New Roman" w:cs="Times New Roman"/>
          <w:sz w:val="24"/>
          <w:szCs w:val="24"/>
          <w:lang w:val="en-GB"/>
        </w:rPr>
        <w:t>. Excha</w:t>
      </w:r>
      <w:r w:rsidR="00AB3297" w:rsidRPr="00462F98">
        <w:rPr>
          <w:rFonts w:ascii="Times New Roman" w:hAnsi="Times New Roman" w:cs="Times New Roman"/>
          <w:sz w:val="24"/>
          <w:szCs w:val="24"/>
          <w:lang w:val="en-GB"/>
        </w:rPr>
        <w:t>nge-rates began to float</w:t>
      </w:r>
      <w:r w:rsidR="006174AA" w:rsidRPr="00462F98">
        <w:rPr>
          <w:rFonts w:ascii="Times New Roman" w:hAnsi="Times New Roman" w:cs="Times New Roman"/>
          <w:sz w:val="24"/>
          <w:szCs w:val="24"/>
          <w:lang w:val="en-GB"/>
        </w:rPr>
        <w:t>,</w:t>
      </w:r>
      <w:r w:rsidR="0070226B" w:rsidRPr="00462F98">
        <w:rPr>
          <w:rFonts w:ascii="Times New Roman" w:hAnsi="Times New Roman" w:cs="Times New Roman"/>
          <w:sz w:val="24"/>
          <w:szCs w:val="24"/>
          <w:lang w:val="en-GB"/>
        </w:rPr>
        <w:t xml:space="preserve"> </w:t>
      </w:r>
      <w:r w:rsidR="00AB3297" w:rsidRPr="00462F98">
        <w:rPr>
          <w:rFonts w:ascii="Times New Roman" w:hAnsi="Times New Roman" w:cs="Times New Roman"/>
          <w:sz w:val="24"/>
          <w:szCs w:val="24"/>
          <w:lang w:val="en-GB"/>
        </w:rPr>
        <w:t xml:space="preserve">and </w:t>
      </w:r>
      <w:r w:rsidR="008C0233">
        <w:rPr>
          <w:rFonts w:ascii="Times New Roman" w:hAnsi="Times New Roman" w:cs="Times New Roman"/>
          <w:sz w:val="24"/>
          <w:szCs w:val="24"/>
          <w:lang w:val="en-GB"/>
        </w:rPr>
        <w:t xml:space="preserve">national </w:t>
      </w:r>
      <w:r w:rsidR="006609D8" w:rsidRPr="00462F98">
        <w:rPr>
          <w:rFonts w:ascii="Times New Roman" w:hAnsi="Times New Roman" w:cs="Times New Roman"/>
          <w:sz w:val="24"/>
          <w:szCs w:val="24"/>
          <w:lang w:val="en-GB"/>
        </w:rPr>
        <w:t xml:space="preserve">banks became subservient to the treasury. </w:t>
      </w:r>
    </w:p>
    <w:p w:rsidR="00F70A3F" w:rsidRPr="009D0A87" w:rsidRDefault="00F70A3F" w:rsidP="006609D8">
      <w:pPr>
        <w:spacing w:after="0" w:line="360" w:lineRule="auto"/>
        <w:rPr>
          <w:rFonts w:ascii="Times New Roman" w:hAnsi="Times New Roman" w:cs="Times New Roman"/>
          <w:b/>
          <w:sz w:val="24"/>
          <w:szCs w:val="24"/>
          <w:lang w:val="en-GB"/>
        </w:rPr>
      </w:pPr>
    </w:p>
    <w:p w:rsidR="006609D8" w:rsidRPr="00462F98" w:rsidRDefault="003B2E1C" w:rsidP="006609D8">
      <w:pPr>
        <w:spacing w:after="0" w:line="360" w:lineRule="auto"/>
        <w:rPr>
          <w:rFonts w:ascii="Times New Roman" w:hAnsi="Times New Roman" w:cs="Times New Roman"/>
          <w:color w:val="000000" w:themeColor="text1"/>
          <w:sz w:val="24"/>
          <w:szCs w:val="24"/>
          <w:lang w:val="en-GB"/>
        </w:rPr>
      </w:pPr>
      <w:r>
        <w:rPr>
          <w:rFonts w:ascii="Times New Roman" w:hAnsi="Times New Roman" w:cs="Times New Roman"/>
          <w:b/>
          <w:color w:val="000000" w:themeColor="text1"/>
          <w:sz w:val="24"/>
          <w:szCs w:val="24"/>
          <w:lang w:val="en-GB"/>
        </w:rPr>
        <w:t>Period V</w:t>
      </w:r>
      <w:r w:rsidR="006609D8" w:rsidRPr="00462F98">
        <w:rPr>
          <w:rFonts w:ascii="Times New Roman" w:hAnsi="Times New Roman" w:cs="Times New Roman"/>
          <w:b/>
          <w:color w:val="000000" w:themeColor="text1"/>
          <w:sz w:val="24"/>
          <w:szCs w:val="24"/>
          <w:lang w:val="en-GB"/>
        </w:rPr>
        <w:t>: End of World War I to exchange-rate stabilisation</w:t>
      </w:r>
    </w:p>
    <w:p w:rsidR="006174AA" w:rsidRPr="00462F98" w:rsidRDefault="006174AA" w:rsidP="006174AA">
      <w:pPr>
        <w:spacing w:after="0" w:line="360" w:lineRule="auto"/>
        <w:rPr>
          <w:rFonts w:ascii="Times New Roman" w:hAnsi="Times New Roman" w:cs="Times New Roman"/>
          <w:b/>
          <w:i/>
          <w:color w:val="000000" w:themeColor="text1"/>
          <w:sz w:val="24"/>
          <w:szCs w:val="24"/>
          <w:lang w:val="en-GB"/>
        </w:rPr>
      </w:pPr>
      <w:r w:rsidRPr="00462F98">
        <w:rPr>
          <w:rFonts w:ascii="Times New Roman" w:hAnsi="Times New Roman" w:cs="Times New Roman"/>
          <w:b/>
          <w:i/>
          <w:color w:val="000000" w:themeColor="text1"/>
          <w:sz w:val="24"/>
          <w:szCs w:val="24"/>
          <w:lang w:val="en-GB"/>
        </w:rPr>
        <w:t>(predominantly seigniorage)</w:t>
      </w:r>
    </w:p>
    <w:p w:rsidR="006609D8" w:rsidRPr="00462F98" w:rsidRDefault="006609D8" w:rsidP="006609D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Access to foreign capital improved</w:t>
      </w:r>
      <w:r w:rsidR="006174AA" w:rsidRPr="00462F98">
        <w:rPr>
          <w:rFonts w:ascii="Times New Roman" w:hAnsi="Times New Roman" w:cs="Times New Roman"/>
          <w:sz w:val="24"/>
          <w:szCs w:val="24"/>
          <w:lang w:val="en-GB"/>
        </w:rPr>
        <w:t xml:space="preserve"> only marginally after </w:t>
      </w:r>
      <w:r w:rsidR="00751DA4" w:rsidRPr="00462F98">
        <w:rPr>
          <w:rFonts w:ascii="Times New Roman" w:hAnsi="Times New Roman" w:cs="Times New Roman"/>
          <w:sz w:val="24"/>
          <w:szCs w:val="24"/>
          <w:lang w:val="en-GB"/>
        </w:rPr>
        <w:t>WW1</w:t>
      </w:r>
      <w:r w:rsidRPr="00462F98">
        <w:rPr>
          <w:rFonts w:ascii="Times New Roman" w:hAnsi="Times New Roman" w:cs="Times New Roman"/>
          <w:sz w:val="24"/>
          <w:szCs w:val="24"/>
          <w:lang w:val="en-GB"/>
        </w:rPr>
        <w:t xml:space="preserve">. Bulgaria was shut out until 1926, and Greece received a first loan in 1924 strictly </w:t>
      </w:r>
      <w:r w:rsidR="006174AA" w:rsidRPr="00462F98">
        <w:rPr>
          <w:rFonts w:ascii="Times New Roman" w:hAnsi="Times New Roman" w:cs="Times New Roman"/>
          <w:sz w:val="24"/>
          <w:szCs w:val="24"/>
          <w:lang w:val="en-GB"/>
        </w:rPr>
        <w:t>tied to the integration of 1.5</w:t>
      </w:r>
      <w:r w:rsidRPr="00462F98">
        <w:rPr>
          <w:rFonts w:ascii="Times New Roman" w:hAnsi="Times New Roman" w:cs="Times New Roman"/>
          <w:sz w:val="24"/>
          <w:szCs w:val="24"/>
          <w:lang w:val="en-GB"/>
        </w:rPr>
        <w:t xml:space="preserve"> million refugees following the Greco-Turkish War</w:t>
      </w:r>
      <w:r w:rsidR="003F4300" w:rsidRPr="00462F98">
        <w:rPr>
          <w:rFonts w:ascii="Times New Roman" w:hAnsi="Times New Roman" w:cs="Times New Roman"/>
          <w:sz w:val="24"/>
          <w:szCs w:val="24"/>
          <w:lang w:val="en-GB"/>
        </w:rPr>
        <w:t xml:space="preserve"> (1919-1922)</w:t>
      </w:r>
      <w:r w:rsidRPr="00462F98">
        <w:rPr>
          <w:rFonts w:ascii="Times New Roman" w:hAnsi="Times New Roman" w:cs="Times New Roman"/>
          <w:sz w:val="24"/>
          <w:szCs w:val="24"/>
          <w:lang w:val="en-GB"/>
        </w:rPr>
        <w:t xml:space="preserve">. Only for Romania and Yugoslavia </w:t>
      </w:r>
      <w:r w:rsidR="007876DE" w:rsidRPr="00462F98">
        <w:rPr>
          <w:rFonts w:ascii="Times New Roman" w:hAnsi="Times New Roman" w:cs="Times New Roman"/>
          <w:sz w:val="24"/>
          <w:szCs w:val="24"/>
          <w:lang w:val="en-GB"/>
        </w:rPr>
        <w:t>did capital imports co</w:t>
      </w:r>
      <w:r w:rsidRPr="00462F98">
        <w:rPr>
          <w:rFonts w:ascii="Times New Roman" w:hAnsi="Times New Roman" w:cs="Times New Roman"/>
          <w:sz w:val="24"/>
          <w:szCs w:val="24"/>
          <w:lang w:val="en-GB"/>
        </w:rPr>
        <w:t xml:space="preserve">me forward </w:t>
      </w:r>
      <w:r w:rsidR="00271176" w:rsidRPr="00462F98">
        <w:rPr>
          <w:rFonts w:ascii="Times New Roman" w:hAnsi="Times New Roman" w:cs="Times New Roman"/>
          <w:sz w:val="24"/>
          <w:szCs w:val="24"/>
          <w:lang w:val="en-GB"/>
        </w:rPr>
        <w:t>earlier</w:t>
      </w:r>
      <w:r w:rsidRPr="00462F98">
        <w:rPr>
          <w:rFonts w:ascii="Times New Roman" w:hAnsi="Times New Roman" w:cs="Times New Roman"/>
          <w:sz w:val="24"/>
          <w:szCs w:val="24"/>
          <w:lang w:val="en-GB"/>
        </w:rPr>
        <w:t>, though in small amounts initially.</w:t>
      </w:r>
    </w:p>
    <w:p w:rsidR="00391D5B" w:rsidRPr="00462F98" w:rsidRDefault="006609D8" w:rsidP="006609D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 xml:space="preserve">The lack of capital imports </w:t>
      </w:r>
      <w:r w:rsidR="006174AA" w:rsidRPr="00462F98">
        <w:rPr>
          <w:rFonts w:ascii="Times New Roman" w:hAnsi="Times New Roman" w:cs="Times New Roman"/>
          <w:sz w:val="24"/>
          <w:szCs w:val="24"/>
          <w:lang w:val="en-GB"/>
        </w:rPr>
        <w:t xml:space="preserve">was in sharp contrast to </w:t>
      </w:r>
      <w:r w:rsidRPr="00462F98">
        <w:rPr>
          <w:rFonts w:ascii="Times New Roman" w:hAnsi="Times New Roman" w:cs="Times New Roman"/>
          <w:sz w:val="24"/>
          <w:szCs w:val="24"/>
          <w:lang w:val="en-GB"/>
        </w:rPr>
        <w:t xml:space="preserve">the </w:t>
      </w:r>
      <w:r w:rsidR="006174AA" w:rsidRPr="00462F98">
        <w:rPr>
          <w:rFonts w:ascii="Times New Roman" w:hAnsi="Times New Roman" w:cs="Times New Roman"/>
          <w:sz w:val="24"/>
          <w:szCs w:val="24"/>
          <w:lang w:val="en-GB"/>
        </w:rPr>
        <w:t>sizeable</w:t>
      </w:r>
      <w:r w:rsidRPr="00462F98">
        <w:rPr>
          <w:rFonts w:ascii="Times New Roman" w:hAnsi="Times New Roman" w:cs="Times New Roman"/>
          <w:sz w:val="24"/>
          <w:szCs w:val="24"/>
          <w:lang w:val="en-GB"/>
        </w:rPr>
        <w:t xml:space="preserve"> financial needs. Romania, Yugoslavia (compared to pre-war Serbia) and Greece had all more than doub</w:t>
      </w:r>
      <w:r w:rsidR="00A75C7B" w:rsidRPr="00462F98">
        <w:rPr>
          <w:rFonts w:ascii="Times New Roman" w:hAnsi="Times New Roman" w:cs="Times New Roman"/>
          <w:sz w:val="24"/>
          <w:szCs w:val="24"/>
          <w:lang w:val="en-GB"/>
        </w:rPr>
        <w:t xml:space="preserve">led their populations and </w:t>
      </w:r>
      <w:r w:rsidRPr="00462F98">
        <w:rPr>
          <w:rFonts w:ascii="Times New Roman" w:hAnsi="Times New Roman" w:cs="Times New Roman"/>
          <w:sz w:val="24"/>
          <w:szCs w:val="24"/>
          <w:lang w:val="en-GB"/>
        </w:rPr>
        <w:t>terr</w:t>
      </w:r>
      <w:r w:rsidR="007876DE" w:rsidRPr="00462F98">
        <w:rPr>
          <w:rFonts w:ascii="Times New Roman" w:hAnsi="Times New Roman" w:cs="Times New Roman"/>
          <w:sz w:val="24"/>
          <w:szCs w:val="24"/>
          <w:lang w:val="en-GB"/>
        </w:rPr>
        <w:t>itories</w:t>
      </w:r>
      <w:r w:rsidR="00391D5B" w:rsidRPr="00462F98">
        <w:rPr>
          <w:rFonts w:ascii="Times New Roman" w:hAnsi="Times New Roman" w:cs="Times New Roman"/>
          <w:sz w:val="24"/>
          <w:szCs w:val="24"/>
          <w:lang w:val="en-GB"/>
        </w:rPr>
        <w:t xml:space="preserve">, creating needs for new infrastructure in addition to dealing with wartime destruction. Bulgaria, for </w:t>
      </w:r>
      <w:r w:rsidR="00A03A65" w:rsidRPr="00462F98">
        <w:rPr>
          <w:rFonts w:ascii="Times New Roman" w:hAnsi="Times New Roman" w:cs="Times New Roman"/>
          <w:sz w:val="24"/>
          <w:szCs w:val="24"/>
          <w:lang w:val="en-GB"/>
        </w:rPr>
        <w:t xml:space="preserve">its part, had to settle </w:t>
      </w:r>
      <w:r w:rsidR="009B4747" w:rsidRPr="00462F98">
        <w:rPr>
          <w:rFonts w:ascii="Times New Roman" w:hAnsi="Times New Roman" w:cs="Times New Roman"/>
          <w:sz w:val="24"/>
          <w:szCs w:val="24"/>
          <w:lang w:val="en-GB"/>
        </w:rPr>
        <w:t>400,000</w:t>
      </w:r>
      <w:r w:rsidR="00391D5B" w:rsidRPr="00462F98">
        <w:rPr>
          <w:rFonts w:ascii="Times New Roman" w:hAnsi="Times New Roman" w:cs="Times New Roman"/>
          <w:sz w:val="24"/>
          <w:szCs w:val="24"/>
          <w:lang w:val="en-GB"/>
        </w:rPr>
        <w:t xml:space="preserve"> refugees from territories lost to Greece and Yugoslavia.</w:t>
      </w:r>
    </w:p>
    <w:p w:rsidR="00A03A65" w:rsidRPr="00462F98" w:rsidRDefault="00391D5B" w:rsidP="00A03A65">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The resulting financial needs were larger than even the wartime exigencie</w:t>
      </w:r>
      <w:r w:rsidR="00364D18">
        <w:rPr>
          <w:rFonts w:ascii="Times New Roman" w:hAnsi="Times New Roman" w:cs="Times New Roman"/>
          <w:sz w:val="24"/>
          <w:szCs w:val="24"/>
          <w:lang w:val="en-GB"/>
        </w:rPr>
        <w:t>s had been. D</w:t>
      </w:r>
      <w:r w:rsidRPr="00462F98">
        <w:rPr>
          <w:rFonts w:ascii="Times New Roman" w:hAnsi="Times New Roman" w:cs="Times New Roman"/>
          <w:sz w:val="24"/>
          <w:szCs w:val="24"/>
          <w:lang w:val="en-GB"/>
        </w:rPr>
        <w:t>ebt monetisation levels were higher aft</w:t>
      </w:r>
      <w:r w:rsidR="009B4747" w:rsidRPr="00462F98">
        <w:rPr>
          <w:rFonts w:ascii="Times New Roman" w:hAnsi="Times New Roman" w:cs="Times New Roman"/>
          <w:sz w:val="24"/>
          <w:szCs w:val="24"/>
          <w:lang w:val="en-GB"/>
        </w:rPr>
        <w:t xml:space="preserve">er 1918 than during 1912-1918. Taking </w:t>
      </w:r>
      <w:r w:rsidRPr="00462F98">
        <w:rPr>
          <w:rFonts w:ascii="Times New Roman" w:hAnsi="Times New Roman" w:cs="Times New Roman"/>
          <w:sz w:val="24"/>
          <w:szCs w:val="24"/>
          <w:lang w:val="en-GB"/>
        </w:rPr>
        <w:t xml:space="preserve">periods </w:t>
      </w:r>
      <w:r w:rsidR="009B4747" w:rsidRPr="00462F98">
        <w:rPr>
          <w:rFonts w:ascii="Times New Roman" w:hAnsi="Times New Roman" w:cs="Times New Roman"/>
          <w:sz w:val="24"/>
          <w:szCs w:val="24"/>
          <w:lang w:val="en-GB"/>
        </w:rPr>
        <w:t xml:space="preserve">4 and 5 </w:t>
      </w:r>
      <w:r w:rsidRPr="00462F98">
        <w:rPr>
          <w:rFonts w:ascii="Times New Roman" w:hAnsi="Times New Roman" w:cs="Times New Roman"/>
          <w:sz w:val="24"/>
          <w:szCs w:val="24"/>
          <w:lang w:val="en-GB"/>
        </w:rPr>
        <w:t>together, countries relied for more than a decade on the printing press</w:t>
      </w:r>
      <w:r w:rsidR="00013624" w:rsidRPr="00462F98">
        <w:rPr>
          <w:rFonts w:ascii="Times New Roman" w:hAnsi="Times New Roman" w:cs="Times New Roman"/>
          <w:sz w:val="24"/>
          <w:szCs w:val="24"/>
          <w:lang w:val="en-GB"/>
        </w:rPr>
        <w:t xml:space="preserve">. When </w:t>
      </w:r>
      <w:r w:rsidRPr="00462F98">
        <w:rPr>
          <w:rFonts w:ascii="Times New Roman" w:hAnsi="Times New Roman" w:cs="Times New Roman"/>
          <w:sz w:val="24"/>
          <w:szCs w:val="24"/>
          <w:lang w:val="en-GB"/>
        </w:rPr>
        <w:t xml:space="preserve">exchange-rates </w:t>
      </w:r>
      <w:r w:rsidRPr="00462F98">
        <w:rPr>
          <w:rFonts w:ascii="Times New Roman" w:hAnsi="Times New Roman" w:cs="Times New Roman"/>
          <w:color w:val="000000" w:themeColor="text1"/>
          <w:sz w:val="24"/>
          <w:szCs w:val="24"/>
          <w:lang w:val="en-GB"/>
        </w:rPr>
        <w:t>stabilise</w:t>
      </w:r>
      <w:r w:rsidR="00C6412E" w:rsidRPr="00462F98">
        <w:rPr>
          <w:rFonts w:ascii="Times New Roman" w:hAnsi="Times New Roman" w:cs="Times New Roman"/>
          <w:color w:val="000000" w:themeColor="text1"/>
          <w:sz w:val="24"/>
          <w:szCs w:val="24"/>
          <w:lang w:val="en-GB"/>
        </w:rPr>
        <w:t>d</w:t>
      </w:r>
      <w:r w:rsidR="009B4747" w:rsidRPr="00462F98">
        <w:rPr>
          <w:rFonts w:ascii="Times New Roman" w:hAnsi="Times New Roman" w:cs="Times New Roman"/>
          <w:color w:val="000000" w:themeColor="text1"/>
          <w:sz w:val="24"/>
          <w:szCs w:val="24"/>
          <w:lang w:val="en-GB"/>
        </w:rPr>
        <w:t xml:space="preserve"> between 1924 and 1927</w:t>
      </w:r>
      <w:r w:rsidRPr="00462F98">
        <w:rPr>
          <w:rFonts w:ascii="Times New Roman" w:hAnsi="Times New Roman" w:cs="Times New Roman"/>
          <w:color w:val="000000" w:themeColor="text1"/>
          <w:sz w:val="24"/>
          <w:szCs w:val="24"/>
          <w:lang w:val="en-GB"/>
        </w:rPr>
        <w:t xml:space="preserve">, </w:t>
      </w:r>
      <w:r w:rsidR="009B4747" w:rsidRPr="00462F98">
        <w:rPr>
          <w:rFonts w:ascii="Times New Roman" w:hAnsi="Times New Roman" w:cs="Times New Roman"/>
          <w:color w:val="000000" w:themeColor="text1"/>
          <w:sz w:val="24"/>
          <w:szCs w:val="24"/>
          <w:lang w:val="en-GB"/>
        </w:rPr>
        <w:t xml:space="preserve">the </w:t>
      </w:r>
      <w:r w:rsidR="00364D18">
        <w:rPr>
          <w:rFonts w:ascii="Times New Roman" w:hAnsi="Times New Roman" w:cs="Times New Roman"/>
          <w:color w:val="000000" w:themeColor="text1"/>
          <w:sz w:val="24"/>
          <w:szCs w:val="24"/>
          <w:lang w:val="en-GB"/>
        </w:rPr>
        <w:t>four</w:t>
      </w:r>
      <w:r w:rsidR="009B4747" w:rsidRPr="00462F98">
        <w:rPr>
          <w:rFonts w:ascii="Times New Roman" w:hAnsi="Times New Roman" w:cs="Times New Roman"/>
          <w:color w:val="000000" w:themeColor="text1"/>
          <w:sz w:val="24"/>
          <w:szCs w:val="24"/>
          <w:lang w:val="en-GB"/>
        </w:rPr>
        <w:t xml:space="preserve"> currencies had lost between 91</w:t>
      </w:r>
      <w:r w:rsidRPr="00462F98">
        <w:rPr>
          <w:rFonts w:ascii="Times New Roman" w:hAnsi="Times New Roman" w:cs="Times New Roman"/>
          <w:color w:val="000000" w:themeColor="text1"/>
          <w:sz w:val="24"/>
          <w:szCs w:val="24"/>
          <w:lang w:val="en-GB"/>
        </w:rPr>
        <w:t>% and 97% of their pre-war value</w:t>
      </w:r>
      <w:r w:rsidR="009B4747" w:rsidRPr="00462F98">
        <w:rPr>
          <w:rFonts w:ascii="Times New Roman" w:hAnsi="Times New Roman" w:cs="Times New Roman"/>
          <w:color w:val="000000" w:themeColor="text1"/>
          <w:sz w:val="24"/>
          <w:szCs w:val="24"/>
          <w:lang w:val="en-GB"/>
        </w:rPr>
        <w:t xml:space="preserve">; nowhere in </w:t>
      </w:r>
      <w:r w:rsidRPr="00462F98">
        <w:rPr>
          <w:rFonts w:ascii="Times New Roman" w:hAnsi="Times New Roman" w:cs="Times New Roman"/>
          <w:color w:val="000000" w:themeColor="text1"/>
          <w:sz w:val="24"/>
          <w:szCs w:val="24"/>
          <w:lang w:val="en-GB"/>
        </w:rPr>
        <w:t xml:space="preserve">Europe </w:t>
      </w:r>
      <w:r w:rsidR="009B4747" w:rsidRPr="00462F98">
        <w:rPr>
          <w:rFonts w:ascii="Times New Roman" w:hAnsi="Times New Roman" w:cs="Times New Roman"/>
          <w:sz w:val="24"/>
          <w:szCs w:val="24"/>
          <w:lang w:val="en-GB"/>
        </w:rPr>
        <w:t>had</w:t>
      </w:r>
      <w:r w:rsidRPr="00462F98">
        <w:rPr>
          <w:rFonts w:ascii="Times New Roman" w:hAnsi="Times New Roman" w:cs="Times New Roman"/>
          <w:sz w:val="24"/>
          <w:szCs w:val="24"/>
          <w:lang w:val="en-GB"/>
        </w:rPr>
        <w:t xml:space="preserve"> depreciation </w:t>
      </w:r>
      <w:r w:rsidR="009B4747" w:rsidRPr="00462F98">
        <w:rPr>
          <w:rFonts w:ascii="Times New Roman" w:hAnsi="Times New Roman" w:cs="Times New Roman"/>
          <w:sz w:val="24"/>
          <w:szCs w:val="24"/>
          <w:lang w:val="en-GB"/>
        </w:rPr>
        <w:t xml:space="preserve">been </w:t>
      </w:r>
      <w:r w:rsidRPr="00462F98">
        <w:rPr>
          <w:rFonts w:ascii="Times New Roman" w:hAnsi="Times New Roman" w:cs="Times New Roman"/>
          <w:sz w:val="24"/>
          <w:szCs w:val="24"/>
          <w:lang w:val="en-GB"/>
        </w:rPr>
        <w:t>as high as in SEE.</w:t>
      </w:r>
    </w:p>
    <w:p w:rsidR="00F70A3F" w:rsidRPr="009D0A87" w:rsidRDefault="00F70A3F" w:rsidP="00A03A65">
      <w:pPr>
        <w:spacing w:after="0" w:line="360" w:lineRule="auto"/>
        <w:jc w:val="both"/>
        <w:rPr>
          <w:rFonts w:ascii="Times New Roman" w:hAnsi="Times New Roman" w:cs="Times New Roman"/>
          <w:sz w:val="24"/>
          <w:szCs w:val="24"/>
          <w:lang w:val="en-GB"/>
        </w:rPr>
      </w:pPr>
    </w:p>
    <w:p w:rsidR="00CF72A3" w:rsidRPr="00462F98" w:rsidRDefault="003B2E1C" w:rsidP="00391D5B">
      <w:pPr>
        <w:spacing w:after="0" w:line="360" w:lineRule="auto"/>
        <w:jc w:val="both"/>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Period VI</w:t>
      </w:r>
      <w:r w:rsidR="00500D47" w:rsidRPr="00462F98">
        <w:rPr>
          <w:rFonts w:ascii="Times New Roman" w:hAnsi="Times New Roman" w:cs="Times New Roman"/>
          <w:b/>
          <w:color w:val="000000" w:themeColor="text1"/>
          <w:sz w:val="24"/>
          <w:szCs w:val="24"/>
          <w:lang w:val="en-GB"/>
        </w:rPr>
        <w:t>: Exchange-rate stabilisation to abandonment of the gold standard</w:t>
      </w:r>
      <w:r w:rsidR="003F4300" w:rsidRPr="00462F98">
        <w:rPr>
          <w:rFonts w:ascii="Times New Roman" w:hAnsi="Times New Roman" w:cs="Times New Roman"/>
          <w:b/>
          <w:color w:val="000000" w:themeColor="text1"/>
          <w:sz w:val="24"/>
          <w:szCs w:val="24"/>
          <w:lang w:val="en-GB"/>
        </w:rPr>
        <w:t xml:space="preserve"> in 1931/32</w:t>
      </w:r>
    </w:p>
    <w:p w:rsidR="009B4747" w:rsidRPr="00462F98" w:rsidRDefault="009B4747" w:rsidP="0083542A">
      <w:pPr>
        <w:spacing w:after="0" w:line="360" w:lineRule="auto"/>
        <w:jc w:val="both"/>
        <w:rPr>
          <w:rFonts w:ascii="Times New Roman" w:hAnsi="Times New Roman" w:cs="Times New Roman"/>
          <w:b/>
          <w:i/>
          <w:color w:val="000000" w:themeColor="text1"/>
          <w:sz w:val="24"/>
          <w:szCs w:val="24"/>
          <w:lang w:val="en-GB"/>
        </w:rPr>
      </w:pPr>
      <w:r w:rsidRPr="00462F98">
        <w:rPr>
          <w:rFonts w:ascii="Times New Roman" w:hAnsi="Times New Roman" w:cs="Times New Roman"/>
          <w:b/>
          <w:i/>
          <w:color w:val="000000" w:themeColor="text1"/>
          <w:sz w:val="24"/>
          <w:szCs w:val="24"/>
          <w:lang w:val="en-GB"/>
        </w:rPr>
        <w:t>(only capital imports)</w:t>
      </w:r>
    </w:p>
    <w:p w:rsidR="0083542A" w:rsidRPr="008C0233" w:rsidRDefault="00391D5B" w:rsidP="0083542A">
      <w:pPr>
        <w:spacing w:after="0" w:line="360" w:lineRule="auto"/>
        <w:jc w:val="both"/>
        <w:rPr>
          <w:rFonts w:ascii="Times New Roman" w:hAnsi="Times New Roman" w:cs="Times New Roman"/>
          <w:color w:val="000000" w:themeColor="text1"/>
          <w:sz w:val="24"/>
          <w:szCs w:val="24"/>
          <w:u w:val="single"/>
          <w:lang w:val="en-GB"/>
        </w:rPr>
      </w:pPr>
      <w:r w:rsidRPr="00462F98">
        <w:rPr>
          <w:rFonts w:ascii="Times New Roman" w:hAnsi="Times New Roman" w:cs="Times New Roman"/>
          <w:color w:val="000000" w:themeColor="text1"/>
          <w:sz w:val="24"/>
          <w:szCs w:val="24"/>
          <w:lang w:val="en-GB"/>
        </w:rPr>
        <w:t xml:space="preserve">Financial needs for infrastructure, refugee settlement, re-armament and to cover the ordinary budget remained high </w:t>
      </w:r>
      <w:r w:rsidR="0098038B">
        <w:rPr>
          <w:rFonts w:ascii="Times New Roman" w:hAnsi="Times New Roman" w:cs="Times New Roman"/>
          <w:color w:val="000000" w:themeColor="text1"/>
          <w:sz w:val="24"/>
          <w:szCs w:val="24"/>
          <w:lang w:val="en-GB"/>
        </w:rPr>
        <w:t>but</w:t>
      </w:r>
      <w:r w:rsidRPr="00462F98">
        <w:rPr>
          <w:rFonts w:ascii="Times New Roman" w:hAnsi="Times New Roman" w:cs="Times New Roman"/>
          <w:color w:val="000000" w:themeColor="text1"/>
          <w:sz w:val="24"/>
          <w:szCs w:val="24"/>
          <w:lang w:val="en-GB"/>
        </w:rPr>
        <w:t xml:space="preserve"> could not be addressed until capital imports resumed on a bigger scale. Policy-makers </w:t>
      </w:r>
      <w:r w:rsidR="009B4747" w:rsidRPr="00462F98">
        <w:rPr>
          <w:rFonts w:ascii="Times New Roman" w:hAnsi="Times New Roman" w:cs="Times New Roman"/>
          <w:color w:val="000000" w:themeColor="text1"/>
          <w:sz w:val="24"/>
          <w:szCs w:val="24"/>
          <w:lang w:val="en-GB"/>
        </w:rPr>
        <w:t xml:space="preserve">were </w:t>
      </w:r>
      <w:r w:rsidR="00C6412E" w:rsidRPr="00462F98">
        <w:rPr>
          <w:rFonts w:ascii="Times New Roman" w:hAnsi="Times New Roman" w:cs="Times New Roman"/>
          <w:color w:val="000000" w:themeColor="text1"/>
          <w:sz w:val="24"/>
          <w:szCs w:val="24"/>
          <w:lang w:val="en-GB"/>
        </w:rPr>
        <w:t>keenly</w:t>
      </w:r>
      <w:r w:rsidR="009B4747" w:rsidRPr="00462F98">
        <w:rPr>
          <w:rFonts w:ascii="Times New Roman" w:hAnsi="Times New Roman" w:cs="Times New Roman"/>
          <w:color w:val="000000" w:themeColor="text1"/>
          <w:sz w:val="24"/>
          <w:szCs w:val="24"/>
          <w:lang w:val="en-GB"/>
        </w:rPr>
        <w:t xml:space="preserve"> aware of this, but</w:t>
      </w:r>
      <w:r w:rsidRPr="00462F98">
        <w:rPr>
          <w:rFonts w:ascii="Times New Roman" w:hAnsi="Times New Roman" w:cs="Times New Roman"/>
          <w:color w:val="000000" w:themeColor="text1"/>
          <w:sz w:val="24"/>
          <w:szCs w:val="24"/>
          <w:lang w:val="en-GB"/>
        </w:rPr>
        <w:t xml:space="preserve"> they also knew the pre-condition: exchange-rate stabilisation including convertibility into gold.</w:t>
      </w:r>
      <w:r w:rsidR="00A75C7B" w:rsidRPr="00462F98">
        <w:rPr>
          <w:rFonts w:ascii="Times New Roman" w:hAnsi="Times New Roman" w:cs="Times New Roman"/>
          <w:sz w:val="24"/>
          <w:szCs w:val="24"/>
          <w:lang w:val="en-GB"/>
        </w:rPr>
        <w:t xml:space="preserve"> </w:t>
      </w:r>
      <w:r w:rsidR="0098038B">
        <w:rPr>
          <w:rFonts w:ascii="Times New Roman" w:hAnsi="Times New Roman" w:cs="Times New Roman"/>
          <w:sz w:val="24"/>
          <w:szCs w:val="24"/>
          <w:lang w:val="en-GB"/>
        </w:rPr>
        <w:t xml:space="preserve">In fact, </w:t>
      </w:r>
      <w:r w:rsidR="00A06BA4" w:rsidRPr="00462F98">
        <w:rPr>
          <w:rFonts w:ascii="Times New Roman" w:hAnsi="Times New Roman" w:cs="Times New Roman"/>
          <w:sz w:val="24"/>
          <w:szCs w:val="24"/>
          <w:lang w:val="en-GB"/>
        </w:rPr>
        <w:t xml:space="preserve">lenders had only recently re-affirmed their principal commitment to </w:t>
      </w:r>
      <w:r w:rsidR="009B4747" w:rsidRPr="00462F98">
        <w:rPr>
          <w:rFonts w:ascii="Times New Roman" w:hAnsi="Times New Roman" w:cs="Times New Roman"/>
          <w:sz w:val="24"/>
          <w:szCs w:val="24"/>
          <w:lang w:val="en-GB"/>
        </w:rPr>
        <w:t>link both issues</w:t>
      </w:r>
      <w:r w:rsidR="008A26BF">
        <w:rPr>
          <w:rFonts w:ascii="Times New Roman" w:hAnsi="Times New Roman" w:cs="Times New Roman"/>
          <w:sz w:val="24"/>
          <w:szCs w:val="24"/>
          <w:lang w:val="en-GB"/>
        </w:rPr>
        <w:t>.</w:t>
      </w:r>
      <w:r w:rsidR="00A06BA4" w:rsidRPr="00462F98">
        <w:rPr>
          <w:rFonts w:ascii="Times New Roman" w:hAnsi="Times New Roman" w:cs="Times New Roman"/>
          <w:sz w:val="24"/>
          <w:szCs w:val="24"/>
          <w:lang w:val="en-GB"/>
        </w:rPr>
        <w:t xml:space="preserve"> League of Nations loans </w:t>
      </w:r>
      <w:r w:rsidR="00A06BA4" w:rsidRPr="00462F98">
        <w:rPr>
          <w:rFonts w:ascii="Times New Roman" w:hAnsi="Times New Roman" w:cs="Times New Roman"/>
          <w:sz w:val="24"/>
          <w:szCs w:val="24"/>
          <w:lang w:val="en-GB"/>
        </w:rPr>
        <w:lastRenderedPageBreak/>
        <w:t>– the fall</w:t>
      </w:r>
      <w:r w:rsidR="006E62D5">
        <w:rPr>
          <w:rFonts w:ascii="Times New Roman" w:hAnsi="Times New Roman" w:cs="Times New Roman"/>
          <w:sz w:val="24"/>
          <w:szCs w:val="24"/>
          <w:lang w:val="en-GB"/>
        </w:rPr>
        <w:t>-</w:t>
      </w:r>
      <w:r w:rsidR="00A06BA4" w:rsidRPr="00462F98">
        <w:rPr>
          <w:rFonts w:ascii="Times New Roman" w:hAnsi="Times New Roman" w:cs="Times New Roman"/>
          <w:sz w:val="24"/>
          <w:szCs w:val="24"/>
          <w:lang w:val="en-GB"/>
        </w:rPr>
        <w:t xml:space="preserve">back position for </w:t>
      </w:r>
      <w:r w:rsidR="009B4747" w:rsidRPr="00462F98">
        <w:rPr>
          <w:rFonts w:ascii="Times New Roman" w:hAnsi="Times New Roman" w:cs="Times New Roman"/>
          <w:sz w:val="24"/>
          <w:szCs w:val="24"/>
          <w:lang w:val="en-GB"/>
        </w:rPr>
        <w:t xml:space="preserve">less </w:t>
      </w:r>
      <w:r w:rsidR="009B4747" w:rsidRPr="00462F98">
        <w:rPr>
          <w:rFonts w:ascii="Times New Roman" w:hAnsi="Times New Roman" w:cs="Times New Roman"/>
          <w:color w:val="000000" w:themeColor="text1"/>
          <w:sz w:val="24"/>
          <w:szCs w:val="24"/>
          <w:lang w:val="en-GB"/>
        </w:rPr>
        <w:t>reputable</w:t>
      </w:r>
      <w:r w:rsidR="00A06BA4" w:rsidRPr="00462F98">
        <w:rPr>
          <w:rFonts w:ascii="Times New Roman" w:hAnsi="Times New Roman" w:cs="Times New Roman"/>
          <w:color w:val="000000" w:themeColor="text1"/>
          <w:sz w:val="24"/>
          <w:szCs w:val="24"/>
          <w:lang w:val="en-GB"/>
        </w:rPr>
        <w:t xml:space="preserve"> debtors in the 1920s</w:t>
      </w:r>
      <w:r w:rsidR="009B4747" w:rsidRPr="00462F98">
        <w:rPr>
          <w:rFonts w:ascii="Times New Roman" w:hAnsi="Times New Roman" w:cs="Times New Roman"/>
          <w:color w:val="000000" w:themeColor="text1"/>
          <w:sz w:val="24"/>
          <w:szCs w:val="24"/>
          <w:lang w:val="en-GB"/>
        </w:rPr>
        <w:t xml:space="preserve"> (</w:t>
      </w:r>
      <w:proofErr w:type="spellStart"/>
      <w:r w:rsidR="00F60423" w:rsidRPr="00462F98">
        <w:rPr>
          <w:rFonts w:ascii="Times New Roman" w:hAnsi="Times New Roman" w:cs="Times New Roman"/>
          <w:color w:val="000000" w:themeColor="text1"/>
          <w:sz w:val="24"/>
          <w:szCs w:val="24"/>
          <w:lang w:val="en-GB"/>
        </w:rPr>
        <w:t>Flores&amp;Decorzant</w:t>
      </w:r>
      <w:proofErr w:type="spellEnd"/>
      <w:r w:rsidR="00F60423" w:rsidRPr="00462F98">
        <w:rPr>
          <w:rFonts w:ascii="Times New Roman" w:hAnsi="Times New Roman" w:cs="Times New Roman"/>
          <w:color w:val="000000" w:themeColor="text1"/>
          <w:sz w:val="24"/>
          <w:szCs w:val="24"/>
          <w:lang w:val="en-GB"/>
        </w:rPr>
        <w:t xml:space="preserve"> 2016</w:t>
      </w:r>
      <w:r w:rsidR="009B4747" w:rsidRPr="00462F98">
        <w:rPr>
          <w:rFonts w:ascii="Times New Roman" w:hAnsi="Times New Roman" w:cs="Times New Roman"/>
          <w:color w:val="000000" w:themeColor="text1"/>
          <w:sz w:val="24"/>
          <w:szCs w:val="24"/>
          <w:lang w:val="en-GB"/>
        </w:rPr>
        <w:t>)</w:t>
      </w:r>
      <w:r w:rsidR="00A06BA4" w:rsidRPr="00462F98">
        <w:rPr>
          <w:rFonts w:ascii="Times New Roman" w:hAnsi="Times New Roman" w:cs="Times New Roman"/>
          <w:color w:val="000000" w:themeColor="text1"/>
          <w:sz w:val="24"/>
          <w:szCs w:val="24"/>
          <w:lang w:val="en-GB"/>
        </w:rPr>
        <w:t xml:space="preserve"> – were made available only to </w:t>
      </w:r>
      <w:r w:rsidR="00A06BA4" w:rsidRPr="00462F98">
        <w:rPr>
          <w:rFonts w:ascii="Times New Roman" w:hAnsi="Times New Roman" w:cs="Times New Roman"/>
          <w:sz w:val="24"/>
          <w:szCs w:val="24"/>
          <w:lang w:val="en-GB"/>
        </w:rPr>
        <w:t>countries with fixed exchange-rates</w:t>
      </w:r>
      <w:r w:rsidR="00B90135">
        <w:rPr>
          <w:rFonts w:ascii="Times New Roman" w:hAnsi="Times New Roman" w:cs="Times New Roman"/>
          <w:sz w:val="24"/>
          <w:szCs w:val="24"/>
          <w:lang w:val="en-GB"/>
        </w:rPr>
        <w:t>.</w:t>
      </w:r>
      <w:r w:rsidR="00A06BA4" w:rsidRPr="00462F98">
        <w:rPr>
          <w:rFonts w:ascii="Times New Roman" w:hAnsi="Times New Roman" w:cs="Times New Roman"/>
          <w:sz w:val="24"/>
          <w:szCs w:val="24"/>
          <w:lang w:val="en-GB"/>
        </w:rPr>
        <w:t xml:space="preserve"> </w:t>
      </w:r>
    </w:p>
    <w:p w:rsidR="00F70A3F" w:rsidRPr="00462F98" w:rsidRDefault="00F70A3F" w:rsidP="003F4300">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ab/>
        <w:t xml:space="preserve">Western European countries were open to calls for new capital imports, but they demanded guarantees in light of the chequered pre-war record. In essence, they desired a “continuation of pre-war practice” </w:t>
      </w:r>
      <w:r w:rsidRPr="008A26BF">
        <w:rPr>
          <w:rFonts w:ascii="Times New Roman" w:hAnsi="Times New Roman" w:cs="Times New Roman"/>
          <w:color w:val="000000" w:themeColor="text1"/>
          <w:sz w:val="24"/>
          <w:szCs w:val="24"/>
          <w:lang w:val="en-GB"/>
        </w:rPr>
        <w:t>(</w:t>
      </w:r>
      <w:proofErr w:type="spellStart"/>
      <w:r w:rsidRPr="008A26BF">
        <w:rPr>
          <w:rFonts w:ascii="Times New Roman" w:hAnsi="Times New Roman" w:cs="Times New Roman"/>
          <w:color w:val="000000" w:themeColor="text1"/>
          <w:sz w:val="24"/>
          <w:szCs w:val="24"/>
          <w:lang w:val="en-GB"/>
        </w:rPr>
        <w:t>Tooze&amp;Ivanov</w:t>
      </w:r>
      <w:proofErr w:type="spellEnd"/>
      <w:r w:rsidRPr="008A26BF">
        <w:rPr>
          <w:rFonts w:ascii="Times New Roman" w:hAnsi="Times New Roman" w:cs="Times New Roman"/>
          <w:color w:val="000000" w:themeColor="text1"/>
          <w:sz w:val="24"/>
          <w:szCs w:val="24"/>
          <w:lang w:val="en-GB"/>
        </w:rPr>
        <w:t xml:space="preserve"> 2011: 39), by </w:t>
      </w:r>
      <w:r w:rsidRPr="00462F98">
        <w:rPr>
          <w:rFonts w:ascii="Times New Roman" w:hAnsi="Times New Roman" w:cs="Times New Roman"/>
          <w:sz w:val="24"/>
          <w:szCs w:val="24"/>
          <w:lang w:val="en-GB"/>
        </w:rPr>
        <w:t xml:space="preserve">which the SEE countries submitted to financial supervision in exchange for capital imports. The key features of the pre-war period – fiscal consolidation, monetary stabilisation and supervision by governments – were all present in the interwar arrangements as well. </w:t>
      </w:r>
    </w:p>
    <w:p w:rsidR="00B57372" w:rsidRPr="00462F98" w:rsidRDefault="0083542A" w:rsidP="0083542A">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 xml:space="preserve">Fiscal consolidation remained the centre piece, and supervision became more complete and intrusive than before the war. All government revenues were </w:t>
      </w:r>
      <w:r w:rsidR="00FA76ED" w:rsidRPr="00462F98">
        <w:rPr>
          <w:rFonts w:ascii="Times New Roman" w:hAnsi="Times New Roman" w:cs="Times New Roman"/>
          <w:sz w:val="24"/>
          <w:szCs w:val="24"/>
          <w:lang w:val="en-GB"/>
        </w:rPr>
        <w:t xml:space="preserve">henceforth </w:t>
      </w:r>
      <w:r w:rsidRPr="00462F98">
        <w:rPr>
          <w:rFonts w:ascii="Times New Roman" w:hAnsi="Times New Roman" w:cs="Times New Roman"/>
          <w:sz w:val="24"/>
          <w:szCs w:val="24"/>
          <w:lang w:val="en-GB"/>
        </w:rPr>
        <w:t>subject to control, and reporting on the fiscal situation was now done on a quarterly basis. Accuracy of reports was achieved by foreign experts embedded at the finance ministry</w:t>
      </w:r>
      <w:r w:rsidR="00FA76ED" w:rsidRPr="00462F98">
        <w:rPr>
          <w:rFonts w:ascii="Times New Roman" w:hAnsi="Times New Roman" w:cs="Times New Roman"/>
          <w:sz w:val="24"/>
          <w:szCs w:val="24"/>
          <w:lang w:val="en-GB"/>
        </w:rPr>
        <w:t xml:space="preserve"> (</w:t>
      </w:r>
      <w:proofErr w:type="spellStart"/>
      <w:r w:rsidR="00FA76ED" w:rsidRPr="00462F98">
        <w:rPr>
          <w:rFonts w:ascii="Times New Roman" w:hAnsi="Times New Roman" w:cs="Times New Roman"/>
          <w:sz w:val="24"/>
          <w:szCs w:val="24"/>
          <w:lang w:val="en-GB"/>
        </w:rPr>
        <w:t>Pepelasis</w:t>
      </w:r>
      <w:proofErr w:type="spellEnd"/>
      <w:r w:rsidR="00FA76ED" w:rsidRPr="00462F98">
        <w:rPr>
          <w:rFonts w:ascii="Times New Roman" w:hAnsi="Times New Roman" w:cs="Times New Roman"/>
          <w:sz w:val="24"/>
          <w:szCs w:val="24"/>
          <w:lang w:val="en-GB"/>
        </w:rPr>
        <w:t xml:space="preserve"> </w:t>
      </w:r>
      <w:proofErr w:type="spellStart"/>
      <w:r w:rsidR="00FA76ED" w:rsidRPr="00462F98">
        <w:rPr>
          <w:rFonts w:ascii="Times New Roman" w:hAnsi="Times New Roman" w:cs="Times New Roman"/>
          <w:sz w:val="24"/>
          <w:szCs w:val="24"/>
          <w:lang w:val="en-GB"/>
        </w:rPr>
        <w:t>Minoglou</w:t>
      </w:r>
      <w:proofErr w:type="spellEnd"/>
      <w:r w:rsidR="00FA76ED" w:rsidRPr="00462F98">
        <w:rPr>
          <w:rFonts w:ascii="Times New Roman" w:hAnsi="Times New Roman" w:cs="Times New Roman"/>
          <w:sz w:val="24"/>
          <w:szCs w:val="24"/>
          <w:lang w:val="en-GB"/>
        </w:rPr>
        <w:t xml:space="preserve"> 1993, </w:t>
      </w:r>
      <w:proofErr w:type="spellStart"/>
      <w:r w:rsidR="009515FE">
        <w:rPr>
          <w:rFonts w:ascii="Times New Roman" w:hAnsi="Times New Roman" w:cs="Times New Roman"/>
          <w:sz w:val="24"/>
          <w:szCs w:val="24"/>
          <w:lang w:val="en-GB"/>
        </w:rPr>
        <w:t>Tooye&amp;Ivanov</w:t>
      </w:r>
      <w:proofErr w:type="spellEnd"/>
      <w:r w:rsidR="009515FE">
        <w:rPr>
          <w:rFonts w:ascii="Times New Roman" w:hAnsi="Times New Roman" w:cs="Times New Roman"/>
          <w:sz w:val="24"/>
          <w:szCs w:val="24"/>
          <w:lang w:val="en-GB"/>
        </w:rPr>
        <w:t xml:space="preserve"> 2011</w:t>
      </w:r>
      <w:r w:rsidR="00FA76ED" w:rsidRPr="008A26BF">
        <w:rPr>
          <w:rFonts w:ascii="Times New Roman" w:hAnsi="Times New Roman" w:cs="Times New Roman"/>
          <w:color w:val="000000" w:themeColor="text1"/>
          <w:sz w:val="24"/>
          <w:szCs w:val="24"/>
          <w:lang w:val="en-GB"/>
        </w:rPr>
        <w:t>).</w:t>
      </w:r>
      <w:r w:rsidR="008C0233">
        <w:rPr>
          <w:rFonts w:ascii="Times New Roman" w:hAnsi="Times New Roman" w:cs="Times New Roman"/>
          <w:color w:val="000000" w:themeColor="text1"/>
          <w:sz w:val="24"/>
          <w:szCs w:val="24"/>
          <w:lang w:val="en-GB"/>
        </w:rPr>
        <w:t xml:space="preserve"> </w:t>
      </w:r>
      <w:r w:rsidRPr="00462F98">
        <w:rPr>
          <w:rFonts w:ascii="Times New Roman" w:hAnsi="Times New Roman" w:cs="Times New Roman"/>
          <w:sz w:val="24"/>
          <w:szCs w:val="24"/>
          <w:lang w:val="en-GB"/>
        </w:rPr>
        <w:t>Monetary stabilisation was the second pillar</w:t>
      </w:r>
      <w:r w:rsidR="00973763">
        <w:rPr>
          <w:rFonts w:ascii="Times New Roman" w:hAnsi="Times New Roman" w:cs="Times New Roman"/>
          <w:sz w:val="24"/>
          <w:szCs w:val="24"/>
          <w:lang w:val="en-GB"/>
        </w:rPr>
        <w:t>. T</w:t>
      </w:r>
      <w:r w:rsidR="000D46A7" w:rsidRPr="00462F98">
        <w:rPr>
          <w:rFonts w:ascii="Times New Roman" w:hAnsi="Times New Roman" w:cs="Times New Roman"/>
          <w:sz w:val="24"/>
          <w:szCs w:val="24"/>
          <w:lang w:val="en-GB"/>
        </w:rPr>
        <w:t xml:space="preserve">he </w:t>
      </w:r>
      <w:r w:rsidR="00C6412E" w:rsidRPr="00462F98">
        <w:rPr>
          <w:rFonts w:ascii="Times New Roman" w:hAnsi="Times New Roman" w:cs="Times New Roman"/>
          <w:sz w:val="24"/>
          <w:szCs w:val="24"/>
          <w:lang w:val="en-GB"/>
        </w:rPr>
        <w:t xml:space="preserve">guiding </w:t>
      </w:r>
      <w:r w:rsidR="000D46A7" w:rsidRPr="00462F98">
        <w:rPr>
          <w:rFonts w:ascii="Times New Roman" w:hAnsi="Times New Roman" w:cs="Times New Roman"/>
          <w:sz w:val="24"/>
          <w:szCs w:val="24"/>
          <w:lang w:val="en-GB"/>
        </w:rPr>
        <w:t>principal re</w:t>
      </w:r>
      <w:r w:rsidR="00973763">
        <w:rPr>
          <w:rFonts w:ascii="Times New Roman" w:hAnsi="Times New Roman" w:cs="Times New Roman"/>
          <w:sz w:val="24"/>
          <w:szCs w:val="24"/>
          <w:lang w:val="en-GB"/>
        </w:rPr>
        <w:t>mained identical with</w:t>
      </w:r>
      <w:r w:rsidR="00DF5F4A" w:rsidRPr="00462F98">
        <w:rPr>
          <w:rFonts w:ascii="Times New Roman" w:hAnsi="Times New Roman" w:cs="Times New Roman"/>
          <w:sz w:val="24"/>
          <w:szCs w:val="24"/>
          <w:lang w:val="en-GB"/>
        </w:rPr>
        <w:t xml:space="preserve"> the pre</w:t>
      </w:r>
      <w:r w:rsidR="00537E7C" w:rsidRPr="00462F98">
        <w:rPr>
          <w:rFonts w:ascii="Times New Roman" w:hAnsi="Times New Roman" w:cs="Times New Roman"/>
          <w:sz w:val="24"/>
          <w:szCs w:val="24"/>
          <w:lang w:val="en-GB"/>
        </w:rPr>
        <w:t>-</w:t>
      </w:r>
      <w:r w:rsidR="00DF5F4A" w:rsidRPr="00462F98">
        <w:rPr>
          <w:rFonts w:ascii="Times New Roman" w:hAnsi="Times New Roman" w:cs="Times New Roman"/>
          <w:sz w:val="24"/>
          <w:szCs w:val="24"/>
          <w:lang w:val="en-GB"/>
        </w:rPr>
        <w:t>war</w:t>
      </w:r>
      <w:r w:rsidR="000D46A7" w:rsidRPr="00462F98">
        <w:rPr>
          <w:rFonts w:ascii="Times New Roman" w:hAnsi="Times New Roman" w:cs="Times New Roman"/>
          <w:sz w:val="24"/>
          <w:szCs w:val="24"/>
          <w:lang w:val="en-GB"/>
        </w:rPr>
        <w:t xml:space="preserve"> period, </w:t>
      </w:r>
      <w:r w:rsidR="00973763">
        <w:rPr>
          <w:rFonts w:ascii="Times New Roman" w:hAnsi="Times New Roman" w:cs="Times New Roman"/>
          <w:sz w:val="24"/>
          <w:szCs w:val="24"/>
          <w:lang w:val="en-GB"/>
        </w:rPr>
        <w:t xml:space="preserve">but </w:t>
      </w:r>
      <w:r w:rsidR="000D46A7" w:rsidRPr="00462F98">
        <w:rPr>
          <w:rFonts w:ascii="Times New Roman" w:hAnsi="Times New Roman" w:cs="Times New Roman"/>
          <w:sz w:val="24"/>
          <w:szCs w:val="24"/>
          <w:lang w:val="en-GB"/>
        </w:rPr>
        <w:t>the</w:t>
      </w:r>
      <w:r w:rsidR="00973763">
        <w:rPr>
          <w:rFonts w:ascii="Times New Roman" w:hAnsi="Times New Roman" w:cs="Times New Roman"/>
          <w:sz w:val="24"/>
          <w:szCs w:val="24"/>
          <w:lang w:val="en-GB"/>
        </w:rPr>
        <w:t xml:space="preserve"> issue</w:t>
      </w:r>
      <w:r w:rsidR="000D46A7" w:rsidRPr="00462F98">
        <w:rPr>
          <w:rFonts w:ascii="Times New Roman" w:hAnsi="Times New Roman" w:cs="Times New Roman"/>
          <w:sz w:val="24"/>
          <w:szCs w:val="24"/>
          <w:lang w:val="en-GB"/>
        </w:rPr>
        <w:t xml:space="preserve"> posed itself differently</w:t>
      </w:r>
      <w:r w:rsidR="00C6412E" w:rsidRPr="00462F98">
        <w:rPr>
          <w:rFonts w:ascii="Times New Roman" w:hAnsi="Times New Roman" w:cs="Times New Roman"/>
          <w:sz w:val="24"/>
          <w:szCs w:val="24"/>
          <w:lang w:val="en-GB"/>
        </w:rPr>
        <w:t>: f</w:t>
      </w:r>
      <w:r w:rsidR="000D46A7" w:rsidRPr="00462F98">
        <w:rPr>
          <w:rFonts w:ascii="Times New Roman" w:hAnsi="Times New Roman" w:cs="Times New Roman"/>
          <w:sz w:val="24"/>
          <w:szCs w:val="24"/>
          <w:lang w:val="en-GB"/>
        </w:rPr>
        <w:t xml:space="preserve">irst, </w:t>
      </w:r>
      <w:r w:rsidR="00B57372" w:rsidRPr="00462F98">
        <w:rPr>
          <w:rFonts w:ascii="Times New Roman" w:hAnsi="Times New Roman" w:cs="Times New Roman"/>
          <w:sz w:val="24"/>
          <w:szCs w:val="24"/>
          <w:lang w:val="en-GB"/>
        </w:rPr>
        <w:t xml:space="preserve">as </w:t>
      </w:r>
      <w:r w:rsidR="00DF5F4A" w:rsidRPr="00462F98">
        <w:rPr>
          <w:rFonts w:ascii="Times New Roman" w:hAnsi="Times New Roman" w:cs="Times New Roman"/>
          <w:sz w:val="24"/>
          <w:szCs w:val="24"/>
          <w:lang w:val="en-GB"/>
        </w:rPr>
        <w:t xml:space="preserve">SEE </w:t>
      </w:r>
      <w:r w:rsidR="000D46A7" w:rsidRPr="00462F98">
        <w:rPr>
          <w:rFonts w:ascii="Times New Roman" w:hAnsi="Times New Roman" w:cs="Times New Roman"/>
          <w:sz w:val="24"/>
          <w:szCs w:val="24"/>
          <w:lang w:val="en-GB"/>
        </w:rPr>
        <w:t>countries</w:t>
      </w:r>
      <w:r w:rsidR="00B57372" w:rsidRPr="00462F98">
        <w:rPr>
          <w:rFonts w:ascii="Times New Roman" w:hAnsi="Times New Roman" w:cs="Times New Roman"/>
          <w:sz w:val="24"/>
          <w:szCs w:val="24"/>
          <w:lang w:val="en-GB"/>
        </w:rPr>
        <w:t xml:space="preserve"> stabilised their exchange-rates at a level deemed sustainabl</w:t>
      </w:r>
      <w:r w:rsidR="00B26D38" w:rsidRPr="00462F98">
        <w:rPr>
          <w:rFonts w:ascii="Times New Roman" w:hAnsi="Times New Roman" w:cs="Times New Roman"/>
          <w:sz w:val="24"/>
          <w:szCs w:val="24"/>
          <w:lang w:val="en-GB"/>
        </w:rPr>
        <w:t>e in the long-run, ther</w:t>
      </w:r>
      <w:r w:rsidR="00B57372" w:rsidRPr="00462F98">
        <w:rPr>
          <w:rFonts w:ascii="Times New Roman" w:hAnsi="Times New Roman" w:cs="Times New Roman"/>
          <w:sz w:val="24"/>
          <w:szCs w:val="24"/>
          <w:lang w:val="en-GB"/>
        </w:rPr>
        <w:t xml:space="preserve">e was no need to </w:t>
      </w:r>
      <w:r w:rsidR="00DF5F4A" w:rsidRPr="00462F98">
        <w:rPr>
          <w:rFonts w:ascii="Times New Roman" w:hAnsi="Times New Roman" w:cs="Times New Roman"/>
          <w:sz w:val="24"/>
          <w:szCs w:val="24"/>
          <w:lang w:val="en-GB"/>
        </w:rPr>
        <w:t xml:space="preserve">pursue deflationary policies to return the exchange-rate to its old level. </w:t>
      </w:r>
      <w:r w:rsidR="00B57372" w:rsidRPr="00462F98">
        <w:rPr>
          <w:rFonts w:ascii="Times New Roman" w:hAnsi="Times New Roman" w:cs="Times New Roman"/>
          <w:sz w:val="24"/>
          <w:szCs w:val="24"/>
          <w:lang w:val="en-GB"/>
        </w:rPr>
        <w:t xml:space="preserve">Second, a considerable share of the </w:t>
      </w:r>
      <w:r w:rsidR="00537E7C" w:rsidRPr="00462F98">
        <w:rPr>
          <w:rFonts w:ascii="Times New Roman" w:hAnsi="Times New Roman" w:cs="Times New Roman"/>
          <w:sz w:val="24"/>
          <w:szCs w:val="24"/>
          <w:lang w:val="en-GB"/>
        </w:rPr>
        <w:t xml:space="preserve">(initial) </w:t>
      </w:r>
      <w:r w:rsidR="00B57372" w:rsidRPr="00462F98">
        <w:rPr>
          <w:rFonts w:ascii="Times New Roman" w:hAnsi="Times New Roman" w:cs="Times New Roman"/>
          <w:sz w:val="24"/>
          <w:szCs w:val="24"/>
          <w:lang w:val="en-GB"/>
        </w:rPr>
        <w:t xml:space="preserve">loan was reserved for the exchange-rate stabilisation itself: parts of the loan proceeds </w:t>
      </w:r>
      <w:r w:rsidR="00DF5F4A" w:rsidRPr="00462F98">
        <w:rPr>
          <w:rFonts w:ascii="Times New Roman" w:hAnsi="Times New Roman" w:cs="Times New Roman"/>
          <w:sz w:val="24"/>
          <w:szCs w:val="24"/>
          <w:lang w:val="en-GB"/>
        </w:rPr>
        <w:t xml:space="preserve">helped </w:t>
      </w:r>
      <w:r w:rsidR="00B57372" w:rsidRPr="00462F98">
        <w:rPr>
          <w:rFonts w:ascii="Times New Roman" w:hAnsi="Times New Roman" w:cs="Times New Roman"/>
          <w:sz w:val="24"/>
          <w:szCs w:val="24"/>
          <w:lang w:val="en-GB"/>
        </w:rPr>
        <w:t xml:space="preserve">replenish the reserves, allowing the countries to move from stable exchange-rates to </w:t>
      </w:r>
      <w:r w:rsidR="00DF5F4A" w:rsidRPr="00462F98">
        <w:rPr>
          <w:rFonts w:ascii="Times New Roman" w:hAnsi="Times New Roman" w:cs="Times New Roman"/>
          <w:sz w:val="24"/>
          <w:szCs w:val="24"/>
          <w:lang w:val="en-GB"/>
        </w:rPr>
        <w:t xml:space="preserve">gold </w:t>
      </w:r>
      <w:r w:rsidR="00B57372" w:rsidRPr="00462F98">
        <w:rPr>
          <w:rFonts w:ascii="Times New Roman" w:hAnsi="Times New Roman" w:cs="Times New Roman"/>
          <w:sz w:val="24"/>
          <w:szCs w:val="24"/>
          <w:lang w:val="en-GB"/>
        </w:rPr>
        <w:t>convertibility.</w:t>
      </w:r>
      <w:r w:rsidR="00DF5F4A" w:rsidRPr="00462F98">
        <w:rPr>
          <w:rFonts w:ascii="Times New Roman" w:hAnsi="Times New Roman" w:cs="Times New Roman"/>
          <w:sz w:val="24"/>
          <w:szCs w:val="24"/>
          <w:lang w:val="en-GB"/>
        </w:rPr>
        <w:t xml:space="preserve"> Bu</w:t>
      </w:r>
      <w:r w:rsidR="00B57372" w:rsidRPr="00462F98">
        <w:rPr>
          <w:rFonts w:ascii="Times New Roman" w:hAnsi="Times New Roman" w:cs="Times New Roman"/>
          <w:sz w:val="24"/>
          <w:szCs w:val="24"/>
          <w:lang w:val="en-GB"/>
        </w:rPr>
        <w:t>t the overarching principle remained the same: long-term monetary stabilisation require</w:t>
      </w:r>
      <w:r w:rsidR="00DF5F4A" w:rsidRPr="00462F98">
        <w:rPr>
          <w:rFonts w:ascii="Times New Roman" w:hAnsi="Times New Roman" w:cs="Times New Roman"/>
          <w:sz w:val="24"/>
          <w:szCs w:val="24"/>
          <w:lang w:val="en-GB"/>
        </w:rPr>
        <w:t>d</w:t>
      </w:r>
      <w:r w:rsidR="00B57372" w:rsidRPr="00462F98">
        <w:rPr>
          <w:rFonts w:ascii="Times New Roman" w:hAnsi="Times New Roman" w:cs="Times New Roman"/>
          <w:sz w:val="24"/>
          <w:szCs w:val="24"/>
          <w:lang w:val="en-GB"/>
        </w:rPr>
        <w:t xml:space="preserve"> </w:t>
      </w:r>
      <w:r w:rsidR="00F70A3F" w:rsidRPr="00462F98">
        <w:rPr>
          <w:rFonts w:ascii="Times New Roman" w:hAnsi="Times New Roman" w:cs="Times New Roman"/>
          <w:sz w:val="24"/>
          <w:szCs w:val="24"/>
          <w:lang w:val="en-GB"/>
        </w:rPr>
        <w:t xml:space="preserve">an independent central bank and </w:t>
      </w:r>
      <w:r w:rsidR="00B57372" w:rsidRPr="00462F98">
        <w:rPr>
          <w:rFonts w:ascii="Times New Roman" w:hAnsi="Times New Roman" w:cs="Times New Roman"/>
          <w:sz w:val="24"/>
          <w:szCs w:val="24"/>
          <w:lang w:val="en-GB"/>
        </w:rPr>
        <w:t>for</w:t>
      </w:r>
      <w:r w:rsidR="00774654" w:rsidRPr="00462F98">
        <w:rPr>
          <w:rFonts w:ascii="Times New Roman" w:hAnsi="Times New Roman" w:cs="Times New Roman"/>
          <w:sz w:val="24"/>
          <w:szCs w:val="24"/>
          <w:lang w:val="en-GB"/>
        </w:rPr>
        <w:t>e</w:t>
      </w:r>
      <w:r w:rsidR="00F70A3F" w:rsidRPr="00462F98">
        <w:rPr>
          <w:rFonts w:ascii="Times New Roman" w:hAnsi="Times New Roman" w:cs="Times New Roman"/>
          <w:sz w:val="24"/>
          <w:szCs w:val="24"/>
          <w:lang w:val="en-GB"/>
        </w:rPr>
        <w:t>going seigniorage</w:t>
      </w:r>
      <w:r w:rsidR="00774654" w:rsidRPr="00462F98">
        <w:rPr>
          <w:rFonts w:ascii="Times New Roman" w:hAnsi="Times New Roman" w:cs="Times New Roman"/>
          <w:sz w:val="24"/>
          <w:szCs w:val="24"/>
          <w:lang w:val="en-GB"/>
        </w:rPr>
        <w:t>. T</w:t>
      </w:r>
      <w:r w:rsidR="00B57372" w:rsidRPr="00462F98">
        <w:rPr>
          <w:rFonts w:ascii="Times New Roman" w:hAnsi="Times New Roman" w:cs="Times New Roman"/>
          <w:sz w:val="24"/>
          <w:szCs w:val="24"/>
          <w:lang w:val="en-GB"/>
        </w:rPr>
        <w:t>he loan-cum-conditionality agreements fixed precise limits to the timing and</w:t>
      </w:r>
      <w:r w:rsidR="0098038B">
        <w:rPr>
          <w:rFonts w:ascii="Times New Roman" w:hAnsi="Times New Roman" w:cs="Times New Roman"/>
          <w:sz w:val="24"/>
          <w:szCs w:val="24"/>
          <w:lang w:val="en-GB"/>
        </w:rPr>
        <w:t xml:space="preserve"> </w:t>
      </w:r>
      <w:r w:rsidR="00B57372" w:rsidRPr="00462F98">
        <w:rPr>
          <w:rFonts w:ascii="Times New Roman" w:hAnsi="Times New Roman" w:cs="Times New Roman"/>
          <w:sz w:val="24"/>
          <w:szCs w:val="24"/>
          <w:lang w:val="en-GB"/>
        </w:rPr>
        <w:t xml:space="preserve">the extent of debt monetisation and </w:t>
      </w:r>
      <w:r w:rsidR="00774654" w:rsidRPr="00462F98">
        <w:rPr>
          <w:rFonts w:ascii="Times New Roman" w:hAnsi="Times New Roman" w:cs="Times New Roman"/>
          <w:sz w:val="24"/>
          <w:szCs w:val="24"/>
          <w:lang w:val="en-GB"/>
        </w:rPr>
        <w:t>transformed</w:t>
      </w:r>
      <w:r w:rsidR="00B57372" w:rsidRPr="00462F98">
        <w:rPr>
          <w:rFonts w:ascii="Times New Roman" w:hAnsi="Times New Roman" w:cs="Times New Roman"/>
          <w:sz w:val="24"/>
          <w:szCs w:val="24"/>
          <w:lang w:val="en-GB"/>
        </w:rPr>
        <w:t xml:space="preserve"> the bank</w:t>
      </w:r>
      <w:r w:rsidR="00774654" w:rsidRPr="00462F98">
        <w:rPr>
          <w:rFonts w:ascii="Times New Roman" w:hAnsi="Times New Roman" w:cs="Times New Roman"/>
          <w:sz w:val="24"/>
          <w:szCs w:val="24"/>
          <w:lang w:val="en-GB"/>
        </w:rPr>
        <w:t>s</w:t>
      </w:r>
      <w:r w:rsidR="00B57372" w:rsidRPr="00462F98">
        <w:rPr>
          <w:rFonts w:ascii="Times New Roman" w:hAnsi="Times New Roman" w:cs="Times New Roman"/>
          <w:sz w:val="24"/>
          <w:szCs w:val="24"/>
          <w:lang w:val="en-GB"/>
        </w:rPr>
        <w:t xml:space="preserve"> of note issue into modern central banks with statutory independence </w:t>
      </w:r>
      <w:r w:rsidR="00DF5F4A" w:rsidRPr="00462F98">
        <w:rPr>
          <w:rFonts w:ascii="Times New Roman" w:hAnsi="Times New Roman" w:cs="Times New Roman"/>
          <w:sz w:val="24"/>
          <w:szCs w:val="24"/>
          <w:lang w:val="en-GB"/>
        </w:rPr>
        <w:t xml:space="preserve">(de </w:t>
      </w:r>
      <w:proofErr w:type="spellStart"/>
      <w:r w:rsidR="00DF5F4A" w:rsidRPr="00462F98">
        <w:rPr>
          <w:rFonts w:ascii="Times New Roman" w:hAnsi="Times New Roman" w:cs="Times New Roman"/>
          <w:sz w:val="24"/>
          <w:szCs w:val="24"/>
          <w:lang w:val="en-GB"/>
        </w:rPr>
        <w:t>Cecco</w:t>
      </w:r>
      <w:proofErr w:type="spellEnd"/>
      <w:r w:rsidR="00DF5F4A" w:rsidRPr="00462F98">
        <w:rPr>
          <w:rFonts w:ascii="Times New Roman" w:hAnsi="Times New Roman" w:cs="Times New Roman"/>
          <w:sz w:val="24"/>
          <w:szCs w:val="24"/>
          <w:lang w:val="en-GB"/>
        </w:rPr>
        <w:t xml:space="preserve"> 1997)</w:t>
      </w:r>
      <w:r w:rsidR="00B57372" w:rsidRPr="00462F98">
        <w:rPr>
          <w:rFonts w:ascii="Times New Roman" w:hAnsi="Times New Roman" w:cs="Times New Roman"/>
          <w:sz w:val="24"/>
          <w:szCs w:val="24"/>
          <w:lang w:val="en-GB"/>
        </w:rPr>
        <w:t>.</w:t>
      </w:r>
      <w:r w:rsidR="008C0233">
        <w:rPr>
          <w:rFonts w:ascii="Times New Roman" w:hAnsi="Times New Roman" w:cs="Times New Roman"/>
          <w:sz w:val="24"/>
          <w:szCs w:val="24"/>
          <w:lang w:val="en-GB"/>
        </w:rPr>
        <w:t xml:space="preserve"> </w:t>
      </w:r>
      <w:r w:rsidR="00C6412E" w:rsidRPr="00462F98">
        <w:rPr>
          <w:rFonts w:ascii="Times New Roman" w:hAnsi="Times New Roman" w:cs="Times New Roman"/>
          <w:sz w:val="24"/>
          <w:szCs w:val="24"/>
          <w:lang w:val="en-GB"/>
        </w:rPr>
        <w:t>Third</w:t>
      </w:r>
      <w:r w:rsidR="00B57372" w:rsidRPr="00462F98">
        <w:rPr>
          <w:rFonts w:ascii="Times New Roman" w:hAnsi="Times New Roman" w:cs="Times New Roman"/>
          <w:sz w:val="24"/>
          <w:szCs w:val="24"/>
          <w:lang w:val="en-GB"/>
        </w:rPr>
        <w:t xml:space="preserve">, financial supervision was entrusted not to the bondholders, but to the governments in </w:t>
      </w:r>
      <w:r w:rsidR="00F70A3F" w:rsidRPr="00462F98">
        <w:rPr>
          <w:rFonts w:ascii="Times New Roman" w:hAnsi="Times New Roman" w:cs="Times New Roman"/>
          <w:sz w:val="24"/>
          <w:szCs w:val="24"/>
          <w:lang w:val="en-GB"/>
        </w:rPr>
        <w:t xml:space="preserve">their </w:t>
      </w:r>
      <w:r w:rsidR="00B57372" w:rsidRPr="00462F98">
        <w:rPr>
          <w:rFonts w:ascii="Times New Roman" w:hAnsi="Times New Roman" w:cs="Times New Roman"/>
          <w:sz w:val="24"/>
          <w:szCs w:val="24"/>
          <w:lang w:val="en-GB"/>
        </w:rPr>
        <w:t>defence</w:t>
      </w:r>
      <w:r w:rsidR="00F70A3F" w:rsidRPr="00462F98">
        <w:rPr>
          <w:rFonts w:ascii="Times New Roman" w:hAnsi="Times New Roman" w:cs="Times New Roman"/>
          <w:sz w:val="24"/>
          <w:szCs w:val="24"/>
          <w:lang w:val="en-GB"/>
        </w:rPr>
        <w:t>.</w:t>
      </w:r>
      <w:r w:rsidR="00B57372" w:rsidRPr="00462F98">
        <w:rPr>
          <w:rFonts w:ascii="Times New Roman" w:hAnsi="Times New Roman" w:cs="Times New Roman"/>
          <w:sz w:val="24"/>
          <w:szCs w:val="24"/>
          <w:lang w:val="en-GB"/>
        </w:rPr>
        <w:t xml:space="preserve"> In an attempt to avoi</w:t>
      </w:r>
      <w:r w:rsidR="00774654" w:rsidRPr="00462F98">
        <w:rPr>
          <w:rFonts w:ascii="Times New Roman" w:hAnsi="Times New Roman" w:cs="Times New Roman"/>
          <w:sz w:val="24"/>
          <w:szCs w:val="24"/>
          <w:lang w:val="en-GB"/>
        </w:rPr>
        <w:t xml:space="preserve">d </w:t>
      </w:r>
      <w:r w:rsidR="009F5E38">
        <w:rPr>
          <w:rFonts w:ascii="Times New Roman" w:hAnsi="Times New Roman" w:cs="Times New Roman"/>
          <w:sz w:val="24"/>
          <w:szCs w:val="24"/>
          <w:lang w:val="en-GB"/>
        </w:rPr>
        <w:t>any</w:t>
      </w:r>
      <w:r w:rsidR="00774654" w:rsidRPr="00462F98">
        <w:rPr>
          <w:rFonts w:ascii="Times New Roman" w:hAnsi="Times New Roman" w:cs="Times New Roman"/>
          <w:sz w:val="24"/>
          <w:szCs w:val="24"/>
          <w:lang w:val="en-GB"/>
        </w:rPr>
        <w:t xml:space="preserve"> colonial undertone</w:t>
      </w:r>
      <w:r w:rsidR="00B57372" w:rsidRPr="00462F98">
        <w:rPr>
          <w:rFonts w:ascii="Times New Roman" w:hAnsi="Times New Roman" w:cs="Times New Roman"/>
          <w:sz w:val="24"/>
          <w:szCs w:val="24"/>
          <w:lang w:val="en-GB"/>
        </w:rPr>
        <w:t xml:space="preserve">, </w:t>
      </w:r>
      <w:r w:rsidR="0098038B">
        <w:rPr>
          <w:rFonts w:ascii="Times New Roman" w:hAnsi="Times New Roman" w:cs="Times New Roman"/>
          <w:sz w:val="24"/>
          <w:szCs w:val="24"/>
          <w:lang w:val="en-GB"/>
        </w:rPr>
        <w:t xml:space="preserve">countries </w:t>
      </w:r>
      <w:r w:rsidR="009F5E38">
        <w:rPr>
          <w:rFonts w:ascii="Times New Roman" w:hAnsi="Times New Roman" w:cs="Times New Roman"/>
          <w:sz w:val="24"/>
          <w:szCs w:val="24"/>
          <w:lang w:val="en-GB"/>
        </w:rPr>
        <w:t xml:space="preserve">now </w:t>
      </w:r>
      <w:r w:rsidR="00B57372" w:rsidRPr="00462F98">
        <w:rPr>
          <w:rFonts w:ascii="Times New Roman" w:hAnsi="Times New Roman" w:cs="Times New Roman"/>
          <w:sz w:val="24"/>
          <w:szCs w:val="24"/>
          <w:lang w:val="en-GB"/>
        </w:rPr>
        <w:t>hid behind the</w:t>
      </w:r>
      <w:r w:rsidR="001835BB" w:rsidRPr="00462F98">
        <w:rPr>
          <w:rFonts w:ascii="Times New Roman" w:hAnsi="Times New Roman" w:cs="Times New Roman"/>
          <w:sz w:val="24"/>
          <w:szCs w:val="24"/>
          <w:lang w:val="en-GB"/>
        </w:rPr>
        <w:t xml:space="preserve"> façade of the League</w:t>
      </w:r>
      <w:r w:rsidR="00B57372" w:rsidRPr="00462F98">
        <w:rPr>
          <w:rFonts w:ascii="Times New Roman" w:hAnsi="Times New Roman" w:cs="Times New Roman"/>
          <w:sz w:val="24"/>
          <w:szCs w:val="24"/>
          <w:lang w:val="en-GB"/>
        </w:rPr>
        <w:t>; yet it was well-understood that the League’s Financial Affairs Committee operated at t</w:t>
      </w:r>
      <w:r w:rsidR="00B26D38" w:rsidRPr="00462F98">
        <w:rPr>
          <w:rFonts w:ascii="Times New Roman" w:hAnsi="Times New Roman" w:cs="Times New Roman"/>
          <w:sz w:val="24"/>
          <w:szCs w:val="24"/>
          <w:lang w:val="en-GB"/>
        </w:rPr>
        <w:t>h</w:t>
      </w:r>
      <w:r w:rsidR="00B57372" w:rsidRPr="00462F98">
        <w:rPr>
          <w:rFonts w:ascii="Times New Roman" w:hAnsi="Times New Roman" w:cs="Times New Roman"/>
          <w:sz w:val="24"/>
          <w:szCs w:val="24"/>
          <w:lang w:val="en-GB"/>
        </w:rPr>
        <w:t>e instruction of th</w:t>
      </w:r>
      <w:r w:rsidR="003F4300" w:rsidRPr="00462F98">
        <w:rPr>
          <w:rFonts w:ascii="Times New Roman" w:hAnsi="Times New Roman" w:cs="Times New Roman"/>
          <w:sz w:val="24"/>
          <w:szCs w:val="24"/>
          <w:lang w:val="en-GB"/>
        </w:rPr>
        <w:t xml:space="preserve">e main lending countries and </w:t>
      </w:r>
      <w:r w:rsidR="00B57372" w:rsidRPr="00462F98">
        <w:rPr>
          <w:rFonts w:ascii="Times New Roman" w:hAnsi="Times New Roman" w:cs="Times New Roman"/>
          <w:sz w:val="24"/>
          <w:szCs w:val="24"/>
          <w:lang w:val="en-GB"/>
        </w:rPr>
        <w:t xml:space="preserve">the UK in particular. </w:t>
      </w:r>
    </w:p>
    <w:p w:rsidR="00E92D21" w:rsidRPr="009D0A87" w:rsidRDefault="00E92D21" w:rsidP="00E92D21">
      <w:pPr>
        <w:spacing w:after="0" w:line="360" w:lineRule="auto"/>
        <w:rPr>
          <w:rFonts w:ascii="Times New Roman" w:hAnsi="Times New Roman" w:cs="Times New Roman"/>
          <w:b/>
          <w:color w:val="000000" w:themeColor="text1"/>
          <w:sz w:val="24"/>
          <w:szCs w:val="24"/>
          <w:lang w:val="en-GB"/>
        </w:rPr>
      </w:pPr>
    </w:p>
    <w:p w:rsidR="00283E77" w:rsidRPr="00462F98" w:rsidRDefault="003B2E1C" w:rsidP="00283E77">
      <w:pPr>
        <w:spacing w:after="0" w:line="360" w:lineRule="auto"/>
        <w:jc w:val="both"/>
        <w:rPr>
          <w:rFonts w:ascii="Times New Roman" w:hAnsi="Times New Roman" w:cs="Times New Roman"/>
          <w:i/>
          <w:color w:val="000000" w:themeColor="text1"/>
          <w:sz w:val="24"/>
          <w:szCs w:val="24"/>
          <w:lang w:val="en-GB"/>
        </w:rPr>
      </w:pPr>
      <w:r>
        <w:rPr>
          <w:rFonts w:ascii="Times New Roman" w:hAnsi="Times New Roman" w:cs="Times New Roman"/>
          <w:b/>
          <w:color w:val="000000" w:themeColor="text1"/>
          <w:sz w:val="24"/>
          <w:szCs w:val="24"/>
          <w:lang w:val="en-GB"/>
        </w:rPr>
        <w:t>Period VII</w:t>
      </w:r>
      <w:r w:rsidR="00283E77" w:rsidRPr="00462F98">
        <w:rPr>
          <w:rFonts w:ascii="Times New Roman" w:hAnsi="Times New Roman" w:cs="Times New Roman"/>
          <w:b/>
          <w:color w:val="000000" w:themeColor="text1"/>
          <w:sz w:val="24"/>
          <w:szCs w:val="24"/>
          <w:lang w:val="en-GB"/>
        </w:rPr>
        <w:t xml:space="preserve">: Abandonment of the gold standard </w:t>
      </w:r>
      <w:r w:rsidR="003F4300" w:rsidRPr="00462F98">
        <w:rPr>
          <w:rFonts w:ascii="Times New Roman" w:hAnsi="Times New Roman" w:cs="Times New Roman"/>
          <w:b/>
          <w:color w:val="000000" w:themeColor="text1"/>
          <w:sz w:val="24"/>
          <w:szCs w:val="24"/>
          <w:lang w:val="en-GB"/>
        </w:rPr>
        <w:t>in 1931/32 to WWII</w:t>
      </w:r>
      <w:r w:rsidR="00E43886" w:rsidRPr="00462F98">
        <w:rPr>
          <w:rFonts w:ascii="Times New Roman" w:hAnsi="Times New Roman" w:cs="Times New Roman"/>
          <w:b/>
          <w:color w:val="000000" w:themeColor="text1"/>
          <w:sz w:val="24"/>
          <w:szCs w:val="24"/>
          <w:lang w:val="en-GB"/>
        </w:rPr>
        <w:t xml:space="preserve"> </w:t>
      </w:r>
      <w:r w:rsidR="00E43886" w:rsidRPr="00462F98">
        <w:rPr>
          <w:rFonts w:ascii="Times New Roman" w:hAnsi="Times New Roman" w:cs="Times New Roman"/>
          <w:b/>
          <w:i/>
          <w:color w:val="000000" w:themeColor="text1"/>
          <w:sz w:val="24"/>
          <w:szCs w:val="24"/>
          <w:lang w:val="en-GB"/>
        </w:rPr>
        <w:t>(only seigniorage)</w:t>
      </w:r>
    </w:p>
    <w:p w:rsidR="00283E77" w:rsidRDefault="00283E77" w:rsidP="00283E77">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The financial crisis of 1931 spread to </w:t>
      </w:r>
      <w:r w:rsidR="00774654" w:rsidRPr="00462F98">
        <w:rPr>
          <w:rFonts w:ascii="Times New Roman" w:hAnsi="Times New Roman" w:cs="Times New Roman"/>
          <w:color w:val="000000" w:themeColor="text1"/>
          <w:sz w:val="24"/>
          <w:szCs w:val="24"/>
          <w:lang w:val="en-GB"/>
        </w:rPr>
        <w:t>SEE</w:t>
      </w:r>
      <w:r w:rsidRPr="00462F98">
        <w:rPr>
          <w:rFonts w:ascii="Times New Roman" w:hAnsi="Times New Roman" w:cs="Times New Roman"/>
          <w:color w:val="000000" w:themeColor="text1"/>
          <w:sz w:val="24"/>
          <w:szCs w:val="24"/>
          <w:lang w:val="en-GB"/>
        </w:rPr>
        <w:t xml:space="preserve"> in September and October, when all </w:t>
      </w:r>
      <w:r w:rsidR="0053354A">
        <w:rPr>
          <w:rFonts w:ascii="Times New Roman" w:hAnsi="Times New Roman" w:cs="Times New Roman"/>
          <w:color w:val="000000" w:themeColor="text1"/>
          <w:sz w:val="24"/>
          <w:szCs w:val="24"/>
          <w:lang w:val="en-GB"/>
        </w:rPr>
        <w:t xml:space="preserve">four </w:t>
      </w:r>
      <w:r w:rsidRPr="00462F98">
        <w:rPr>
          <w:rFonts w:ascii="Times New Roman" w:hAnsi="Times New Roman" w:cs="Times New Roman"/>
          <w:color w:val="000000" w:themeColor="text1"/>
          <w:sz w:val="24"/>
          <w:szCs w:val="24"/>
          <w:lang w:val="en-GB"/>
        </w:rPr>
        <w:t>countries imposed capital controls to protect their currencies</w:t>
      </w:r>
      <w:r w:rsidR="008530CF" w:rsidRPr="00462F98">
        <w:rPr>
          <w:rFonts w:ascii="Times New Roman" w:hAnsi="Times New Roman" w:cs="Times New Roman"/>
          <w:color w:val="000000" w:themeColor="text1"/>
          <w:sz w:val="24"/>
          <w:szCs w:val="24"/>
          <w:lang w:val="en-GB"/>
        </w:rPr>
        <w:t xml:space="preserve"> (</w:t>
      </w:r>
      <w:proofErr w:type="spellStart"/>
      <w:r w:rsidR="008530CF" w:rsidRPr="00462F98">
        <w:rPr>
          <w:rFonts w:ascii="Times New Roman" w:hAnsi="Times New Roman" w:cs="Times New Roman"/>
          <w:color w:val="000000" w:themeColor="text1"/>
          <w:sz w:val="24"/>
          <w:szCs w:val="24"/>
          <w:lang w:val="en-GB"/>
        </w:rPr>
        <w:t>Morys</w:t>
      </w:r>
      <w:proofErr w:type="spellEnd"/>
      <w:r w:rsidR="008530CF" w:rsidRPr="00462F98">
        <w:rPr>
          <w:rFonts w:ascii="Times New Roman" w:hAnsi="Times New Roman" w:cs="Times New Roman"/>
          <w:color w:val="000000" w:themeColor="text1"/>
          <w:sz w:val="24"/>
          <w:szCs w:val="24"/>
          <w:lang w:val="en-GB"/>
        </w:rPr>
        <w:t xml:space="preserve"> 2014: </w:t>
      </w:r>
      <w:r w:rsidR="00754E5E" w:rsidRPr="00462F98">
        <w:rPr>
          <w:rFonts w:ascii="Times New Roman" w:hAnsi="Times New Roman" w:cs="Times New Roman"/>
          <w:color w:val="000000" w:themeColor="text1"/>
          <w:sz w:val="24"/>
          <w:szCs w:val="24"/>
          <w:lang w:val="en-GB"/>
        </w:rPr>
        <w:t>48-49)</w:t>
      </w:r>
      <w:r w:rsidRPr="00462F98">
        <w:rPr>
          <w:rFonts w:ascii="Times New Roman" w:hAnsi="Times New Roman" w:cs="Times New Roman"/>
          <w:color w:val="000000" w:themeColor="text1"/>
          <w:sz w:val="24"/>
          <w:szCs w:val="24"/>
          <w:lang w:val="en-GB"/>
        </w:rPr>
        <w:t>. The effective aban</w:t>
      </w:r>
      <w:r w:rsidR="00E43886" w:rsidRPr="00462F98">
        <w:rPr>
          <w:rFonts w:ascii="Times New Roman" w:hAnsi="Times New Roman" w:cs="Times New Roman"/>
          <w:color w:val="000000" w:themeColor="text1"/>
          <w:sz w:val="24"/>
          <w:szCs w:val="24"/>
          <w:lang w:val="en-GB"/>
        </w:rPr>
        <w:t xml:space="preserve">donment of the gold standard </w:t>
      </w:r>
      <w:r w:rsidR="00774654" w:rsidRPr="00462F98">
        <w:rPr>
          <w:rFonts w:ascii="Times New Roman" w:hAnsi="Times New Roman" w:cs="Times New Roman"/>
          <w:color w:val="000000" w:themeColor="text1"/>
          <w:sz w:val="24"/>
          <w:szCs w:val="24"/>
          <w:lang w:val="en-GB"/>
        </w:rPr>
        <w:t>and</w:t>
      </w:r>
      <w:r w:rsidRPr="00462F98">
        <w:rPr>
          <w:rFonts w:ascii="Times New Roman" w:hAnsi="Times New Roman" w:cs="Times New Roman"/>
          <w:color w:val="000000" w:themeColor="text1"/>
          <w:sz w:val="24"/>
          <w:szCs w:val="24"/>
          <w:lang w:val="en-GB"/>
        </w:rPr>
        <w:t xml:space="preserve"> the subsequent defaults</w:t>
      </w:r>
      <w:r w:rsidRPr="00462F98">
        <w:rPr>
          <w:rFonts w:ascii="Times New Roman" w:hAnsi="Times New Roman" w:cs="Times New Roman"/>
          <w:color w:val="FF0000"/>
          <w:sz w:val="24"/>
          <w:szCs w:val="24"/>
          <w:lang w:val="en-GB"/>
        </w:rPr>
        <w:t xml:space="preserve"> </w:t>
      </w:r>
      <w:r w:rsidR="00DF3A68" w:rsidRPr="00DF3A68">
        <w:rPr>
          <w:rFonts w:ascii="Times New Roman" w:hAnsi="Times New Roman" w:cs="Times New Roman"/>
          <w:color w:val="000000" w:themeColor="text1"/>
          <w:sz w:val="24"/>
          <w:szCs w:val="24"/>
          <w:lang w:val="en-GB"/>
        </w:rPr>
        <w:t xml:space="preserve">deterred </w:t>
      </w:r>
      <w:r w:rsidRPr="00462F98">
        <w:rPr>
          <w:rFonts w:ascii="Times New Roman" w:hAnsi="Times New Roman" w:cs="Times New Roman"/>
          <w:color w:val="000000" w:themeColor="text1"/>
          <w:sz w:val="24"/>
          <w:szCs w:val="24"/>
          <w:lang w:val="en-GB"/>
        </w:rPr>
        <w:t xml:space="preserve">further capital </w:t>
      </w:r>
      <w:r w:rsidR="00E43886" w:rsidRPr="00462F98">
        <w:rPr>
          <w:rFonts w:ascii="Times New Roman" w:hAnsi="Times New Roman" w:cs="Times New Roman"/>
          <w:color w:val="000000" w:themeColor="text1"/>
          <w:sz w:val="24"/>
          <w:szCs w:val="24"/>
          <w:lang w:val="en-GB"/>
        </w:rPr>
        <w:t>in</w:t>
      </w:r>
      <w:r w:rsidRPr="00462F98">
        <w:rPr>
          <w:rFonts w:ascii="Times New Roman" w:hAnsi="Times New Roman" w:cs="Times New Roman"/>
          <w:color w:val="000000" w:themeColor="text1"/>
          <w:sz w:val="24"/>
          <w:szCs w:val="24"/>
          <w:lang w:val="en-GB"/>
        </w:rPr>
        <w:t>flows</w:t>
      </w:r>
      <w:r w:rsidR="00E43886" w:rsidRPr="00462F98">
        <w:rPr>
          <w:rFonts w:ascii="Times New Roman" w:hAnsi="Times New Roman" w:cs="Times New Roman"/>
          <w:color w:val="000000" w:themeColor="text1"/>
          <w:sz w:val="24"/>
          <w:szCs w:val="24"/>
          <w:lang w:val="en-GB"/>
        </w:rPr>
        <w:t>. T</w:t>
      </w:r>
      <w:r w:rsidRPr="00462F98">
        <w:rPr>
          <w:rFonts w:ascii="Times New Roman" w:hAnsi="Times New Roman" w:cs="Times New Roman"/>
          <w:color w:val="000000" w:themeColor="text1"/>
          <w:sz w:val="24"/>
          <w:szCs w:val="24"/>
          <w:lang w:val="en-GB"/>
        </w:rPr>
        <w:t>he League of Nations sta</w:t>
      </w:r>
      <w:r w:rsidR="00E92D21" w:rsidRPr="00462F98">
        <w:rPr>
          <w:rFonts w:ascii="Times New Roman" w:hAnsi="Times New Roman" w:cs="Times New Roman"/>
          <w:color w:val="000000" w:themeColor="text1"/>
          <w:sz w:val="24"/>
          <w:szCs w:val="24"/>
          <w:lang w:val="en-GB"/>
        </w:rPr>
        <w:t>tistic</w:t>
      </w:r>
      <w:r w:rsidR="00DF3A68">
        <w:rPr>
          <w:rFonts w:ascii="Times New Roman" w:hAnsi="Times New Roman" w:cs="Times New Roman"/>
          <w:color w:val="000000" w:themeColor="text1"/>
          <w:sz w:val="24"/>
          <w:szCs w:val="24"/>
          <w:lang w:val="en-GB"/>
        </w:rPr>
        <w:t>s suggest</w:t>
      </w:r>
      <w:r w:rsidR="00E92D21" w:rsidRPr="00462F98">
        <w:rPr>
          <w:rFonts w:ascii="Times New Roman" w:hAnsi="Times New Roman" w:cs="Times New Roman"/>
          <w:color w:val="000000" w:themeColor="text1"/>
          <w:sz w:val="24"/>
          <w:szCs w:val="24"/>
          <w:lang w:val="en-GB"/>
        </w:rPr>
        <w:t xml:space="preserve"> </w:t>
      </w:r>
      <w:r w:rsidRPr="00462F98">
        <w:rPr>
          <w:rFonts w:ascii="Times New Roman" w:hAnsi="Times New Roman" w:cs="Times New Roman"/>
          <w:color w:val="000000" w:themeColor="text1"/>
          <w:sz w:val="24"/>
          <w:szCs w:val="24"/>
          <w:lang w:val="en-GB"/>
        </w:rPr>
        <w:t xml:space="preserve">there were no </w:t>
      </w:r>
      <w:r w:rsidR="00E43886" w:rsidRPr="00462F98">
        <w:rPr>
          <w:rFonts w:ascii="Times New Roman" w:hAnsi="Times New Roman" w:cs="Times New Roman"/>
          <w:color w:val="000000" w:themeColor="text1"/>
          <w:sz w:val="24"/>
          <w:szCs w:val="24"/>
          <w:lang w:val="en-GB"/>
        </w:rPr>
        <w:t xml:space="preserve">further </w:t>
      </w:r>
      <w:r w:rsidR="00E92D21" w:rsidRPr="00462F98">
        <w:rPr>
          <w:rFonts w:ascii="Times New Roman" w:hAnsi="Times New Roman" w:cs="Times New Roman"/>
          <w:color w:val="000000" w:themeColor="text1"/>
          <w:sz w:val="24"/>
          <w:szCs w:val="24"/>
          <w:lang w:val="en-GB"/>
        </w:rPr>
        <w:t xml:space="preserve">capital imports </w:t>
      </w:r>
      <w:r w:rsidRPr="00462F98">
        <w:rPr>
          <w:rFonts w:ascii="Times New Roman" w:hAnsi="Times New Roman" w:cs="Times New Roman"/>
          <w:color w:val="000000" w:themeColor="text1"/>
          <w:sz w:val="24"/>
          <w:szCs w:val="24"/>
          <w:lang w:val="en-GB"/>
        </w:rPr>
        <w:t>until 1939</w:t>
      </w:r>
      <w:r w:rsidR="00AA2F1F">
        <w:rPr>
          <w:rFonts w:ascii="Times New Roman" w:hAnsi="Times New Roman" w:cs="Times New Roman"/>
          <w:color w:val="000000" w:themeColor="text1"/>
          <w:sz w:val="24"/>
          <w:szCs w:val="24"/>
          <w:lang w:val="en-GB"/>
        </w:rPr>
        <w:t>.</w:t>
      </w:r>
      <w:r w:rsidR="00E43886" w:rsidRPr="00462F98">
        <w:rPr>
          <w:rFonts w:ascii="Times New Roman" w:hAnsi="Times New Roman" w:cs="Times New Roman"/>
          <w:color w:val="000000" w:themeColor="text1"/>
          <w:sz w:val="24"/>
          <w:szCs w:val="24"/>
          <w:lang w:val="en-GB"/>
        </w:rPr>
        <w:t xml:space="preserve"> </w:t>
      </w:r>
      <w:r w:rsidR="00AA2F1F">
        <w:rPr>
          <w:rFonts w:ascii="Times New Roman" w:hAnsi="Times New Roman" w:cs="Times New Roman"/>
          <w:color w:val="000000" w:themeColor="text1"/>
          <w:sz w:val="24"/>
          <w:szCs w:val="24"/>
          <w:lang w:val="en-GB"/>
        </w:rPr>
        <w:t>S</w:t>
      </w:r>
      <w:r w:rsidRPr="00462F98">
        <w:rPr>
          <w:rFonts w:ascii="Times New Roman" w:hAnsi="Times New Roman" w:cs="Times New Roman"/>
          <w:color w:val="000000" w:themeColor="text1"/>
          <w:sz w:val="24"/>
          <w:szCs w:val="24"/>
          <w:lang w:val="en-GB"/>
        </w:rPr>
        <w:t>eigniorage resurfaced, accounting o</w:t>
      </w:r>
      <w:r w:rsidR="00E92D21" w:rsidRPr="00462F98">
        <w:rPr>
          <w:rFonts w:ascii="Times New Roman" w:hAnsi="Times New Roman" w:cs="Times New Roman"/>
          <w:color w:val="000000" w:themeColor="text1"/>
          <w:sz w:val="24"/>
          <w:szCs w:val="24"/>
          <w:lang w:val="en-GB"/>
        </w:rPr>
        <w:t xml:space="preserve">n average for 3.4% of </w:t>
      </w:r>
      <w:r w:rsidRPr="00462F98">
        <w:rPr>
          <w:rFonts w:ascii="Times New Roman" w:hAnsi="Times New Roman" w:cs="Times New Roman"/>
          <w:color w:val="000000" w:themeColor="text1"/>
          <w:sz w:val="24"/>
          <w:szCs w:val="24"/>
          <w:lang w:val="en-GB"/>
        </w:rPr>
        <w:t>government revenue.</w:t>
      </w:r>
    </w:p>
    <w:p w:rsidR="00F74D94" w:rsidRPr="00462F98" w:rsidRDefault="00F74D94" w:rsidP="00283E77">
      <w:pPr>
        <w:spacing w:after="0" w:line="360" w:lineRule="auto"/>
        <w:jc w:val="both"/>
        <w:rPr>
          <w:rFonts w:ascii="Times New Roman" w:hAnsi="Times New Roman" w:cs="Times New Roman"/>
          <w:color w:val="000000" w:themeColor="text1"/>
          <w:sz w:val="24"/>
          <w:szCs w:val="24"/>
          <w:lang w:val="en-GB"/>
        </w:rPr>
      </w:pPr>
    </w:p>
    <w:p w:rsidR="006B0514" w:rsidRPr="00462F98" w:rsidRDefault="00A42F0A" w:rsidP="00B140F4">
      <w:pPr>
        <w:pStyle w:val="ListParagraph"/>
        <w:numPr>
          <w:ilvl w:val="0"/>
          <w:numId w:val="4"/>
        </w:numPr>
        <w:spacing w:after="0" w:line="360" w:lineRule="auto"/>
        <w:jc w:val="both"/>
        <w:rPr>
          <w:rFonts w:ascii="Times New Roman" w:hAnsi="Times New Roman" w:cs="Times New Roman"/>
          <w:b/>
          <w:sz w:val="24"/>
          <w:szCs w:val="24"/>
        </w:rPr>
      </w:pPr>
      <w:r w:rsidRPr="00462F98">
        <w:rPr>
          <w:rFonts w:ascii="Times New Roman" w:hAnsi="Times New Roman" w:cs="Times New Roman"/>
          <w:b/>
          <w:sz w:val="24"/>
          <w:szCs w:val="24"/>
        </w:rPr>
        <w:t>A formal test of f</w:t>
      </w:r>
      <w:r w:rsidR="00AF47F4" w:rsidRPr="00462F98">
        <w:rPr>
          <w:rFonts w:ascii="Times New Roman" w:hAnsi="Times New Roman" w:cs="Times New Roman"/>
          <w:b/>
          <w:sz w:val="24"/>
          <w:szCs w:val="24"/>
        </w:rPr>
        <w:t xml:space="preserve">iscal dominance </w:t>
      </w:r>
    </w:p>
    <w:p w:rsidR="00B96567" w:rsidRPr="00462F98" w:rsidRDefault="00B96567" w:rsidP="00B96567">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The narrative suggest</w:t>
      </w:r>
      <w:r w:rsidR="00774654" w:rsidRPr="00462F98">
        <w:rPr>
          <w:rFonts w:ascii="Times New Roman" w:hAnsi="Times New Roman" w:cs="Times New Roman"/>
          <w:sz w:val="24"/>
          <w:szCs w:val="24"/>
          <w:lang w:val="en-GB"/>
        </w:rPr>
        <w:t>s</w:t>
      </w:r>
      <w:r w:rsidRPr="00462F98">
        <w:rPr>
          <w:rFonts w:ascii="Times New Roman" w:hAnsi="Times New Roman" w:cs="Times New Roman"/>
          <w:sz w:val="24"/>
          <w:szCs w:val="24"/>
          <w:lang w:val="en-GB"/>
        </w:rPr>
        <w:t xml:space="preserve"> that </w:t>
      </w:r>
      <w:r w:rsidR="004B0DF1" w:rsidRPr="00462F98">
        <w:rPr>
          <w:rFonts w:ascii="Times New Roman" w:hAnsi="Times New Roman" w:cs="Times New Roman"/>
          <w:sz w:val="24"/>
          <w:szCs w:val="24"/>
          <w:lang w:val="en-GB"/>
        </w:rPr>
        <w:t>all four countries suffered from fiscal dominance</w:t>
      </w:r>
      <w:r w:rsidR="00A42F0A" w:rsidRPr="00462F98">
        <w:rPr>
          <w:rFonts w:ascii="Times New Roman" w:hAnsi="Times New Roman" w:cs="Times New Roman"/>
          <w:sz w:val="24"/>
          <w:szCs w:val="24"/>
          <w:lang w:val="en-GB"/>
        </w:rPr>
        <w:t>; o</w:t>
      </w:r>
      <w:r w:rsidR="00B140F4" w:rsidRPr="00462F98">
        <w:rPr>
          <w:rFonts w:ascii="Times New Roman" w:hAnsi="Times New Roman" w:cs="Times New Roman"/>
          <w:sz w:val="24"/>
          <w:szCs w:val="24"/>
          <w:lang w:val="en-GB"/>
        </w:rPr>
        <w:t xml:space="preserve">nly periods </w:t>
      </w:r>
      <w:r w:rsidRPr="00462F98">
        <w:rPr>
          <w:rFonts w:ascii="Times New Roman" w:hAnsi="Times New Roman" w:cs="Times New Roman"/>
          <w:sz w:val="24"/>
          <w:szCs w:val="24"/>
          <w:lang w:val="en-GB"/>
        </w:rPr>
        <w:t xml:space="preserve">of financial </w:t>
      </w:r>
      <w:r w:rsidR="00A42F0A" w:rsidRPr="00462F98">
        <w:rPr>
          <w:rFonts w:ascii="Times New Roman" w:hAnsi="Times New Roman" w:cs="Times New Roman"/>
          <w:sz w:val="24"/>
          <w:szCs w:val="24"/>
          <w:lang w:val="en-GB"/>
        </w:rPr>
        <w:t xml:space="preserve">supervision </w:t>
      </w:r>
      <w:r w:rsidR="00774654" w:rsidRPr="00462F98">
        <w:rPr>
          <w:rFonts w:ascii="Times New Roman" w:hAnsi="Times New Roman" w:cs="Times New Roman"/>
          <w:sz w:val="24"/>
          <w:szCs w:val="24"/>
          <w:lang w:val="en-GB"/>
        </w:rPr>
        <w:t>appear</w:t>
      </w:r>
      <w:r w:rsidRPr="00462F98">
        <w:rPr>
          <w:rFonts w:ascii="Times New Roman" w:hAnsi="Times New Roman" w:cs="Times New Roman"/>
          <w:sz w:val="24"/>
          <w:szCs w:val="24"/>
          <w:lang w:val="en-GB"/>
        </w:rPr>
        <w:t xml:space="preserve"> systematically different. We </w:t>
      </w:r>
      <w:r w:rsidR="00F74D94">
        <w:rPr>
          <w:rFonts w:ascii="Times New Roman" w:hAnsi="Times New Roman" w:cs="Times New Roman"/>
          <w:sz w:val="24"/>
          <w:szCs w:val="24"/>
          <w:lang w:val="en-GB"/>
        </w:rPr>
        <w:t>test</w:t>
      </w:r>
      <w:r w:rsidRPr="00462F98">
        <w:rPr>
          <w:rFonts w:ascii="Times New Roman" w:hAnsi="Times New Roman" w:cs="Times New Roman"/>
          <w:sz w:val="24"/>
          <w:szCs w:val="24"/>
          <w:lang w:val="en-GB"/>
        </w:rPr>
        <w:t xml:space="preserve"> two hypotheses: </w:t>
      </w:r>
    </w:p>
    <w:p w:rsidR="00B96567" w:rsidRPr="00462F98" w:rsidRDefault="00B96567" w:rsidP="00B96567">
      <w:pPr>
        <w:spacing w:after="0" w:line="360" w:lineRule="auto"/>
        <w:jc w:val="both"/>
        <w:rPr>
          <w:rFonts w:ascii="Times New Roman" w:hAnsi="Times New Roman" w:cs="Times New Roman"/>
          <w:sz w:val="8"/>
          <w:szCs w:val="8"/>
          <w:lang w:val="en-GB"/>
        </w:rPr>
      </w:pPr>
    </w:p>
    <w:p w:rsidR="00B96567" w:rsidRPr="00462F98" w:rsidRDefault="00B96567" w:rsidP="00B96567">
      <w:pPr>
        <w:spacing w:after="0" w:line="360" w:lineRule="auto"/>
        <w:ind w:left="567" w:right="567"/>
        <w:jc w:val="both"/>
        <w:rPr>
          <w:rFonts w:ascii="Times New Roman" w:hAnsi="Times New Roman" w:cs="Times New Roman"/>
          <w:sz w:val="24"/>
          <w:szCs w:val="24"/>
          <w:lang w:val="en-GB"/>
        </w:rPr>
      </w:pPr>
      <w:r w:rsidRPr="00462F98">
        <w:rPr>
          <w:rFonts w:ascii="Times New Roman" w:hAnsi="Times New Roman" w:cs="Times New Roman"/>
          <w:b/>
          <w:sz w:val="24"/>
          <w:szCs w:val="24"/>
          <w:lang w:val="en-GB"/>
        </w:rPr>
        <w:t>Hypothesis 1:</w:t>
      </w:r>
      <w:r w:rsidRPr="00462F98">
        <w:rPr>
          <w:rFonts w:ascii="Times New Roman" w:hAnsi="Times New Roman" w:cs="Times New Roman"/>
          <w:sz w:val="24"/>
          <w:szCs w:val="24"/>
          <w:lang w:val="en-GB"/>
        </w:rPr>
        <w:t xml:space="preserve"> The monetary policies of Greece, Romania</w:t>
      </w:r>
      <w:r w:rsidR="00B140F4"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Serbia/Yugoslavia</w:t>
      </w:r>
      <w:r w:rsidR="00B140F4" w:rsidRPr="00462F98">
        <w:rPr>
          <w:rFonts w:ascii="Times New Roman" w:hAnsi="Times New Roman" w:cs="Times New Roman"/>
          <w:sz w:val="24"/>
          <w:szCs w:val="24"/>
          <w:lang w:val="en-GB"/>
        </w:rPr>
        <w:t xml:space="preserve"> and Bulgaria</w:t>
      </w:r>
      <w:r w:rsidRPr="00462F98">
        <w:rPr>
          <w:rFonts w:ascii="Times New Roman" w:hAnsi="Times New Roman" w:cs="Times New Roman"/>
          <w:sz w:val="24"/>
          <w:szCs w:val="24"/>
          <w:lang w:val="en-GB"/>
        </w:rPr>
        <w:t xml:space="preserve"> from independe</w:t>
      </w:r>
      <w:r w:rsidR="00A42F0A" w:rsidRPr="00462F98">
        <w:rPr>
          <w:rFonts w:ascii="Times New Roman" w:hAnsi="Times New Roman" w:cs="Times New Roman"/>
          <w:sz w:val="24"/>
          <w:szCs w:val="24"/>
          <w:lang w:val="en-GB"/>
        </w:rPr>
        <w:t xml:space="preserve">nce to </w:t>
      </w:r>
      <w:r w:rsidR="00751DA4" w:rsidRPr="00462F98">
        <w:rPr>
          <w:rFonts w:ascii="Times New Roman" w:hAnsi="Times New Roman" w:cs="Times New Roman"/>
          <w:sz w:val="24"/>
          <w:szCs w:val="24"/>
          <w:lang w:val="en-GB"/>
        </w:rPr>
        <w:t>WW2</w:t>
      </w:r>
      <w:r w:rsidRPr="00462F98">
        <w:rPr>
          <w:rFonts w:ascii="Times New Roman" w:hAnsi="Times New Roman" w:cs="Times New Roman"/>
          <w:sz w:val="24"/>
          <w:szCs w:val="24"/>
          <w:lang w:val="en-GB"/>
        </w:rPr>
        <w:t xml:space="preserve"> were characterised by fiscal dominance.</w:t>
      </w:r>
    </w:p>
    <w:p w:rsidR="00B96567" w:rsidRPr="00462F98" w:rsidRDefault="00B96567" w:rsidP="00B96567">
      <w:pPr>
        <w:spacing w:after="0" w:line="360" w:lineRule="auto"/>
        <w:ind w:left="567" w:right="567"/>
        <w:jc w:val="both"/>
        <w:rPr>
          <w:rFonts w:ascii="Times New Roman" w:hAnsi="Times New Roman" w:cs="Times New Roman"/>
          <w:sz w:val="8"/>
          <w:szCs w:val="8"/>
          <w:lang w:val="en-GB"/>
        </w:rPr>
      </w:pPr>
    </w:p>
    <w:p w:rsidR="00B96567" w:rsidRPr="00462F98" w:rsidRDefault="00B96567" w:rsidP="00B96567">
      <w:pPr>
        <w:spacing w:after="0" w:line="360" w:lineRule="auto"/>
        <w:ind w:left="567" w:right="567"/>
        <w:jc w:val="both"/>
        <w:rPr>
          <w:rFonts w:ascii="Times New Roman" w:hAnsi="Times New Roman" w:cs="Times New Roman"/>
          <w:sz w:val="24"/>
          <w:szCs w:val="24"/>
          <w:lang w:val="en-GB"/>
        </w:rPr>
      </w:pPr>
      <w:r w:rsidRPr="00462F98">
        <w:rPr>
          <w:rFonts w:ascii="Times New Roman" w:hAnsi="Times New Roman" w:cs="Times New Roman"/>
          <w:b/>
          <w:sz w:val="24"/>
          <w:szCs w:val="24"/>
          <w:lang w:val="en-GB"/>
        </w:rPr>
        <w:t>Hypothesis 2:</w:t>
      </w:r>
      <w:r w:rsidRPr="00462F98">
        <w:rPr>
          <w:rFonts w:ascii="Times New Roman" w:hAnsi="Times New Roman" w:cs="Times New Roman"/>
          <w:sz w:val="24"/>
          <w:szCs w:val="24"/>
          <w:lang w:val="en-GB"/>
        </w:rPr>
        <w:t xml:space="preserve"> The prevailing pattern of fiscal dominance was </w:t>
      </w:r>
      <w:r w:rsidR="00A42F0A" w:rsidRPr="00462F98">
        <w:rPr>
          <w:rFonts w:ascii="Times New Roman" w:hAnsi="Times New Roman" w:cs="Times New Roman"/>
          <w:sz w:val="24"/>
          <w:szCs w:val="24"/>
          <w:lang w:val="en-GB"/>
        </w:rPr>
        <w:t>interrupted</w:t>
      </w:r>
      <w:r w:rsidRPr="00462F98">
        <w:rPr>
          <w:rFonts w:ascii="Times New Roman" w:hAnsi="Times New Roman" w:cs="Times New Roman"/>
          <w:sz w:val="24"/>
          <w:szCs w:val="24"/>
          <w:lang w:val="en-GB"/>
        </w:rPr>
        <w:t xml:space="preserve"> </w:t>
      </w:r>
      <w:r w:rsidR="00A42F0A" w:rsidRPr="00462F98">
        <w:rPr>
          <w:rFonts w:ascii="Times New Roman" w:hAnsi="Times New Roman" w:cs="Times New Roman"/>
          <w:sz w:val="24"/>
          <w:szCs w:val="24"/>
          <w:lang w:val="en-GB"/>
        </w:rPr>
        <w:t>during periods of financial supervision</w:t>
      </w:r>
      <w:r w:rsidRPr="00462F98">
        <w:rPr>
          <w:rFonts w:ascii="Times New Roman" w:hAnsi="Times New Roman" w:cs="Times New Roman"/>
          <w:sz w:val="24"/>
          <w:szCs w:val="24"/>
          <w:lang w:val="en-GB"/>
        </w:rPr>
        <w:t>.</w:t>
      </w:r>
    </w:p>
    <w:p w:rsidR="00B96567" w:rsidRPr="00462F98" w:rsidRDefault="00B96567" w:rsidP="00B96567">
      <w:pPr>
        <w:spacing w:after="0" w:line="360" w:lineRule="auto"/>
        <w:jc w:val="both"/>
        <w:rPr>
          <w:rFonts w:ascii="Times New Roman" w:hAnsi="Times New Roman" w:cs="Times New Roman"/>
          <w:sz w:val="8"/>
          <w:szCs w:val="8"/>
          <w:lang w:val="en-GB"/>
        </w:rPr>
      </w:pPr>
    </w:p>
    <w:p w:rsidR="00AF47F4" w:rsidRPr="00462F98" w:rsidRDefault="00B96567" w:rsidP="0096417C">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A test of fiscal dominance involves two steps (</w:t>
      </w:r>
      <w:proofErr w:type="spellStart"/>
      <w:r w:rsidRPr="00462F98">
        <w:rPr>
          <w:rFonts w:ascii="Times New Roman" w:hAnsi="Times New Roman" w:cs="Times New Roman"/>
          <w:color w:val="000000" w:themeColor="text1"/>
          <w:sz w:val="24"/>
          <w:szCs w:val="24"/>
          <w:lang w:val="en-GB"/>
        </w:rPr>
        <w:t>Fratianni&amp;Spinelli</w:t>
      </w:r>
      <w:proofErr w:type="spellEnd"/>
      <w:r w:rsidRPr="00462F98">
        <w:rPr>
          <w:rFonts w:ascii="Times New Roman" w:hAnsi="Times New Roman" w:cs="Times New Roman"/>
          <w:color w:val="000000" w:themeColor="text1"/>
          <w:sz w:val="24"/>
          <w:szCs w:val="24"/>
          <w:lang w:val="en-GB"/>
        </w:rPr>
        <w:t xml:space="preserve"> 2001</w:t>
      </w:r>
      <w:r w:rsidR="00294C88" w:rsidRPr="00462F98">
        <w:rPr>
          <w:rFonts w:ascii="Times New Roman" w:hAnsi="Times New Roman" w:cs="Times New Roman"/>
          <w:color w:val="000000" w:themeColor="text1"/>
          <w:sz w:val="24"/>
          <w:szCs w:val="24"/>
          <w:lang w:val="en-GB"/>
        </w:rPr>
        <w:t xml:space="preserve">). First, </w:t>
      </w:r>
      <w:r w:rsidR="00FA4D6F">
        <w:rPr>
          <w:rFonts w:ascii="Times New Roman" w:hAnsi="Times New Roman" w:cs="Times New Roman"/>
          <w:color w:val="000000" w:themeColor="text1"/>
          <w:sz w:val="24"/>
          <w:szCs w:val="24"/>
          <w:lang w:val="en-GB"/>
        </w:rPr>
        <w:t xml:space="preserve">money </w:t>
      </w:r>
      <w:r w:rsidR="00294C88" w:rsidRPr="00462F98">
        <w:rPr>
          <w:rFonts w:ascii="Times New Roman" w:hAnsi="Times New Roman" w:cs="Times New Roman"/>
          <w:color w:val="000000" w:themeColor="text1"/>
          <w:sz w:val="24"/>
          <w:szCs w:val="24"/>
          <w:lang w:val="en-GB"/>
        </w:rPr>
        <w:t xml:space="preserve">growth is decomposed </w:t>
      </w:r>
      <w:r w:rsidR="00AF47F4" w:rsidRPr="00462F98">
        <w:rPr>
          <w:rFonts w:ascii="Times New Roman" w:hAnsi="Times New Roman" w:cs="Times New Roman"/>
          <w:color w:val="000000" w:themeColor="text1"/>
          <w:sz w:val="24"/>
          <w:szCs w:val="24"/>
          <w:lang w:val="en-GB"/>
        </w:rPr>
        <w:t xml:space="preserve">into </w:t>
      </w:r>
      <w:r w:rsidR="0096417C" w:rsidRPr="00462F98">
        <w:rPr>
          <w:rFonts w:ascii="Times New Roman" w:hAnsi="Times New Roman" w:cs="Times New Roman"/>
          <w:color w:val="000000" w:themeColor="text1"/>
          <w:sz w:val="24"/>
          <w:szCs w:val="24"/>
          <w:lang w:val="en-GB"/>
        </w:rPr>
        <w:t xml:space="preserve">its </w:t>
      </w:r>
      <w:r w:rsidR="000339FE">
        <w:rPr>
          <w:rFonts w:ascii="Times New Roman" w:hAnsi="Times New Roman" w:cs="Times New Roman"/>
          <w:color w:val="000000" w:themeColor="text1"/>
          <w:sz w:val="24"/>
          <w:szCs w:val="24"/>
          <w:lang w:val="en-GB"/>
        </w:rPr>
        <w:t>components. I</w:t>
      </w:r>
      <w:r w:rsidR="00AF47F4" w:rsidRPr="00462F98">
        <w:rPr>
          <w:rFonts w:ascii="Times New Roman" w:hAnsi="Times New Roman" w:cs="Times New Roman"/>
          <w:color w:val="000000" w:themeColor="text1"/>
          <w:sz w:val="24"/>
          <w:szCs w:val="24"/>
          <w:lang w:val="en-GB"/>
        </w:rPr>
        <w:t xml:space="preserve">f </w:t>
      </w:r>
      <w:r w:rsidR="00FA4D6F">
        <w:rPr>
          <w:rFonts w:ascii="Times New Roman" w:hAnsi="Times New Roman" w:cs="Times New Roman"/>
          <w:color w:val="000000" w:themeColor="text1"/>
          <w:sz w:val="24"/>
          <w:szCs w:val="24"/>
          <w:lang w:val="en-GB"/>
        </w:rPr>
        <w:t xml:space="preserve">broad </w:t>
      </w:r>
      <w:r w:rsidR="00AF47F4" w:rsidRPr="00462F98">
        <w:rPr>
          <w:rFonts w:ascii="Times New Roman" w:hAnsi="Times New Roman" w:cs="Times New Roman"/>
          <w:color w:val="000000" w:themeColor="text1"/>
          <w:sz w:val="24"/>
          <w:szCs w:val="24"/>
          <w:lang w:val="en-GB"/>
        </w:rPr>
        <w:t xml:space="preserve">money growth was driven primarily </w:t>
      </w:r>
      <w:r w:rsidR="00D06C91" w:rsidRPr="00462F98">
        <w:rPr>
          <w:rFonts w:ascii="Times New Roman" w:hAnsi="Times New Roman" w:cs="Times New Roman"/>
          <w:color w:val="000000" w:themeColor="text1"/>
          <w:sz w:val="24"/>
          <w:szCs w:val="24"/>
          <w:lang w:val="en-GB"/>
        </w:rPr>
        <w:t xml:space="preserve">by </w:t>
      </w:r>
      <w:r w:rsidR="00294C88" w:rsidRPr="00462F98">
        <w:rPr>
          <w:rFonts w:ascii="Times New Roman" w:hAnsi="Times New Roman" w:cs="Times New Roman"/>
          <w:color w:val="000000" w:themeColor="text1"/>
          <w:sz w:val="24"/>
          <w:szCs w:val="24"/>
          <w:lang w:val="en-GB"/>
        </w:rPr>
        <w:t>rapid expansion</w:t>
      </w:r>
      <w:r w:rsidR="00D06C91" w:rsidRPr="00462F98">
        <w:rPr>
          <w:rFonts w:ascii="Times New Roman" w:hAnsi="Times New Roman" w:cs="Times New Roman"/>
          <w:color w:val="000000" w:themeColor="text1"/>
          <w:sz w:val="24"/>
          <w:szCs w:val="24"/>
          <w:lang w:val="en-GB"/>
        </w:rPr>
        <w:t xml:space="preserve"> of the monetary base – and in particular by the treasury component of the monetary base</w:t>
      </w:r>
      <w:r w:rsidR="0096417C" w:rsidRPr="00462F98">
        <w:rPr>
          <w:rFonts w:ascii="Times New Roman" w:hAnsi="Times New Roman" w:cs="Times New Roman"/>
          <w:color w:val="000000" w:themeColor="text1"/>
          <w:sz w:val="24"/>
          <w:szCs w:val="24"/>
          <w:lang w:val="en-GB"/>
        </w:rPr>
        <w:t xml:space="preserve"> </w:t>
      </w:r>
      <w:proofErr w:type="gramStart"/>
      <w:r w:rsidR="0096417C" w:rsidRPr="00462F98">
        <w:rPr>
          <w:rFonts w:ascii="Times New Roman" w:hAnsi="Times New Roman" w:cs="Times New Roman"/>
          <w:color w:val="000000" w:themeColor="text1"/>
          <w:sz w:val="24"/>
          <w:szCs w:val="24"/>
          <w:lang w:val="en-GB"/>
        </w:rPr>
        <w:t xml:space="preserve">– </w:t>
      </w:r>
      <w:r w:rsidR="00FA4D6F">
        <w:rPr>
          <w:rFonts w:ascii="Times New Roman" w:hAnsi="Times New Roman" w:cs="Times New Roman"/>
          <w:color w:val="000000" w:themeColor="text1"/>
          <w:sz w:val="24"/>
          <w:szCs w:val="24"/>
          <w:lang w:val="en-GB"/>
        </w:rPr>
        <w:t>,</w:t>
      </w:r>
      <w:proofErr w:type="gramEnd"/>
      <w:r w:rsidR="00FA4D6F">
        <w:rPr>
          <w:rFonts w:ascii="Times New Roman" w:hAnsi="Times New Roman" w:cs="Times New Roman"/>
          <w:color w:val="000000" w:themeColor="text1"/>
          <w:sz w:val="24"/>
          <w:szCs w:val="24"/>
          <w:lang w:val="en-GB"/>
        </w:rPr>
        <w:t xml:space="preserve"> </w:t>
      </w:r>
      <w:r w:rsidR="00D06C91" w:rsidRPr="00462F98">
        <w:rPr>
          <w:rFonts w:ascii="Times New Roman" w:hAnsi="Times New Roman" w:cs="Times New Roman"/>
          <w:color w:val="000000" w:themeColor="text1"/>
          <w:sz w:val="24"/>
          <w:szCs w:val="24"/>
          <w:lang w:val="en-GB"/>
        </w:rPr>
        <w:t xml:space="preserve">then this </w:t>
      </w:r>
      <w:r w:rsidR="004B0DF1" w:rsidRPr="00462F98">
        <w:rPr>
          <w:rFonts w:ascii="Times New Roman" w:hAnsi="Times New Roman" w:cs="Times New Roman"/>
          <w:color w:val="000000" w:themeColor="text1"/>
          <w:sz w:val="24"/>
          <w:szCs w:val="24"/>
          <w:lang w:val="en-GB"/>
        </w:rPr>
        <w:t>constitutes</w:t>
      </w:r>
      <w:r w:rsidR="00D06C91" w:rsidRPr="00462F98">
        <w:rPr>
          <w:rFonts w:ascii="Times New Roman" w:hAnsi="Times New Roman" w:cs="Times New Roman"/>
          <w:color w:val="000000" w:themeColor="text1"/>
          <w:sz w:val="24"/>
          <w:szCs w:val="24"/>
          <w:lang w:val="en-GB"/>
        </w:rPr>
        <w:t xml:space="preserve"> </w:t>
      </w:r>
      <w:r w:rsidR="00D06C91" w:rsidRPr="00462F98">
        <w:rPr>
          <w:rFonts w:ascii="Times New Roman" w:hAnsi="Times New Roman" w:cs="Times New Roman"/>
          <w:i/>
          <w:color w:val="000000" w:themeColor="text1"/>
          <w:sz w:val="24"/>
          <w:szCs w:val="24"/>
          <w:lang w:val="en-GB"/>
        </w:rPr>
        <w:t>prima facie</w:t>
      </w:r>
      <w:r w:rsidR="00D06C91" w:rsidRPr="00462F98">
        <w:rPr>
          <w:rFonts w:ascii="Times New Roman" w:hAnsi="Times New Roman" w:cs="Times New Roman"/>
          <w:color w:val="000000" w:themeColor="text1"/>
          <w:sz w:val="24"/>
          <w:szCs w:val="24"/>
          <w:lang w:val="en-GB"/>
        </w:rPr>
        <w:t xml:space="preserve"> evidence </w:t>
      </w:r>
      <w:r w:rsidR="00FA4D6F">
        <w:rPr>
          <w:rFonts w:ascii="Times New Roman" w:hAnsi="Times New Roman" w:cs="Times New Roman"/>
          <w:color w:val="000000" w:themeColor="text1"/>
          <w:sz w:val="24"/>
          <w:szCs w:val="24"/>
          <w:lang w:val="en-GB"/>
        </w:rPr>
        <w:t>for</w:t>
      </w:r>
      <w:r w:rsidR="00D06C91" w:rsidRPr="00462F98">
        <w:rPr>
          <w:rFonts w:ascii="Times New Roman" w:hAnsi="Times New Roman" w:cs="Times New Roman"/>
          <w:color w:val="000000" w:themeColor="text1"/>
          <w:sz w:val="24"/>
          <w:szCs w:val="24"/>
          <w:lang w:val="en-GB"/>
        </w:rPr>
        <w:t xml:space="preserve"> fiscal dominance. </w:t>
      </w:r>
      <w:r w:rsidR="00294C88" w:rsidRPr="00462F98">
        <w:rPr>
          <w:rFonts w:ascii="Times New Roman" w:hAnsi="Times New Roman" w:cs="Times New Roman"/>
          <w:color w:val="000000" w:themeColor="text1"/>
          <w:sz w:val="24"/>
          <w:szCs w:val="24"/>
          <w:lang w:val="en-GB"/>
        </w:rPr>
        <w:t xml:space="preserve">Second, </w:t>
      </w:r>
      <w:r w:rsidR="00D06C91" w:rsidRPr="00462F98">
        <w:rPr>
          <w:rFonts w:ascii="Times New Roman" w:hAnsi="Times New Roman" w:cs="Times New Roman"/>
          <w:color w:val="000000" w:themeColor="text1"/>
          <w:sz w:val="24"/>
          <w:szCs w:val="24"/>
          <w:lang w:val="en-GB"/>
        </w:rPr>
        <w:t>the causality between deficits and seigniorage</w:t>
      </w:r>
      <w:r w:rsidR="004B0DF1" w:rsidRPr="00462F98">
        <w:rPr>
          <w:rFonts w:ascii="Times New Roman" w:hAnsi="Times New Roman" w:cs="Times New Roman"/>
          <w:color w:val="000000" w:themeColor="text1"/>
          <w:sz w:val="24"/>
          <w:szCs w:val="24"/>
          <w:lang w:val="en-GB"/>
        </w:rPr>
        <w:t xml:space="preserve"> is established</w:t>
      </w:r>
      <w:r w:rsidR="00294C88" w:rsidRPr="00462F98">
        <w:rPr>
          <w:rFonts w:ascii="Times New Roman" w:hAnsi="Times New Roman" w:cs="Times New Roman"/>
          <w:color w:val="000000" w:themeColor="text1"/>
          <w:sz w:val="24"/>
          <w:szCs w:val="24"/>
          <w:lang w:val="en-GB"/>
        </w:rPr>
        <w:t xml:space="preserve"> by a Granger causality test</w:t>
      </w:r>
      <w:r w:rsidR="00D06C91" w:rsidRPr="00462F98">
        <w:rPr>
          <w:rFonts w:ascii="Times New Roman" w:hAnsi="Times New Roman" w:cs="Times New Roman"/>
          <w:color w:val="000000" w:themeColor="text1"/>
          <w:sz w:val="24"/>
          <w:szCs w:val="24"/>
          <w:lang w:val="en-GB"/>
        </w:rPr>
        <w:t xml:space="preserve">. </w:t>
      </w:r>
      <w:r w:rsidR="004B0DF1" w:rsidRPr="00462F98">
        <w:rPr>
          <w:rFonts w:ascii="Times New Roman" w:hAnsi="Times New Roman" w:cs="Times New Roman"/>
          <w:color w:val="000000" w:themeColor="text1"/>
          <w:sz w:val="24"/>
          <w:szCs w:val="24"/>
          <w:lang w:val="en-GB"/>
        </w:rPr>
        <w:t>F</w:t>
      </w:r>
      <w:r w:rsidR="00D06C91" w:rsidRPr="00462F98">
        <w:rPr>
          <w:rFonts w:ascii="Times New Roman" w:hAnsi="Times New Roman" w:cs="Times New Roman"/>
          <w:color w:val="000000" w:themeColor="text1"/>
          <w:sz w:val="24"/>
          <w:szCs w:val="24"/>
          <w:lang w:val="en-GB"/>
        </w:rPr>
        <w:t>is</w:t>
      </w:r>
      <w:r w:rsidR="004B0DF1" w:rsidRPr="00462F98">
        <w:rPr>
          <w:rFonts w:ascii="Times New Roman" w:hAnsi="Times New Roman" w:cs="Times New Roman"/>
          <w:color w:val="000000" w:themeColor="text1"/>
          <w:sz w:val="24"/>
          <w:szCs w:val="24"/>
          <w:lang w:val="en-GB"/>
        </w:rPr>
        <w:t>cal dominance mean</w:t>
      </w:r>
      <w:r w:rsidR="00D06C91" w:rsidRPr="00462F98">
        <w:rPr>
          <w:rFonts w:ascii="Times New Roman" w:hAnsi="Times New Roman" w:cs="Times New Roman"/>
          <w:color w:val="000000" w:themeColor="text1"/>
          <w:sz w:val="24"/>
          <w:szCs w:val="24"/>
          <w:lang w:val="en-GB"/>
        </w:rPr>
        <w:t>s that a deficit is subsequently monetised</w:t>
      </w:r>
      <w:r w:rsidR="0001701B" w:rsidRPr="00462F98">
        <w:rPr>
          <w:rFonts w:ascii="Times New Roman" w:hAnsi="Times New Roman" w:cs="Times New Roman"/>
          <w:color w:val="000000" w:themeColor="text1"/>
          <w:sz w:val="24"/>
          <w:szCs w:val="24"/>
          <w:lang w:val="en-GB"/>
        </w:rPr>
        <w:t>;</w:t>
      </w:r>
      <w:r w:rsidR="00294C88" w:rsidRPr="00462F98">
        <w:rPr>
          <w:rFonts w:ascii="Times New Roman" w:hAnsi="Times New Roman" w:cs="Times New Roman"/>
          <w:color w:val="000000" w:themeColor="text1"/>
          <w:sz w:val="24"/>
          <w:szCs w:val="24"/>
          <w:lang w:val="en-GB"/>
        </w:rPr>
        <w:t xml:space="preserve"> </w:t>
      </w:r>
      <w:r w:rsidR="00D06C91" w:rsidRPr="00462F98">
        <w:rPr>
          <w:rFonts w:ascii="Times New Roman" w:hAnsi="Times New Roman" w:cs="Times New Roman"/>
          <w:color w:val="000000" w:themeColor="text1"/>
          <w:sz w:val="24"/>
          <w:szCs w:val="24"/>
          <w:lang w:val="en-GB"/>
        </w:rPr>
        <w:t xml:space="preserve">causality </w:t>
      </w:r>
      <w:r w:rsidR="00133C40" w:rsidRPr="00462F98">
        <w:rPr>
          <w:rFonts w:ascii="Times New Roman" w:hAnsi="Times New Roman" w:cs="Times New Roman"/>
          <w:color w:val="000000" w:themeColor="text1"/>
          <w:sz w:val="24"/>
          <w:szCs w:val="24"/>
          <w:lang w:val="en-GB"/>
        </w:rPr>
        <w:t>run</w:t>
      </w:r>
      <w:r w:rsidR="00774654" w:rsidRPr="00462F98">
        <w:rPr>
          <w:rFonts w:ascii="Times New Roman" w:hAnsi="Times New Roman" w:cs="Times New Roman"/>
          <w:color w:val="000000" w:themeColor="text1"/>
          <w:sz w:val="24"/>
          <w:szCs w:val="24"/>
          <w:lang w:val="en-GB"/>
        </w:rPr>
        <w:t>s</w:t>
      </w:r>
      <w:r w:rsidR="00133C40" w:rsidRPr="00462F98">
        <w:rPr>
          <w:rFonts w:ascii="Times New Roman" w:hAnsi="Times New Roman" w:cs="Times New Roman"/>
          <w:color w:val="000000" w:themeColor="text1"/>
          <w:sz w:val="24"/>
          <w:szCs w:val="24"/>
          <w:lang w:val="en-GB"/>
        </w:rPr>
        <w:t xml:space="preserve"> from deficit</w:t>
      </w:r>
      <w:r w:rsidR="004B0DF1" w:rsidRPr="00462F98">
        <w:rPr>
          <w:rFonts w:ascii="Times New Roman" w:hAnsi="Times New Roman" w:cs="Times New Roman"/>
          <w:color w:val="000000" w:themeColor="text1"/>
          <w:sz w:val="24"/>
          <w:szCs w:val="24"/>
          <w:lang w:val="en-GB"/>
        </w:rPr>
        <w:t xml:space="preserve"> to seigniorage</w:t>
      </w:r>
      <w:r w:rsidR="00D06C91" w:rsidRPr="00462F98">
        <w:rPr>
          <w:rFonts w:ascii="Times New Roman" w:hAnsi="Times New Roman" w:cs="Times New Roman"/>
          <w:color w:val="000000" w:themeColor="text1"/>
          <w:sz w:val="24"/>
          <w:szCs w:val="24"/>
          <w:lang w:val="en-GB"/>
        </w:rPr>
        <w:t>.</w:t>
      </w:r>
      <w:r w:rsidR="00294C88" w:rsidRPr="00462F98">
        <w:rPr>
          <w:rFonts w:ascii="Times New Roman" w:hAnsi="Times New Roman" w:cs="Times New Roman"/>
          <w:color w:val="000000" w:themeColor="text1"/>
          <w:sz w:val="24"/>
          <w:szCs w:val="24"/>
          <w:lang w:val="en-GB"/>
        </w:rPr>
        <w:t xml:space="preserve"> The second step is </w:t>
      </w:r>
      <w:r w:rsidR="00A42F0A" w:rsidRPr="00462F98">
        <w:rPr>
          <w:rFonts w:ascii="Times New Roman" w:hAnsi="Times New Roman" w:cs="Times New Roman"/>
          <w:color w:val="000000" w:themeColor="text1"/>
          <w:sz w:val="24"/>
          <w:szCs w:val="24"/>
          <w:lang w:val="en-GB"/>
        </w:rPr>
        <w:t>import</w:t>
      </w:r>
      <w:r w:rsidR="003C6998" w:rsidRPr="00462F98">
        <w:rPr>
          <w:rFonts w:ascii="Times New Roman" w:hAnsi="Times New Roman" w:cs="Times New Roman"/>
          <w:color w:val="000000" w:themeColor="text1"/>
          <w:sz w:val="24"/>
          <w:szCs w:val="24"/>
          <w:lang w:val="en-GB"/>
        </w:rPr>
        <w:t>ant</w:t>
      </w:r>
      <w:r w:rsidR="00294C88" w:rsidRPr="00462F98">
        <w:rPr>
          <w:rFonts w:ascii="Times New Roman" w:hAnsi="Times New Roman" w:cs="Times New Roman"/>
          <w:color w:val="000000" w:themeColor="text1"/>
          <w:sz w:val="24"/>
          <w:szCs w:val="24"/>
          <w:lang w:val="en-GB"/>
        </w:rPr>
        <w:t>, as budget deficit and money growth may be correlated independently of fiscal dominance (</w:t>
      </w:r>
      <w:proofErr w:type="spellStart"/>
      <w:r w:rsidR="00294C88" w:rsidRPr="00462F98">
        <w:rPr>
          <w:rFonts w:ascii="Times New Roman" w:hAnsi="Times New Roman" w:cs="Times New Roman"/>
          <w:color w:val="000000" w:themeColor="text1"/>
          <w:sz w:val="24"/>
          <w:szCs w:val="24"/>
          <w:lang w:val="en-GB"/>
        </w:rPr>
        <w:t>Joines</w:t>
      </w:r>
      <w:proofErr w:type="spellEnd"/>
      <w:r w:rsidR="00294C88" w:rsidRPr="00462F98">
        <w:rPr>
          <w:rFonts w:ascii="Times New Roman" w:hAnsi="Times New Roman" w:cs="Times New Roman"/>
          <w:color w:val="000000" w:themeColor="text1"/>
          <w:sz w:val="24"/>
          <w:szCs w:val="24"/>
          <w:lang w:val="en-GB"/>
        </w:rPr>
        <w:t xml:space="preserve"> 1985).</w:t>
      </w:r>
    </w:p>
    <w:p w:rsidR="00654938" w:rsidRPr="00462F98" w:rsidRDefault="00654938" w:rsidP="0096417C">
      <w:pPr>
        <w:spacing w:after="0" w:line="360" w:lineRule="auto"/>
        <w:jc w:val="both"/>
        <w:rPr>
          <w:rFonts w:ascii="Times New Roman" w:hAnsi="Times New Roman" w:cs="Times New Roman"/>
          <w:color w:val="000000" w:themeColor="text1"/>
          <w:sz w:val="24"/>
          <w:szCs w:val="24"/>
          <w:lang w:val="en-GB"/>
        </w:rPr>
      </w:pPr>
    </w:p>
    <w:p w:rsidR="00D06C91" w:rsidRPr="00462F98" w:rsidRDefault="00D06C91" w:rsidP="0096417C">
      <w:pPr>
        <w:pStyle w:val="ListParagraph"/>
        <w:numPr>
          <w:ilvl w:val="1"/>
          <w:numId w:val="4"/>
        </w:numPr>
        <w:spacing w:after="0" w:line="360" w:lineRule="auto"/>
        <w:jc w:val="both"/>
        <w:rPr>
          <w:rFonts w:ascii="Times New Roman" w:hAnsi="Times New Roman" w:cs="Times New Roman"/>
          <w:b/>
          <w:color w:val="000000" w:themeColor="text1"/>
          <w:sz w:val="24"/>
          <w:szCs w:val="24"/>
        </w:rPr>
      </w:pPr>
      <w:r w:rsidRPr="00462F98">
        <w:rPr>
          <w:rFonts w:ascii="Times New Roman" w:hAnsi="Times New Roman" w:cs="Times New Roman"/>
          <w:b/>
          <w:color w:val="000000" w:themeColor="text1"/>
          <w:sz w:val="24"/>
          <w:szCs w:val="24"/>
        </w:rPr>
        <w:t>Money growth accounting</w:t>
      </w:r>
    </w:p>
    <w:p w:rsidR="004375F5" w:rsidRPr="00462F98" w:rsidRDefault="00FA4D6F" w:rsidP="009F052F">
      <w:pPr>
        <w:spacing w:after="0" w:line="36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M</w:t>
      </w:r>
      <w:r w:rsidR="00D06C91" w:rsidRPr="00462F98">
        <w:rPr>
          <w:rFonts w:ascii="Times New Roman" w:hAnsi="Times New Roman" w:cs="Times New Roman"/>
          <w:color w:val="000000" w:themeColor="text1"/>
          <w:sz w:val="24"/>
          <w:szCs w:val="24"/>
          <w:lang w:val="en-GB"/>
        </w:rPr>
        <w:t>oney growth accounting</w:t>
      </w:r>
      <w:r>
        <w:rPr>
          <w:rFonts w:ascii="Times New Roman" w:hAnsi="Times New Roman" w:cs="Times New Roman"/>
          <w:color w:val="000000" w:themeColor="text1"/>
          <w:sz w:val="24"/>
          <w:szCs w:val="24"/>
          <w:lang w:val="en-GB"/>
        </w:rPr>
        <w:t xml:space="preserve"> </w:t>
      </w:r>
      <w:r w:rsidR="00D06C91" w:rsidRPr="00462F98">
        <w:rPr>
          <w:rFonts w:ascii="Times New Roman" w:hAnsi="Times New Roman" w:cs="Times New Roman"/>
          <w:color w:val="000000" w:themeColor="text1"/>
          <w:sz w:val="24"/>
          <w:szCs w:val="24"/>
          <w:lang w:val="en-GB"/>
        </w:rPr>
        <w:t>establish</w:t>
      </w:r>
      <w:r>
        <w:rPr>
          <w:rFonts w:ascii="Times New Roman" w:hAnsi="Times New Roman" w:cs="Times New Roman"/>
          <w:color w:val="000000" w:themeColor="text1"/>
          <w:sz w:val="24"/>
          <w:szCs w:val="24"/>
          <w:lang w:val="en-GB"/>
        </w:rPr>
        <w:t>es</w:t>
      </w:r>
      <w:r w:rsidR="00D06C91" w:rsidRPr="00462F98">
        <w:rPr>
          <w:rFonts w:ascii="Times New Roman" w:hAnsi="Times New Roman" w:cs="Times New Roman"/>
          <w:color w:val="000000" w:themeColor="text1"/>
          <w:sz w:val="24"/>
          <w:szCs w:val="24"/>
          <w:lang w:val="en-GB"/>
        </w:rPr>
        <w:t xml:space="preserve"> the relative importance of the various individual components to </w:t>
      </w:r>
      <w:r>
        <w:rPr>
          <w:rFonts w:ascii="Times New Roman" w:hAnsi="Times New Roman" w:cs="Times New Roman"/>
          <w:color w:val="000000" w:themeColor="text1"/>
          <w:sz w:val="24"/>
          <w:szCs w:val="24"/>
          <w:lang w:val="en-GB"/>
        </w:rPr>
        <w:t>total</w:t>
      </w:r>
      <w:r w:rsidR="00D06C91" w:rsidRPr="00462F98">
        <w:rPr>
          <w:rFonts w:ascii="Times New Roman" w:hAnsi="Times New Roman" w:cs="Times New Roman"/>
          <w:color w:val="000000" w:themeColor="text1"/>
          <w:sz w:val="24"/>
          <w:szCs w:val="24"/>
          <w:lang w:val="en-GB"/>
        </w:rPr>
        <w:t xml:space="preserve"> money </w:t>
      </w:r>
      <w:r w:rsidR="004B0DF1" w:rsidRPr="00462F98">
        <w:rPr>
          <w:rFonts w:ascii="Times New Roman" w:hAnsi="Times New Roman" w:cs="Times New Roman"/>
          <w:color w:val="000000" w:themeColor="text1"/>
          <w:sz w:val="24"/>
          <w:szCs w:val="24"/>
          <w:lang w:val="en-GB"/>
        </w:rPr>
        <w:t>growth</w:t>
      </w:r>
      <w:r>
        <w:rPr>
          <w:rFonts w:ascii="Times New Roman" w:hAnsi="Times New Roman" w:cs="Times New Roman"/>
          <w:color w:val="000000" w:themeColor="text1"/>
          <w:sz w:val="24"/>
          <w:szCs w:val="24"/>
          <w:lang w:val="en-GB"/>
        </w:rPr>
        <w:t xml:space="preserve"> (</w:t>
      </w:r>
      <w:proofErr w:type="spellStart"/>
      <w:r w:rsidRPr="00462F98">
        <w:rPr>
          <w:rFonts w:ascii="Times New Roman" w:hAnsi="Times New Roman" w:cs="Times New Roman"/>
          <w:color w:val="000000" w:themeColor="text1"/>
          <w:sz w:val="24"/>
          <w:szCs w:val="24"/>
          <w:lang w:val="en-GB"/>
        </w:rPr>
        <w:t>Friedman&amp;Schwartz</w:t>
      </w:r>
      <w:proofErr w:type="spellEnd"/>
      <w:r>
        <w:rPr>
          <w:rFonts w:ascii="Times New Roman" w:hAnsi="Times New Roman" w:cs="Times New Roman"/>
          <w:color w:val="000000" w:themeColor="text1"/>
          <w:sz w:val="24"/>
          <w:szCs w:val="24"/>
          <w:lang w:val="en-GB"/>
        </w:rPr>
        <w:t xml:space="preserve"> </w:t>
      </w:r>
      <w:r w:rsidRPr="00462F98">
        <w:rPr>
          <w:rFonts w:ascii="Times New Roman" w:hAnsi="Times New Roman" w:cs="Times New Roman"/>
          <w:color w:val="000000" w:themeColor="text1"/>
          <w:sz w:val="24"/>
          <w:szCs w:val="24"/>
          <w:lang w:val="en-GB"/>
        </w:rPr>
        <w:t>1963: 794-797)</w:t>
      </w:r>
      <w:r w:rsidR="004B0DF1" w:rsidRPr="00462F98">
        <w:rPr>
          <w:rFonts w:ascii="Times New Roman" w:hAnsi="Times New Roman" w:cs="Times New Roman"/>
          <w:color w:val="000000" w:themeColor="text1"/>
          <w:sz w:val="24"/>
          <w:szCs w:val="24"/>
          <w:lang w:val="en-GB"/>
        </w:rPr>
        <w:t>. Define the money stock (</w:t>
      </w:r>
      <w:r w:rsidR="00D06C91" w:rsidRPr="00462F98">
        <w:rPr>
          <w:rFonts w:ascii="Times New Roman" w:hAnsi="Times New Roman" w:cs="Times New Roman"/>
          <w:color w:val="000000" w:themeColor="text1"/>
          <w:sz w:val="24"/>
          <w:szCs w:val="24"/>
          <w:lang w:val="en-GB"/>
        </w:rPr>
        <w:t>M</w:t>
      </w:r>
      <w:r w:rsidR="004B0DF1" w:rsidRPr="00462F98">
        <w:rPr>
          <w:rFonts w:ascii="Times New Roman" w:hAnsi="Times New Roman" w:cs="Times New Roman"/>
          <w:color w:val="000000" w:themeColor="text1"/>
          <w:sz w:val="24"/>
          <w:szCs w:val="24"/>
          <w:lang w:val="en-GB"/>
        </w:rPr>
        <w:t>) as the monetary base (MB) time the money multiplier (</w:t>
      </w:r>
      <w:r w:rsidR="00D06C91" w:rsidRPr="00462F98">
        <w:rPr>
          <w:rFonts w:ascii="Times New Roman" w:hAnsi="Times New Roman" w:cs="Times New Roman"/>
          <w:color w:val="000000" w:themeColor="text1"/>
          <w:sz w:val="24"/>
          <w:szCs w:val="24"/>
          <w:lang w:val="en-GB"/>
        </w:rPr>
        <w:t>m</w:t>
      </w:r>
      <w:r w:rsidR="004B0DF1" w:rsidRPr="00462F98">
        <w:rPr>
          <w:rFonts w:ascii="Times New Roman" w:hAnsi="Times New Roman" w:cs="Times New Roman"/>
          <w:color w:val="000000" w:themeColor="text1"/>
          <w:sz w:val="24"/>
          <w:szCs w:val="24"/>
          <w:lang w:val="en-GB"/>
        </w:rPr>
        <w:t>)</w:t>
      </w:r>
      <w:r w:rsidR="00D06C91" w:rsidRPr="00462F98">
        <w:rPr>
          <w:rFonts w:ascii="Times New Roman" w:hAnsi="Times New Roman" w:cs="Times New Roman"/>
          <w:color w:val="000000" w:themeColor="text1"/>
          <w:sz w:val="24"/>
          <w:szCs w:val="24"/>
          <w:lang w:val="en-GB"/>
        </w:rPr>
        <w:t>. The monetary base</w:t>
      </w:r>
      <w:r>
        <w:rPr>
          <w:rFonts w:ascii="Times New Roman" w:hAnsi="Times New Roman" w:cs="Times New Roman"/>
          <w:color w:val="000000" w:themeColor="text1"/>
          <w:sz w:val="24"/>
          <w:szCs w:val="24"/>
          <w:lang w:val="en-GB"/>
        </w:rPr>
        <w:t xml:space="preserve"> </w:t>
      </w:r>
      <w:r w:rsidR="00D06C91" w:rsidRPr="00462F98">
        <w:rPr>
          <w:rFonts w:ascii="Times New Roman" w:hAnsi="Times New Roman" w:cs="Times New Roman"/>
          <w:color w:val="000000" w:themeColor="text1"/>
          <w:sz w:val="24"/>
          <w:szCs w:val="24"/>
          <w:lang w:val="en-GB"/>
        </w:rPr>
        <w:t>is the sum of its foreign component (MBFOR), its domestic component (MBDOM) and its treasury component (MBTR). The foreign component consists chiefly of foreign exchange reserves; the domestic compo</w:t>
      </w:r>
      <w:r w:rsidR="0096417C" w:rsidRPr="00462F98">
        <w:rPr>
          <w:rFonts w:ascii="Times New Roman" w:hAnsi="Times New Roman" w:cs="Times New Roman"/>
          <w:color w:val="000000" w:themeColor="text1"/>
          <w:sz w:val="24"/>
          <w:szCs w:val="24"/>
          <w:lang w:val="en-GB"/>
        </w:rPr>
        <w:t>nent includes</w:t>
      </w:r>
      <w:r w:rsidR="00D06C91" w:rsidRPr="00462F98">
        <w:rPr>
          <w:rFonts w:ascii="Times New Roman" w:hAnsi="Times New Roman" w:cs="Times New Roman"/>
          <w:color w:val="000000" w:themeColor="text1"/>
          <w:sz w:val="24"/>
          <w:szCs w:val="24"/>
          <w:lang w:val="en-GB"/>
        </w:rPr>
        <w:t xml:space="preserve"> discounts and advances to financial institutions. The treasury component principally consists of central bank lending </w:t>
      </w:r>
      <w:r w:rsidR="004375F5" w:rsidRPr="00462F98">
        <w:rPr>
          <w:rFonts w:ascii="Times New Roman" w:hAnsi="Times New Roman" w:cs="Times New Roman"/>
          <w:color w:val="000000" w:themeColor="text1"/>
          <w:sz w:val="24"/>
          <w:szCs w:val="24"/>
          <w:lang w:val="en-GB"/>
        </w:rPr>
        <w:t xml:space="preserve">to the government. </w:t>
      </w:r>
      <w:r w:rsidR="0096417C" w:rsidRPr="00462F98">
        <w:rPr>
          <w:rFonts w:ascii="Times New Roman" w:hAnsi="Times New Roman" w:cs="Times New Roman"/>
          <w:color w:val="000000" w:themeColor="text1"/>
          <w:sz w:val="24"/>
          <w:szCs w:val="24"/>
          <w:lang w:val="en-GB"/>
        </w:rPr>
        <w:t>A</w:t>
      </w:r>
      <w:r w:rsidR="004375F5" w:rsidRPr="00462F98">
        <w:rPr>
          <w:rFonts w:ascii="Times New Roman" w:hAnsi="Times New Roman" w:cs="Times New Roman"/>
          <w:color w:val="000000" w:themeColor="text1"/>
          <w:sz w:val="24"/>
          <w:szCs w:val="24"/>
          <w:lang w:val="en-GB"/>
        </w:rPr>
        <w:t xml:space="preserve"> large MBT</w:t>
      </w:r>
      <w:r>
        <w:rPr>
          <w:rFonts w:ascii="Times New Roman" w:hAnsi="Times New Roman" w:cs="Times New Roman"/>
          <w:color w:val="000000" w:themeColor="text1"/>
          <w:sz w:val="24"/>
          <w:szCs w:val="24"/>
          <w:lang w:val="en-GB"/>
        </w:rPr>
        <w:t>R</w:t>
      </w:r>
      <w:r w:rsidR="004375F5" w:rsidRPr="00462F98">
        <w:rPr>
          <w:rFonts w:ascii="Times New Roman" w:hAnsi="Times New Roman" w:cs="Times New Roman"/>
          <w:color w:val="000000" w:themeColor="text1"/>
          <w:sz w:val="24"/>
          <w:szCs w:val="24"/>
          <w:lang w:val="en-GB"/>
        </w:rPr>
        <w:t xml:space="preserve"> is evidence of debt monetisation in past periods and could point to a pattern of fiscal dominance. </w:t>
      </w:r>
    </w:p>
    <w:p w:rsidR="00D06C91" w:rsidRPr="00462F98" w:rsidRDefault="00A42F0A" w:rsidP="004375F5">
      <w:pPr>
        <w:spacing w:after="0" w:line="360" w:lineRule="auto"/>
        <w:ind w:firstLine="720"/>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A</w:t>
      </w:r>
      <w:r w:rsidR="0002456A" w:rsidRPr="00462F98">
        <w:rPr>
          <w:rFonts w:ascii="Times New Roman" w:hAnsi="Times New Roman" w:cs="Times New Roman"/>
          <w:color w:val="000000" w:themeColor="text1"/>
          <w:sz w:val="24"/>
          <w:szCs w:val="24"/>
          <w:lang w:val="en-GB"/>
        </w:rPr>
        <w:t xml:space="preserve"> distinction between foreign and domestic component is difficult in cases in which the central bank balance sheet does not allow to distinguish between foreign exchange reserve</w:t>
      </w:r>
      <w:r w:rsidR="004B0DF1" w:rsidRPr="00462F98">
        <w:rPr>
          <w:rFonts w:ascii="Times New Roman" w:hAnsi="Times New Roman" w:cs="Times New Roman"/>
          <w:color w:val="000000" w:themeColor="text1"/>
          <w:sz w:val="24"/>
          <w:szCs w:val="24"/>
          <w:lang w:val="en-GB"/>
        </w:rPr>
        <w:t>s</w:t>
      </w:r>
      <w:r w:rsidR="0002456A" w:rsidRPr="00462F98">
        <w:rPr>
          <w:rFonts w:ascii="Times New Roman" w:hAnsi="Times New Roman" w:cs="Times New Roman"/>
          <w:color w:val="000000" w:themeColor="text1"/>
          <w:sz w:val="24"/>
          <w:szCs w:val="24"/>
          <w:lang w:val="en-GB"/>
        </w:rPr>
        <w:t xml:space="preserve"> and metallic holdings (only the former are </w:t>
      </w:r>
      <w:r w:rsidR="004B0DF1" w:rsidRPr="00462F98">
        <w:rPr>
          <w:rFonts w:ascii="Times New Roman" w:hAnsi="Times New Roman" w:cs="Times New Roman"/>
          <w:color w:val="000000" w:themeColor="text1"/>
          <w:sz w:val="24"/>
          <w:szCs w:val="24"/>
          <w:lang w:val="en-GB"/>
        </w:rPr>
        <w:t xml:space="preserve">unambiguously part of </w:t>
      </w:r>
      <w:r w:rsidR="0002456A" w:rsidRPr="00462F98">
        <w:rPr>
          <w:rFonts w:ascii="Times New Roman" w:hAnsi="Times New Roman" w:cs="Times New Roman"/>
          <w:color w:val="000000" w:themeColor="text1"/>
          <w:sz w:val="24"/>
          <w:szCs w:val="24"/>
          <w:lang w:val="en-GB"/>
        </w:rPr>
        <w:t xml:space="preserve">MBFOR). </w:t>
      </w:r>
      <w:r w:rsidR="004375F5" w:rsidRPr="00462F98">
        <w:rPr>
          <w:rFonts w:ascii="Times New Roman" w:hAnsi="Times New Roman" w:cs="Times New Roman"/>
          <w:color w:val="000000" w:themeColor="text1"/>
          <w:sz w:val="24"/>
          <w:szCs w:val="24"/>
          <w:lang w:val="en-GB"/>
        </w:rPr>
        <w:t>A</w:t>
      </w:r>
      <w:r w:rsidR="0002456A" w:rsidRPr="00462F98">
        <w:rPr>
          <w:rFonts w:ascii="Times New Roman" w:hAnsi="Times New Roman" w:cs="Times New Roman"/>
          <w:color w:val="000000" w:themeColor="text1"/>
          <w:sz w:val="24"/>
          <w:szCs w:val="24"/>
          <w:lang w:val="en-GB"/>
        </w:rPr>
        <w:t>s our focus is on the contribution of MBT</w:t>
      </w:r>
      <w:r w:rsidR="00576704" w:rsidRPr="00462F98">
        <w:rPr>
          <w:rFonts w:ascii="Times New Roman" w:hAnsi="Times New Roman" w:cs="Times New Roman"/>
          <w:color w:val="000000" w:themeColor="text1"/>
          <w:sz w:val="24"/>
          <w:szCs w:val="24"/>
          <w:lang w:val="en-GB"/>
        </w:rPr>
        <w:t>R</w:t>
      </w:r>
      <w:r w:rsidR="0002456A" w:rsidRPr="00462F98">
        <w:rPr>
          <w:rFonts w:ascii="Times New Roman" w:hAnsi="Times New Roman" w:cs="Times New Roman"/>
          <w:color w:val="000000" w:themeColor="text1"/>
          <w:sz w:val="24"/>
          <w:szCs w:val="24"/>
          <w:lang w:val="en-GB"/>
        </w:rPr>
        <w:t xml:space="preserve">, we add </w:t>
      </w:r>
      <w:r w:rsidR="00133C40" w:rsidRPr="00462F98">
        <w:rPr>
          <w:rFonts w:ascii="Times New Roman" w:hAnsi="Times New Roman" w:cs="Times New Roman"/>
          <w:color w:val="000000" w:themeColor="text1"/>
          <w:sz w:val="24"/>
          <w:szCs w:val="24"/>
          <w:lang w:val="en-GB"/>
        </w:rPr>
        <w:t>MBFOR and MBDOM and vi</w:t>
      </w:r>
      <w:r w:rsidR="0002456A" w:rsidRPr="00462F98">
        <w:rPr>
          <w:rFonts w:ascii="Times New Roman" w:hAnsi="Times New Roman" w:cs="Times New Roman"/>
          <w:color w:val="000000" w:themeColor="text1"/>
          <w:sz w:val="24"/>
          <w:szCs w:val="24"/>
          <w:lang w:val="en-GB"/>
        </w:rPr>
        <w:t>e</w:t>
      </w:r>
      <w:r w:rsidR="00133C40" w:rsidRPr="00462F98">
        <w:rPr>
          <w:rFonts w:ascii="Times New Roman" w:hAnsi="Times New Roman" w:cs="Times New Roman"/>
          <w:color w:val="000000" w:themeColor="text1"/>
          <w:sz w:val="24"/>
          <w:szCs w:val="24"/>
          <w:lang w:val="en-GB"/>
        </w:rPr>
        <w:t>w</w:t>
      </w:r>
      <w:r w:rsidR="004375F5" w:rsidRPr="00462F98">
        <w:rPr>
          <w:rFonts w:ascii="Times New Roman" w:hAnsi="Times New Roman" w:cs="Times New Roman"/>
          <w:color w:val="000000" w:themeColor="text1"/>
          <w:sz w:val="24"/>
          <w:szCs w:val="24"/>
          <w:lang w:val="en-GB"/>
        </w:rPr>
        <w:t xml:space="preserve"> the sum</w:t>
      </w:r>
      <w:r w:rsidR="0002456A" w:rsidRPr="00462F98">
        <w:rPr>
          <w:rFonts w:ascii="Times New Roman" w:hAnsi="Times New Roman" w:cs="Times New Roman"/>
          <w:color w:val="000000" w:themeColor="text1"/>
          <w:sz w:val="24"/>
          <w:szCs w:val="24"/>
          <w:lang w:val="en-GB"/>
        </w:rPr>
        <w:t xml:space="preserve"> as </w:t>
      </w:r>
      <w:r w:rsidR="00576704" w:rsidRPr="00462F98">
        <w:rPr>
          <w:rFonts w:ascii="Times New Roman" w:hAnsi="Times New Roman" w:cs="Times New Roman"/>
          <w:color w:val="000000" w:themeColor="text1"/>
          <w:sz w:val="24"/>
          <w:szCs w:val="24"/>
          <w:lang w:val="en-GB"/>
        </w:rPr>
        <w:t>“</w:t>
      </w:r>
      <w:r w:rsidR="0002456A" w:rsidRPr="00462F98">
        <w:rPr>
          <w:rFonts w:ascii="Times New Roman" w:hAnsi="Times New Roman" w:cs="Times New Roman"/>
          <w:color w:val="000000" w:themeColor="text1"/>
          <w:sz w:val="24"/>
          <w:szCs w:val="24"/>
          <w:lang w:val="en-GB"/>
        </w:rPr>
        <w:t>res</w:t>
      </w:r>
      <w:r w:rsidR="00576704" w:rsidRPr="00462F98">
        <w:rPr>
          <w:rFonts w:ascii="Times New Roman" w:hAnsi="Times New Roman" w:cs="Times New Roman"/>
          <w:color w:val="000000" w:themeColor="text1"/>
          <w:sz w:val="24"/>
          <w:szCs w:val="24"/>
          <w:lang w:val="en-GB"/>
        </w:rPr>
        <w:t xml:space="preserve">t” </w:t>
      </w:r>
      <w:r w:rsidR="0002456A" w:rsidRPr="00462F98">
        <w:rPr>
          <w:rFonts w:ascii="Times New Roman" w:hAnsi="Times New Roman" w:cs="Times New Roman"/>
          <w:color w:val="000000" w:themeColor="text1"/>
          <w:sz w:val="24"/>
          <w:szCs w:val="24"/>
          <w:lang w:val="en-GB"/>
        </w:rPr>
        <w:t>monetary base (MBRES):</w:t>
      </w:r>
    </w:p>
    <w:p w:rsidR="0002456A" w:rsidRPr="00462F98" w:rsidRDefault="001835BB" w:rsidP="00E91CA7">
      <w:pPr>
        <w:spacing w:after="0" w:line="360" w:lineRule="auto"/>
        <w:rPr>
          <w:rFonts w:ascii="Times New Roman" w:hAnsi="Times New Roman" w:cs="Times New Roman"/>
          <w:color w:val="000000" w:themeColor="text1"/>
          <w:sz w:val="12"/>
          <w:szCs w:val="12"/>
          <w:lang w:val="en-GB"/>
        </w:rPr>
      </w:pPr>
      <w:r w:rsidRPr="00462F98">
        <w:rPr>
          <w:noProof/>
          <w:lang w:val="en-GB" w:eastAsia="en-GB"/>
        </w:rPr>
        <mc:AlternateContent>
          <mc:Choice Requires="wps">
            <w:drawing>
              <wp:anchor distT="0" distB="0" distL="114300" distR="114300" simplePos="0" relativeHeight="251664384" behindDoc="0" locked="0" layoutInCell="1" allowOverlap="1" wp14:anchorId="0EABDBF8" wp14:editId="72227C14">
                <wp:simplePos x="0" y="0"/>
                <wp:positionH relativeFrom="column">
                  <wp:posOffset>2115426</wp:posOffset>
                </wp:positionH>
                <wp:positionV relativeFrom="paragraph">
                  <wp:posOffset>78980</wp:posOffset>
                </wp:positionV>
                <wp:extent cx="266700" cy="1487805"/>
                <wp:effectExtent l="0" t="953" r="18098" b="18097"/>
                <wp:wrapNone/>
                <wp:docPr id="1" name="Left Brace 1"/>
                <wp:cNvGraphicFramePr/>
                <a:graphic xmlns:a="http://schemas.openxmlformats.org/drawingml/2006/main">
                  <a:graphicData uri="http://schemas.microsoft.com/office/word/2010/wordprocessingShape">
                    <wps:wsp>
                      <wps:cNvSpPr/>
                      <wps:spPr>
                        <a:xfrm rot="16200000">
                          <a:off x="0" y="0"/>
                          <a:ext cx="266700" cy="1487805"/>
                        </a:xfrm>
                        <a:prstGeom prst="leftBrace">
                          <a:avLst>
                            <a:gd name="adj1" fmla="val 8333"/>
                            <a:gd name="adj2" fmla="val 5079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7D2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166.55pt;margin-top:6.2pt;width:21pt;height:117.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" adj="323,10972" strokecolor="#4579b8 [3044]"/>
            </w:pict>
          </mc:Fallback>
        </mc:AlternateContent>
      </w:r>
    </w:p>
    <w:p w:rsidR="0002456A" w:rsidRPr="00462F98" w:rsidRDefault="00133D60" w:rsidP="00133D60">
      <w:pPr>
        <w:pStyle w:val="ListParagraph"/>
        <w:numPr>
          <w:ilvl w:val="0"/>
          <w:numId w:val="9"/>
        </w:numPr>
        <w:spacing w:after="0" w:line="360" w:lineRule="auto"/>
        <w:rPr>
          <w:rFonts w:ascii="Times New Roman" w:hAnsi="Times New Roman" w:cs="Times New Roman"/>
          <w:color w:val="000000" w:themeColor="text1"/>
          <w:sz w:val="24"/>
          <w:szCs w:val="24"/>
        </w:rPr>
      </w:pPr>
      <w:r w:rsidRPr="00462F98">
        <w:rPr>
          <w:rFonts w:ascii="Times New Roman" w:hAnsi="Times New Roman" w:cs="Times New Roman"/>
          <w:color w:val="000000" w:themeColor="text1"/>
          <w:sz w:val="24"/>
          <w:szCs w:val="24"/>
        </w:rPr>
        <w:t xml:space="preserve"> </w:t>
      </w:r>
      <w:r w:rsidRPr="00462F98">
        <w:rPr>
          <w:rFonts w:ascii="Times New Roman" w:hAnsi="Times New Roman" w:cs="Times New Roman"/>
          <w:color w:val="000000" w:themeColor="text1"/>
          <w:sz w:val="24"/>
          <w:szCs w:val="24"/>
        </w:rPr>
        <w:tab/>
      </w:r>
      <w:r w:rsidR="0002456A" w:rsidRPr="00462F98">
        <w:rPr>
          <w:rFonts w:ascii="Times New Roman" w:hAnsi="Times New Roman" w:cs="Times New Roman"/>
          <w:color w:val="000000" w:themeColor="text1"/>
          <w:sz w:val="24"/>
          <w:szCs w:val="24"/>
        </w:rPr>
        <w:t>M</w:t>
      </w:r>
      <w:r w:rsidR="0002456A" w:rsidRPr="00462F98">
        <w:rPr>
          <w:rFonts w:ascii="Times New Roman" w:hAnsi="Times New Roman" w:cs="Times New Roman"/>
          <w:color w:val="000000" w:themeColor="text1"/>
          <w:sz w:val="24"/>
          <w:szCs w:val="24"/>
          <w:vertAlign w:val="subscript"/>
        </w:rPr>
        <w:t>t</w:t>
      </w:r>
      <w:r w:rsidR="0002456A" w:rsidRPr="00462F98">
        <w:rPr>
          <w:rFonts w:ascii="Times New Roman" w:hAnsi="Times New Roman" w:cs="Times New Roman"/>
          <w:color w:val="000000" w:themeColor="text1"/>
          <w:sz w:val="24"/>
          <w:szCs w:val="24"/>
        </w:rPr>
        <w:t xml:space="preserve"> = </w:t>
      </w:r>
      <w:proofErr w:type="spellStart"/>
      <w:r w:rsidR="0002456A" w:rsidRPr="00462F98">
        <w:rPr>
          <w:rFonts w:ascii="Times New Roman" w:hAnsi="Times New Roman" w:cs="Times New Roman"/>
          <w:color w:val="000000" w:themeColor="text1"/>
          <w:sz w:val="24"/>
          <w:szCs w:val="24"/>
        </w:rPr>
        <w:t>m</w:t>
      </w:r>
      <w:r w:rsidR="0002456A" w:rsidRPr="00462F98">
        <w:rPr>
          <w:rFonts w:ascii="Times New Roman" w:hAnsi="Times New Roman" w:cs="Times New Roman"/>
          <w:color w:val="000000" w:themeColor="text1"/>
          <w:sz w:val="24"/>
          <w:szCs w:val="24"/>
          <w:vertAlign w:val="subscript"/>
        </w:rPr>
        <w:t>t</w:t>
      </w:r>
      <w:proofErr w:type="spellEnd"/>
      <w:r w:rsidR="0002456A" w:rsidRPr="00462F98">
        <w:rPr>
          <w:rFonts w:ascii="Times New Roman" w:hAnsi="Times New Roman" w:cs="Times New Roman"/>
          <w:color w:val="000000" w:themeColor="text1"/>
          <w:sz w:val="24"/>
          <w:szCs w:val="24"/>
        </w:rPr>
        <w:t xml:space="preserve"> * </w:t>
      </w:r>
      <w:proofErr w:type="spellStart"/>
      <w:r w:rsidR="0002456A" w:rsidRPr="00462F98">
        <w:rPr>
          <w:rFonts w:ascii="Times New Roman" w:hAnsi="Times New Roman" w:cs="Times New Roman"/>
          <w:color w:val="000000" w:themeColor="text1"/>
          <w:sz w:val="24"/>
          <w:szCs w:val="24"/>
        </w:rPr>
        <w:t>MB</w:t>
      </w:r>
      <w:r w:rsidR="0002456A" w:rsidRPr="00462F98">
        <w:rPr>
          <w:rFonts w:ascii="Times New Roman" w:hAnsi="Times New Roman" w:cs="Times New Roman"/>
          <w:color w:val="000000" w:themeColor="text1"/>
          <w:sz w:val="24"/>
          <w:szCs w:val="24"/>
          <w:vertAlign w:val="subscript"/>
        </w:rPr>
        <w:t>t</w:t>
      </w:r>
      <w:proofErr w:type="spellEnd"/>
    </w:p>
    <w:p w:rsidR="0002456A" w:rsidRPr="00462F98" w:rsidRDefault="0002456A" w:rsidP="00E91CA7">
      <w:pPr>
        <w:spacing w:after="0" w:line="360" w:lineRule="auto"/>
        <w:rPr>
          <w:rFonts w:ascii="Times New Roman" w:hAnsi="Times New Roman" w:cs="Times New Roman"/>
          <w:color w:val="000000" w:themeColor="text1"/>
          <w:sz w:val="12"/>
          <w:szCs w:val="12"/>
          <w:lang w:val="en-GB"/>
        </w:rPr>
      </w:pPr>
    </w:p>
    <w:p w:rsidR="0002456A" w:rsidRPr="00C47FC8" w:rsidRDefault="00133D60" w:rsidP="00133D60">
      <w:pPr>
        <w:pStyle w:val="ListParagraph"/>
        <w:numPr>
          <w:ilvl w:val="0"/>
          <w:numId w:val="9"/>
        </w:numPr>
        <w:spacing w:after="0" w:line="360" w:lineRule="auto"/>
        <w:rPr>
          <w:rFonts w:ascii="Times New Roman" w:hAnsi="Times New Roman" w:cs="Times New Roman"/>
          <w:color w:val="000000" w:themeColor="text1"/>
          <w:sz w:val="24"/>
          <w:szCs w:val="24"/>
          <w:lang w:val="de-DE"/>
        </w:rPr>
      </w:pPr>
      <w:r w:rsidRPr="00C47FC8">
        <w:rPr>
          <w:rFonts w:ascii="Times New Roman" w:hAnsi="Times New Roman" w:cs="Times New Roman"/>
          <w:color w:val="000000" w:themeColor="text1"/>
          <w:sz w:val="24"/>
          <w:szCs w:val="24"/>
          <w:lang w:val="de-DE"/>
        </w:rPr>
        <w:t xml:space="preserve"> </w:t>
      </w:r>
      <w:r w:rsidRPr="00C47FC8">
        <w:rPr>
          <w:rFonts w:ascii="Times New Roman" w:hAnsi="Times New Roman" w:cs="Times New Roman"/>
          <w:color w:val="000000" w:themeColor="text1"/>
          <w:sz w:val="24"/>
          <w:szCs w:val="24"/>
          <w:lang w:val="de-DE"/>
        </w:rPr>
        <w:tab/>
      </w:r>
      <w:r w:rsidR="0002456A" w:rsidRPr="00C47FC8">
        <w:rPr>
          <w:rFonts w:ascii="Times New Roman" w:hAnsi="Times New Roman" w:cs="Times New Roman"/>
          <w:color w:val="000000" w:themeColor="text1"/>
          <w:sz w:val="24"/>
          <w:szCs w:val="24"/>
          <w:lang w:val="de-DE"/>
        </w:rPr>
        <w:t>M</w:t>
      </w:r>
      <w:r w:rsidR="0002456A" w:rsidRPr="00C47FC8">
        <w:rPr>
          <w:rFonts w:ascii="Times New Roman" w:hAnsi="Times New Roman" w:cs="Times New Roman"/>
          <w:color w:val="000000" w:themeColor="text1"/>
          <w:sz w:val="24"/>
          <w:szCs w:val="24"/>
          <w:vertAlign w:val="subscript"/>
          <w:lang w:val="de-DE"/>
        </w:rPr>
        <w:t>t</w:t>
      </w:r>
      <w:r w:rsidR="0002456A" w:rsidRPr="00C47FC8">
        <w:rPr>
          <w:rFonts w:ascii="Times New Roman" w:hAnsi="Times New Roman" w:cs="Times New Roman"/>
          <w:color w:val="000000" w:themeColor="text1"/>
          <w:sz w:val="24"/>
          <w:szCs w:val="24"/>
          <w:lang w:val="de-DE"/>
        </w:rPr>
        <w:t xml:space="preserve"> = m</w:t>
      </w:r>
      <w:r w:rsidR="0002456A" w:rsidRPr="00C47FC8">
        <w:rPr>
          <w:rFonts w:ascii="Times New Roman" w:hAnsi="Times New Roman" w:cs="Times New Roman"/>
          <w:color w:val="000000" w:themeColor="text1"/>
          <w:sz w:val="24"/>
          <w:szCs w:val="24"/>
          <w:vertAlign w:val="subscript"/>
          <w:lang w:val="de-DE"/>
        </w:rPr>
        <w:t>t</w:t>
      </w:r>
      <w:r w:rsidR="0002456A" w:rsidRPr="00C47FC8">
        <w:rPr>
          <w:rFonts w:ascii="Times New Roman" w:hAnsi="Times New Roman" w:cs="Times New Roman"/>
          <w:color w:val="000000" w:themeColor="text1"/>
          <w:sz w:val="24"/>
          <w:szCs w:val="24"/>
          <w:lang w:val="de-DE"/>
        </w:rPr>
        <w:t xml:space="preserve"> * (MB</w:t>
      </w:r>
      <w:r w:rsidR="00576704" w:rsidRPr="00C47FC8">
        <w:rPr>
          <w:rFonts w:ascii="Times New Roman" w:hAnsi="Times New Roman" w:cs="Times New Roman"/>
          <w:color w:val="000000" w:themeColor="text1"/>
          <w:sz w:val="24"/>
          <w:szCs w:val="24"/>
          <w:lang w:val="de-DE"/>
        </w:rPr>
        <w:t>F</w:t>
      </w:r>
      <w:r w:rsidR="0002456A" w:rsidRPr="00C47FC8">
        <w:rPr>
          <w:rFonts w:ascii="Times New Roman" w:hAnsi="Times New Roman" w:cs="Times New Roman"/>
          <w:color w:val="000000" w:themeColor="text1"/>
          <w:sz w:val="24"/>
          <w:szCs w:val="24"/>
          <w:lang w:val="de-DE"/>
        </w:rPr>
        <w:t>OR</w:t>
      </w:r>
      <w:r w:rsidR="0002456A" w:rsidRPr="00C47FC8">
        <w:rPr>
          <w:rFonts w:ascii="Times New Roman" w:hAnsi="Times New Roman" w:cs="Times New Roman"/>
          <w:color w:val="000000" w:themeColor="text1"/>
          <w:sz w:val="24"/>
          <w:szCs w:val="24"/>
          <w:vertAlign w:val="subscript"/>
          <w:lang w:val="de-DE"/>
        </w:rPr>
        <w:t>t</w:t>
      </w:r>
      <w:r w:rsidR="0002456A" w:rsidRPr="00C47FC8">
        <w:rPr>
          <w:rFonts w:ascii="Times New Roman" w:hAnsi="Times New Roman" w:cs="Times New Roman"/>
          <w:color w:val="000000" w:themeColor="text1"/>
          <w:sz w:val="24"/>
          <w:szCs w:val="24"/>
          <w:lang w:val="de-DE"/>
        </w:rPr>
        <w:t xml:space="preserve"> + MBDOM</w:t>
      </w:r>
      <w:r w:rsidR="0002456A" w:rsidRPr="00C47FC8">
        <w:rPr>
          <w:rFonts w:ascii="Times New Roman" w:hAnsi="Times New Roman" w:cs="Times New Roman"/>
          <w:color w:val="000000" w:themeColor="text1"/>
          <w:sz w:val="24"/>
          <w:szCs w:val="24"/>
          <w:vertAlign w:val="subscript"/>
          <w:lang w:val="de-DE"/>
        </w:rPr>
        <w:t>t</w:t>
      </w:r>
      <w:r w:rsidR="0002456A" w:rsidRPr="00C47FC8">
        <w:rPr>
          <w:rFonts w:ascii="Times New Roman" w:hAnsi="Times New Roman" w:cs="Times New Roman"/>
          <w:color w:val="000000" w:themeColor="text1"/>
          <w:sz w:val="24"/>
          <w:szCs w:val="24"/>
          <w:lang w:val="de-DE"/>
        </w:rPr>
        <w:t xml:space="preserve"> + MBTR</w:t>
      </w:r>
      <w:r w:rsidR="0002456A" w:rsidRPr="00C47FC8">
        <w:rPr>
          <w:rFonts w:ascii="Times New Roman" w:hAnsi="Times New Roman" w:cs="Times New Roman"/>
          <w:color w:val="000000" w:themeColor="text1"/>
          <w:sz w:val="24"/>
          <w:szCs w:val="24"/>
          <w:vertAlign w:val="subscript"/>
          <w:lang w:val="de-DE"/>
        </w:rPr>
        <w:t>t</w:t>
      </w:r>
      <w:r w:rsidR="0002456A" w:rsidRPr="00C47FC8">
        <w:rPr>
          <w:rFonts w:ascii="Times New Roman" w:hAnsi="Times New Roman" w:cs="Times New Roman"/>
          <w:color w:val="000000" w:themeColor="text1"/>
          <w:sz w:val="24"/>
          <w:szCs w:val="24"/>
          <w:lang w:val="de-DE"/>
        </w:rPr>
        <w:t>)</w:t>
      </w:r>
    </w:p>
    <w:p w:rsidR="0002456A" w:rsidRPr="00C47FC8" w:rsidRDefault="0002456A" w:rsidP="00E91CA7">
      <w:pPr>
        <w:spacing w:after="0" w:line="360" w:lineRule="auto"/>
        <w:rPr>
          <w:rFonts w:ascii="Times New Roman" w:hAnsi="Times New Roman" w:cs="Times New Roman"/>
          <w:color w:val="000000" w:themeColor="text1"/>
          <w:sz w:val="12"/>
          <w:szCs w:val="12"/>
        </w:rPr>
      </w:pPr>
    </w:p>
    <w:p w:rsidR="0002456A" w:rsidRPr="00462F98" w:rsidRDefault="00133D60" w:rsidP="00133D60">
      <w:pPr>
        <w:pStyle w:val="ListParagraph"/>
        <w:numPr>
          <w:ilvl w:val="0"/>
          <w:numId w:val="9"/>
        </w:numPr>
        <w:spacing w:after="0" w:line="360" w:lineRule="auto"/>
        <w:rPr>
          <w:rFonts w:ascii="Times New Roman" w:hAnsi="Times New Roman" w:cs="Times New Roman"/>
          <w:color w:val="000000" w:themeColor="text1"/>
          <w:sz w:val="24"/>
          <w:szCs w:val="24"/>
        </w:rPr>
      </w:pPr>
      <w:r w:rsidRPr="00C47FC8">
        <w:rPr>
          <w:rFonts w:ascii="Times New Roman" w:hAnsi="Times New Roman" w:cs="Times New Roman"/>
          <w:color w:val="000000" w:themeColor="text1"/>
          <w:sz w:val="24"/>
          <w:szCs w:val="24"/>
          <w:lang w:val="de-DE"/>
        </w:rPr>
        <w:t xml:space="preserve"> </w:t>
      </w:r>
      <w:r w:rsidRPr="00C47FC8">
        <w:rPr>
          <w:rFonts w:ascii="Times New Roman" w:hAnsi="Times New Roman" w:cs="Times New Roman"/>
          <w:color w:val="000000" w:themeColor="text1"/>
          <w:sz w:val="24"/>
          <w:szCs w:val="24"/>
          <w:lang w:val="de-DE"/>
        </w:rPr>
        <w:tab/>
      </w:r>
      <w:r w:rsidR="0002456A" w:rsidRPr="00462F98">
        <w:rPr>
          <w:rFonts w:ascii="Times New Roman" w:hAnsi="Times New Roman" w:cs="Times New Roman"/>
          <w:color w:val="000000" w:themeColor="text1"/>
          <w:sz w:val="24"/>
          <w:szCs w:val="24"/>
        </w:rPr>
        <w:t>M</w:t>
      </w:r>
      <w:r w:rsidR="0002456A" w:rsidRPr="00462F98">
        <w:rPr>
          <w:rFonts w:ascii="Times New Roman" w:hAnsi="Times New Roman" w:cs="Times New Roman"/>
          <w:color w:val="000000" w:themeColor="text1"/>
          <w:sz w:val="24"/>
          <w:szCs w:val="24"/>
          <w:vertAlign w:val="subscript"/>
        </w:rPr>
        <w:t>t</w:t>
      </w:r>
      <w:r w:rsidR="0002456A" w:rsidRPr="00462F98">
        <w:rPr>
          <w:rFonts w:ascii="Times New Roman" w:hAnsi="Times New Roman" w:cs="Times New Roman"/>
          <w:color w:val="000000" w:themeColor="text1"/>
          <w:sz w:val="24"/>
          <w:szCs w:val="24"/>
        </w:rPr>
        <w:t xml:space="preserve"> = </w:t>
      </w:r>
      <w:proofErr w:type="spellStart"/>
      <w:r w:rsidR="0002456A" w:rsidRPr="00462F98">
        <w:rPr>
          <w:rFonts w:ascii="Times New Roman" w:hAnsi="Times New Roman" w:cs="Times New Roman"/>
          <w:color w:val="000000" w:themeColor="text1"/>
          <w:sz w:val="24"/>
          <w:szCs w:val="24"/>
        </w:rPr>
        <w:t>m</w:t>
      </w:r>
      <w:r w:rsidR="0002456A" w:rsidRPr="00462F98">
        <w:rPr>
          <w:rFonts w:ascii="Times New Roman" w:hAnsi="Times New Roman" w:cs="Times New Roman"/>
          <w:color w:val="000000" w:themeColor="text1"/>
          <w:sz w:val="24"/>
          <w:szCs w:val="24"/>
          <w:vertAlign w:val="subscript"/>
        </w:rPr>
        <w:t>t</w:t>
      </w:r>
      <w:proofErr w:type="spellEnd"/>
      <w:r w:rsidR="0002456A" w:rsidRPr="00462F98">
        <w:rPr>
          <w:rFonts w:ascii="Times New Roman" w:hAnsi="Times New Roman" w:cs="Times New Roman"/>
          <w:color w:val="000000" w:themeColor="text1"/>
          <w:sz w:val="24"/>
          <w:szCs w:val="24"/>
        </w:rPr>
        <w:t xml:space="preserve"> * </w:t>
      </w:r>
      <w:r w:rsidR="00D060CB" w:rsidRPr="00462F98">
        <w:rPr>
          <w:rFonts w:ascii="Times New Roman" w:hAnsi="Times New Roman" w:cs="Times New Roman"/>
          <w:color w:val="000000" w:themeColor="text1"/>
          <w:sz w:val="24"/>
          <w:szCs w:val="24"/>
        </w:rPr>
        <w:t xml:space="preserve">           </w:t>
      </w:r>
      <w:r w:rsidR="0002456A" w:rsidRPr="00462F98">
        <w:rPr>
          <w:rFonts w:ascii="Times New Roman" w:hAnsi="Times New Roman" w:cs="Times New Roman"/>
          <w:color w:val="000000" w:themeColor="text1"/>
          <w:sz w:val="24"/>
          <w:szCs w:val="24"/>
        </w:rPr>
        <w:t>(</w:t>
      </w:r>
      <w:proofErr w:type="spellStart"/>
      <w:r w:rsidR="0002456A" w:rsidRPr="00462F98">
        <w:rPr>
          <w:rFonts w:ascii="Times New Roman" w:hAnsi="Times New Roman" w:cs="Times New Roman"/>
          <w:color w:val="000000" w:themeColor="text1"/>
          <w:sz w:val="24"/>
          <w:szCs w:val="24"/>
        </w:rPr>
        <w:t>MBRES</w:t>
      </w:r>
      <w:r w:rsidR="0002456A" w:rsidRPr="00462F98">
        <w:rPr>
          <w:rFonts w:ascii="Times New Roman" w:hAnsi="Times New Roman" w:cs="Times New Roman"/>
          <w:color w:val="000000" w:themeColor="text1"/>
          <w:sz w:val="24"/>
          <w:szCs w:val="24"/>
          <w:vertAlign w:val="subscript"/>
        </w:rPr>
        <w:t>t</w:t>
      </w:r>
      <w:proofErr w:type="spellEnd"/>
      <w:r w:rsidR="0002456A" w:rsidRPr="00462F98">
        <w:rPr>
          <w:rFonts w:ascii="Times New Roman" w:hAnsi="Times New Roman" w:cs="Times New Roman"/>
          <w:color w:val="000000" w:themeColor="text1"/>
          <w:sz w:val="24"/>
          <w:szCs w:val="24"/>
        </w:rPr>
        <w:t xml:space="preserve"> </w:t>
      </w:r>
      <w:r w:rsidR="00D060CB" w:rsidRPr="00462F98">
        <w:rPr>
          <w:rFonts w:ascii="Times New Roman" w:hAnsi="Times New Roman" w:cs="Times New Roman"/>
          <w:color w:val="000000" w:themeColor="text1"/>
          <w:sz w:val="24"/>
          <w:szCs w:val="24"/>
        </w:rPr>
        <w:t xml:space="preserve">     </w:t>
      </w:r>
      <w:r w:rsidR="0002456A" w:rsidRPr="00462F98">
        <w:rPr>
          <w:rFonts w:ascii="Times New Roman" w:hAnsi="Times New Roman" w:cs="Times New Roman"/>
          <w:color w:val="000000" w:themeColor="text1"/>
          <w:sz w:val="24"/>
          <w:szCs w:val="24"/>
        </w:rPr>
        <w:t xml:space="preserve">+ </w:t>
      </w:r>
      <w:r w:rsidR="00D060CB" w:rsidRPr="00462F98">
        <w:rPr>
          <w:rFonts w:ascii="Times New Roman" w:hAnsi="Times New Roman" w:cs="Times New Roman"/>
          <w:color w:val="000000" w:themeColor="text1"/>
          <w:sz w:val="24"/>
          <w:szCs w:val="24"/>
        </w:rPr>
        <w:t xml:space="preserve">     </w:t>
      </w:r>
      <w:proofErr w:type="spellStart"/>
      <w:r w:rsidR="0002456A" w:rsidRPr="00462F98">
        <w:rPr>
          <w:rFonts w:ascii="Times New Roman" w:hAnsi="Times New Roman" w:cs="Times New Roman"/>
          <w:color w:val="000000" w:themeColor="text1"/>
          <w:sz w:val="24"/>
          <w:szCs w:val="24"/>
        </w:rPr>
        <w:t>MBTR</w:t>
      </w:r>
      <w:r w:rsidR="0002456A" w:rsidRPr="00462F98">
        <w:rPr>
          <w:rFonts w:ascii="Times New Roman" w:hAnsi="Times New Roman" w:cs="Times New Roman"/>
          <w:color w:val="000000" w:themeColor="text1"/>
          <w:sz w:val="24"/>
          <w:szCs w:val="24"/>
          <w:vertAlign w:val="subscript"/>
        </w:rPr>
        <w:t>t</w:t>
      </w:r>
      <w:proofErr w:type="spellEnd"/>
      <w:r w:rsidR="0002456A" w:rsidRPr="00462F98">
        <w:rPr>
          <w:rFonts w:ascii="Times New Roman" w:hAnsi="Times New Roman" w:cs="Times New Roman"/>
          <w:color w:val="000000" w:themeColor="text1"/>
          <w:sz w:val="24"/>
          <w:szCs w:val="24"/>
        </w:rPr>
        <w:t>)</w:t>
      </w:r>
    </w:p>
    <w:p w:rsidR="0002456A" w:rsidRPr="00462F98" w:rsidRDefault="0002456A" w:rsidP="00E91CA7">
      <w:pPr>
        <w:spacing w:after="0" w:line="360" w:lineRule="auto"/>
        <w:rPr>
          <w:rFonts w:ascii="Times New Roman" w:hAnsi="Times New Roman" w:cs="Times New Roman"/>
          <w:color w:val="000000" w:themeColor="text1"/>
          <w:sz w:val="8"/>
          <w:szCs w:val="8"/>
          <w:lang w:val="en-GB"/>
        </w:rPr>
      </w:pPr>
    </w:p>
    <w:p w:rsidR="00D060CB" w:rsidRPr="00462F98" w:rsidRDefault="0002456A"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The growth rate of M</w:t>
      </w:r>
      <w:r w:rsidR="00D060CB" w:rsidRPr="00462F98">
        <w:rPr>
          <w:rFonts w:ascii="Times New Roman" w:hAnsi="Times New Roman" w:cs="Times New Roman"/>
          <w:color w:val="000000" w:themeColor="text1"/>
          <w:sz w:val="24"/>
          <w:szCs w:val="24"/>
          <w:vertAlign w:val="subscript"/>
          <w:lang w:val="en-GB"/>
        </w:rPr>
        <w:t>t</w:t>
      </w:r>
      <w:r w:rsidRPr="00462F98">
        <w:rPr>
          <w:rFonts w:ascii="Times New Roman" w:hAnsi="Times New Roman" w:cs="Times New Roman"/>
          <w:color w:val="000000" w:themeColor="text1"/>
          <w:sz w:val="24"/>
          <w:szCs w:val="24"/>
          <w:lang w:val="en-GB"/>
        </w:rPr>
        <w:t xml:space="preserve"> </w:t>
      </w:r>
      <w:r w:rsidR="00D060CB" w:rsidRPr="00462F98">
        <w:rPr>
          <w:rFonts w:ascii="Times New Roman" w:hAnsi="Times New Roman" w:cs="Times New Roman"/>
          <w:color w:val="000000" w:themeColor="text1"/>
          <w:sz w:val="24"/>
          <w:szCs w:val="24"/>
          <w:lang w:val="en-GB"/>
        </w:rPr>
        <w:t>–</w:t>
      </w:r>
      <w:r w:rsidR="003C6998" w:rsidRPr="00462F98">
        <w:rPr>
          <w:rFonts w:ascii="Times New Roman" w:hAnsi="Times New Roman" w:cs="Times New Roman"/>
          <w:color w:val="000000" w:themeColor="text1"/>
          <w:sz w:val="24"/>
          <w:szCs w:val="24"/>
          <w:lang w:val="en-GB"/>
        </w:rPr>
        <w:t xml:space="preserve"> ΔM/</w:t>
      </w:r>
      <w:r w:rsidR="00D060CB" w:rsidRPr="00462F98">
        <w:rPr>
          <w:rFonts w:ascii="Times New Roman" w:hAnsi="Times New Roman" w:cs="Times New Roman"/>
          <w:color w:val="000000" w:themeColor="text1"/>
          <w:sz w:val="24"/>
          <w:szCs w:val="24"/>
          <w:lang w:val="en-GB"/>
        </w:rPr>
        <w:t>M = (M</w:t>
      </w:r>
      <w:r w:rsidR="00D060CB" w:rsidRPr="00462F98">
        <w:rPr>
          <w:rFonts w:ascii="Times New Roman" w:hAnsi="Times New Roman" w:cs="Times New Roman"/>
          <w:color w:val="000000" w:themeColor="text1"/>
          <w:sz w:val="24"/>
          <w:szCs w:val="24"/>
          <w:vertAlign w:val="subscript"/>
          <w:lang w:val="en-GB"/>
        </w:rPr>
        <w:t>t+1</w:t>
      </w:r>
      <w:r w:rsidR="003C6998" w:rsidRPr="00462F98">
        <w:rPr>
          <w:rFonts w:ascii="Times New Roman" w:hAnsi="Times New Roman" w:cs="Times New Roman"/>
          <w:color w:val="000000" w:themeColor="text1"/>
          <w:sz w:val="24"/>
          <w:szCs w:val="24"/>
          <w:lang w:val="en-GB"/>
        </w:rPr>
        <w:t xml:space="preserve"> – </w:t>
      </w:r>
      <w:r w:rsidR="00D060CB" w:rsidRPr="00462F98">
        <w:rPr>
          <w:rFonts w:ascii="Times New Roman" w:hAnsi="Times New Roman" w:cs="Times New Roman"/>
          <w:color w:val="000000" w:themeColor="text1"/>
          <w:sz w:val="24"/>
          <w:szCs w:val="24"/>
          <w:lang w:val="en-GB"/>
        </w:rPr>
        <w:t>M</w:t>
      </w:r>
      <w:r w:rsidR="00D060CB" w:rsidRPr="00462F98">
        <w:rPr>
          <w:rFonts w:ascii="Times New Roman" w:hAnsi="Times New Roman" w:cs="Times New Roman"/>
          <w:color w:val="000000" w:themeColor="text1"/>
          <w:sz w:val="24"/>
          <w:szCs w:val="24"/>
          <w:vertAlign w:val="subscript"/>
          <w:lang w:val="en-GB"/>
        </w:rPr>
        <w:t>t</w:t>
      </w:r>
      <w:r w:rsidR="00133D60" w:rsidRPr="00462F98">
        <w:rPr>
          <w:rFonts w:ascii="Times New Roman" w:hAnsi="Times New Roman" w:cs="Times New Roman"/>
          <w:color w:val="000000" w:themeColor="text1"/>
          <w:sz w:val="24"/>
          <w:szCs w:val="24"/>
          <w:lang w:val="en-GB"/>
        </w:rPr>
        <w:t>)</w:t>
      </w:r>
      <w:r w:rsidR="003C6998" w:rsidRPr="00462F98">
        <w:rPr>
          <w:rFonts w:ascii="Times New Roman" w:hAnsi="Times New Roman" w:cs="Times New Roman"/>
          <w:color w:val="000000" w:themeColor="text1"/>
          <w:sz w:val="24"/>
          <w:szCs w:val="24"/>
          <w:lang w:val="en-GB"/>
        </w:rPr>
        <w:t>/</w:t>
      </w:r>
      <w:r w:rsidR="00D060CB" w:rsidRPr="00462F98">
        <w:rPr>
          <w:rFonts w:ascii="Times New Roman" w:hAnsi="Times New Roman" w:cs="Times New Roman"/>
          <w:color w:val="000000" w:themeColor="text1"/>
          <w:sz w:val="24"/>
          <w:szCs w:val="24"/>
          <w:lang w:val="en-GB"/>
        </w:rPr>
        <w:t>M</w:t>
      </w:r>
      <w:r w:rsidR="00D060CB" w:rsidRPr="00462F98">
        <w:rPr>
          <w:rFonts w:ascii="Times New Roman" w:hAnsi="Times New Roman" w:cs="Times New Roman"/>
          <w:color w:val="000000" w:themeColor="text1"/>
          <w:sz w:val="24"/>
          <w:szCs w:val="24"/>
          <w:vertAlign w:val="subscript"/>
          <w:lang w:val="en-GB"/>
        </w:rPr>
        <w:t>t</w:t>
      </w:r>
      <w:r w:rsidR="00D060CB" w:rsidRPr="00462F98">
        <w:rPr>
          <w:rFonts w:ascii="Times New Roman" w:hAnsi="Times New Roman" w:cs="Times New Roman"/>
          <w:color w:val="000000" w:themeColor="text1"/>
          <w:sz w:val="24"/>
          <w:szCs w:val="24"/>
          <w:lang w:val="en-GB"/>
        </w:rPr>
        <w:t xml:space="preserve"> – can </w:t>
      </w:r>
      <w:r w:rsidRPr="00462F98">
        <w:rPr>
          <w:rFonts w:ascii="Times New Roman" w:hAnsi="Times New Roman" w:cs="Times New Roman"/>
          <w:color w:val="000000" w:themeColor="text1"/>
          <w:sz w:val="24"/>
          <w:szCs w:val="24"/>
          <w:lang w:val="en-GB"/>
        </w:rPr>
        <w:t>be decomposed into the growth of the multiplier and the growth of the monetary base</w:t>
      </w:r>
      <w:r w:rsidR="00D060CB" w:rsidRPr="00462F98">
        <w:rPr>
          <w:rFonts w:ascii="Times New Roman" w:hAnsi="Times New Roman" w:cs="Times New Roman"/>
          <w:color w:val="000000" w:themeColor="text1"/>
          <w:sz w:val="24"/>
          <w:szCs w:val="24"/>
          <w:lang w:val="en-GB"/>
        </w:rPr>
        <w:t>. Relying on the Taylor approximation ln x ≈ x – 1 for values of x close to unity</w:t>
      </w:r>
      <w:r w:rsidR="0053354A">
        <w:rPr>
          <w:rFonts w:ascii="Times New Roman" w:hAnsi="Times New Roman" w:cs="Times New Roman"/>
          <w:color w:val="000000" w:themeColor="text1"/>
          <w:sz w:val="24"/>
          <w:szCs w:val="24"/>
          <w:lang w:val="en-GB"/>
        </w:rPr>
        <w:t xml:space="preserve">, </w:t>
      </w:r>
      <w:r w:rsidR="00D060CB" w:rsidRPr="00462F98">
        <w:rPr>
          <w:rFonts w:ascii="Times New Roman" w:hAnsi="Times New Roman" w:cs="Times New Roman"/>
          <w:color w:val="000000" w:themeColor="text1"/>
          <w:sz w:val="24"/>
          <w:szCs w:val="24"/>
          <w:lang w:val="en-GB"/>
        </w:rPr>
        <w:t>we obtain:</w:t>
      </w:r>
    </w:p>
    <w:p w:rsidR="00D060CB" w:rsidRPr="00462F98" w:rsidRDefault="00D060CB" w:rsidP="008C1B88">
      <w:pPr>
        <w:spacing w:after="0" w:line="360" w:lineRule="auto"/>
        <w:jc w:val="both"/>
        <w:rPr>
          <w:rFonts w:ascii="Times New Roman" w:hAnsi="Times New Roman" w:cs="Times New Roman"/>
          <w:color w:val="000000" w:themeColor="text1"/>
          <w:sz w:val="8"/>
          <w:szCs w:val="8"/>
          <w:lang w:val="en-GB"/>
        </w:rPr>
      </w:pPr>
    </w:p>
    <w:p w:rsidR="009024F8" w:rsidRPr="00462F98" w:rsidRDefault="00D060CB" w:rsidP="00133D60">
      <w:pPr>
        <w:pStyle w:val="ListParagraph"/>
        <w:numPr>
          <w:ilvl w:val="0"/>
          <w:numId w:val="9"/>
        </w:numPr>
        <w:spacing w:after="0" w:line="360" w:lineRule="auto"/>
        <w:jc w:val="both"/>
        <w:rPr>
          <w:rFonts w:ascii="Times New Roman" w:hAnsi="Times New Roman" w:cs="Times New Roman"/>
          <w:color w:val="000000" w:themeColor="text1"/>
        </w:rPr>
      </w:pPr>
      <w:r w:rsidRPr="00462F98">
        <w:rPr>
          <w:rFonts w:ascii="Times New Roman" w:hAnsi="Times New Roman" w:cs="Times New Roman"/>
          <w:color w:val="000000" w:themeColor="text1"/>
        </w:rPr>
        <w:t>ΔM / M ≈ ln M</w:t>
      </w:r>
      <w:r w:rsidRPr="00462F98">
        <w:rPr>
          <w:rFonts w:ascii="Times New Roman" w:hAnsi="Times New Roman" w:cs="Times New Roman"/>
          <w:color w:val="000000" w:themeColor="text1"/>
          <w:vertAlign w:val="subscript"/>
        </w:rPr>
        <w:t>t+1</w:t>
      </w:r>
      <w:r w:rsidRPr="00462F98">
        <w:rPr>
          <w:rFonts w:ascii="Times New Roman" w:hAnsi="Times New Roman" w:cs="Times New Roman"/>
          <w:color w:val="000000" w:themeColor="text1"/>
        </w:rPr>
        <w:t xml:space="preserve"> – ln M</w:t>
      </w:r>
      <w:r w:rsidRPr="00462F98">
        <w:rPr>
          <w:rFonts w:ascii="Times New Roman" w:hAnsi="Times New Roman" w:cs="Times New Roman"/>
          <w:color w:val="000000" w:themeColor="text1"/>
          <w:vertAlign w:val="subscript"/>
        </w:rPr>
        <w:t>t</w:t>
      </w:r>
      <w:r w:rsidRPr="00462F98">
        <w:rPr>
          <w:rFonts w:ascii="Times New Roman" w:hAnsi="Times New Roman" w:cs="Times New Roman"/>
          <w:color w:val="000000" w:themeColor="text1"/>
        </w:rPr>
        <w:t xml:space="preserve"> = ln m</w:t>
      </w:r>
      <w:r w:rsidRPr="00462F98">
        <w:rPr>
          <w:rFonts w:ascii="Times New Roman" w:hAnsi="Times New Roman" w:cs="Times New Roman"/>
          <w:color w:val="000000" w:themeColor="text1"/>
          <w:vertAlign w:val="subscript"/>
        </w:rPr>
        <w:t>t+1</w:t>
      </w:r>
      <w:r w:rsidRPr="00462F98">
        <w:rPr>
          <w:rFonts w:ascii="Times New Roman" w:hAnsi="Times New Roman" w:cs="Times New Roman"/>
          <w:color w:val="000000" w:themeColor="text1"/>
        </w:rPr>
        <w:t xml:space="preserve"> – ln </w:t>
      </w:r>
      <w:proofErr w:type="spellStart"/>
      <w:r w:rsidRPr="00462F98">
        <w:rPr>
          <w:rFonts w:ascii="Times New Roman" w:hAnsi="Times New Roman" w:cs="Times New Roman"/>
          <w:color w:val="000000" w:themeColor="text1"/>
        </w:rPr>
        <w:t>m</w:t>
      </w:r>
      <w:r w:rsidRPr="00462F98">
        <w:rPr>
          <w:rFonts w:ascii="Times New Roman" w:hAnsi="Times New Roman" w:cs="Times New Roman"/>
          <w:color w:val="000000" w:themeColor="text1"/>
          <w:vertAlign w:val="subscript"/>
        </w:rPr>
        <w:t>t</w:t>
      </w:r>
      <w:proofErr w:type="spellEnd"/>
      <w:r w:rsidRPr="00462F98">
        <w:rPr>
          <w:rFonts w:ascii="Times New Roman" w:hAnsi="Times New Roman" w:cs="Times New Roman"/>
          <w:color w:val="000000" w:themeColor="text1"/>
        </w:rPr>
        <w:t xml:space="preserve"> + ln MB</w:t>
      </w:r>
      <w:r w:rsidRPr="00462F98">
        <w:rPr>
          <w:rFonts w:ascii="Times New Roman" w:hAnsi="Times New Roman" w:cs="Times New Roman"/>
          <w:color w:val="000000" w:themeColor="text1"/>
          <w:vertAlign w:val="subscript"/>
        </w:rPr>
        <w:t>t+1</w:t>
      </w:r>
      <w:r w:rsidRPr="00462F98">
        <w:rPr>
          <w:rFonts w:ascii="Times New Roman" w:hAnsi="Times New Roman" w:cs="Times New Roman"/>
          <w:color w:val="000000" w:themeColor="text1"/>
        </w:rPr>
        <w:t xml:space="preserve"> – ln </w:t>
      </w:r>
      <w:proofErr w:type="spellStart"/>
      <w:r w:rsidRPr="00462F98">
        <w:rPr>
          <w:rFonts w:ascii="Times New Roman" w:hAnsi="Times New Roman" w:cs="Times New Roman"/>
          <w:color w:val="000000" w:themeColor="text1"/>
        </w:rPr>
        <w:t>MB</w:t>
      </w:r>
      <w:r w:rsidRPr="00462F98">
        <w:rPr>
          <w:rFonts w:ascii="Times New Roman" w:hAnsi="Times New Roman" w:cs="Times New Roman"/>
          <w:color w:val="000000" w:themeColor="text1"/>
          <w:vertAlign w:val="subscript"/>
        </w:rPr>
        <w:t>t</w:t>
      </w:r>
      <w:proofErr w:type="spellEnd"/>
      <w:r w:rsidRPr="00462F98">
        <w:rPr>
          <w:rFonts w:ascii="Times New Roman" w:hAnsi="Times New Roman" w:cs="Times New Roman"/>
          <w:color w:val="000000" w:themeColor="text1"/>
        </w:rPr>
        <w:t xml:space="preserve"> ≈ </w:t>
      </w:r>
      <w:proofErr w:type="spellStart"/>
      <w:r w:rsidRPr="00462F98">
        <w:rPr>
          <w:rFonts w:ascii="Times New Roman" w:hAnsi="Times New Roman" w:cs="Times New Roman"/>
          <w:color w:val="000000" w:themeColor="text1"/>
        </w:rPr>
        <w:t>Δm</w:t>
      </w:r>
      <w:proofErr w:type="spellEnd"/>
      <w:r w:rsidRPr="00462F98">
        <w:rPr>
          <w:rFonts w:ascii="Times New Roman" w:hAnsi="Times New Roman" w:cs="Times New Roman"/>
          <w:color w:val="000000" w:themeColor="text1"/>
        </w:rPr>
        <w:t xml:space="preserve"> / m + ΔMB / MB</w:t>
      </w:r>
    </w:p>
    <w:p w:rsidR="00D060CB" w:rsidRPr="00462F98" w:rsidRDefault="00D060CB" w:rsidP="008C1B88">
      <w:pPr>
        <w:spacing w:after="0" w:line="360" w:lineRule="auto"/>
        <w:jc w:val="both"/>
        <w:rPr>
          <w:rFonts w:ascii="Times New Roman" w:hAnsi="Times New Roman" w:cs="Times New Roman"/>
          <w:color w:val="000000" w:themeColor="text1"/>
          <w:sz w:val="8"/>
          <w:szCs w:val="8"/>
          <w:lang w:val="en-GB"/>
        </w:rPr>
      </w:pPr>
    </w:p>
    <w:p w:rsidR="0002456A" w:rsidRPr="00462F98" w:rsidRDefault="00A42F0A"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MB </w:t>
      </w:r>
      <w:r w:rsidR="0002456A" w:rsidRPr="00462F98">
        <w:rPr>
          <w:rFonts w:ascii="Times New Roman" w:hAnsi="Times New Roman" w:cs="Times New Roman"/>
          <w:color w:val="000000" w:themeColor="text1"/>
          <w:sz w:val="24"/>
          <w:szCs w:val="24"/>
          <w:lang w:val="en-GB"/>
        </w:rPr>
        <w:t xml:space="preserve">growth </w:t>
      </w:r>
      <w:r w:rsidR="00FA4D6F">
        <w:rPr>
          <w:rFonts w:ascii="Times New Roman" w:hAnsi="Times New Roman" w:cs="Times New Roman"/>
          <w:color w:val="000000" w:themeColor="text1"/>
          <w:sz w:val="24"/>
          <w:szCs w:val="24"/>
          <w:lang w:val="en-GB"/>
        </w:rPr>
        <w:t>is</w:t>
      </w:r>
      <w:r w:rsidR="0002456A" w:rsidRPr="00462F98">
        <w:rPr>
          <w:rFonts w:ascii="Times New Roman" w:hAnsi="Times New Roman" w:cs="Times New Roman"/>
          <w:color w:val="000000" w:themeColor="text1"/>
          <w:sz w:val="24"/>
          <w:szCs w:val="24"/>
          <w:lang w:val="en-GB"/>
        </w:rPr>
        <w:t xml:space="preserve"> expressed </w:t>
      </w:r>
      <w:r w:rsidR="00FA4D6F">
        <w:rPr>
          <w:rFonts w:ascii="Times New Roman" w:hAnsi="Times New Roman" w:cs="Times New Roman"/>
          <w:color w:val="000000" w:themeColor="text1"/>
          <w:sz w:val="24"/>
          <w:szCs w:val="24"/>
          <w:lang w:val="en-GB"/>
        </w:rPr>
        <w:t>as</w:t>
      </w:r>
      <w:r w:rsidR="0002456A" w:rsidRPr="00462F98">
        <w:rPr>
          <w:rFonts w:ascii="Times New Roman" w:hAnsi="Times New Roman" w:cs="Times New Roman"/>
          <w:color w:val="000000" w:themeColor="text1"/>
          <w:sz w:val="24"/>
          <w:szCs w:val="24"/>
          <w:lang w:val="en-GB"/>
        </w:rPr>
        <w:t xml:space="preserve"> contribution of MBTR</w:t>
      </w:r>
      <w:r w:rsidR="002C0C16" w:rsidRPr="00462F98">
        <w:rPr>
          <w:rFonts w:ascii="Times New Roman" w:hAnsi="Times New Roman" w:cs="Times New Roman"/>
          <w:color w:val="000000" w:themeColor="text1"/>
          <w:sz w:val="24"/>
          <w:szCs w:val="24"/>
          <w:lang w:val="en-GB"/>
        </w:rPr>
        <w:t xml:space="preserve">, </w:t>
      </w:r>
      <w:r w:rsidR="0002456A" w:rsidRPr="00462F98">
        <w:rPr>
          <w:rFonts w:ascii="Times New Roman" w:hAnsi="Times New Roman" w:cs="Times New Roman"/>
          <w:color w:val="000000" w:themeColor="text1"/>
          <w:sz w:val="24"/>
          <w:szCs w:val="24"/>
          <w:lang w:val="en-GB"/>
        </w:rPr>
        <w:t>MBRES</w:t>
      </w:r>
      <w:r w:rsidR="006771D8" w:rsidRPr="00462F98">
        <w:rPr>
          <w:rFonts w:ascii="Times New Roman" w:hAnsi="Times New Roman" w:cs="Times New Roman"/>
          <w:color w:val="000000" w:themeColor="text1"/>
          <w:sz w:val="24"/>
          <w:szCs w:val="24"/>
          <w:lang w:val="en-GB"/>
        </w:rPr>
        <w:t xml:space="preserve"> and their</w:t>
      </w:r>
      <w:r w:rsidR="002C0C16" w:rsidRPr="00462F98">
        <w:rPr>
          <w:rFonts w:ascii="Times New Roman" w:hAnsi="Times New Roman" w:cs="Times New Roman"/>
          <w:color w:val="000000" w:themeColor="text1"/>
          <w:sz w:val="24"/>
          <w:szCs w:val="24"/>
          <w:lang w:val="en-GB"/>
        </w:rPr>
        <w:t xml:space="preserve"> cross-component: </w:t>
      </w:r>
    </w:p>
    <w:p w:rsidR="002C0C16" w:rsidRPr="00462F98" w:rsidRDefault="002C0C16" w:rsidP="008C1B88">
      <w:pPr>
        <w:spacing w:after="0" w:line="360" w:lineRule="auto"/>
        <w:jc w:val="both"/>
        <w:rPr>
          <w:rFonts w:ascii="Times New Roman" w:hAnsi="Times New Roman" w:cs="Times New Roman"/>
          <w:color w:val="000000" w:themeColor="text1"/>
          <w:sz w:val="8"/>
          <w:szCs w:val="8"/>
          <w:lang w:val="en-GB"/>
        </w:rPr>
      </w:pPr>
    </w:p>
    <w:p w:rsidR="002C0C16" w:rsidRPr="00462F98" w:rsidRDefault="002C0C16" w:rsidP="00133D60">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462F98">
        <w:rPr>
          <w:rFonts w:ascii="Times New Roman" w:hAnsi="Times New Roman" w:cs="Times New Roman"/>
          <w:color w:val="000000" w:themeColor="text1"/>
          <w:sz w:val="24"/>
          <w:szCs w:val="24"/>
        </w:rPr>
        <w:t>ΔMB / MB ≈ ln MB</w:t>
      </w:r>
      <w:r w:rsidRPr="00462F98">
        <w:rPr>
          <w:rFonts w:ascii="Times New Roman" w:hAnsi="Times New Roman" w:cs="Times New Roman"/>
          <w:color w:val="000000" w:themeColor="text1"/>
          <w:sz w:val="24"/>
          <w:szCs w:val="24"/>
          <w:vertAlign w:val="subscript"/>
        </w:rPr>
        <w:t>t+1</w:t>
      </w:r>
      <w:r w:rsidRPr="00462F98">
        <w:rPr>
          <w:rFonts w:ascii="Times New Roman" w:hAnsi="Times New Roman" w:cs="Times New Roman"/>
          <w:color w:val="000000" w:themeColor="text1"/>
          <w:sz w:val="24"/>
          <w:szCs w:val="24"/>
        </w:rPr>
        <w:t xml:space="preserve"> – ln </w:t>
      </w:r>
      <w:proofErr w:type="spellStart"/>
      <w:r w:rsidRPr="00462F98">
        <w:rPr>
          <w:rFonts w:ascii="Times New Roman" w:hAnsi="Times New Roman" w:cs="Times New Roman"/>
          <w:color w:val="000000" w:themeColor="text1"/>
          <w:sz w:val="24"/>
          <w:szCs w:val="24"/>
        </w:rPr>
        <w:t>MB</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rPr>
        <w:t xml:space="preserve"> = c(MBTR) + c(MBRES) + c(cross)</w:t>
      </w:r>
    </w:p>
    <w:p w:rsidR="009024F8" w:rsidRPr="00462F98" w:rsidRDefault="009024F8" w:rsidP="008C1B88">
      <w:pPr>
        <w:spacing w:after="0" w:line="360" w:lineRule="auto"/>
        <w:jc w:val="both"/>
        <w:rPr>
          <w:rFonts w:ascii="Times New Roman" w:hAnsi="Times New Roman" w:cs="Times New Roman"/>
          <w:color w:val="000000" w:themeColor="text1"/>
          <w:sz w:val="8"/>
          <w:szCs w:val="8"/>
          <w:lang w:val="en-GB"/>
        </w:rPr>
      </w:pPr>
    </w:p>
    <w:p w:rsidR="002C0C16" w:rsidRPr="00462F98" w:rsidRDefault="002C0C16"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where</w:t>
      </w:r>
      <w:r w:rsidRPr="00462F98">
        <w:rPr>
          <w:rFonts w:ascii="Times New Roman" w:hAnsi="Times New Roman" w:cs="Times New Roman"/>
          <w:color w:val="000000" w:themeColor="text1"/>
          <w:sz w:val="24"/>
          <w:szCs w:val="24"/>
          <w:lang w:val="en-GB"/>
        </w:rPr>
        <w:tab/>
      </w:r>
      <w:r w:rsidRPr="00462F98">
        <w:rPr>
          <w:rFonts w:ascii="Times New Roman" w:hAnsi="Times New Roman" w:cs="Times New Roman"/>
          <w:color w:val="000000" w:themeColor="text1"/>
          <w:sz w:val="24"/>
          <w:szCs w:val="24"/>
          <w:lang w:val="en-GB"/>
        </w:rPr>
        <w:tab/>
        <w:t>c(</w:t>
      </w:r>
      <w:proofErr w:type="gramStart"/>
      <w:r w:rsidRPr="00462F98">
        <w:rPr>
          <w:rFonts w:ascii="Times New Roman" w:hAnsi="Times New Roman" w:cs="Times New Roman"/>
          <w:color w:val="000000" w:themeColor="text1"/>
          <w:sz w:val="24"/>
          <w:szCs w:val="24"/>
          <w:lang w:val="en-GB"/>
        </w:rPr>
        <w:t xml:space="preserve">MBTR)   </w:t>
      </w:r>
      <w:proofErr w:type="gramEnd"/>
      <w:r w:rsidRPr="00462F98">
        <w:rPr>
          <w:rFonts w:ascii="Times New Roman" w:hAnsi="Times New Roman" w:cs="Times New Roman"/>
          <w:color w:val="000000" w:themeColor="text1"/>
          <w:sz w:val="24"/>
          <w:szCs w:val="24"/>
          <w:lang w:val="en-GB"/>
        </w:rPr>
        <w:t>= ln [( MBTR</w:t>
      </w:r>
      <w:r w:rsidRPr="00462F98">
        <w:rPr>
          <w:rFonts w:ascii="Times New Roman" w:hAnsi="Times New Roman" w:cs="Times New Roman"/>
          <w:color w:val="000000" w:themeColor="text1"/>
          <w:sz w:val="24"/>
          <w:szCs w:val="24"/>
          <w:vertAlign w:val="subscript"/>
          <w:lang w:val="en-GB"/>
        </w:rPr>
        <w:t>t+1</w:t>
      </w:r>
      <w:r w:rsidRPr="00462F98">
        <w:rPr>
          <w:rFonts w:ascii="Times New Roman" w:hAnsi="Times New Roman" w:cs="Times New Roman"/>
          <w:color w:val="000000" w:themeColor="text1"/>
          <w:sz w:val="24"/>
          <w:szCs w:val="24"/>
          <w:lang w:val="en-GB"/>
        </w:rPr>
        <w:t xml:space="preserve"> + </w:t>
      </w:r>
      <w:proofErr w:type="spellStart"/>
      <w:r w:rsidRPr="00462F98">
        <w:rPr>
          <w:rFonts w:ascii="Times New Roman" w:hAnsi="Times New Roman" w:cs="Times New Roman"/>
          <w:color w:val="000000" w:themeColor="text1"/>
          <w:sz w:val="24"/>
          <w:szCs w:val="24"/>
          <w:lang w:val="en-GB"/>
        </w:rPr>
        <w:t>MBRES</w:t>
      </w:r>
      <w:r w:rsidRPr="00462F98">
        <w:rPr>
          <w:rFonts w:ascii="Times New Roman" w:hAnsi="Times New Roman" w:cs="Times New Roman"/>
          <w:color w:val="000000" w:themeColor="text1"/>
          <w:sz w:val="24"/>
          <w:szCs w:val="24"/>
          <w:vertAlign w:val="subscript"/>
          <w:lang w:val="en-GB"/>
        </w:rPr>
        <w:t>t</w:t>
      </w:r>
      <w:proofErr w:type="spellEnd"/>
      <w:r w:rsidRPr="00462F98">
        <w:rPr>
          <w:rFonts w:ascii="Times New Roman" w:hAnsi="Times New Roman" w:cs="Times New Roman"/>
          <w:color w:val="000000" w:themeColor="text1"/>
          <w:sz w:val="24"/>
          <w:szCs w:val="24"/>
          <w:lang w:val="en-GB"/>
        </w:rPr>
        <w:t xml:space="preserve"> ) / ( </w:t>
      </w:r>
      <w:proofErr w:type="spellStart"/>
      <w:r w:rsidRPr="00462F98">
        <w:rPr>
          <w:rFonts w:ascii="Times New Roman" w:hAnsi="Times New Roman" w:cs="Times New Roman"/>
          <w:color w:val="000000" w:themeColor="text1"/>
          <w:sz w:val="24"/>
          <w:szCs w:val="24"/>
          <w:lang w:val="en-GB"/>
        </w:rPr>
        <w:t>MBTR</w:t>
      </w:r>
      <w:r w:rsidRPr="00462F98">
        <w:rPr>
          <w:rFonts w:ascii="Times New Roman" w:hAnsi="Times New Roman" w:cs="Times New Roman"/>
          <w:color w:val="000000" w:themeColor="text1"/>
          <w:sz w:val="24"/>
          <w:szCs w:val="24"/>
          <w:vertAlign w:val="subscript"/>
          <w:lang w:val="en-GB"/>
        </w:rPr>
        <w:t>t</w:t>
      </w:r>
      <w:proofErr w:type="spellEnd"/>
      <w:r w:rsidRPr="00462F98">
        <w:rPr>
          <w:rFonts w:ascii="Times New Roman" w:hAnsi="Times New Roman" w:cs="Times New Roman"/>
          <w:color w:val="000000" w:themeColor="text1"/>
          <w:sz w:val="24"/>
          <w:szCs w:val="24"/>
          <w:lang w:val="en-GB"/>
        </w:rPr>
        <w:t xml:space="preserve"> + </w:t>
      </w:r>
      <w:proofErr w:type="spellStart"/>
      <w:r w:rsidRPr="00462F98">
        <w:rPr>
          <w:rFonts w:ascii="Times New Roman" w:hAnsi="Times New Roman" w:cs="Times New Roman"/>
          <w:color w:val="000000" w:themeColor="text1"/>
          <w:sz w:val="24"/>
          <w:szCs w:val="24"/>
          <w:lang w:val="en-GB"/>
        </w:rPr>
        <w:t>MBRES</w:t>
      </w:r>
      <w:r w:rsidRPr="00462F98">
        <w:rPr>
          <w:rFonts w:ascii="Times New Roman" w:hAnsi="Times New Roman" w:cs="Times New Roman"/>
          <w:color w:val="000000" w:themeColor="text1"/>
          <w:sz w:val="24"/>
          <w:szCs w:val="24"/>
          <w:vertAlign w:val="subscript"/>
          <w:lang w:val="en-GB"/>
        </w:rPr>
        <w:t>t</w:t>
      </w:r>
      <w:proofErr w:type="spellEnd"/>
      <w:r w:rsidRPr="00462F98">
        <w:rPr>
          <w:rFonts w:ascii="Times New Roman" w:hAnsi="Times New Roman" w:cs="Times New Roman"/>
          <w:color w:val="000000" w:themeColor="text1"/>
          <w:sz w:val="24"/>
          <w:szCs w:val="24"/>
          <w:lang w:val="en-GB"/>
        </w:rPr>
        <w:t xml:space="preserve"> )]</w:t>
      </w:r>
    </w:p>
    <w:p w:rsidR="002C0C16" w:rsidRPr="00B903A9" w:rsidRDefault="002C0C16"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ab/>
      </w:r>
      <w:r w:rsidRPr="00462F98">
        <w:rPr>
          <w:rFonts w:ascii="Times New Roman" w:hAnsi="Times New Roman" w:cs="Times New Roman"/>
          <w:color w:val="000000" w:themeColor="text1"/>
          <w:sz w:val="24"/>
          <w:szCs w:val="24"/>
          <w:lang w:val="en-GB"/>
        </w:rPr>
        <w:tab/>
      </w:r>
      <w:r w:rsidRPr="00B903A9">
        <w:rPr>
          <w:rFonts w:ascii="Times New Roman" w:hAnsi="Times New Roman" w:cs="Times New Roman"/>
          <w:color w:val="000000" w:themeColor="text1"/>
          <w:sz w:val="24"/>
          <w:szCs w:val="24"/>
          <w:lang w:val="en-GB"/>
        </w:rPr>
        <w:t>c(MBRES)</w:t>
      </w:r>
      <w:r w:rsidRPr="00B903A9">
        <w:rPr>
          <w:rFonts w:ascii="Times New Roman" w:hAnsi="Times New Roman" w:cs="Times New Roman"/>
          <w:color w:val="000000" w:themeColor="text1"/>
          <w:sz w:val="20"/>
          <w:szCs w:val="20"/>
          <w:lang w:val="en-GB"/>
        </w:rPr>
        <w:t xml:space="preserve"> </w:t>
      </w:r>
      <w:r w:rsidRPr="00B903A9">
        <w:rPr>
          <w:rFonts w:ascii="Times New Roman" w:hAnsi="Times New Roman" w:cs="Times New Roman"/>
          <w:color w:val="000000" w:themeColor="text1"/>
          <w:sz w:val="24"/>
          <w:szCs w:val="24"/>
          <w:lang w:val="en-GB"/>
        </w:rPr>
        <w:t xml:space="preserve">= ln </w:t>
      </w:r>
      <w:proofErr w:type="gramStart"/>
      <w:r w:rsidRPr="00B903A9">
        <w:rPr>
          <w:rFonts w:ascii="Times New Roman" w:hAnsi="Times New Roman" w:cs="Times New Roman"/>
          <w:color w:val="000000" w:themeColor="text1"/>
          <w:sz w:val="24"/>
          <w:szCs w:val="24"/>
          <w:lang w:val="en-GB"/>
        </w:rPr>
        <w:t xml:space="preserve">[( </w:t>
      </w:r>
      <w:proofErr w:type="spellStart"/>
      <w:r w:rsidRPr="00B903A9">
        <w:rPr>
          <w:rFonts w:ascii="Times New Roman" w:hAnsi="Times New Roman" w:cs="Times New Roman"/>
          <w:color w:val="000000" w:themeColor="text1"/>
          <w:sz w:val="24"/>
          <w:szCs w:val="24"/>
          <w:lang w:val="en-GB"/>
        </w:rPr>
        <w:t>MBTR</w:t>
      </w:r>
      <w:r w:rsidRPr="00B903A9">
        <w:rPr>
          <w:rFonts w:ascii="Times New Roman" w:hAnsi="Times New Roman" w:cs="Times New Roman"/>
          <w:color w:val="000000" w:themeColor="text1"/>
          <w:sz w:val="24"/>
          <w:szCs w:val="24"/>
          <w:vertAlign w:val="subscript"/>
          <w:lang w:val="en-GB"/>
        </w:rPr>
        <w:t>t</w:t>
      </w:r>
      <w:proofErr w:type="spellEnd"/>
      <w:proofErr w:type="gramEnd"/>
      <w:r w:rsidRPr="00B903A9">
        <w:rPr>
          <w:rFonts w:ascii="Times New Roman" w:hAnsi="Times New Roman" w:cs="Times New Roman"/>
          <w:color w:val="000000" w:themeColor="text1"/>
          <w:sz w:val="24"/>
          <w:szCs w:val="24"/>
          <w:lang w:val="en-GB"/>
        </w:rPr>
        <w:t xml:space="preserve"> + MBRES</w:t>
      </w:r>
      <w:r w:rsidRPr="00B903A9">
        <w:rPr>
          <w:rFonts w:ascii="Times New Roman" w:hAnsi="Times New Roman" w:cs="Times New Roman"/>
          <w:color w:val="000000" w:themeColor="text1"/>
          <w:sz w:val="24"/>
          <w:szCs w:val="24"/>
          <w:vertAlign w:val="subscript"/>
          <w:lang w:val="en-GB"/>
        </w:rPr>
        <w:t>t+1</w:t>
      </w:r>
      <w:r w:rsidRPr="00B903A9">
        <w:rPr>
          <w:rFonts w:ascii="Times New Roman" w:hAnsi="Times New Roman" w:cs="Times New Roman"/>
          <w:color w:val="000000" w:themeColor="text1"/>
          <w:sz w:val="24"/>
          <w:szCs w:val="24"/>
          <w:lang w:val="en-GB"/>
        </w:rPr>
        <w:t xml:space="preserve"> ) / ( </w:t>
      </w:r>
      <w:proofErr w:type="spellStart"/>
      <w:r w:rsidRPr="00B903A9">
        <w:rPr>
          <w:rFonts w:ascii="Times New Roman" w:hAnsi="Times New Roman" w:cs="Times New Roman"/>
          <w:color w:val="000000" w:themeColor="text1"/>
          <w:sz w:val="24"/>
          <w:szCs w:val="24"/>
          <w:lang w:val="en-GB"/>
        </w:rPr>
        <w:t>MBTR</w:t>
      </w:r>
      <w:r w:rsidRPr="00B903A9">
        <w:rPr>
          <w:rFonts w:ascii="Times New Roman" w:hAnsi="Times New Roman" w:cs="Times New Roman"/>
          <w:color w:val="000000" w:themeColor="text1"/>
          <w:sz w:val="24"/>
          <w:szCs w:val="24"/>
          <w:vertAlign w:val="subscript"/>
          <w:lang w:val="en-GB"/>
        </w:rPr>
        <w:t>t</w:t>
      </w:r>
      <w:proofErr w:type="spellEnd"/>
      <w:r w:rsidRPr="00B903A9">
        <w:rPr>
          <w:rFonts w:ascii="Times New Roman" w:hAnsi="Times New Roman" w:cs="Times New Roman"/>
          <w:color w:val="000000" w:themeColor="text1"/>
          <w:sz w:val="24"/>
          <w:szCs w:val="24"/>
          <w:lang w:val="en-GB"/>
        </w:rPr>
        <w:t xml:space="preserve"> + </w:t>
      </w:r>
      <w:proofErr w:type="spellStart"/>
      <w:r w:rsidRPr="00B903A9">
        <w:rPr>
          <w:rFonts w:ascii="Times New Roman" w:hAnsi="Times New Roman" w:cs="Times New Roman"/>
          <w:color w:val="000000" w:themeColor="text1"/>
          <w:sz w:val="24"/>
          <w:szCs w:val="24"/>
          <w:lang w:val="en-GB"/>
        </w:rPr>
        <w:t>MBRES</w:t>
      </w:r>
      <w:r w:rsidRPr="00B903A9">
        <w:rPr>
          <w:rFonts w:ascii="Times New Roman" w:hAnsi="Times New Roman" w:cs="Times New Roman"/>
          <w:color w:val="000000" w:themeColor="text1"/>
          <w:sz w:val="24"/>
          <w:szCs w:val="24"/>
          <w:vertAlign w:val="subscript"/>
          <w:lang w:val="en-GB"/>
        </w:rPr>
        <w:t>t</w:t>
      </w:r>
      <w:proofErr w:type="spellEnd"/>
      <w:r w:rsidRPr="00B903A9">
        <w:rPr>
          <w:rFonts w:ascii="Times New Roman" w:hAnsi="Times New Roman" w:cs="Times New Roman"/>
          <w:color w:val="000000" w:themeColor="text1"/>
          <w:sz w:val="24"/>
          <w:szCs w:val="24"/>
          <w:lang w:val="en-GB"/>
        </w:rPr>
        <w:t xml:space="preserve"> )]</w:t>
      </w:r>
    </w:p>
    <w:p w:rsidR="002C0C16" w:rsidRPr="00462F98" w:rsidRDefault="002C0C16" w:rsidP="008C1B88">
      <w:pPr>
        <w:spacing w:after="0" w:line="360" w:lineRule="auto"/>
        <w:jc w:val="both"/>
        <w:rPr>
          <w:rFonts w:ascii="Times New Roman" w:hAnsi="Times New Roman" w:cs="Times New Roman"/>
          <w:color w:val="000000" w:themeColor="text1"/>
          <w:sz w:val="24"/>
          <w:szCs w:val="24"/>
          <w:lang w:val="en-GB"/>
        </w:rPr>
      </w:pPr>
      <w:r w:rsidRPr="00B903A9">
        <w:rPr>
          <w:rFonts w:ascii="Times New Roman" w:hAnsi="Times New Roman" w:cs="Times New Roman"/>
          <w:color w:val="000000" w:themeColor="text1"/>
          <w:sz w:val="24"/>
          <w:szCs w:val="24"/>
          <w:lang w:val="en-GB"/>
        </w:rPr>
        <w:tab/>
      </w:r>
      <w:r w:rsidRPr="00B903A9">
        <w:rPr>
          <w:rFonts w:ascii="Times New Roman" w:hAnsi="Times New Roman" w:cs="Times New Roman"/>
          <w:color w:val="000000" w:themeColor="text1"/>
          <w:sz w:val="24"/>
          <w:szCs w:val="24"/>
          <w:lang w:val="en-GB"/>
        </w:rPr>
        <w:tab/>
      </w:r>
      <w:r w:rsidRPr="00462F98">
        <w:rPr>
          <w:rFonts w:ascii="Times New Roman" w:hAnsi="Times New Roman" w:cs="Times New Roman"/>
          <w:color w:val="000000" w:themeColor="text1"/>
          <w:sz w:val="24"/>
          <w:szCs w:val="24"/>
          <w:lang w:val="en-GB"/>
        </w:rPr>
        <w:t>c(</w:t>
      </w:r>
      <w:proofErr w:type="gramStart"/>
      <w:r w:rsidRPr="00462F98">
        <w:rPr>
          <w:rFonts w:ascii="Times New Roman" w:hAnsi="Times New Roman" w:cs="Times New Roman"/>
          <w:color w:val="000000" w:themeColor="text1"/>
          <w:sz w:val="24"/>
          <w:szCs w:val="24"/>
          <w:lang w:val="en-GB"/>
        </w:rPr>
        <w:t xml:space="preserve">cross)   </w:t>
      </w:r>
      <w:proofErr w:type="gramEnd"/>
      <w:r w:rsidRPr="00462F98">
        <w:rPr>
          <w:rFonts w:ascii="Times New Roman" w:hAnsi="Times New Roman" w:cs="Times New Roman"/>
          <w:color w:val="000000" w:themeColor="text1"/>
          <w:sz w:val="24"/>
          <w:szCs w:val="24"/>
          <w:lang w:val="en-GB"/>
        </w:rPr>
        <w:t xml:space="preserve">   = ln MB</w:t>
      </w:r>
      <w:r w:rsidRPr="00462F98">
        <w:rPr>
          <w:rFonts w:ascii="Times New Roman" w:hAnsi="Times New Roman" w:cs="Times New Roman"/>
          <w:color w:val="000000" w:themeColor="text1"/>
          <w:sz w:val="24"/>
          <w:szCs w:val="24"/>
          <w:vertAlign w:val="subscript"/>
          <w:lang w:val="en-GB"/>
        </w:rPr>
        <w:t>t+1</w:t>
      </w:r>
      <w:r w:rsidRPr="00462F98">
        <w:rPr>
          <w:rFonts w:ascii="Times New Roman" w:hAnsi="Times New Roman" w:cs="Times New Roman"/>
          <w:color w:val="000000" w:themeColor="text1"/>
          <w:sz w:val="24"/>
          <w:szCs w:val="24"/>
          <w:lang w:val="en-GB"/>
        </w:rPr>
        <w:t xml:space="preserve"> – ln </w:t>
      </w:r>
      <w:proofErr w:type="spellStart"/>
      <w:r w:rsidRPr="00462F98">
        <w:rPr>
          <w:rFonts w:ascii="Times New Roman" w:hAnsi="Times New Roman" w:cs="Times New Roman"/>
          <w:color w:val="000000" w:themeColor="text1"/>
          <w:sz w:val="24"/>
          <w:szCs w:val="24"/>
          <w:lang w:val="en-GB"/>
        </w:rPr>
        <w:t>MB</w:t>
      </w:r>
      <w:r w:rsidRPr="00462F98">
        <w:rPr>
          <w:rFonts w:ascii="Times New Roman" w:hAnsi="Times New Roman" w:cs="Times New Roman"/>
          <w:color w:val="000000" w:themeColor="text1"/>
          <w:sz w:val="24"/>
          <w:szCs w:val="24"/>
          <w:vertAlign w:val="subscript"/>
          <w:lang w:val="en-GB"/>
        </w:rPr>
        <w:t>t</w:t>
      </w:r>
      <w:proofErr w:type="spellEnd"/>
      <w:r w:rsidRPr="00462F98">
        <w:rPr>
          <w:rFonts w:ascii="Times New Roman" w:hAnsi="Times New Roman" w:cs="Times New Roman"/>
          <w:color w:val="000000" w:themeColor="text1"/>
          <w:sz w:val="24"/>
          <w:szCs w:val="24"/>
          <w:lang w:val="en-GB"/>
        </w:rPr>
        <w:t xml:space="preserve"> – [c(MBTR) + c(MBRES)]</w:t>
      </w:r>
    </w:p>
    <w:p w:rsidR="002C0C16" w:rsidRPr="00462F98" w:rsidRDefault="002C0C16" w:rsidP="008C1B88">
      <w:pPr>
        <w:spacing w:after="0" w:line="360" w:lineRule="auto"/>
        <w:jc w:val="both"/>
        <w:rPr>
          <w:rFonts w:ascii="Times New Roman" w:hAnsi="Times New Roman" w:cs="Times New Roman"/>
          <w:color w:val="000000" w:themeColor="text1"/>
          <w:sz w:val="8"/>
          <w:szCs w:val="8"/>
          <w:lang w:val="en-GB"/>
        </w:rPr>
      </w:pPr>
    </w:p>
    <w:p w:rsidR="002C0C16" w:rsidRPr="00462F98" w:rsidRDefault="009024F8"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Combining </w:t>
      </w:r>
      <w:r w:rsidR="00133D60" w:rsidRPr="00462F98">
        <w:rPr>
          <w:rFonts w:ascii="Times New Roman" w:hAnsi="Times New Roman" w:cs="Times New Roman"/>
          <w:color w:val="000000" w:themeColor="text1"/>
          <w:sz w:val="24"/>
          <w:szCs w:val="24"/>
          <w:lang w:val="en-GB"/>
        </w:rPr>
        <w:t>(6) and (7)</w:t>
      </w:r>
      <w:r w:rsidR="00A42F0A" w:rsidRPr="00462F98">
        <w:rPr>
          <w:rFonts w:ascii="Times New Roman" w:hAnsi="Times New Roman" w:cs="Times New Roman"/>
          <w:color w:val="000000" w:themeColor="text1"/>
          <w:sz w:val="24"/>
          <w:szCs w:val="24"/>
          <w:lang w:val="en-GB"/>
        </w:rPr>
        <w:t xml:space="preserve"> gives</w:t>
      </w:r>
      <w:r w:rsidRPr="00462F98">
        <w:rPr>
          <w:rFonts w:ascii="Times New Roman" w:hAnsi="Times New Roman" w:cs="Times New Roman"/>
          <w:color w:val="000000" w:themeColor="text1"/>
          <w:sz w:val="24"/>
          <w:szCs w:val="24"/>
          <w:lang w:val="en-GB"/>
        </w:rPr>
        <w:t>:</w:t>
      </w:r>
    </w:p>
    <w:p w:rsidR="009024F8" w:rsidRPr="00462F98" w:rsidRDefault="009024F8" w:rsidP="008C1B88">
      <w:pPr>
        <w:spacing w:after="0" w:line="360" w:lineRule="auto"/>
        <w:jc w:val="both"/>
        <w:rPr>
          <w:rFonts w:ascii="Times New Roman" w:hAnsi="Times New Roman" w:cs="Times New Roman"/>
          <w:b/>
          <w:color w:val="000000" w:themeColor="text1"/>
          <w:sz w:val="8"/>
          <w:szCs w:val="8"/>
          <w:lang w:val="en-GB"/>
        </w:rPr>
      </w:pPr>
    </w:p>
    <w:p w:rsidR="009024F8" w:rsidRPr="00462F98" w:rsidRDefault="009024F8" w:rsidP="00AB5046">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462F98">
        <w:rPr>
          <w:rFonts w:ascii="Times New Roman" w:hAnsi="Times New Roman" w:cs="Times New Roman"/>
          <w:color w:val="000000" w:themeColor="text1"/>
          <w:sz w:val="24"/>
          <w:szCs w:val="24"/>
        </w:rPr>
        <w:t xml:space="preserve">ΔM / M ≈ </w:t>
      </w:r>
      <w:proofErr w:type="spellStart"/>
      <w:r w:rsidRPr="00462F98">
        <w:rPr>
          <w:rFonts w:ascii="Times New Roman" w:hAnsi="Times New Roman" w:cs="Times New Roman"/>
          <w:color w:val="000000" w:themeColor="text1"/>
          <w:sz w:val="24"/>
          <w:szCs w:val="24"/>
        </w:rPr>
        <w:t>Δm</w:t>
      </w:r>
      <w:proofErr w:type="spellEnd"/>
      <w:r w:rsidRPr="00462F98">
        <w:rPr>
          <w:rFonts w:ascii="Times New Roman" w:hAnsi="Times New Roman" w:cs="Times New Roman"/>
          <w:color w:val="000000" w:themeColor="text1"/>
          <w:sz w:val="24"/>
          <w:szCs w:val="24"/>
        </w:rPr>
        <w:t xml:space="preserve"> / m + c(MBTR) + c(MBRES) + c(cross)</w:t>
      </w:r>
    </w:p>
    <w:p w:rsidR="005173FA" w:rsidRDefault="005173FA" w:rsidP="008C1B88">
      <w:pPr>
        <w:spacing w:after="0" w:line="360" w:lineRule="auto"/>
        <w:jc w:val="both"/>
        <w:rPr>
          <w:rFonts w:ascii="Times New Roman" w:hAnsi="Times New Roman" w:cs="Times New Roman"/>
          <w:color w:val="000000" w:themeColor="text1"/>
          <w:sz w:val="16"/>
          <w:szCs w:val="16"/>
          <w:lang w:val="en-GB"/>
        </w:rPr>
      </w:pPr>
    </w:p>
    <w:p w:rsidR="0053354A" w:rsidRPr="00462F98" w:rsidRDefault="0053354A" w:rsidP="008C1B88">
      <w:pPr>
        <w:spacing w:after="0" w:line="360" w:lineRule="auto"/>
        <w:jc w:val="both"/>
        <w:rPr>
          <w:rFonts w:ascii="Times New Roman" w:hAnsi="Times New Roman" w:cs="Times New Roman"/>
          <w:color w:val="000000" w:themeColor="text1"/>
          <w:sz w:val="8"/>
          <w:szCs w:val="8"/>
          <w:lang w:val="en-GB"/>
        </w:rPr>
      </w:pPr>
    </w:p>
    <w:p w:rsidR="00133C40" w:rsidRPr="00462F98" w:rsidRDefault="00A42F0A" w:rsidP="008C1B88">
      <w:pPr>
        <w:spacing w:after="0" w:line="360" w:lineRule="auto"/>
        <w:jc w:val="both"/>
        <w:rPr>
          <w:rFonts w:ascii="Times New Roman" w:hAnsi="Times New Roman" w:cs="Times New Roman"/>
          <w:b/>
          <w:color w:val="000000" w:themeColor="text1"/>
          <w:sz w:val="24"/>
          <w:szCs w:val="24"/>
          <w:lang w:val="en-GB"/>
        </w:rPr>
      </w:pPr>
      <w:r w:rsidRPr="00462F98">
        <w:rPr>
          <w:rFonts w:ascii="Times New Roman" w:hAnsi="Times New Roman" w:cs="Times New Roman"/>
          <w:b/>
          <w:color w:val="000000" w:themeColor="text1"/>
          <w:sz w:val="24"/>
          <w:szCs w:val="24"/>
          <w:lang w:val="en-GB"/>
        </w:rPr>
        <w:tab/>
        <w:t>[table_</w:t>
      </w:r>
      <w:r w:rsidR="00F60423" w:rsidRPr="00462F98">
        <w:rPr>
          <w:rFonts w:ascii="Times New Roman" w:hAnsi="Times New Roman" w:cs="Times New Roman"/>
          <w:b/>
          <w:color w:val="000000" w:themeColor="text1"/>
          <w:sz w:val="24"/>
          <w:szCs w:val="24"/>
          <w:lang w:val="en-GB"/>
        </w:rPr>
        <w:t>7</w:t>
      </w:r>
      <w:r w:rsidR="00133C40" w:rsidRPr="00462F98">
        <w:rPr>
          <w:rFonts w:ascii="Times New Roman" w:hAnsi="Times New Roman" w:cs="Times New Roman"/>
          <w:b/>
          <w:color w:val="000000" w:themeColor="text1"/>
          <w:sz w:val="24"/>
          <w:szCs w:val="24"/>
          <w:lang w:val="en-GB"/>
        </w:rPr>
        <w:t>]</w:t>
      </w:r>
    </w:p>
    <w:p w:rsidR="00133C40" w:rsidRPr="00462F98" w:rsidRDefault="00133C40" w:rsidP="008C1B88">
      <w:pPr>
        <w:spacing w:after="0" w:line="360" w:lineRule="auto"/>
        <w:jc w:val="both"/>
        <w:rPr>
          <w:rFonts w:ascii="Times New Roman" w:hAnsi="Times New Roman" w:cs="Times New Roman"/>
          <w:color w:val="000000" w:themeColor="text1"/>
          <w:sz w:val="8"/>
          <w:szCs w:val="8"/>
          <w:lang w:val="en-GB"/>
        </w:rPr>
      </w:pPr>
    </w:p>
    <w:p w:rsidR="00A81C6C" w:rsidRPr="00C6153E" w:rsidRDefault="0002456A" w:rsidP="00133D60">
      <w:pPr>
        <w:spacing w:after="0" w:line="360" w:lineRule="auto"/>
        <w:jc w:val="both"/>
        <w:rPr>
          <w:rFonts w:ascii="Times New Roman" w:hAnsi="Times New Roman" w:cs="Times New Roman"/>
          <w:color w:val="000000" w:themeColor="text1"/>
          <w:sz w:val="24"/>
          <w:szCs w:val="24"/>
          <w:lang w:val="en-GB"/>
        </w:rPr>
      </w:pPr>
      <w:r w:rsidRPr="00C6153E">
        <w:rPr>
          <w:rFonts w:ascii="Times New Roman" w:hAnsi="Times New Roman" w:cs="Times New Roman"/>
          <w:color w:val="000000" w:themeColor="text1"/>
          <w:sz w:val="24"/>
          <w:szCs w:val="24"/>
          <w:lang w:val="en-GB"/>
        </w:rPr>
        <w:t xml:space="preserve">Table </w:t>
      </w:r>
      <w:r w:rsidR="00F60423" w:rsidRPr="00C6153E">
        <w:rPr>
          <w:rFonts w:ascii="Times New Roman" w:hAnsi="Times New Roman" w:cs="Times New Roman"/>
          <w:color w:val="000000" w:themeColor="text1"/>
          <w:sz w:val="24"/>
          <w:szCs w:val="24"/>
          <w:lang w:val="en-GB"/>
        </w:rPr>
        <w:t>7</w:t>
      </w:r>
      <w:r w:rsidRPr="00C6153E">
        <w:rPr>
          <w:rFonts w:ascii="Times New Roman" w:hAnsi="Times New Roman" w:cs="Times New Roman"/>
          <w:color w:val="000000" w:themeColor="text1"/>
          <w:sz w:val="24"/>
          <w:szCs w:val="24"/>
          <w:lang w:val="en-GB"/>
        </w:rPr>
        <w:t xml:space="preserve"> provides </w:t>
      </w:r>
      <w:r w:rsidR="009024F8" w:rsidRPr="00C6153E">
        <w:rPr>
          <w:rFonts w:ascii="Times New Roman" w:hAnsi="Times New Roman" w:cs="Times New Roman"/>
          <w:color w:val="000000" w:themeColor="text1"/>
          <w:sz w:val="24"/>
          <w:szCs w:val="24"/>
          <w:lang w:val="en-GB"/>
        </w:rPr>
        <w:t>estimates</w:t>
      </w:r>
      <w:r w:rsidRPr="00C6153E">
        <w:rPr>
          <w:rFonts w:ascii="Times New Roman" w:hAnsi="Times New Roman" w:cs="Times New Roman"/>
          <w:color w:val="000000" w:themeColor="text1"/>
          <w:sz w:val="24"/>
          <w:szCs w:val="24"/>
          <w:lang w:val="en-GB"/>
        </w:rPr>
        <w:t xml:space="preserve"> for the seve</w:t>
      </w:r>
      <w:r w:rsidR="00B3498C" w:rsidRPr="00C6153E">
        <w:rPr>
          <w:rFonts w:ascii="Times New Roman" w:hAnsi="Times New Roman" w:cs="Times New Roman"/>
          <w:color w:val="000000" w:themeColor="text1"/>
          <w:sz w:val="24"/>
          <w:szCs w:val="24"/>
          <w:lang w:val="en-GB"/>
        </w:rPr>
        <w:t>n periods of</w:t>
      </w:r>
      <w:r w:rsidR="00133D60" w:rsidRPr="00C6153E">
        <w:rPr>
          <w:rFonts w:ascii="Times New Roman" w:hAnsi="Times New Roman" w:cs="Times New Roman"/>
          <w:color w:val="000000" w:themeColor="text1"/>
          <w:sz w:val="24"/>
          <w:szCs w:val="24"/>
          <w:lang w:val="en-GB"/>
        </w:rPr>
        <w:t xml:space="preserve"> section 3</w:t>
      </w:r>
      <w:r w:rsidR="00A81C6C" w:rsidRPr="00C6153E">
        <w:rPr>
          <w:rFonts w:ascii="Times New Roman" w:hAnsi="Times New Roman" w:cs="Times New Roman"/>
          <w:color w:val="000000" w:themeColor="text1"/>
          <w:sz w:val="24"/>
          <w:szCs w:val="24"/>
          <w:lang w:val="en-GB"/>
        </w:rPr>
        <w:t xml:space="preserve">. </w:t>
      </w:r>
      <w:r w:rsidR="00586390" w:rsidRPr="00C6153E">
        <w:rPr>
          <w:rFonts w:ascii="Times New Roman" w:hAnsi="Times New Roman" w:cs="Times New Roman"/>
          <w:color w:val="000000" w:themeColor="text1"/>
          <w:sz w:val="24"/>
          <w:szCs w:val="24"/>
          <w:lang w:val="en-GB"/>
        </w:rPr>
        <w:t xml:space="preserve">It </w:t>
      </w:r>
      <w:r w:rsidR="009024F8" w:rsidRPr="00C6153E">
        <w:rPr>
          <w:rFonts w:ascii="Times New Roman" w:hAnsi="Times New Roman" w:cs="Times New Roman"/>
          <w:color w:val="000000" w:themeColor="text1"/>
          <w:sz w:val="24"/>
          <w:szCs w:val="24"/>
          <w:lang w:val="en-GB"/>
        </w:rPr>
        <w:t xml:space="preserve">also summarises the results for the full period, </w:t>
      </w:r>
      <w:r w:rsidR="00A81C6C" w:rsidRPr="00C6153E">
        <w:rPr>
          <w:rFonts w:ascii="Times New Roman" w:hAnsi="Times New Roman" w:cs="Times New Roman"/>
          <w:color w:val="000000" w:themeColor="text1"/>
          <w:sz w:val="24"/>
          <w:szCs w:val="24"/>
          <w:lang w:val="en-GB"/>
        </w:rPr>
        <w:t>periods under financial supervision (“foreign periods”, namely periods three and six), periods without such external constraint (“domestic periods”, namely periods one, two, four, five and seven) and periods one, two and seven combined (i.e</w:t>
      </w:r>
      <w:r w:rsidR="00601BA1">
        <w:rPr>
          <w:rFonts w:ascii="Times New Roman" w:hAnsi="Times New Roman" w:cs="Times New Roman"/>
          <w:color w:val="000000" w:themeColor="text1"/>
          <w:sz w:val="24"/>
          <w:szCs w:val="24"/>
          <w:lang w:val="en-GB"/>
        </w:rPr>
        <w:t>.</w:t>
      </w:r>
      <w:r w:rsidR="00A81C6C" w:rsidRPr="00C6153E">
        <w:rPr>
          <w:rFonts w:ascii="Times New Roman" w:hAnsi="Times New Roman" w:cs="Times New Roman"/>
          <w:color w:val="000000" w:themeColor="text1"/>
          <w:sz w:val="24"/>
          <w:szCs w:val="24"/>
          <w:lang w:val="en-GB"/>
        </w:rPr>
        <w:t xml:space="preserve">, “domestic periods” excluding </w:t>
      </w:r>
      <w:r w:rsidR="0053354A">
        <w:rPr>
          <w:rFonts w:ascii="Times New Roman" w:hAnsi="Times New Roman" w:cs="Times New Roman"/>
          <w:color w:val="000000" w:themeColor="text1"/>
          <w:sz w:val="24"/>
          <w:szCs w:val="24"/>
          <w:lang w:val="en-GB"/>
        </w:rPr>
        <w:t>WWI</w:t>
      </w:r>
      <w:r w:rsidR="00A81C6C" w:rsidRPr="00C6153E">
        <w:rPr>
          <w:rFonts w:ascii="Times New Roman" w:hAnsi="Times New Roman" w:cs="Times New Roman"/>
          <w:color w:val="000000" w:themeColor="text1"/>
          <w:sz w:val="24"/>
          <w:szCs w:val="24"/>
          <w:lang w:val="en-GB"/>
        </w:rPr>
        <w:t xml:space="preserve"> and the post-war stabilisation).</w:t>
      </w:r>
    </w:p>
    <w:p w:rsidR="00747E2A" w:rsidRPr="00462F98" w:rsidRDefault="0002456A"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ab/>
        <w:t xml:space="preserve">In Greece and Bulgaria, MBTR growth was the single largest contributor </w:t>
      </w:r>
      <w:r w:rsidR="003C6998" w:rsidRPr="00462F98">
        <w:rPr>
          <w:rFonts w:ascii="Times New Roman" w:hAnsi="Times New Roman" w:cs="Times New Roman"/>
          <w:color w:val="000000" w:themeColor="text1"/>
          <w:sz w:val="24"/>
          <w:szCs w:val="24"/>
          <w:lang w:val="en-GB"/>
        </w:rPr>
        <w:t>(47.9% and 55.7%, respectively)</w:t>
      </w:r>
      <w:r w:rsidR="00576704" w:rsidRPr="00462F98">
        <w:rPr>
          <w:rFonts w:ascii="Times New Roman" w:hAnsi="Times New Roman" w:cs="Times New Roman"/>
          <w:color w:val="000000" w:themeColor="text1"/>
          <w:sz w:val="24"/>
          <w:szCs w:val="24"/>
          <w:lang w:val="en-GB"/>
        </w:rPr>
        <w:t xml:space="preserve">: </w:t>
      </w:r>
      <w:r w:rsidR="003C6998" w:rsidRPr="00462F98">
        <w:rPr>
          <w:rFonts w:ascii="Times New Roman" w:hAnsi="Times New Roman" w:cs="Times New Roman"/>
          <w:color w:val="000000" w:themeColor="text1"/>
          <w:sz w:val="24"/>
          <w:szCs w:val="24"/>
          <w:lang w:val="en-GB"/>
        </w:rPr>
        <w:t>t</w:t>
      </w:r>
      <w:r w:rsidRPr="00462F98">
        <w:rPr>
          <w:rFonts w:ascii="Times New Roman" w:hAnsi="Times New Roman" w:cs="Times New Roman"/>
          <w:color w:val="000000" w:themeColor="text1"/>
          <w:sz w:val="24"/>
          <w:szCs w:val="24"/>
          <w:lang w:val="en-GB"/>
        </w:rPr>
        <w:t xml:space="preserve">he long record suggests that debt monetisation drove the money supply. </w:t>
      </w:r>
      <w:r w:rsidR="00747E2A" w:rsidRPr="00462F98">
        <w:rPr>
          <w:rFonts w:ascii="Times New Roman" w:hAnsi="Times New Roman" w:cs="Times New Roman"/>
          <w:color w:val="000000" w:themeColor="text1"/>
          <w:sz w:val="24"/>
          <w:szCs w:val="24"/>
          <w:lang w:val="en-GB"/>
        </w:rPr>
        <w:t xml:space="preserve">In Serbia/Yugoslavia, the contribution of MBTR (7.6%) was smaller than of MBRES (11.1%), yet the value itself is high, falling in between Greece’s 4.7% and Bulgaria’s 8.3%. Only the Romanian experience looks more benign, where MBTR growth contributed only </w:t>
      </w:r>
      <w:r w:rsidR="00607DCA" w:rsidRPr="00462F98">
        <w:rPr>
          <w:rFonts w:ascii="Times New Roman" w:hAnsi="Times New Roman" w:cs="Times New Roman"/>
          <w:color w:val="000000" w:themeColor="text1"/>
          <w:sz w:val="24"/>
          <w:szCs w:val="24"/>
          <w:lang w:val="en-GB"/>
        </w:rPr>
        <w:t>2.5%</w:t>
      </w:r>
      <w:r w:rsidR="00747E2A" w:rsidRPr="00462F98">
        <w:rPr>
          <w:rFonts w:ascii="Times New Roman" w:hAnsi="Times New Roman" w:cs="Times New Roman"/>
          <w:color w:val="000000" w:themeColor="text1"/>
          <w:sz w:val="24"/>
          <w:szCs w:val="24"/>
          <w:lang w:val="en-GB"/>
        </w:rPr>
        <w:t>.</w:t>
      </w:r>
    </w:p>
    <w:p w:rsidR="00747E2A" w:rsidRPr="00462F98" w:rsidRDefault="00747E2A"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ab/>
      </w:r>
      <w:r w:rsidR="00607DCA" w:rsidRPr="00462F98">
        <w:rPr>
          <w:rFonts w:ascii="Times New Roman" w:hAnsi="Times New Roman" w:cs="Times New Roman"/>
          <w:color w:val="000000" w:themeColor="text1"/>
          <w:sz w:val="24"/>
          <w:szCs w:val="24"/>
          <w:lang w:val="en-GB"/>
        </w:rPr>
        <w:t>M</w:t>
      </w:r>
      <w:r w:rsidRPr="00462F98">
        <w:rPr>
          <w:rFonts w:ascii="Times New Roman" w:hAnsi="Times New Roman" w:cs="Times New Roman"/>
          <w:color w:val="000000" w:themeColor="text1"/>
          <w:sz w:val="24"/>
          <w:szCs w:val="24"/>
          <w:lang w:val="en-GB"/>
        </w:rPr>
        <w:t xml:space="preserve">oney multiplier </w:t>
      </w:r>
      <w:r w:rsidR="00607DCA" w:rsidRPr="00462F98">
        <w:rPr>
          <w:rFonts w:ascii="Times New Roman" w:hAnsi="Times New Roman" w:cs="Times New Roman"/>
          <w:color w:val="000000" w:themeColor="text1"/>
          <w:sz w:val="24"/>
          <w:szCs w:val="24"/>
          <w:lang w:val="en-GB"/>
        </w:rPr>
        <w:t xml:space="preserve">growth </w:t>
      </w:r>
      <w:r w:rsidRPr="00462F98">
        <w:rPr>
          <w:rFonts w:ascii="Times New Roman" w:hAnsi="Times New Roman" w:cs="Times New Roman"/>
          <w:color w:val="000000" w:themeColor="text1"/>
          <w:sz w:val="24"/>
          <w:szCs w:val="24"/>
          <w:lang w:val="en-GB"/>
        </w:rPr>
        <w:t>contributed the least (</w:t>
      </w:r>
      <w:r w:rsidR="00607DCA" w:rsidRPr="00462F98">
        <w:rPr>
          <w:rFonts w:ascii="Times New Roman" w:hAnsi="Times New Roman" w:cs="Times New Roman"/>
          <w:color w:val="000000" w:themeColor="text1"/>
          <w:sz w:val="24"/>
          <w:szCs w:val="24"/>
          <w:lang w:val="en-GB"/>
        </w:rPr>
        <w:t>average: 0.4%</w:t>
      </w:r>
      <w:r w:rsidRPr="00462F98">
        <w:rPr>
          <w:rFonts w:ascii="Times New Roman" w:hAnsi="Times New Roman" w:cs="Times New Roman"/>
          <w:color w:val="000000" w:themeColor="text1"/>
          <w:sz w:val="24"/>
          <w:szCs w:val="24"/>
          <w:lang w:val="en-GB"/>
        </w:rPr>
        <w:t xml:space="preserve">). In measuring the </w:t>
      </w:r>
      <w:r w:rsidR="008314A5" w:rsidRPr="00462F98">
        <w:rPr>
          <w:rFonts w:ascii="Times New Roman" w:hAnsi="Times New Roman" w:cs="Times New Roman"/>
          <w:color w:val="000000" w:themeColor="text1"/>
          <w:sz w:val="24"/>
          <w:szCs w:val="24"/>
          <w:lang w:val="en-GB"/>
        </w:rPr>
        <w:t>ratio of</w:t>
      </w:r>
      <w:r w:rsidRPr="00462F98">
        <w:rPr>
          <w:rFonts w:ascii="Times New Roman" w:hAnsi="Times New Roman" w:cs="Times New Roman"/>
          <w:color w:val="000000" w:themeColor="text1"/>
          <w:sz w:val="24"/>
          <w:szCs w:val="24"/>
          <w:lang w:val="en-GB"/>
        </w:rPr>
        <w:t xml:space="preserve"> broad money (largely suppl</w:t>
      </w:r>
      <w:r w:rsidR="008314A5" w:rsidRPr="00462F98">
        <w:rPr>
          <w:rFonts w:ascii="Times New Roman" w:hAnsi="Times New Roman" w:cs="Times New Roman"/>
          <w:color w:val="000000" w:themeColor="text1"/>
          <w:sz w:val="24"/>
          <w:szCs w:val="24"/>
          <w:lang w:val="en-GB"/>
        </w:rPr>
        <w:t>ied by commercial banks) to</w:t>
      </w:r>
      <w:r w:rsidRPr="00462F98">
        <w:rPr>
          <w:rFonts w:ascii="Times New Roman" w:hAnsi="Times New Roman" w:cs="Times New Roman"/>
          <w:color w:val="000000" w:themeColor="text1"/>
          <w:sz w:val="24"/>
          <w:szCs w:val="24"/>
          <w:lang w:val="en-GB"/>
        </w:rPr>
        <w:t xml:space="preserve"> monetary base (set by the monetary authority), the money multiplier is a </w:t>
      </w:r>
      <w:r w:rsidR="00607DCA" w:rsidRPr="00462F98">
        <w:rPr>
          <w:rFonts w:ascii="Times New Roman" w:hAnsi="Times New Roman" w:cs="Times New Roman"/>
          <w:color w:val="000000" w:themeColor="text1"/>
          <w:sz w:val="24"/>
          <w:szCs w:val="24"/>
          <w:lang w:val="en-GB"/>
        </w:rPr>
        <w:t xml:space="preserve">good </w:t>
      </w:r>
      <w:r w:rsidRPr="00462F98">
        <w:rPr>
          <w:rFonts w:ascii="Times New Roman" w:hAnsi="Times New Roman" w:cs="Times New Roman"/>
          <w:color w:val="000000" w:themeColor="text1"/>
          <w:sz w:val="24"/>
          <w:szCs w:val="24"/>
          <w:lang w:val="en-GB"/>
        </w:rPr>
        <w:t>proxy for overall finan</w:t>
      </w:r>
      <w:r w:rsidR="001835BB" w:rsidRPr="00462F98">
        <w:rPr>
          <w:rFonts w:ascii="Times New Roman" w:hAnsi="Times New Roman" w:cs="Times New Roman"/>
          <w:color w:val="000000" w:themeColor="text1"/>
          <w:sz w:val="24"/>
          <w:szCs w:val="24"/>
          <w:lang w:val="en-GB"/>
        </w:rPr>
        <w:t>cial development (</w:t>
      </w:r>
      <w:proofErr w:type="spellStart"/>
      <w:r w:rsidR="001835BB" w:rsidRPr="00462F98">
        <w:rPr>
          <w:rFonts w:ascii="Times New Roman" w:hAnsi="Times New Roman" w:cs="Times New Roman"/>
          <w:color w:val="000000" w:themeColor="text1"/>
          <w:sz w:val="24"/>
          <w:szCs w:val="24"/>
          <w:lang w:val="en-GB"/>
        </w:rPr>
        <w:t>Lazaretou</w:t>
      </w:r>
      <w:proofErr w:type="spellEnd"/>
      <w:r w:rsidR="001835BB" w:rsidRPr="00462F98">
        <w:rPr>
          <w:rFonts w:ascii="Times New Roman" w:hAnsi="Times New Roman" w:cs="Times New Roman"/>
          <w:color w:val="000000" w:themeColor="text1"/>
          <w:sz w:val="24"/>
          <w:szCs w:val="24"/>
          <w:lang w:val="en-GB"/>
        </w:rPr>
        <w:t xml:space="preserve"> 2015</w:t>
      </w:r>
      <w:r w:rsidR="000339FE">
        <w:rPr>
          <w:rFonts w:ascii="Times New Roman" w:hAnsi="Times New Roman" w:cs="Times New Roman"/>
          <w:color w:val="000000" w:themeColor="text1"/>
          <w:sz w:val="24"/>
          <w:szCs w:val="24"/>
          <w:lang w:val="en-GB"/>
        </w:rPr>
        <w:t>).</w:t>
      </w:r>
      <w:r w:rsidRPr="00462F98">
        <w:rPr>
          <w:rFonts w:ascii="Times New Roman" w:hAnsi="Times New Roman" w:cs="Times New Roman"/>
          <w:color w:val="000000" w:themeColor="text1"/>
          <w:sz w:val="24"/>
          <w:szCs w:val="24"/>
          <w:lang w:val="en-GB"/>
        </w:rPr>
        <w:t xml:space="preserve"> </w:t>
      </w:r>
      <w:r w:rsidR="000339FE">
        <w:rPr>
          <w:rFonts w:ascii="Times New Roman" w:hAnsi="Times New Roman" w:cs="Times New Roman"/>
          <w:color w:val="000000" w:themeColor="text1"/>
          <w:sz w:val="24"/>
          <w:szCs w:val="24"/>
          <w:lang w:val="en-GB"/>
        </w:rPr>
        <w:t>O</w:t>
      </w:r>
      <w:r w:rsidR="002B2225" w:rsidRPr="00462F98">
        <w:rPr>
          <w:rFonts w:ascii="Times New Roman" w:hAnsi="Times New Roman" w:cs="Times New Roman"/>
          <w:color w:val="000000" w:themeColor="text1"/>
          <w:sz w:val="24"/>
          <w:szCs w:val="24"/>
          <w:lang w:val="en-GB"/>
        </w:rPr>
        <w:t>ur findings indicate</w:t>
      </w:r>
      <w:r w:rsidR="008314A5" w:rsidRPr="00462F98">
        <w:rPr>
          <w:rFonts w:ascii="Times New Roman" w:hAnsi="Times New Roman" w:cs="Times New Roman"/>
          <w:color w:val="000000" w:themeColor="text1"/>
          <w:sz w:val="24"/>
          <w:szCs w:val="24"/>
          <w:lang w:val="en-GB"/>
        </w:rPr>
        <w:t xml:space="preserve"> that such development was </w:t>
      </w:r>
      <w:r w:rsidR="00133D60" w:rsidRPr="00462F98">
        <w:rPr>
          <w:rFonts w:ascii="Times New Roman" w:hAnsi="Times New Roman" w:cs="Times New Roman"/>
          <w:color w:val="000000" w:themeColor="text1"/>
          <w:sz w:val="24"/>
          <w:szCs w:val="24"/>
          <w:lang w:val="en-GB"/>
        </w:rPr>
        <w:t>limited</w:t>
      </w:r>
      <w:r w:rsidRPr="00462F98">
        <w:rPr>
          <w:rFonts w:ascii="Times New Roman" w:hAnsi="Times New Roman" w:cs="Times New Roman"/>
          <w:color w:val="000000" w:themeColor="text1"/>
          <w:sz w:val="24"/>
          <w:szCs w:val="24"/>
          <w:lang w:val="en-GB"/>
        </w:rPr>
        <w:t>.</w:t>
      </w:r>
    </w:p>
    <w:p w:rsidR="00654938" w:rsidRPr="00980D93" w:rsidRDefault="00A766E9" w:rsidP="00654938">
      <w:pPr>
        <w:spacing w:after="0" w:line="360" w:lineRule="auto"/>
        <w:ind w:firstLine="720"/>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lastRenderedPageBreak/>
        <w:t>T</w:t>
      </w:r>
      <w:r w:rsidR="00B62ADC" w:rsidRPr="00462F98">
        <w:rPr>
          <w:rFonts w:ascii="Times New Roman" w:hAnsi="Times New Roman" w:cs="Times New Roman"/>
          <w:color w:val="000000" w:themeColor="text1"/>
          <w:sz w:val="24"/>
          <w:szCs w:val="24"/>
          <w:lang w:val="en-GB"/>
        </w:rPr>
        <w:t>he aggregate</w:t>
      </w:r>
      <w:r w:rsidR="008669D7" w:rsidRPr="00462F98">
        <w:rPr>
          <w:rFonts w:ascii="Times New Roman" w:hAnsi="Times New Roman" w:cs="Times New Roman"/>
          <w:color w:val="000000" w:themeColor="text1"/>
          <w:sz w:val="24"/>
          <w:szCs w:val="24"/>
          <w:lang w:val="en-GB"/>
        </w:rPr>
        <w:t xml:space="preserve"> data</w:t>
      </w:r>
      <w:r w:rsidR="00576704" w:rsidRPr="00462F98">
        <w:rPr>
          <w:rFonts w:ascii="Times New Roman" w:hAnsi="Times New Roman" w:cs="Times New Roman"/>
          <w:color w:val="000000" w:themeColor="text1"/>
          <w:sz w:val="24"/>
          <w:szCs w:val="24"/>
          <w:lang w:val="en-GB"/>
        </w:rPr>
        <w:t xml:space="preserve"> </w:t>
      </w:r>
      <w:r w:rsidR="008314A5" w:rsidRPr="00462F98">
        <w:rPr>
          <w:rFonts w:ascii="Times New Roman" w:hAnsi="Times New Roman" w:cs="Times New Roman"/>
          <w:color w:val="000000" w:themeColor="text1"/>
          <w:sz w:val="24"/>
          <w:szCs w:val="24"/>
          <w:lang w:val="en-GB"/>
        </w:rPr>
        <w:t>miss</w:t>
      </w:r>
      <w:r w:rsidR="008669D7" w:rsidRPr="00462F98">
        <w:rPr>
          <w:rFonts w:ascii="Times New Roman" w:hAnsi="Times New Roman" w:cs="Times New Roman"/>
          <w:color w:val="000000" w:themeColor="text1"/>
          <w:sz w:val="24"/>
          <w:szCs w:val="24"/>
          <w:lang w:val="en-GB"/>
        </w:rPr>
        <w:t xml:space="preserve"> im</w:t>
      </w:r>
      <w:r w:rsidR="00747E2A" w:rsidRPr="00462F98">
        <w:rPr>
          <w:rFonts w:ascii="Times New Roman" w:hAnsi="Times New Roman" w:cs="Times New Roman"/>
          <w:color w:val="000000" w:themeColor="text1"/>
          <w:sz w:val="24"/>
          <w:szCs w:val="24"/>
          <w:lang w:val="en-GB"/>
        </w:rPr>
        <w:t>portant detail for sub-</w:t>
      </w:r>
      <w:r w:rsidR="008669D7" w:rsidRPr="00462F98">
        <w:rPr>
          <w:rFonts w:ascii="Times New Roman" w:hAnsi="Times New Roman" w:cs="Times New Roman"/>
          <w:color w:val="000000" w:themeColor="text1"/>
          <w:sz w:val="24"/>
          <w:szCs w:val="24"/>
          <w:lang w:val="en-GB"/>
        </w:rPr>
        <w:t xml:space="preserve">periods. </w:t>
      </w:r>
      <w:r w:rsidR="008314A5" w:rsidRPr="00462F98">
        <w:rPr>
          <w:rFonts w:ascii="Times New Roman" w:hAnsi="Times New Roman" w:cs="Times New Roman"/>
          <w:color w:val="000000" w:themeColor="text1"/>
          <w:sz w:val="24"/>
          <w:szCs w:val="24"/>
          <w:lang w:val="en-GB"/>
        </w:rPr>
        <w:t xml:space="preserve">Results may be demonstrated </w:t>
      </w:r>
      <w:r w:rsidR="00607DCA" w:rsidRPr="00462F98">
        <w:rPr>
          <w:rFonts w:ascii="Times New Roman" w:hAnsi="Times New Roman" w:cs="Times New Roman"/>
          <w:color w:val="000000" w:themeColor="text1"/>
          <w:sz w:val="24"/>
          <w:szCs w:val="24"/>
          <w:lang w:val="en-GB"/>
        </w:rPr>
        <w:t>for</w:t>
      </w:r>
      <w:r w:rsidR="008314A5" w:rsidRPr="00462F98">
        <w:rPr>
          <w:rFonts w:ascii="Times New Roman" w:hAnsi="Times New Roman" w:cs="Times New Roman"/>
          <w:color w:val="000000" w:themeColor="text1"/>
          <w:sz w:val="24"/>
          <w:szCs w:val="24"/>
          <w:lang w:val="en-GB"/>
        </w:rPr>
        <w:t xml:space="preserve"> Greece, but the pattern </w:t>
      </w:r>
      <w:r w:rsidR="00B62ADC" w:rsidRPr="00462F98">
        <w:rPr>
          <w:rFonts w:ascii="Times New Roman" w:hAnsi="Times New Roman" w:cs="Times New Roman"/>
          <w:color w:val="000000" w:themeColor="text1"/>
          <w:sz w:val="24"/>
          <w:szCs w:val="24"/>
          <w:lang w:val="en-GB"/>
        </w:rPr>
        <w:t>holds</w:t>
      </w:r>
      <w:r w:rsidR="008314A5" w:rsidRPr="00462F98">
        <w:rPr>
          <w:rFonts w:ascii="Times New Roman" w:hAnsi="Times New Roman" w:cs="Times New Roman"/>
          <w:color w:val="000000" w:themeColor="text1"/>
          <w:sz w:val="24"/>
          <w:szCs w:val="24"/>
          <w:lang w:val="en-GB"/>
        </w:rPr>
        <w:t xml:space="preserve"> region-wide. While</w:t>
      </w:r>
      <w:r w:rsidR="00586390" w:rsidRPr="00462F98">
        <w:rPr>
          <w:rFonts w:ascii="Times New Roman" w:hAnsi="Times New Roman" w:cs="Times New Roman"/>
          <w:color w:val="000000" w:themeColor="text1"/>
          <w:sz w:val="24"/>
          <w:szCs w:val="24"/>
          <w:lang w:val="en-GB"/>
        </w:rPr>
        <w:t xml:space="preserve"> </w:t>
      </w:r>
      <w:r w:rsidR="008314A5" w:rsidRPr="00462F98">
        <w:rPr>
          <w:rFonts w:ascii="Times New Roman" w:hAnsi="Times New Roman" w:cs="Times New Roman"/>
          <w:color w:val="000000" w:themeColor="text1"/>
          <w:sz w:val="24"/>
          <w:szCs w:val="24"/>
          <w:lang w:val="en-GB"/>
        </w:rPr>
        <w:t>money growth was lower in foreign than in domestic p</w:t>
      </w:r>
      <w:r w:rsidR="00586390" w:rsidRPr="00462F98">
        <w:rPr>
          <w:rFonts w:ascii="Times New Roman" w:hAnsi="Times New Roman" w:cs="Times New Roman"/>
          <w:color w:val="000000" w:themeColor="text1"/>
          <w:sz w:val="24"/>
          <w:szCs w:val="24"/>
          <w:lang w:val="en-GB"/>
        </w:rPr>
        <w:t>eriods (7.1% vs. 10.6%), the main</w:t>
      </w:r>
      <w:r w:rsidR="008314A5" w:rsidRPr="00462F98">
        <w:rPr>
          <w:rFonts w:ascii="Times New Roman" w:hAnsi="Times New Roman" w:cs="Times New Roman"/>
          <w:color w:val="000000" w:themeColor="text1"/>
          <w:sz w:val="24"/>
          <w:szCs w:val="24"/>
          <w:lang w:val="en-GB"/>
        </w:rPr>
        <w:t xml:space="preserve"> difference </w:t>
      </w:r>
      <w:r w:rsidR="00B62ADC" w:rsidRPr="00462F98">
        <w:rPr>
          <w:rFonts w:ascii="Times New Roman" w:hAnsi="Times New Roman" w:cs="Times New Roman"/>
          <w:color w:val="000000" w:themeColor="text1"/>
          <w:sz w:val="24"/>
          <w:szCs w:val="24"/>
          <w:lang w:val="en-GB"/>
        </w:rPr>
        <w:t>was that broad money</w:t>
      </w:r>
      <w:r w:rsidR="008314A5" w:rsidRPr="00462F98">
        <w:rPr>
          <w:rFonts w:ascii="Times New Roman" w:hAnsi="Times New Roman" w:cs="Times New Roman"/>
          <w:color w:val="000000" w:themeColor="text1"/>
          <w:sz w:val="24"/>
          <w:szCs w:val="24"/>
          <w:lang w:val="en-GB"/>
        </w:rPr>
        <w:t xml:space="preserve"> had differe</w:t>
      </w:r>
      <w:r w:rsidR="00586390" w:rsidRPr="00462F98">
        <w:rPr>
          <w:rFonts w:ascii="Times New Roman" w:hAnsi="Times New Roman" w:cs="Times New Roman"/>
          <w:color w:val="000000" w:themeColor="text1"/>
          <w:sz w:val="24"/>
          <w:szCs w:val="24"/>
          <w:lang w:val="en-GB"/>
        </w:rPr>
        <w:t>nt drivers</w:t>
      </w:r>
      <w:r w:rsidR="008314A5" w:rsidRPr="00462F98">
        <w:rPr>
          <w:rFonts w:ascii="Times New Roman" w:hAnsi="Times New Roman" w:cs="Times New Roman"/>
          <w:color w:val="000000" w:themeColor="text1"/>
          <w:sz w:val="24"/>
          <w:szCs w:val="24"/>
          <w:lang w:val="en-GB"/>
        </w:rPr>
        <w:t xml:space="preserve">. </w:t>
      </w:r>
      <w:r w:rsidR="00A81C6C" w:rsidRPr="00462F98">
        <w:rPr>
          <w:rFonts w:ascii="Times New Roman" w:hAnsi="Times New Roman" w:cs="Times New Roman"/>
          <w:color w:val="000000"/>
          <w:sz w:val="24"/>
          <w:szCs w:val="24"/>
          <w:lang w:val="en-GB"/>
        </w:rPr>
        <w:t>In domestic period</w:t>
      </w:r>
      <w:r w:rsidR="008314A5" w:rsidRPr="00462F98">
        <w:rPr>
          <w:rFonts w:ascii="Times New Roman" w:hAnsi="Times New Roman" w:cs="Times New Roman"/>
          <w:color w:val="000000"/>
          <w:sz w:val="24"/>
          <w:szCs w:val="24"/>
          <w:lang w:val="en-GB"/>
        </w:rPr>
        <w:t xml:space="preserve">s, MBTR growth stood at 6.6%, contributing 62.0% to overall growth; </w:t>
      </w:r>
      <w:r w:rsidR="00601BA1">
        <w:rPr>
          <w:rFonts w:ascii="Times New Roman" w:hAnsi="Times New Roman" w:cs="Times New Roman"/>
          <w:color w:val="000000"/>
          <w:sz w:val="24"/>
          <w:szCs w:val="24"/>
          <w:lang w:val="en-GB"/>
        </w:rPr>
        <w:t xml:space="preserve">by contrast, </w:t>
      </w:r>
      <w:r w:rsidR="008314A5" w:rsidRPr="00462F98">
        <w:rPr>
          <w:rFonts w:ascii="Times New Roman" w:hAnsi="Times New Roman" w:cs="Times New Roman"/>
          <w:color w:val="000000"/>
          <w:sz w:val="24"/>
          <w:szCs w:val="24"/>
          <w:lang w:val="en-GB"/>
        </w:rPr>
        <w:t>under financial supervision, money growth was almost completely attributable to money multiplier growth</w:t>
      </w:r>
      <w:r w:rsidR="008314A5" w:rsidRPr="00462F98">
        <w:rPr>
          <w:rFonts w:ascii="Times New Roman" w:hAnsi="Times New Roman" w:cs="Times New Roman"/>
          <w:color w:val="000000" w:themeColor="text1"/>
          <w:sz w:val="24"/>
          <w:szCs w:val="24"/>
          <w:lang w:val="en-GB"/>
        </w:rPr>
        <w:t xml:space="preserve">. </w:t>
      </w:r>
      <w:r w:rsidR="00AA18B4" w:rsidRPr="00462F98">
        <w:rPr>
          <w:rFonts w:ascii="Times New Roman" w:hAnsi="Times New Roman" w:cs="Times New Roman"/>
          <w:color w:val="000000" w:themeColor="text1"/>
          <w:sz w:val="24"/>
          <w:szCs w:val="24"/>
          <w:lang w:val="en-GB"/>
        </w:rPr>
        <w:t xml:space="preserve">The trade-off is best understood as a confidence effect. Very high MBTR growth under domestic regimes potentially </w:t>
      </w:r>
      <w:r w:rsidR="00586390" w:rsidRPr="00462F98">
        <w:rPr>
          <w:rFonts w:ascii="Times New Roman" w:hAnsi="Times New Roman" w:cs="Times New Roman"/>
          <w:color w:val="000000" w:themeColor="text1"/>
          <w:sz w:val="24"/>
          <w:szCs w:val="24"/>
          <w:lang w:val="en-GB"/>
        </w:rPr>
        <w:t xml:space="preserve">threaten the stability of </w:t>
      </w:r>
      <w:r w:rsidR="00AA18B4" w:rsidRPr="00462F98">
        <w:rPr>
          <w:rFonts w:ascii="Times New Roman" w:hAnsi="Times New Roman" w:cs="Times New Roman"/>
          <w:color w:val="000000" w:themeColor="text1"/>
          <w:sz w:val="24"/>
          <w:szCs w:val="24"/>
          <w:lang w:val="en-GB"/>
        </w:rPr>
        <w:t xml:space="preserve">the banking system, resulting in low </w:t>
      </w:r>
      <w:r w:rsidR="00601BA1">
        <w:rPr>
          <w:rFonts w:ascii="Times New Roman" w:hAnsi="Times New Roman" w:cs="Times New Roman"/>
          <w:color w:val="000000" w:themeColor="text1"/>
          <w:sz w:val="24"/>
          <w:szCs w:val="24"/>
          <w:lang w:val="en-GB"/>
        </w:rPr>
        <w:t>(</w:t>
      </w:r>
      <w:r w:rsidR="00AA18B4" w:rsidRPr="00462F98">
        <w:rPr>
          <w:rFonts w:ascii="Times New Roman" w:hAnsi="Times New Roman" w:cs="Times New Roman"/>
          <w:color w:val="000000" w:themeColor="text1"/>
          <w:sz w:val="24"/>
          <w:szCs w:val="24"/>
          <w:lang w:val="en-GB"/>
        </w:rPr>
        <w:t>or even negative</w:t>
      </w:r>
      <w:r w:rsidR="00601BA1">
        <w:rPr>
          <w:rFonts w:ascii="Times New Roman" w:hAnsi="Times New Roman" w:cs="Times New Roman"/>
          <w:color w:val="000000" w:themeColor="text1"/>
          <w:sz w:val="24"/>
          <w:szCs w:val="24"/>
          <w:lang w:val="en-GB"/>
        </w:rPr>
        <w:t>)</w:t>
      </w:r>
      <w:r w:rsidR="00AA18B4" w:rsidRPr="00462F98">
        <w:rPr>
          <w:rFonts w:ascii="Times New Roman" w:hAnsi="Times New Roman" w:cs="Times New Roman"/>
          <w:color w:val="000000" w:themeColor="text1"/>
          <w:sz w:val="24"/>
          <w:szCs w:val="24"/>
          <w:lang w:val="en-GB"/>
        </w:rPr>
        <w:t xml:space="preserve"> multiplier growth. In foreign periods, by contrast,</w:t>
      </w:r>
      <w:r w:rsidR="0013177E" w:rsidRPr="00462F98">
        <w:rPr>
          <w:rFonts w:ascii="Times New Roman" w:hAnsi="Times New Roman" w:cs="Times New Roman"/>
          <w:color w:val="000000" w:themeColor="text1"/>
          <w:sz w:val="24"/>
          <w:szCs w:val="24"/>
          <w:lang w:val="en-GB"/>
        </w:rPr>
        <w:t xml:space="preserve"> monetary stabilisation </w:t>
      </w:r>
      <w:r w:rsidR="00AA18B4" w:rsidRPr="00462F98">
        <w:rPr>
          <w:rFonts w:ascii="Times New Roman" w:hAnsi="Times New Roman" w:cs="Times New Roman"/>
          <w:color w:val="000000" w:themeColor="text1"/>
          <w:sz w:val="24"/>
          <w:szCs w:val="24"/>
          <w:lang w:val="en-GB"/>
        </w:rPr>
        <w:t>increase</w:t>
      </w:r>
      <w:r w:rsidR="00C52C21" w:rsidRPr="00462F98">
        <w:rPr>
          <w:rFonts w:ascii="Times New Roman" w:hAnsi="Times New Roman" w:cs="Times New Roman"/>
          <w:color w:val="000000" w:themeColor="text1"/>
          <w:sz w:val="24"/>
          <w:szCs w:val="24"/>
          <w:lang w:val="en-GB"/>
        </w:rPr>
        <w:t>s</w:t>
      </w:r>
      <w:r w:rsidR="00AA18B4" w:rsidRPr="00462F98">
        <w:rPr>
          <w:rFonts w:ascii="Times New Roman" w:hAnsi="Times New Roman" w:cs="Times New Roman"/>
          <w:color w:val="000000" w:themeColor="text1"/>
          <w:sz w:val="24"/>
          <w:szCs w:val="24"/>
          <w:lang w:val="en-GB"/>
        </w:rPr>
        <w:t xml:space="preserve"> </w:t>
      </w:r>
      <w:r w:rsidR="00AA18B4" w:rsidRPr="00980D93">
        <w:rPr>
          <w:rFonts w:ascii="Times New Roman" w:hAnsi="Times New Roman" w:cs="Times New Roman"/>
          <w:color w:val="000000" w:themeColor="text1"/>
          <w:sz w:val="24"/>
          <w:szCs w:val="24"/>
          <w:lang w:val="en-GB"/>
        </w:rPr>
        <w:t xml:space="preserve">confidence in the banking system </w:t>
      </w:r>
      <w:r w:rsidR="00C52C21" w:rsidRPr="00980D93">
        <w:rPr>
          <w:rFonts w:ascii="Times New Roman" w:hAnsi="Times New Roman" w:cs="Times New Roman"/>
          <w:color w:val="000000" w:themeColor="text1"/>
          <w:sz w:val="24"/>
          <w:szCs w:val="24"/>
          <w:lang w:val="en-GB"/>
        </w:rPr>
        <w:t>and contributes to its development.</w:t>
      </w:r>
      <w:r w:rsidR="00A81C6C" w:rsidRPr="00980D93">
        <w:rPr>
          <w:rFonts w:ascii="Times New Roman" w:hAnsi="Times New Roman" w:cs="Times New Roman"/>
          <w:color w:val="000000" w:themeColor="text1"/>
          <w:sz w:val="24"/>
          <w:szCs w:val="24"/>
          <w:lang w:val="en-GB"/>
        </w:rPr>
        <w:t xml:space="preserve"> Crucially, despite higher money multiplier growth under financial supervision, total money growth was considerably higher – by at least 3.5% p.a., depending on the specific country - in domestic periods, resulting in higher inflation and depreciation.</w:t>
      </w:r>
    </w:p>
    <w:p w:rsidR="006A48FB" w:rsidRDefault="006A48FB" w:rsidP="00654938">
      <w:pPr>
        <w:spacing w:after="0" w:line="360" w:lineRule="auto"/>
        <w:ind w:firstLine="720"/>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In sum, money growth accounting </w:t>
      </w:r>
      <w:r w:rsidR="00C52C21" w:rsidRPr="00462F98">
        <w:rPr>
          <w:rFonts w:ascii="Times New Roman" w:hAnsi="Times New Roman" w:cs="Times New Roman"/>
          <w:color w:val="000000" w:themeColor="text1"/>
          <w:sz w:val="24"/>
          <w:szCs w:val="24"/>
          <w:lang w:val="en-GB"/>
        </w:rPr>
        <w:t>documents</w:t>
      </w:r>
      <w:r w:rsidRPr="00462F98">
        <w:rPr>
          <w:rFonts w:ascii="Times New Roman" w:hAnsi="Times New Roman" w:cs="Times New Roman"/>
          <w:color w:val="000000" w:themeColor="text1"/>
          <w:sz w:val="24"/>
          <w:szCs w:val="24"/>
          <w:lang w:val="en-GB"/>
        </w:rPr>
        <w:t xml:space="preserve"> a strong positive correlation between debt monetisation and total money growth. This correlation is pronounced during domestic periods, and loosened during foreign periods. </w:t>
      </w:r>
    </w:p>
    <w:p w:rsidR="0058709A" w:rsidRPr="0058709A" w:rsidRDefault="0058709A" w:rsidP="00654938">
      <w:pPr>
        <w:spacing w:after="0" w:line="360" w:lineRule="auto"/>
        <w:ind w:firstLine="720"/>
        <w:jc w:val="both"/>
        <w:rPr>
          <w:rFonts w:ascii="Times New Roman" w:hAnsi="Times New Roman" w:cs="Times New Roman"/>
          <w:color w:val="000000" w:themeColor="text1"/>
          <w:sz w:val="12"/>
          <w:szCs w:val="12"/>
          <w:lang w:val="en-GB"/>
        </w:rPr>
      </w:pPr>
    </w:p>
    <w:p w:rsidR="007C1EF9" w:rsidRPr="00462F98" w:rsidRDefault="007C1EF9" w:rsidP="00654938">
      <w:pPr>
        <w:spacing w:after="0" w:line="360" w:lineRule="auto"/>
        <w:ind w:firstLine="720"/>
        <w:jc w:val="both"/>
        <w:rPr>
          <w:rFonts w:ascii="Times New Roman" w:hAnsi="Times New Roman" w:cs="Times New Roman"/>
          <w:color w:val="000000" w:themeColor="text1"/>
          <w:sz w:val="6"/>
          <w:szCs w:val="6"/>
          <w:lang w:val="en-GB"/>
        </w:rPr>
      </w:pPr>
    </w:p>
    <w:p w:rsidR="00BC7F62" w:rsidRPr="00462F98" w:rsidRDefault="00D0167E" w:rsidP="00AB5046">
      <w:pPr>
        <w:pStyle w:val="ListParagraph"/>
        <w:numPr>
          <w:ilvl w:val="1"/>
          <w:numId w:val="4"/>
        </w:numPr>
        <w:spacing w:after="0" w:line="360" w:lineRule="auto"/>
        <w:jc w:val="both"/>
        <w:rPr>
          <w:rFonts w:ascii="Times New Roman" w:hAnsi="Times New Roman" w:cs="Times New Roman"/>
          <w:b/>
          <w:color w:val="000000" w:themeColor="text1"/>
          <w:sz w:val="24"/>
          <w:szCs w:val="24"/>
        </w:rPr>
      </w:pPr>
      <w:r w:rsidRPr="00462F98">
        <w:rPr>
          <w:rFonts w:ascii="Times New Roman" w:hAnsi="Times New Roman" w:cs="Times New Roman"/>
          <w:b/>
          <w:color w:val="000000" w:themeColor="text1"/>
          <w:sz w:val="24"/>
          <w:szCs w:val="24"/>
        </w:rPr>
        <w:t>Granger causality</w:t>
      </w:r>
      <w:r w:rsidR="0013177E" w:rsidRPr="00462F98">
        <w:rPr>
          <w:rFonts w:ascii="Times New Roman" w:hAnsi="Times New Roman" w:cs="Times New Roman"/>
          <w:b/>
          <w:color w:val="000000" w:themeColor="text1"/>
          <w:sz w:val="24"/>
          <w:szCs w:val="24"/>
        </w:rPr>
        <w:t xml:space="preserve"> test</w:t>
      </w:r>
    </w:p>
    <w:p w:rsidR="002A4C6E" w:rsidRPr="00462F98" w:rsidRDefault="00BC7F62"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For fiscal dominance to ho</w:t>
      </w:r>
      <w:r w:rsidR="00AB5046" w:rsidRPr="00462F98">
        <w:rPr>
          <w:rFonts w:ascii="Times New Roman" w:hAnsi="Times New Roman" w:cs="Times New Roman"/>
          <w:color w:val="000000" w:themeColor="text1"/>
          <w:sz w:val="24"/>
          <w:szCs w:val="24"/>
          <w:lang w:val="en-GB"/>
        </w:rPr>
        <w:t xml:space="preserve">ld, causality must run from </w:t>
      </w:r>
      <w:r w:rsidRPr="00462F98">
        <w:rPr>
          <w:rFonts w:ascii="Times New Roman" w:hAnsi="Times New Roman" w:cs="Times New Roman"/>
          <w:color w:val="000000" w:themeColor="text1"/>
          <w:sz w:val="24"/>
          <w:szCs w:val="24"/>
          <w:lang w:val="en-GB"/>
        </w:rPr>
        <w:t>deficit to debt monetisation</w:t>
      </w:r>
      <w:r w:rsidR="002A4C6E" w:rsidRPr="00462F98">
        <w:rPr>
          <w:rFonts w:ascii="Times New Roman" w:hAnsi="Times New Roman" w:cs="Times New Roman"/>
          <w:color w:val="000000" w:themeColor="text1"/>
          <w:sz w:val="24"/>
          <w:szCs w:val="24"/>
          <w:lang w:val="en-GB"/>
        </w:rPr>
        <w:t>:</w:t>
      </w:r>
    </w:p>
    <w:p w:rsidR="002A4C6E" w:rsidRPr="00462F98" w:rsidRDefault="002A4C6E" w:rsidP="008C1B88">
      <w:pPr>
        <w:spacing w:after="0" w:line="360" w:lineRule="auto"/>
        <w:jc w:val="both"/>
        <w:rPr>
          <w:rFonts w:ascii="Times New Roman" w:hAnsi="Times New Roman" w:cs="Times New Roman"/>
          <w:color w:val="000000" w:themeColor="text1"/>
          <w:sz w:val="6"/>
          <w:szCs w:val="6"/>
          <w:lang w:val="en-GB"/>
        </w:rPr>
      </w:pPr>
    </w:p>
    <w:p w:rsidR="002A4C6E" w:rsidRPr="00462F98" w:rsidRDefault="00AB5046" w:rsidP="00AB5046">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462F98">
        <w:rPr>
          <w:rFonts w:ascii="Times New Roman" w:hAnsi="Times New Roman" w:cs="Times New Roman"/>
          <w:color w:val="000000" w:themeColor="text1"/>
          <w:sz w:val="24"/>
          <w:szCs w:val="24"/>
        </w:rPr>
        <w:t xml:space="preserve"> </w:t>
      </w:r>
      <w:r w:rsidRPr="00462F98">
        <w:rPr>
          <w:rFonts w:ascii="Times New Roman" w:hAnsi="Times New Roman" w:cs="Times New Roman"/>
          <w:color w:val="000000" w:themeColor="text1"/>
          <w:sz w:val="24"/>
          <w:szCs w:val="24"/>
        </w:rPr>
        <w:tab/>
      </w:r>
      <w:proofErr w:type="spellStart"/>
      <w:r w:rsidR="002A4C6E" w:rsidRPr="00462F98">
        <w:rPr>
          <w:rFonts w:ascii="Times New Roman" w:hAnsi="Times New Roman" w:cs="Times New Roman"/>
          <w:color w:val="000000" w:themeColor="text1"/>
          <w:sz w:val="24"/>
          <w:szCs w:val="24"/>
        </w:rPr>
        <w:t>x</w:t>
      </w:r>
      <w:r w:rsidR="002A4C6E" w:rsidRPr="00462F98">
        <w:rPr>
          <w:rFonts w:ascii="Times New Roman" w:hAnsi="Times New Roman" w:cs="Times New Roman"/>
          <w:color w:val="000000" w:themeColor="text1"/>
          <w:sz w:val="24"/>
          <w:szCs w:val="24"/>
          <w:vertAlign w:val="subscript"/>
        </w:rPr>
        <w:t>t</w:t>
      </w:r>
      <w:proofErr w:type="spellEnd"/>
      <w:r w:rsidR="002A4C6E" w:rsidRPr="00462F98">
        <w:rPr>
          <w:rFonts w:ascii="Times New Roman" w:hAnsi="Times New Roman" w:cs="Times New Roman"/>
          <w:color w:val="000000" w:themeColor="text1"/>
          <w:sz w:val="24"/>
          <w:szCs w:val="24"/>
        </w:rPr>
        <w:t xml:space="preserve"> = </w:t>
      </w:r>
      <w:r w:rsidRPr="00462F98">
        <w:rPr>
          <w:rFonts w:ascii="Times New Roman" w:hAnsi="Times New Roman" w:cs="Times New Roman"/>
          <w:color w:val="000000" w:themeColor="text1"/>
          <w:sz w:val="24"/>
          <w:szCs w:val="24"/>
        </w:rPr>
        <w:t>(</w:t>
      </w:r>
      <w:r w:rsidR="002A4C6E" w:rsidRPr="00462F98">
        <w:rPr>
          <w:rFonts w:ascii="Times New Roman" w:hAnsi="Times New Roman" w:cs="Times New Roman"/>
          <w:color w:val="000000" w:themeColor="text1"/>
          <w:sz w:val="24"/>
          <w:szCs w:val="24"/>
        </w:rPr>
        <w:t>G</w:t>
      </w:r>
      <w:r w:rsidR="002A4C6E" w:rsidRPr="00462F98">
        <w:rPr>
          <w:rFonts w:ascii="Times New Roman" w:hAnsi="Times New Roman" w:cs="Times New Roman"/>
          <w:color w:val="000000" w:themeColor="text1"/>
          <w:sz w:val="24"/>
          <w:szCs w:val="24"/>
          <w:vertAlign w:val="subscript"/>
        </w:rPr>
        <w:t>t</w:t>
      </w:r>
      <w:r w:rsidR="002A4C6E" w:rsidRPr="00462F98">
        <w:rPr>
          <w:rFonts w:ascii="Times New Roman" w:hAnsi="Times New Roman" w:cs="Times New Roman"/>
          <w:color w:val="000000" w:themeColor="text1"/>
          <w:sz w:val="24"/>
          <w:szCs w:val="24"/>
        </w:rPr>
        <w:t xml:space="preserve"> – T</w:t>
      </w:r>
      <w:r w:rsidR="002A4C6E" w:rsidRPr="00462F98">
        <w:rPr>
          <w:rFonts w:ascii="Times New Roman" w:hAnsi="Times New Roman" w:cs="Times New Roman"/>
          <w:color w:val="000000" w:themeColor="text1"/>
          <w:sz w:val="24"/>
          <w:szCs w:val="24"/>
          <w:vertAlign w:val="subscript"/>
        </w:rPr>
        <w:t>t</w:t>
      </w:r>
      <w:r w:rsidRPr="00462F98">
        <w:rPr>
          <w:rFonts w:ascii="Times New Roman" w:hAnsi="Times New Roman" w:cs="Times New Roman"/>
          <w:color w:val="000000" w:themeColor="text1"/>
          <w:sz w:val="24"/>
          <w:szCs w:val="24"/>
        </w:rPr>
        <w:t>)</w:t>
      </w:r>
      <w:r w:rsidR="002A4C6E" w:rsidRPr="00462F98">
        <w:rPr>
          <w:rFonts w:ascii="Times New Roman" w:hAnsi="Times New Roman" w:cs="Times New Roman"/>
          <w:color w:val="000000" w:themeColor="text1"/>
          <w:sz w:val="24"/>
          <w:szCs w:val="24"/>
        </w:rPr>
        <w:t xml:space="preserve"> / </w:t>
      </w:r>
      <w:proofErr w:type="spellStart"/>
      <w:r w:rsidR="002A4C6E" w:rsidRPr="00462F98">
        <w:rPr>
          <w:rFonts w:ascii="Times New Roman" w:hAnsi="Times New Roman" w:cs="Times New Roman"/>
          <w:color w:val="000000" w:themeColor="text1"/>
          <w:sz w:val="24"/>
          <w:szCs w:val="24"/>
        </w:rPr>
        <w:t>Y</w:t>
      </w:r>
      <w:r w:rsidR="002A4C6E" w:rsidRPr="00462F98">
        <w:rPr>
          <w:rFonts w:ascii="Times New Roman" w:hAnsi="Times New Roman" w:cs="Times New Roman"/>
          <w:color w:val="000000" w:themeColor="text1"/>
          <w:sz w:val="24"/>
          <w:szCs w:val="24"/>
          <w:vertAlign w:val="subscript"/>
        </w:rPr>
        <w:t>t</w:t>
      </w:r>
      <w:proofErr w:type="spellEnd"/>
      <w:r w:rsidR="002A4C6E" w:rsidRPr="00462F98">
        <w:rPr>
          <w:rFonts w:ascii="Times New Roman" w:hAnsi="Times New Roman" w:cs="Times New Roman"/>
          <w:color w:val="000000" w:themeColor="text1"/>
          <w:sz w:val="24"/>
          <w:szCs w:val="24"/>
        </w:rPr>
        <w:tab/>
      </w:r>
      <w:r w:rsidR="002A4C6E" w:rsidRPr="00462F98">
        <w:rPr>
          <w:rFonts w:ascii="Times New Roman" w:hAnsi="Times New Roman" w:cs="Times New Roman"/>
          <w:color w:val="000000" w:themeColor="text1"/>
          <w:sz w:val="24"/>
          <w:szCs w:val="24"/>
        </w:rPr>
        <w:tab/>
      </w:r>
      <w:r w:rsidR="002A4C6E" w:rsidRPr="00462F98">
        <w:rPr>
          <w:rFonts w:ascii="Times New Roman" w:hAnsi="Times New Roman" w:cs="Times New Roman"/>
          <w:color w:val="000000" w:themeColor="text1"/>
          <w:sz w:val="24"/>
          <w:szCs w:val="24"/>
        </w:rPr>
        <w:tab/>
        <w:t>deficit</w:t>
      </w:r>
    </w:p>
    <w:p w:rsidR="005A4785" w:rsidRPr="00462F98" w:rsidRDefault="005A4785" w:rsidP="002A4C6E">
      <w:pPr>
        <w:spacing w:after="0" w:line="360" w:lineRule="auto"/>
        <w:ind w:firstLine="720"/>
        <w:jc w:val="both"/>
        <w:rPr>
          <w:rFonts w:ascii="Times New Roman" w:hAnsi="Times New Roman" w:cs="Times New Roman"/>
          <w:color w:val="000000" w:themeColor="text1"/>
          <w:sz w:val="6"/>
          <w:szCs w:val="6"/>
          <w:lang w:val="en-GB"/>
        </w:rPr>
      </w:pPr>
    </w:p>
    <w:p w:rsidR="005A4785" w:rsidRPr="00462F98" w:rsidRDefault="005A4785" w:rsidP="00AB5046">
      <w:pPr>
        <w:pStyle w:val="ListParagraph"/>
        <w:numPr>
          <w:ilvl w:val="0"/>
          <w:numId w:val="9"/>
        </w:numPr>
        <w:spacing w:after="0" w:line="360" w:lineRule="auto"/>
        <w:jc w:val="both"/>
        <w:rPr>
          <w:rFonts w:ascii="Times New Roman" w:hAnsi="Times New Roman" w:cs="Times New Roman"/>
          <w:color w:val="000000" w:themeColor="text1"/>
          <w:sz w:val="24"/>
          <w:szCs w:val="24"/>
        </w:rPr>
      </w:pPr>
      <w:proofErr w:type="spellStart"/>
      <w:r w:rsidRPr="00462F98">
        <w:rPr>
          <w:rFonts w:ascii="Times New Roman" w:hAnsi="Times New Roman" w:cs="Times New Roman"/>
          <w:color w:val="000000" w:themeColor="text1"/>
          <w:sz w:val="24"/>
          <w:szCs w:val="24"/>
        </w:rPr>
        <w:t>y</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rPr>
        <w:t xml:space="preserve"> = (</w:t>
      </w:r>
      <w:proofErr w:type="spellStart"/>
      <w:r w:rsidRPr="00462F98">
        <w:rPr>
          <w:rFonts w:ascii="Times New Roman" w:hAnsi="Times New Roman" w:cs="Times New Roman"/>
          <w:color w:val="000000" w:themeColor="text1"/>
          <w:sz w:val="24"/>
          <w:szCs w:val="24"/>
        </w:rPr>
        <w:t>MBTC</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rPr>
        <w:t xml:space="preserve"> – MBTC</w:t>
      </w:r>
      <w:r w:rsidRPr="00462F98">
        <w:rPr>
          <w:rFonts w:ascii="Times New Roman" w:hAnsi="Times New Roman" w:cs="Times New Roman"/>
          <w:color w:val="000000" w:themeColor="text1"/>
          <w:sz w:val="24"/>
          <w:szCs w:val="24"/>
          <w:vertAlign w:val="subscript"/>
        </w:rPr>
        <w:t>t-1</w:t>
      </w:r>
      <w:r w:rsidRPr="00462F98">
        <w:rPr>
          <w:rFonts w:ascii="Times New Roman" w:hAnsi="Times New Roman" w:cs="Times New Roman"/>
          <w:color w:val="000000" w:themeColor="text1"/>
          <w:sz w:val="24"/>
          <w:szCs w:val="24"/>
        </w:rPr>
        <w:t xml:space="preserve">) / </w:t>
      </w:r>
      <w:proofErr w:type="spellStart"/>
      <w:r w:rsidRPr="00462F98">
        <w:rPr>
          <w:rFonts w:ascii="Times New Roman" w:hAnsi="Times New Roman" w:cs="Times New Roman"/>
          <w:color w:val="000000" w:themeColor="text1"/>
          <w:sz w:val="24"/>
          <w:szCs w:val="24"/>
        </w:rPr>
        <w:t>Y</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rPr>
        <w:tab/>
      </w:r>
      <w:r w:rsidRPr="00462F98">
        <w:rPr>
          <w:rFonts w:ascii="Times New Roman" w:hAnsi="Times New Roman" w:cs="Times New Roman"/>
          <w:color w:val="000000" w:themeColor="text1"/>
          <w:sz w:val="24"/>
          <w:szCs w:val="24"/>
        </w:rPr>
        <w:tab/>
        <w:t>seigniorage / debt monetisation</w:t>
      </w:r>
    </w:p>
    <w:p w:rsidR="005A4785" w:rsidRPr="00462F98" w:rsidRDefault="005A4785" w:rsidP="005A4785">
      <w:pPr>
        <w:spacing w:after="0" w:line="360" w:lineRule="auto"/>
        <w:jc w:val="both"/>
        <w:rPr>
          <w:rFonts w:ascii="Times New Roman" w:hAnsi="Times New Roman" w:cs="Times New Roman"/>
          <w:color w:val="000000" w:themeColor="text1"/>
          <w:sz w:val="6"/>
          <w:szCs w:val="6"/>
          <w:lang w:val="en-GB"/>
        </w:rPr>
      </w:pPr>
    </w:p>
    <w:p w:rsidR="0002456A" w:rsidRPr="00462F98" w:rsidRDefault="00AA18B4"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T</w:t>
      </w:r>
      <w:r w:rsidR="00BC7F62" w:rsidRPr="00462F98">
        <w:rPr>
          <w:rFonts w:ascii="Times New Roman" w:hAnsi="Times New Roman" w:cs="Times New Roman"/>
          <w:color w:val="000000" w:themeColor="text1"/>
          <w:sz w:val="24"/>
          <w:szCs w:val="24"/>
          <w:lang w:val="en-GB"/>
        </w:rPr>
        <w:t>hree steps</w:t>
      </w:r>
      <w:r w:rsidRPr="00462F98">
        <w:rPr>
          <w:rFonts w:ascii="Times New Roman" w:hAnsi="Times New Roman" w:cs="Times New Roman"/>
          <w:color w:val="000000" w:themeColor="text1"/>
          <w:sz w:val="24"/>
          <w:szCs w:val="24"/>
          <w:lang w:val="en-GB"/>
        </w:rPr>
        <w:t xml:space="preserve"> are needed</w:t>
      </w:r>
      <w:r w:rsidR="00BC7F62" w:rsidRPr="00462F98">
        <w:rPr>
          <w:rFonts w:ascii="Times New Roman" w:hAnsi="Times New Roman" w:cs="Times New Roman"/>
          <w:color w:val="000000" w:themeColor="text1"/>
          <w:sz w:val="24"/>
          <w:szCs w:val="24"/>
          <w:lang w:val="en-GB"/>
        </w:rPr>
        <w:t xml:space="preserve">: (a) a unit </w:t>
      </w:r>
      <w:r w:rsidR="00B974F6" w:rsidRPr="00462F98">
        <w:rPr>
          <w:rFonts w:ascii="Times New Roman" w:hAnsi="Times New Roman" w:cs="Times New Roman"/>
          <w:color w:val="000000" w:themeColor="text1"/>
          <w:sz w:val="24"/>
          <w:szCs w:val="24"/>
          <w:lang w:val="en-GB"/>
        </w:rPr>
        <w:t xml:space="preserve">root test to </w:t>
      </w:r>
      <w:r w:rsidR="005A4785" w:rsidRPr="00462F98">
        <w:rPr>
          <w:rFonts w:ascii="Times New Roman" w:hAnsi="Times New Roman" w:cs="Times New Roman"/>
          <w:color w:val="000000" w:themeColor="text1"/>
          <w:sz w:val="24"/>
          <w:szCs w:val="24"/>
          <w:lang w:val="en-GB"/>
        </w:rPr>
        <w:t xml:space="preserve">ensure that </w:t>
      </w:r>
      <w:proofErr w:type="spellStart"/>
      <w:r w:rsidR="005A4785" w:rsidRPr="00462F98">
        <w:rPr>
          <w:rFonts w:ascii="Times New Roman" w:hAnsi="Times New Roman" w:cs="Times New Roman"/>
          <w:color w:val="000000" w:themeColor="text1"/>
          <w:sz w:val="24"/>
          <w:szCs w:val="24"/>
          <w:lang w:val="en-GB"/>
        </w:rPr>
        <w:t>x</w:t>
      </w:r>
      <w:r w:rsidR="005A4785" w:rsidRPr="00462F98">
        <w:rPr>
          <w:rFonts w:ascii="Times New Roman" w:hAnsi="Times New Roman" w:cs="Times New Roman"/>
          <w:color w:val="000000" w:themeColor="text1"/>
          <w:sz w:val="24"/>
          <w:szCs w:val="24"/>
          <w:vertAlign w:val="subscript"/>
          <w:lang w:val="en-GB"/>
        </w:rPr>
        <w:t>t</w:t>
      </w:r>
      <w:proofErr w:type="spellEnd"/>
      <w:r w:rsidR="005A4785" w:rsidRPr="00462F98">
        <w:rPr>
          <w:rFonts w:ascii="Times New Roman" w:hAnsi="Times New Roman" w:cs="Times New Roman"/>
          <w:color w:val="000000" w:themeColor="text1"/>
          <w:sz w:val="24"/>
          <w:szCs w:val="24"/>
          <w:lang w:val="en-GB"/>
        </w:rPr>
        <w:t xml:space="preserve"> and </w:t>
      </w:r>
      <w:proofErr w:type="spellStart"/>
      <w:r w:rsidR="005A4785" w:rsidRPr="00462F98">
        <w:rPr>
          <w:rFonts w:ascii="Times New Roman" w:hAnsi="Times New Roman" w:cs="Times New Roman"/>
          <w:color w:val="000000" w:themeColor="text1"/>
          <w:sz w:val="24"/>
          <w:szCs w:val="24"/>
          <w:lang w:val="en-GB"/>
        </w:rPr>
        <w:t>y</w:t>
      </w:r>
      <w:r w:rsidR="005A4785" w:rsidRPr="00462F98">
        <w:rPr>
          <w:rFonts w:ascii="Times New Roman" w:hAnsi="Times New Roman" w:cs="Times New Roman"/>
          <w:color w:val="000000" w:themeColor="text1"/>
          <w:sz w:val="24"/>
          <w:szCs w:val="24"/>
          <w:vertAlign w:val="subscript"/>
          <w:lang w:val="en-GB"/>
        </w:rPr>
        <w:t>t</w:t>
      </w:r>
      <w:proofErr w:type="spellEnd"/>
      <w:r w:rsidR="005A4785" w:rsidRPr="00462F98">
        <w:rPr>
          <w:rFonts w:ascii="Times New Roman" w:hAnsi="Times New Roman" w:cs="Times New Roman"/>
          <w:color w:val="000000" w:themeColor="text1"/>
          <w:sz w:val="24"/>
          <w:szCs w:val="24"/>
          <w:lang w:val="en-GB"/>
        </w:rPr>
        <w:t xml:space="preserve"> are stationary</w:t>
      </w:r>
      <w:r w:rsidR="00BC7F62" w:rsidRPr="00462F98">
        <w:rPr>
          <w:rFonts w:ascii="Times New Roman" w:hAnsi="Times New Roman" w:cs="Times New Roman"/>
          <w:color w:val="000000" w:themeColor="text1"/>
          <w:sz w:val="24"/>
          <w:szCs w:val="24"/>
          <w:lang w:val="en-GB"/>
        </w:rPr>
        <w:t>; (b) applying lag length selection criteria</w:t>
      </w:r>
      <w:r w:rsidRPr="00462F98">
        <w:rPr>
          <w:rFonts w:ascii="Times New Roman" w:hAnsi="Times New Roman" w:cs="Times New Roman"/>
          <w:color w:val="000000" w:themeColor="text1"/>
          <w:sz w:val="24"/>
          <w:szCs w:val="24"/>
          <w:lang w:val="en-GB"/>
        </w:rPr>
        <w:t>;</w:t>
      </w:r>
      <w:r w:rsidR="00BC7F62" w:rsidRPr="00462F98">
        <w:rPr>
          <w:rFonts w:ascii="Times New Roman" w:hAnsi="Times New Roman" w:cs="Times New Roman"/>
          <w:color w:val="000000" w:themeColor="text1"/>
          <w:sz w:val="24"/>
          <w:szCs w:val="24"/>
          <w:lang w:val="en-GB"/>
        </w:rPr>
        <w:t xml:space="preserve"> (c) </w:t>
      </w:r>
      <w:r w:rsidR="005A4785" w:rsidRPr="00462F98">
        <w:rPr>
          <w:rFonts w:ascii="Times New Roman" w:hAnsi="Times New Roman" w:cs="Times New Roman"/>
          <w:color w:val="000000" w:themeColor="text1"/>
          <w:sz w:val="24"/>
          <w:szCs w:val="24"/>
          <w:lang w:val="en-GB"/>
        </w:rPr>
        <w:t xml:space="preserve">establishing Granger causality between </w:t>
      </w:r>
      <w:proofErr w:type="spellStart"/>
      <w:r w:rsidR="005A4785" w:rsidRPr="00462F98">
        <w:rPr>
          <w:rFonts w:ascii="Times New Roman" w:hAnsi="Times New Roman" w:cs="Times New Roman"/>
          <w:color w:val="000000" w:themeColor="text1"/>
          <w:sz w:val="24"/>
          <w:szCs w:val="24"/>
          <w:lang w:val="en-GB"/>
        </w:rPr>
        <w:t>x</w:t>
      </w:r>
      <w:r w:rsidR="005A4785" w:rsidRPr="00462F98">
        <w:rPr>
          <w:rFonts w:ascii="Times New Roman" w:hAnsi="Times New Roman" w:cs="Times New Roman"/>
          <w:color w:val="000000" w:themeColor="text1"/>
          <w:sz w:val="24"/>
          <w:szCs w:val="24"/>
          <w:vertAlign w:val="subscript"/>
          <w:lang w:val="en-GB"/>
        </w:rPr>
        <w:t>t</w:t>
      </w:r>
      <w:proofErr w:type="spellEnd"/>
      <w:r w:rsidR="005A4785" w:rsidRPr="00462F98">
        <w:rPr>
          <w:rFonts w:ascii="Times New Roman" w:hAnsi="Times New Roman" w:cs="Times New Roman"/>
          <w:color w:val="000000" w:themeColor="text1"/>
          <w:sz w:val="24"/>
          <w:szCs w:val="24"/>
          <w:lang w:val="en-GB"/>
        </w:rPr>
        <w:t xml:space="preserve"> and </w:t>
      </w:r>
      <w:proofErr w:type="spellStart"/>
      <w:r w:rsidR="005A4785" w:rsidRPr="00462F98">
        <w:rPr>
          <w:rFonts w:ascii="Times New Roman" w:hAnsi="Times New Roman" w:cs="Times New Roman"/>
          <w:color w:val="000000" w:themeColor="text1"/>
          <w:sz w:val="24"/>
          <w:szCs w:val="24"/>
          <w:lang w:val="en-GB"/>
        </w:rPr>
        <w:t>y</w:t>
      </w:r>
      <w:r w:rsidR="005A4785" w:rsidRPr="00462F98">
        <w:rPr>
          <w:rFonts w:ascii="Times New Roman" w:hAnsi="Times New Roman" w:cs="Times New Roman"/>
          <w:color w:val="000000" w:themeColor="text1"/>
          <w:sz w:val="24"/>
          <w:szCs w:val="24"/>
          <w:vertAlign w:val="subscript"/>
          <w:lang w:val="en-GB"/>
        </w:rPr>
        <w:t>t</w:t>
      </w:r>
      <w:proofErr w:type="spellEnd"/>
      <w:r w:rsidR="005A4785" w:rsidRPr="00462F98">
        <w:rPr>
          <w:rFonts w:ascii="Times New Roman" w:hAnsi="Times New Roman" w:cs="Times New Roman"/>
          <w:color w:val="000000" w:themeColor="text1"/>
          <w:sz w:val="24"/>
          <w:szCs w:val="24"/>
          <w:lang w:val="en-GB"/>
        </w:rPr>
        <w:t xml:space="preserve"> by testing two joint hypotheses (H</w:t>
      </w:r>
      <w:r w:rsidR="005A4785" w:rsidRPr="00462F98">
        <w:rPr>
          <w:rFonts w:ascii="Times New Roman" w:hAnsi="Times New Roman" w:cs="Times New Roman"/>
          <w:color w:val="000000" w:themeColor="text1"/>
          <w:sz w:val="24"/>
          <w:szCs w:val="24"/>
          <w:vertAlign w:val="subscript"/>
          <w:lang w:val="en-GB"/>
        </w:rPr>
        <w:t>0-1</w:t>
      </w:r>
      <w:r w:rsidR="005A4785" w:rsidRPr="00462F98">
        <w:rPr>
          <w:rFonts w:ascii="Times New Roman" w:hAnsi="Times New Roman" w:cs="Times New Roman"/>
          <w:color w:val="000000" w:themeColor="text1"/>
          <w:sz w:val="24"/>
          <w:szCs w:val="24"/>
          <w:lang w:val="en-GB"/>
        </w:rPr>
        <w:t xml:space="preserve"> and H</w:t>
      </w:r>
      <w:r w:rsidR="005A4785" w:rsidRPr="00462F98">
        <w:rPr>
          <w:rFonts w:ascii="Times New Roman" w:hAnsi="Times New Roman" w:cs="Times New Roman"/>
          <w:color w:val="000000" w:themeColor="text1"/>
          <w:sz w:val="24"/>
          <w:szCs w:val="24"/>
          <w:vertAlign w:val="subscript"/>
          <w:lang w:val="en-GB"/>
        </w:rPr>
        <w:t>0-2</w:t>
      </w:r>
      <w:r w:rsidR="005A4785" w:rsidRPr="00462F98">
        <w:rPr>
          <w:rFonts w:ascii="Times New Roman" w:hAnsi="Times New Roman" w:cs="Times New Roman"/>
          <w:color w:val="000000" w:themeColor="text1"/>
          <w:sz w:val="24"/>
          <w:szCs w:val="24"/>
          <w:lang w:val="en-GB"/>
        </w:rPr>
        <w:t xml:space="preserve">, respectively) on the bivariate autoregressive process: </w:t>
      </w:r>
    </w:p>
    <w:p w:rsidR="00D75382" w:rsidRPr="00462F98" w:rsidRDefault="00D75382" w:rsidP="00AB5046">
      <w:pPr>
        <w:spacing w:after="0" w:line="360" w:lineRule="auto"/>
        <w:jc w:val="both"/>
        <w:rPr>
          <w:rFonts w:ascii="Times New Roman" w:hAnsi="Times New Roman" w:cs="Times New Roman"/>
          <w:color w:val="000000" w:themeColor="text1"/>
          <w:sz w:val="24"/>
          <w:szCs w:val="24"/>
          <w:lang w:val="en-GB" w:eastAsia="de-AT"/>
        </w:rPr>
      </w:pPr>
      <w:r w:rsidRPr="00462F98">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0288" behindDoc="0" locked="0" layoutInCell="1" allowOverlap="1" wp14:anchorId="2FFEF3F1" wp14:editId="62E134F2">
                <wp:simplePos x="0" y="0"/>
                <wp:positionH relativeFrom="column">
                  <wp:posOffset>3331845</wp:posOffset>
                </wp:positionH>
                <wp:positionV relativeFrom="paragraph">
                  <wp:posOffset>34824</wp:posOffset>
                </wp:positionV>
                <wp:extent cx="257175" cy="1301115"/>
                <wp:effectExtent l="0" t="7620" r="20955" b="20955"/>
                <wp:wrapNone/>
                <wp:docPr id="2" name="Left Brace 2"/>
                <wp:cNvGraphicFramePr/>
                <a:graphic xmlns:a="http://schemas.openxmlformats.org/drawingml/2006/main">
                  <a:graphicData uri="http://schemas.microsoft.com/office/word/2010/wordprocessingShape">
                    <wps:wsp>
                      <wps:cNvSpPr/>
                      <wps:spPr>
                        <a:xfrm rot="16200000">
                          <a:off x="0" y="0"/>
                          <a:ext cx="257175" cy="1301115"/>
                        </a:xfrm>
                        <a:prstGeom prst="leftBrace">
                          <a:avLst>
                            <a:gd name="adj1" fmla="val 8333"/>
                            <a:gd name="adj2" fmla="val 5079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E067" id="Left Brace 2" o:spid="_x0000_s1026" type="#_x0000_t87" style="position:absolute;margin-left:262.35pt;margin-top:2.75pt;width:20.25pt;height:102.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" adj="356,10972" strokecolor="#4579b8 [3044]"/>
            </w:pict>
          </mc:Fallback>
        </mc:AlternateContent>
      </w:r>
    </w:p>
    <w:p w:rsidR="005A4785" w:rsidRPr="00462F98" w:rsidRDefault="005A4785" w:rsidP="00AB5046">
      <w:pPr>
        <w:pStyle w:val="ListParagraph"/>
        <w:numPr>
          <w:ilvl w:val="0"/>
          <w:numId w:val="9"/>
        </w:numPr>
        <w:spacing w:after="0" w:line="240" w:lineRule="auto"/>
        <w:rPr>
          <w:rFonts w:ascii="Times New Roman" w:hAnsi="Times New Roman" w:cs="Times New Roman"/>
          <w:color w:val="000000" w:themeColor="text1"/>
          <w:sz w:val="24"/>
          <w:szCs w:val="24"/>
          <w:vertAlign w:val="subscript"/>
        </w:rPr>
      </w:pPr>
      <w:proofErr w:type="spellStart"/>
      <w:r w:rsidRPr="00462F98">
        <w:rPr>
          <w:rFonts w:ascii="Times New Roman" w:hAnsi="Times New Roman" w:cs="Times New Roman"/>
          <w:color w:val="000000" w:themeColor="text1"/>
          <w:sz w:val="24"/>
          <w:szCs w:val="24"/>
        </w:rPr>
        <w:t>y</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rPr>
        <w:t xml:space="preserve"> = α</w:t>
      </w:r>
      <w:r w:rsidRPr="00462F98">
        <w:rPr>
          <w:rFonts w:ascii="Times New Roman" w:hAnsi="Times New Roman" w:cs="Times New Roman"/>
          <w:color w:val="000000" w:themeColor="text1"/>
          <w:sz w:val="24"/>
          <w:szCs w:val="24"/>
          <w:vertAlign w:val="subscript"/>
        </w:rPr>
        <w:t>0</w:t>
      </w:r>
      <w:r w:rsidRPr="00462F98">
        <w:rPr>
          <w:rFonts w:ascii="Times New Roman" w:hAnsi="Times New Roman" w:cs="Times New Roman"/>
          <w:color w:val="000000" w:themeColor="text1"/>
          <w:sz w:val="24"/>
          <w:szCs w:val="24"/>
        </w:rPr>
        <w:t xml:space="preserve">  +  α</w:t>
      </w:r>
      <w:r w:rsidRPr="00462F98">
        <w:rPr>
          <w:rFonts w:ascii="Times New Roman" w:hAnsi="Times New Roman" w:cs="Times New Roman"/>
          <w:color w:val="000000" w:themeColor="text1"/>
          <w:sz w:val="24"/>
          <w:szCs w:val="24"/>
          <w:vertAlign w:val="subscript"/>
        </w:rPr>
        <w:t xml:space="preserve">1 </w:t>
      </w:r>
      <w:r w:rsidRPr="00462F98">
        <w:rPr>
          <w:rFonts w:ascii="Times New Roman" w:hAnsi="Times New Roman" w:cs="Times New Roman"/>
          <w:color w:val="000000" w:themeColor="text1"/>
          <w:sz w:val="24"/>
          <w:szCs w:val="24"/>
        </w:rPr>
        <w:t>y</w:t>
      </w:r>
      <w:r w:rsidRPr="00462F98">
        <w:rPr>
          <w:rFonts w:ascii="Times New Roman" w:hAnsi="Times New Roman" w:cs="Times New Roman"/>
          <w:color w:val="000000" w:themeColor="text1"/>
          <w:sz w:val="24"/>
          <w:szCs w:val="24"/>
          <w:vertAlign w:val="subscript"/>
        </w:rPr>
        <w:t>t-1</w:t>
      </w:r>
      <w:r w:rsidRPr="00462F98">
        <w:rPr>
          <w:rFonts w:ascii="Times New Roman" w:hAnsi="Times New Roman" w:cs="Times New Roman"/>
          <w:color w:val="000000" w:themeColor="text1"/>
          <w:sz w:val="24"/>
          <w:szCs w:val="24"/>
        </w:rPr>
        <w:t xml:space="preserve"> + … + α</w:t>
      </w:r>
      <w:r w:rsidRPr="00462F98">
        <w:rPr>
          <w:rFonts w:ascii="Times New Roman" w:hAnsi="Times New Roman" w:cs="Times New Roman"/>
          <w:color w:val="000000" w:themeColor="text1"/>
          <w:sz w:val="24"/>
          <w:szCs w:val="24"/>
          <w:vertAlign w:val="subscript"/>
        </w:rPr>
        <w:t xml:space="preserve">l </w:t>
      </w:r>
      <w:proofErr w:type="spellStart"/>
      <w:r w:rsidRPr="00462F98">
        <w:rPr>
          <w:rFonts w:ascii="Times New Roman" w:hAnsi="Times New Roman" w:cs="Times New Roman"/>
          <w:color w:val="000000" w:themeColor="text1"/>
          <w:sz w:val="24"/>
          <w:szCs w:val="24"/>
        </w:rPr>
        <w:t>y</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vertAlign w:val="subscript"/>
        </w:rPr>
        <w:t>-l</w:t>
      </w:r>
      <w:r w:rsidRPr="00462F98">
        <w:rPr>
          <w:rFonts w:ascii="Times New Roman" w:hAnsi="Times New Roman" w:cs="Times New Roman"/>
          <w:color w:val="000000" w:themeColor="text1"/>
          <w:sz w:val="24"/>
          <w:szCs w:val="24"/>
        </w:rPr>
        <w:t xml:space="preserve">  +  β</w:t>
      </w:r>
      <w:r w:rsidRPr="00462F98">
        <w:rPr>
          <w:rFonts w:ascii="Times New Roman" w:hAnsi="Times New Roman" w:cs="Times New Roman"/>
          <w:color w:val="000000" w:themeColor="text1"/>
          <w:sz w:val="24"/>
          <w:szCs w:val="24"/>
          <w:vertAlign w:val="subscript"/>
        </w:rPr>
        <w:t xml:space="preserve">1 </w:t>
      </w:r>
      <w:r w:rsidRPr="00462F98">
        <w:rPr>
          <w:rFonts w:ascii="Times New Roman" w:hAnsi="Times New Roman" w:cs="Times New Roman"/>
          <w:color w:val="000000" w:themeColor="text1"/>
          <w:sz w:val="24"/>
          <w:szCs w:val="24"/>
        </w:rPr>
        <w:t>x</w:t>
      </w:r>
      <w:r w:rsidRPr="00462F98">
        <w:rPr>
          <w:rFonts w:ascii="Times New Roman" w:hAnsi="Times New Roman" w:cs="Times New Roman"/>
          <w:color w:val="000000" w:themeColor="text1"/>
          <w:sz w:val="24"/>
          <w:szCs w:val="24"/>
          <w:vertAlign w:val="subscript"/>
        </w:rPr>
        <w:t>t-1</w:t>
      </w:r>
      <w:r w:rsidRPr="00462F98">
        <w:rPr>
          <w:rFonts w:ascii="Times New Roman" w:hAnsi="Times New Roman" w:cs="Times New Roman"/>
          <w:color w:val="000000" w:themeColor="text1"/>
          <w:sz w:val="24"/>
          <w:szCs w:val="24"/>
        </w:rPr>
        <w:t xml:space="preserve"> + … + β</w:t>
      </w:r>
      <w:r w:rsidRPr="00462F98">
        <w:rPr>
          <w:rFonts w:ascii="Times New Roman" w:hAnsi="Times New Roman" w:cs="Times New Roman"/>
          <w:color w:val="000000" w:themeColor="text1"/>
          <w:sz w:val="24"/>
          <w:szCs w:val="24"/>
          <w:vertAlign w:val="subscript"/>
        </w:rPr>
        <w:t xml:space="preserve">l </w:t>
      </w:r>
      <w:proofErr w:type="spellStart"/>
      <w:r w:rsidRPr="00462F98">
        <w:rPr>
          <w:rFonts w:ascii="Times New Roman" w:hAnsi="Times New Roman" w:cs="Times New Roman"/>
          <w:color w:val="000000" w:themeColor="text1"/>
          <w:sz w:val="24"/>
          <w:szCs w:val="24"/>
        </w:rPr>
        <w:t>x</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vertAlign w:val="subscript"/>
        </w:rPr>
        <w:t>-l</w:t>
      </w:r>
      <w:r w:rsidRPr="00462F98">
        <w:rPr>
          <w:rFonts w:ascii="Times New Roman" w:hAnsi="Times New Roman" w:cs="Times New Roman"/>
          <w:color w:val="000000" w:themeColor="text1"/>
          <w:sz w:val="24"/>
          <w:szCs w:val="24"/>
        </w:rPr>
        <w:t xml:space="preserve">  +  </w:t>
      </w:r>
      <w:proofErr w:type="spellStart"/>
      <w:r w:rsidRPr="00462F98">
        <w:rPr>
          <w:rFonts w:ascii="Times New Roman" w:hAnsi="Times New Roman" w:cs="Times New Roman"/>
          <w:color w:val="000000" w:themeColor="text1"/>
          <w:sz w:val="24"/>
          <w:szCs w:val="24"/>
        </w:rPr>
        <w:t>ε</w:t>
      </w:r>
      <w:r w:rsidRPr="00462F98">
        <w:rPr>
          <w:rFonts w:ascii="Times New Roman" w:hAnsi="Times New Roman" w:cs="Times New Roman"/>
          <w:color w:val="000000" w:themeColor="text1"/>
          <w:sz w:val="24"/>
          <w:szCs w:val="24"/>
          <w:vertAlign w:val="subscript"/>
        </w:rPr>
        <w:t>t</w:t>
      </w:r>
      <w:proofErr w:type="spellEnd"/>
    </w:p>
    <w:p w:rsidR="005A4785" w:rsidRPr="00462F98" w:rsidRDefault="005A4785" w:rsidP="005A4785">
      <w:pPr>
        <w:pStyle w:val="ListParagraph"/>
        <w:spacing w:after="0" w:line="240" w:lineRule="auto"/>
        <w:ind w:left="0" w:firstLine="720"/>
        <w:rPr>
          <w:rFonts w:ascii="Times New Roman" w:hAnsi="Times New Roman" w:cs="Times New Roman"/>
          <w:color w:val="000000" w:themeColor="text1"/>
          <w:sz w:val="8"/>
          <w:szCs w:val="8"/>
        </w:rPr>
      </w:pPr>
    </w:p>
    <w:p w:rsidR="005A4785" w:rsidRPr="00462F98" w:rsidRDefault="005A4785" w:rsidP="005A4785">
      <w:pPr>
        <w:spacing w:after="0" w:line="360" w:lineRule="auto"/>
        <w:ind w:firstLine="720"/>
        <w:rPr>
          <w:rFonts w:ascii="Times New Roman" w:hAnsi="Times New Roman" w:cs="Times New Roman"/>
          <w:color w:val="000000" w:themeColor="text1"/>
          <w:sz w:val="24"/>
          <w:szCs w:val="24"/>
          <w:lang w:val="en-GB"/>
        </w:rPr>
      </w:pPr>
    </w:p>
    <w:p w:rsidR="005A4785" w:rsidRPr="00462F98" w:rsidRDefault="005A4785" w:rsidP="005A4785">
      <w:pPr>
        <w:spacing w:after="0" w:line="360" w:lineRule="auto"/>
        <w:ind w:firstLine="720"/>
        <w:rPr>
          <w:rFonts w:ascii="Times New Roman" w:hAnsi="Times New Roman" w:cs="Times New Roman"/>
          <w:color w:val="000000" w:themeColor="text1"/>
          <w:sz w:val="12"/>
          <w:szCs w:val="12"/>
          <w:lang w:val="en-GB"/>
        </w:rPr>
      </w:pPr>
    </w:p>
    <w:p w:rsidR="00D75382" w:rsidRPr="00462F98" w:rsidRDefault="00D75382" w:rsidP="00D75382">
      <w:pPr>
        <w:spacing w:after="0" w:line="360" w:lineRule="auto"/>
        <w:ind w:left="3600"/>
        <w:rPr>
          <w:rFonts w:ascii="Times New Roman" w:hAnsi="Times New Roman" w:cs="Times New Roman"/>
          <w:color w:val="000000" w:themeColor="text1"/>
          <w:sz w:val="20"/>
          <w:szCs w:val="20"/>
          <w:lang w:val="en-GB"/>
        </w:rPr>
      </w:pPr>
      <w:r w:rsidRPr="00462F98">
        <w:rPr>
          <w:rFonts w:ascii="Times New Roman" w:hAnsi="Times New Roman" w:cs="Times New Roman"/>
          <w:color w:val="000000" w:themeColor="text1"/>
          <w:sz w:val="24"/>
          <w:szCs w:val="24"/>
          <w:lang w:val="en-GB"/>
        </w:rPr>
        <w:t xml:space="preserve">   </w:t>
      </w:r>
      <w:r w:rsidR="00AB5046" w:rsidRPr="00462F98">
        <w:rPr>
          <w:rFonts w:ascii="Times New Roman" w:hAnsi="Times New Roman" w:cs="Times New Roman"/>
          <w:color w:val="000000" w:themeColor="text1"/>
          <w:sz w:val="24"/>
          <w:szCs w:val="24"/>
          <w:lang w:val="en-GB"/>
        </w:rPr>
        <w:tab/>
        <w:t xml:space="preserve"> </w:t>
      </w:r>
      <w:r w:rsidRPr="00462F98">
        <w:rPr>
          <w:rFonts w:ascii="Times New Roman" w:hAnsi="Times New Roman" w:cs="Times New Roman"/>
          <w:color w:val="000000" w:themeColor="text1"/>
          <w:sz w:val="20"/>
          <w:szCs w:val="20"/>
          <w:lang w:val="en-GB"/>
        </w:rPr>
        <w:t>H</w:t>
      </w:r>
      <w:r w:rsidRPr="00462F98">
        <w:rPr>
          <w:rFonts w:ascii="Times New Roman" w:hAnsi="Times New Roman" w:cs="Times New Roman"/>
          <w:color w:val="000000" w:themeColor="text1"/>
          <w:sz w:val="20"/>
          <w:szCs w:val="20"/>
          <w:vertAlign w:val="subscript"/>
          <w:lang w:val="en-GB"/>
        </w:rPr>
        <w:t>0-1</w:t>
      </w:r>
      <w:r w:rsidRPr="00462F98">
        <w:rPr>
          <w:rFonts w:ascii="Times New Roman" w:hAnsi="Times New Roman" w:cs="Times New Roman"/>
          <w:color w:val="000000" w:themeColor="text1"/>
          <w:sz w:val="20"/>
          <w:szCs w:val="20"/>
          <w:lang w:val="en-GB"/>
        </w:rPr>
        <w:t>: β</w:t>
      </w:r>
      <w:r w:rsidRPr="00462F98">
        <w:rPr>
          <w:rFonts w:ascii="Times New Roman" w:hAnsi="Times New Roman" w:cs="Times New Roman"/>
          <w:color w:val="000000" w:themeColor="text1"/>
          <w:sz w:val="20"/>
          <w:szCs w:val="20"/>
          <w:vertAlign w:val="subscript"/>
          <w:lang w:val="en-GB"/>
        </w:rPr>
        <w:t>1</w:t>
      </w:r>
      <w:r w:rsidRPr="00462F98">
        <w:rPr>
          <w:rFonts w:ascii="Times New Roman" w:hAnsi="Times New Roman" w:cs="Times New Roman"/>
          <w:color w:val="000000" w:themeColor="text1"/>
          <w:sz w:val="20"/>
          <w:szCs w:val="20"/>
          <w:lang w:val="en-GB"/>
        </w:rPr>
        <w:t xml:space="preserve"> = β</w:t>
      </w:r>
      <w:r w:rsidRPr="00462F98">
        <w:rPr>
          <w:rFonts w:ascii="Times New Roman" w:hAnsi="Times New Roman" w:cs="Times New Roman"/>
          <w:color w:val="000000" w:themeColor="text1"/>
          <w:sz w:val="20"/>
          <w:szCs w:val="20"/>
          <w:vertAlign w:val="subscript"/>
          <w:lang w:val="en-GB"/>
        </w:rPr>
        <w:t>2</w:t>
      </w:r>
      <w:r w:rsidRPr="00462F98">
        <w:rPr>
          <w:rFonts w:ascii="Times New Roman" w:hAnsi="Times New Roman" w:cs="Times New Roman"/>
          <w:color w:val="000000" w:themeColor="text1"/>
          <w:sz w:val="20"/>
          <w:szCs w:val="20"/>
          <w:lang w:val="en-GB"/>
        </w:rPr>
        <w:t xml:space="preserve"> = … = β</w:t>
      </w:r>
      <w:r w:rsidRPr="00462F98">
        <w:rPr>
          <w:rFonts w:ascii="Times New Roman" w:hAnsi="Times New Roman" w:cs="Times New Roman"/>
          <w:color w:val="000000" w:themeColor="text1"/>
          <w:sz w:val="20"/>
          <w:szCs w:val="20"/>
          <w:vertAlign w:val="subscript"/>
          <w:lang w:val="en-GB"/>
        </w:rPr>
        <w:t>l</w:t>
      </w:r>
      <w:r w:rsidRPr="00462F98">
        <w:rPr>
          <w:rFonts w:ascii="Times New Roman" w:hAnsi="Times New Roman" w:cs="Times New Roman"/>
          <w:color w:val="000000" w:themeColor="text1"/>
          <w:sz w:val="20"/>
          <w:szCs w:val="20"/>
          <w:lang w:val="en-GB"/>
        </w:rPr>
        <w:t xml:space="preserve"> = 0</w:t>
      </w:r>
    </w:p>
    <w:p w:rsidR="005A4785" w:rsidRPr="00462F98" w:rsidRDefault="00AB5046" w:rsidP="005A4785">
      <w:pPr>
        <w:spacing w:after="0" w:line="360" w:lineRule="auto"/>
        <w:ind w:firstLine="720"/>
        <w:rPr>
          <w:rFonts w:ascii="Times New Roman" w:hAnsi="Times New Roman" w:cs="Times New Roman"/>
          <w:color w:val="000000" w:themeColor="text1"/>
          <w:sz w:val="24"/>
          <w:szCs w:val="24"/>
          <w:lang w:val="en-GB"/>
        </w:rPr>
      </w:pPr>
      <w:r w:rsidRPr="00462F98">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62336" behindDoc="0" locked="0" layoutInCell="1" allowOverlap="1" wp14:anchorId="74B9244B" wp14:editId="7DB23F2A">
                <wp:simplePos x="0" y="0"/>
                <wp:positionH relativeFrom="column">
                  <wp:posOffset>1956435</wp:posOffset>
                </wp:positionH>
                <wp:positionV relativeFrom="paragraph">
                  <wp:posOffset>0</wp:posOffset>
                </wp:positionV>
                <wp:extent cx="257175" cy="1301115"/>
                <wp:effectExtent l="0" t="7620" r="20955" b="20955"/>
                <wp:wrapNone/>
                <wp:docPr id="3" name="Left Brace 3"/>
                <wp:cNvGraphicFramePr/>
                <a:graphic xmlns:a="http://schemas.openxmlformats.org/drawingml/2006/main">
                  <a:graphicData uri="http://schemas.microsoft.com/office/word/2010/wordprocessingShape">
                    <wps:wsp>
                      <wps:cNvSpPr/>
                      <wps:spPr>
                        <a:xfrm rot="16200000">
                          <a:off x="0" y="0"/>
                          <a:ext cx="257175" cy="1301115"/>
                        </a:xfrm>
                        <a:prstGeom prst="leftBrace">
                          <a:avLst>
                            <a:gd name="adj1" fmla="val 8333"/>
                            <a:gd name="adj2" fmla="val 5079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4376" id="Left Brace 3" o:spid="_x0000_s1026" type="#_x0000_t87" style="position:absolute;margin-left:154.05pt;margin-top:0;width:20.25pt;height:102.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" adj="356,10972" strokecolor="#4579b8 [3044]"/>
            </w:pict>
          </mc:Fallback>
        </mc:AlternateContent>
      </w:r>
    </w:p>
    <w:p w:rsidR="005A4785" w:rsidRPr="00462F98" w:rsidRDefault="005A4785" w:rsidP="00AB5046">
      <w:pPr>
        <w:pStyle w:val="ListParagraph"/>
        <w:numPr>
          <w:ilvl w:val="0"/>
          <w:numId w:val="9"/>
        </w:numPr>
        <w:spacing w:after="0" w:line="240" w:lineRule="auto"/>
        <w:rPr>
          <w:rFonts w:ascii="Times New Roman" w:hAnsi="Times New Roman" w:cs="Times New Roman"/>
          <w:color w:val="000000" w:themeColor="text1"/>
          <w:sz w:val="24"/>
          <w:szCs w:val="24"/>
        </w:rPr>
      </w:pPr>
      <w:proofErr w:type="spellStart"/>
      <w:r w:rsidRPr="00462F98">
        <w:rPr>
          <w:rFonts w:ascii="Times New Roman" w:hAnsi="Times New Roman" w:cs="Times New Roman"/>
          <w:color w:val="000000" w:themeColor="text1"/>
          <w:sz w:val="24"/>
          <w:szCs w:val="24"/>
        </w:rPr>
        <w:t>x</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rPr>
        <w:t xml:space="preserve"> = γ</w:t>
      </w:r>
      <w:r w:rsidRPr="00462F98">
        <w:rPr>
          <w:rFonts w:ascii="Times New Roman" w:hAnsi="Times New Roman" w:cs="Times New Roman"/>
          <w:color w:val="000000" w:themeColor="text1"/>
          <w:sz w:val="24"/>
          <w:szCs w:val="24"/>
          <w:vertAlign w:val="subscript"/>
        </w:rPr>
        <w:t>0</w:t>
      </w:r>
      <w:r w:rsidRPr="00462F98">
        <w:rPr>
          <w:rFonts w:ascii="Times New Roman" w:hAnsi="Times New Roman" w:cs="Times New Roman"/>
          <w:color w:val="000000" w:themeColor="text1"/>
          <w:sz w:val="24"/>
          <w:szCs w:val="24"/>
        </w:rPr>
        <w:t xml:space="preserve">  </w:t>
      </w:r>
      <w:r w:rsidRPr="00462F98">
        <w:rPr>
          <w:rFonts w:ascii="Times New Roman" w:hAnsi="Times New Roman" w:cs="Times New Roman"/>
          <w:color w:val="000000" w:themeColor="text1"/>
          <w:sz w:val="8"/>
          <w:szCs w:val="8"/>
        </w:rPr>
        <w:t xml:space="preserve"> </w:t>
      </w:r>
      <w:r w:rsidRPr="00462F98">
        <w:rPr>
          <w:rFonts w:ascii="Times New Roman" w:hAnsi="Times New Roman" w:cs="Times New Roman"/>
          <w:color w:val="000000" w:themeColor="text1"/>
          <w:sz w:val="24"/>
          <w:szCs w:val="24"/>
        </w:rPr>
        <w:t>+  γ</w:t>
      </w:r>
      <w:r w:rsidRPr="00462F98">
        <w:rPr>
          <w:rFonts w:ascii="Times New Roman" w:hAnsi="Times New Roman" w:cs="Times New Roman"/>
          <w:color w:val="000000" w:themeColor="text1"/>
          <w:sz w:val="24"/>
          <w:szCs w:val="24"/>
          <w:vertAlign w:val="subscript"/>
        </w:rPr>
        <w:t xml:space="preserve">1 </w:t>
      </w:r>
      <w:r w:rsidRPr="00462F98">
        <w:rPr>
          <w:rFonts w:ascii="Times New Roman" w:hAnsi="Times New Roman" w:cs="Times New Roman"/>
          <w:color w:val="000000" w:themeColor="text1"/>
          <w:sz w:val="8"/>
          <w:szCs w:val="8"/>
        </w:rPr>
        <w:t xml:space="preserve"> </w:t>
      </w:r>
      <w:r w:rsidRPr="00462F98">
        <w:rPr>
          <w:rFonts w:ascii="Times New Roman" w:hAnsi="Times New Roman" w:cs="Times New Roman"/>
          <w:color w:val="000000" w:themeColor="text1"/>
          <w:sz w:val="24"/>
          <w:szCs w:val="24"/>
        </w:rPr>
        <w:t>y</w:t>
      </w:r>
      <w:r w:rsidRPr="00462F98">
        <w:rPr>
          <w:rFonts w:ascii="Times New Roman" w:hAnsi="Times New Roman" w:cs="Times New Roman"/>
          <w:color w:val="000000" w:themeColor="text1"/>
          <w:sz w:val="24"/>
          <w:szCs w:val="24"/>
          <w:vertAlign w:val="subscript"/>
        </w:rPr>
        <w:t>t-1</w:t>
      </w:r>
      <w:r w:rsidRPr="00462F98">
        <w:rPr>
          <w:rFonts w:ascii="Times New Roman" w:hAnsi="Times New Roman" w:cs="Times New Roman"/>
          <w:color w:val="000000" w:themeColor="text1"/>
          <w:sz w:val="24"/>
          <w:szCs w:val="24"/>
        </w:rPr>
        <w:t xml:space="preserve"> + … + </w:t>
      </w:r>
      <w:proofErr w:type="spellStart"/>
      <w:r w:rsidRPr="00462F98">
        <w:rPr>
          <w:rFonts w:ascii="Times New Roman" w:hAnsi="Times New Roman" w:cs="Times New Roman"/>
          <w:color w:val="000000" w:themeColor="text1"/>
          <w:sz w:val="24"/>
          <w:szCs w:val="24"/>
        </w:rPr>
        <w:t>γ</w:t>
      </w:r>
      <w:r w:rsidRPr="00462F98">
        <w:rPr>
          <w:rFonts w:ascii="Times New Roman" w:hAnsi="Times New Roman" w:cs="Times New Roman"/>
          <w:color w:val="000000" w:themeColor="text1"/>
          <w:sz w:val="24"/>
          <w:szCs w:val="24"/>
          <w:vertAlign w:val="subscript"/>
        </w:rPr>
        <w:t>l</w:t>
      </w:r>
      <w:proofErr w:type="spellEnd"/>
      <w:r w:rsidRPr="00462F98">
        <w:rPr>
          <w:rFonts w:ascii="Times New Roman" w:hAnsi="Times New Roman" w:cs="Times New Roman"/>
          <w:color w:val="000000" w:themeColor="text1"/>
          <w:sz w:val="24"/>
          <w:szCs w:val="24"/>
          <w:vertAlign w:val="subscript"/>
        </w:rPr>
        <w:t xml:space="preserve"> </w:t>
      </w:r>
      <w:r w:rsidRPr="00462F98">
        <w:rPr>
          <w:rFonts w:ascii="Times New Roman" w:hAnsi="Times New Roman" w:cs="Times New Roman"/>
          <w:color w:val="000000" w:themeColor="text1"/>
          <w:sz w:val="8"/>
          <w:szCs w:val="8"/>
        </w:rPr>
        <w:t xml:space="preserve"> </w:t>
      </w:r>
      <w:proofErr w:type="spellStart"/>
      <w:r w:rsidRPr="00462F98">
        <w:rPr>
          <w:rFonts w:ascii="Times New Roman" w:hAnsi="Times New Roman" w:cs="Times New Roman"/>
          <w:color w:val="000000" w:themeColor="text1"/>
          <w:sz w:val="24"/>
          <w:szCs w:val="24"/>
        </w:rPr>
        <w:t>y</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vertAlign w:val="subscript"/>
        </w:rPr>
        <w:t>-l</w:t>
      </w:r>
      <w:r w:rsidRPr="00462F98">
        <w:rPr>
          <w:rFonts w:ascii="Times New Roman" w:hAnsi="Times New Roman" w:cs="Times New Roman"/>
          <w:color w:val="000000" w:themeColor="text1"/>
          <w:sz w:val="24"/>
          <w:szCs w:val="24"/>
        </w:rPr>
        <w:t xml:space="preserve">  +  δ</w:t>
      </w:r>
      <w:r w:rsidRPr="00462F98">
        <w:rPr>
          <w:rFonts w:ascii="Times New Roman" w:hAnsi="Times New Roman" w:cs="Times New Roman"/>
          <w:color w:val="000000" w:themeColor="text1"/>
          <w:sz w:val="24"/>
          <w:szCs w:val="24"/>
          <w:vertAlign w:val="subscript"/>
        </w:rPr>
        <w:t xml:space="preserve">1 </w:t>
      </w:r>
      <w:r w:rsidRPr="00462F98">
        <w:rPr>
          <w:rFonts w:ascii="Times New Roman" w:hAnsi="Times New Roman" w:cs="Times New Roman"/>
          <w:color w:val="000000" w:themeColor="text1"/>
          <w:sz w:val="24"/>
          <w:szCs w:val="24"/>
        </w:rPr>
        <w:t>x</w:t>
      </w:r>
      <w:r w:rsidRPr="00462F98">
        <w:rPr>
          <w:rFonts w:ascii="Times New Roman" w:hAnsi="Times New Roman" w:cs="Times New Roman"/>
          <w:color w:val="000000" w:themeColor="text1"/>
          <w:sz w:val="24"/>
          <w:szCs w:val="24"/>
          <w:vertAlign w:val="subscript"/>
        </w:rPr>
        <w:t>t-1</w:t>
      </w:r>
      <w:r w:rsidRPr="00462F98">
        <w:rPr>
          <w:rFonts w:ascii="Times New Roman" w:hAnsi="Times New Roman" w:cs="Times New Roman"/>
          <w:color w:val="000000" w:themeColor="text1"/>
          <w:sz w:val="24"/>
          <w:szCs w:val="24"/>
        </w:rPr>
        <w:t xml:space="preserve"> + … + </w:t>
      </w:r>
      <w:proofErr w:type="spellStart"/>
      <w:r w:rsidRPr="00462F98">
        <w:rPr>
          <w:rFonts w:ascii="Times New Roman" w:hAnsi="Times New Roman" w:cs="Times New Roman"/>
          <w:color w:val="000000" w:themeColor="text1"/>
          <w:sz w:val="24"/>
          <w:szCs w:val="24"/>
        </w:rPr>
        <w:t>δ</w:t>
      </w:r>
      <w:r w:rsidRPr="00462F98">
        <w:rPr>
          <w:rFonts w:ascii="Times New Roman" w:hAnsi="Times New Roman" w:cs="Times New Roman"/>
          <w:color w:val="000000" w:themeColor="text1"/>
          <w:sz w:val="24"/>
          <w:szCs w:val="24"/>
          <w:vertAlign w:val="subscript"/>
        </w:rPr>
        <w:t>l</w:t>
      </w:r>
      <w:proofErr w:type="spellEnd"/>
      <w:r w:rsidRPr="00462F98">
        <w:rPr>
          <w:rFonts w:ascii="Times New Roman" w:hAnsi="Times New Roman" w:cs="Times New Roman"/>
          <w:color w:val="000000" w:themeColor="text1"/>
          <w:sz w:val="24"/>
          <w:szCs w:val="24"/>
          <w:vertAlign w:val="subscript"/>
        </w:rPr>
        <w:t xml:space="preserve"> </w:t>
      </w:r>
      <w:proofErr w:type="spellStart"/>
      <w:r w:rsidRPr="00462F98">
        <w:rPr>
          <w:rFonts w:ascii="Times New Roman" w:hAnsi="Times New Roman" w:cs="Times New Roman"/>
          <w:color w:val="000000" w:themeColor="text1"/>
          <w:sz w:val="24"/>
          <w:szCs w:val="24"/>
        </w:rPr>
        <w:t>x</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vertAlign w:val="subscript"/>
        </w:rPr>
        <w:t>-l</w:t>
      </w:r>
      <w:r w:rsidRPr="00462F98">
        <w:rPr>
          <w:rFonts w:ascii="Times New Roman" w:hAnsi="Times New Roman" w:cs="Times New Roman"/>
          <w:color w:val="000000" w:themeColor="text1"/>
          <w:sz w:val="24"/>
          <w:szCs w:val="24"/>
        </w:rPr>
        <w:t xml:space="preserve">  +  </w:t>
      </w:r>
      <w:proofErr w:type="spellStart"/>
      <w:r w:rsidRPr="00462F98">
        <w:rPr>
          <w:rFonts w:ascii="Times New Roman" w:hAnsi="Times New Roman" w:cs="Times New Roman"/>
          <w:color w:val="000000" w:themeColor="text1"/>
          <w:sz w:val="24"/>
          <w:szCs w:val="24"/>
        </w:rPr>
        <w:t>ζ</w:t>
      </w:r>
      <w:r w:rsidRPr="00462F98">
        <w:rPr>
          <w:rFonts w:ascii="Times New Roman" w:hAnsi="Times New Roman" w:cs="Times New Roman"/>
          <w:color w:val="000000" w:themeColor="text1"/>
          <w:sz w:val="24"/>
          <w:szCs w:val="24"/>
          <w:vertAlign w:val="subscript"/>
        </w:rPr>
        <w:t>t</w:t>
      </w:r>
      <w:proofErr w:type="spellEnd"/>
      <w:r w:rsidRPr="00462F98">
        <w:rPr>
          <w:rFonts w:ascii="Times New Roman" w:hAnsi="Times New Roman" w:cs="Times New Roman"/>
          <w:color w:val="000000" w:themeColor="text1"/>
          <w:sz w:val="24"/>
          <w:szCs w:val="24"/>
        </w:rPr>
        <w:t xml:space="preserve"> </w:t>
      </w:r>
    </w:p>
    <w:p w:rsidR="005A4785" w:rsidRPr="00462F98" w:rsidRDefault="005A4785" w:rsidP="005A4785">
      <w:pPr>
        <w:spacing w:after="0" w:line="360" w:lineRule="auto"/>
        <w:rPr>
          <w:rFonts w:ascii="Times New Roman" w:hAnsi="Times New Roman" w:cs="Times New Roman"/>
          <w:color w:val="000000" w:themeColor="text1"/>
          <w:sz w:val="18"/>
          <w:szCs w:val="18"/>
          <w:lang w:val="en-GB"/>
        </w:rPr>
      </w:pPr>
    </w:p>
    <w:p w:rsidR="00D75382" w:rsidRPr="00462F98" w:rsidRDefault="00D75382" w:rsidP="00D75382">
      <w:pPr>
        <w:spacing w:after="0" w:line="360" w:lineRule="auto"/>
        <w:ind w:left="720" w:firstLine="720"/>
        <w:jc w:val="both"/>
        <w:rPr>
          <w:rFonts w:ascii="Times New Roman" w:hAnsi="Times New Roman" w:cs="Times New Roman"/>
          <w:color w:val="000000" w:themeColor="text1"/>
          <w:sz w:val="12"/>
          <w:szCs w:val="12"/>
          <w:lang w:val="en-GB"/>
        </w:rPr>
      </w:pPr>
    </w:p>
    <w:p w:rsidR="00B974F6" w:rsidRPr="00462F98" w:rsidRDefault="00D75382" w:rsidP="00D75382">
      <w:pPr>
        <w:spacing w:after="0" w:line="360" w:lineRule="auto"/>
        <w:ind w:left="720" w:firstLine="720"/>
        <w:jc w:val="both"/>
        <w:rPr>
          <w:rFonts w:ascii="Times New Roman" w:hAnsi="Times New Roman" w:cs="Times New Roman"/>
          <w:color w:val="000000" w:themeColor="text1"/>
          <w:sz w:val="20"/>
          <w:szCs w:val="20"/>
          <w:lang w:val="en-GB"/>
        </w:rPr>
      </w:pPr>
      <w:r w:rsidRPr="00462F98">
        <w:rPr>
          <w:rFonts w:ascii="Times New Roman" w:hAnsi="Times New Roman" w:cs="Times New Roman"/>
          <w:color w:val="000000" w:themeColor="text1"/>
          <w:sz w:val="24"/>
          <w:szCs w:val="24"/>
          <w:lang w:val="en-GB"/>
        </w:rPr>
        <w:t xml:space="preserve">   </w:t>
      </w:r>
      <w:r w:rsidR="00AB5046" w:rsidRPr="00462F98">
        <w:rPr>
          <w:rFonts w:ascii="Times New Roman" w:hAnsi="Times New Roman" w:cs="Times New Roman"/>
          <w:color w:val="000000" w:themeColor="text1"/>
          <w:sz w:val="24"/>
          <w:szCs w:val="24"/>
          <w:lang w:val="en-GB"/>
        </w:rPr>
        <w:tab/>
      </w:r>
      <w:r w:rsidRPr="00462F98">
        <w:rPr>
          <w:rFonts w:ascii="Times New Roman" w:hAnsi="Times New Roman" w:cs="Times New Roman"/>
          <w:color w:val="000000" w:themeColor="text1"/>
          <w:sz w:val="20"/>
          <w:szCs w:val="20"/>
          <w:lang w:val="en-GB"/>
        </w:rPr>
        <w:t>H</w:t>
      </w:r>
      <w:r w:rsidRPr="00462F98">
        <w:rPr>
          <w:rFonts w:ascii="Times New Roman" w:hAnsi="Times New Roman" w:cs="Times New Roman"/>
          <w:color w:val="000000" w:themeColor="text1"/>
          <w:sz w:val="20"/>
          <w:szCs w:val="20"/>
          <w:vertAlign w:val="subscript"/>
          <w:lang w:val="en-GB"/>
        </w:rPr>
        <w:t>0-2</w:t>
      </w:r>
      <w:r w:rsidRPr="00462F98">
        <w:rPr>
          <w:rFonts w:ascii="Times New Roman" w:hAnsi="Times New Roman" w:cs="Times New Roman"/>
          <w:color w:val="000000" w:themeColor="text1"/>
          <w:sz w:val="20"/>
          <w:szCs w:val="20"/>
          <w:lang w:val="en-GB"/>
        </w:rPr>
        <w:t>: γ</w:t>
      </w:r>
      <w:proofErr w:type="gramStart"/>
      <w:r w:rsidRPr="00462F98">
        <w:rPr>
          <w:rFonts w:ascii="Times New Roman" w:hAnsi="Times New Roman" w:cs="Times New Roman"/>
          <w:color w:val="000000" w:themeColor="text1"/>
          <w:sz w:val="20"/>
          <w:szCs w:val="20"/>
          <w:vertAlign w:val="subscript"/>
          <w:lang w:val="en-GB"/>
        </w:rPr>
        <w:t>1</w:t>
      </w:r>
      <w:r w:rsidRPr="00462F98">
        <w:rPr>
          <w:rFonts w:ascii="Times New Roman" w:hAnsi="Times New Roman" w:cs="Times New Roman"/>
          <w:color w:val="000000" w:themeColor="text1"/>
          <w:sz w:val="20"/>
          <w:szCs w:val="20"/>
          <w:lang w:val="en-GB"/>
        </w:rPr>
        <w:t xml:space="preserve">  =</w:t>
      </w:r>
      <w:proofErr w:type="gramEnd"/>
      <w:r w:rsidRPr="00462F98">
        <w:rPr>
          <w:rFonts w:ascii="Times New Roman" w:hAnsi="Times New Roman" w:cs="Times New Roman"/>
          <w:color w:val="000000" w:themeColor="text1"/>
          <w:sz w:val="20"/>
          <w:szCs w:val="20"/>
          <w:lang w:val="en-GB"/>
        </w:rPr>
        <w:t xml:space="preserve"> γ</w:t>
      </w:r>
      <w:r w:rsidRPr="00462F98">
        <w:rPr>
          <w:rFonts w:ascii="Times New Roman" w:hAnsi="Times New Roman" w:cs="Times New Roman"/>
          <w:color w:val="000000" w:themeColor="text1"/>
          <w:sz w:val="20"/>
          <w:szCs w:val="20"/>
          <w:vertAlign w:val="subscript"/>
          <w:lang w:val="en-GB"/>
        </w:rPr>
        <w:t>2</w:t>
      </w:r>
      <w:r w:rsidRPr="00462F98">
        <w:rPr>
          <w:rFonts w:ascii="Times New Roman" w:hAnsi="Times New Roman" w:cs="Times New Roman"/>
          <w:color w:val="000000" w:themeColor="text1"/>
          <w:sz w:val="20"/>
          <w:szCs w:val="20"/>
          <w:lang w:val="en-GB"/>
        </w:rPr>
        <w:t xml:space="preserve">  = … = </w:t>
      </w:r>
      <w:proofErr w:type="spellStart"/>
      <w:r w:rsidRPr="00462F98">
        <w:rPr>
          <w:rFonts w:ascii="Times New Roman" w:hAnsi="Times New Roman" w:cs="Times New Roman"/>
          <w:color w:val="000000" w:themeColor="text1"/>
          <w:sz w:val="20"/>
          <w:szCs w:val="20"/>
          <w:lang w:val="en-GB"/>
        </w:rPr>
        <w:t>γ</w:t>
      </w:r>
      <w:r w:rsidRPr="00462F98">
        <w:rPr>
          <w:rFonts w:ascii="Times New Roman" w:hAnsi="Times New Roman" w:cs="Times New Roman"/>
          <w:color w:val="000000" w:themeColor="text1"/>
          <w:sz w:val="20"/>
          <w:szCs w:val="20"/>
          <w:vertAlign w:val="subscript"/>
          <w:lang w:val="en-GB"/>
        </w:rPr>
        <w:t>l</w:t>
      </w:r>
      <w:proofErr w:type="spellEnd"/>
      <w:r w:rsidRPr="00462F98">
        <w:rPr>
          <w:rFonts w:ascii="Times New Roman" w:hAnsi="Times New Roman" w:cs="Times New Roman"/>
          <w:color w:val="000000" w:themeColor="text1"/>
          <w:sz w:val="20"/>
          <w:szCs w:val="20"/>
          <w:lang w:val="en-GB"/>
        </w:rPr>
        <w:t xml:space="preserve">  = 0</w:t>
      </w:r>
    </w:p>
    <w:p w:rsidR="00B974F6" w:rsidRPr="00462F98" w:rsidRDefault="00E21D46" w:rsidP="00D75382">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l is the</w:t>
      </w:r>
      <w:r w:rsidR="00953829" w:rsidRPr="00462F98">
        <w:rPr>
          <w:rFonts w:ascii="Times New Roman" w:hAnsi="Times New Roman" w:cs="Times New Roman"/>
          <w:color w:val="000000" w:themeColor="text1"/>
          <w:sz w:val="24"/>
          <w:szCs w:val="24"/>
          <w:lang w:val="en-GB"/>
        </w:rPr>
        <w:t xml:space="preserve"> lag length established in </w:t>
      </w:r>
      <w:r w:rsidRPr="00462F98">
        <w:rPr>
          <w:rFonts w:ascii="Times New Roman" w:hAnsi="Times New Roman" w:cs="Times New Roman"/>
          <w:color w:val="000000" w:themeColor="text1"/>
          <w:sz w:val="24"/>
          <w:szCs w:val="24"/>
          <w:lang w:val="en-GB"/>
        </w:rPr>
        <w:t>step</w:t>
      </w:r>
      <w:r w:rsidR="00953829" w:rsidRPr="00462F98">
        <w:rPr>
          <w:rFonts w:ascii="Times New Roman" w:hAnsi="Times New Roman" w:cs="Times New Roman"/>
          <w:color w:val="000000" w:themeColor="text1"/>
          <w:sz w:val="24"/>
          <w:szCs w:val="24"/>
          <w:lang w:val="en-GB"/>
        </w:rPr>
        <w:t xml:space="preserve"> 2</w:t>
      </w:r>
      <w:r w:rsidRPr="00462F98">
        <w:rPr>
          <w:rFonts w:ascii="Times New Roman" w:hAnsi="Times New Roman" w:cs="Times New Roman"/>
          <w:color w:val="000000" w:themeColor="text1"/>
          <w:sz w:val="24"/>
          <w:szCs w:val="24"/>
          <w:lang w:val="en-GB"/>
        </w:rPr>
        <w:t xml:space="preserve">. </w:t>
      </w:r>
    </w:p>
    <w:p w:rsidR="00B974F6" w:rsidRPr="0058709A" w:rsidRDefault="00B974F6" w:rsidP="008C1B88">
      <w:pPr>
        <w:spacing w:after="0" w:line="360" w:lineRule="auto"/>
        <w:jc w:val="both"/>
        <w:rPr>
          <w:rFonts w:ascii="Times New Roman" w:hAnsi="Times New Roman" w:cs="Times New Roman"/>
          <w:color w:val="000000" w:themeColor="text1"/>
          <w:sz w:val="16"/>
          <w:szCs w:val="16"/>
          <w:lang w:val="en-GB"/>
        </w:rPr>
      </w:pPr>
    </w:p>
    <w:p w:rsidR="00492DAD" w:rsidRPr="00462F98" w:rsidRDefault="00492DAD"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lastRenderedPageBreak/>
        <w:t>H</w:t>
      </w:r>
      <w:r w:rsidRPr="00462F98">
        <w:rPr>
          <w:rFonts w:ascii="Times New Roman" w:hAnsi="Times New Roman" w:cs="Times New Roman"/>
          <w:color w:val="000000" w:themeColor="text1"/>
          <w:sz w:val="24"/>
          <w:szCs w:val="24"/>
          <w:vertAlign w:val="subscript"/>
          <w:lang w:val="en-GB"/>
        </w:rPr>
        <w:t>0-1</w:t>
      </w:r>
      <w:r w:rsidRPr="00462F98">
        <w:rPr>
          <w:rFonts w:ascii="Times New Roman" w:hAnsi="Times New Roman" w:cs="Times New Roman"/>
          <w:color w:val="000000" w:themeColor="text1"/>
          <w:sz w:val="24"/>
          <w:szCs w:val="24"/>
          <w:lang w:val="en-GB"/>
        </w:rPr>
        <w:t xml:space="preserve"> </w:t>
      </w:r>
      <w:r w:rsidR="00E21D46" w:rsidRPr="00462F98">
        <w:rPr>
          <w:rFonts w:ascii="Times New Roman" w:hAnsi="Times New Roman" w:cs="Times New Roman"/>
          <w:color w:val="000000" w:themeColor="text1"/>
          <w:sz w:val="24"/>
          <w:szCs w:val="24"/>
          <w:lang w:val="en-GB"/>
        </w:rPr>
        <w:t>states t</w:t>
      </w:r>
      <w:r w:rsidR="00B974F6" w:rsidRPr="00462F98">
        <w:rPr>
          <w:rFonts w:ascii="Times New Roman" w:hAnsi="Times New Roman" w:cs="Times New Roman"/>
          <w:color w:val="000000" w:themeColor="text1"/>
          <w:sz w:val="24"/>
          <w:szCs w:val="24"/>
          <w:lang w:val="en-GB"/>
        </w:rPr>
        <w:t xml:space="preserve">hat </w:t>
      </w:r>
      <w:r w:rsidR="00566813" w:rsidRPr="00462F98">
        <w:rPr>
          <w:rFonts w:ascii="Times New Roman" w:hAnsi="Times New Roman" w:cs="Times New Roman"/>
          <w:color w:val="000000" w:themeColor="text1"/>
          <w:sz w:val="24"/>
          <w:szCs w:val="24"/>
          <w:lang w:val="en-GB"/>
        </w:rPr>
        <w:t xml:space="preserve">“deficit” does not </w:t>
      </w:r>
      <w:r w:rsidRPr="00462F98">
        <w:rPr>
          <w:rFonts w:ascii="Times New Roman" w:hAnsi="Times New Roman" w:cs="Times New Roman"/>
          <w:color w:val="000000" w:themeColor="text1"/>
          <w:sz w:val="24"/>
          <w:szCs w:val="24"/>
          <w:lang w:val="en-GB"/>
        </w:rPr>
        <w:t>(</w:t>
      </w:r>
      <w:r w:rsidR="00566813" w:rsidRPr="00462F98">
        <w:rPr>
          <w:rFonts w:ascii="Times New Roman" w:hAnsi="Times New Roman" w:cs="Times New Roman"/>
          <w:color w:val="000000" w:themeColor="text1"/>
          <w:sz w:val="24"/>
          <w:szCs w:val="24"/>
          <w:lang w:val="en-GB"/>
        </w:rPr>
        <w:t>Granger</w:t>
      </w:r>
      <w:r w:rsidRPr="00462F98">
        <w:rPr>
          <w:rFonts w:ascii="Times New Roman" w:hAnsi="Times New Roman" w:cs="Times New Roman"/>
          <w:color w:val="000000" w:themeColor="text1"/>
          <w:sz w:val="24"/>
          <w:szCs w:val="24"/>
          <w:lang w:val="en-GB"/>
        </w:rPr>
        <w:t>)</w:t>
      </w:r>
      <w:r w:rsidR="00566813" w:rsidRPr="00462F98">
        <w:rPr>
          <w:rFonts w:ascii="Times New Roman" w:hAnsi="Times New Roman" w:cs="Times New Roman"/>
          <w:color w:val="000000" w:themeColor="text1"/>
          <w:sz w:val="24"/>
          <w:szCs w:val="24"/>
          <w:lang w:val="en-GB"/>
        </w:rPr>
        <w:t xml:space="preserve"> cause “seigniorage”</w:t>
      </w:r>
      <w:r w:rsidRPr="00462F98">
        <w:rPr>
          <w:rFonts w:ascii="Times New Roman" w:hAnsi="Times New Roman" w:cs="Times New Roman"/>
          <w:color w:val="000000" w:themeColor="text1"/>
          <w:sz w:val="24"/>
          <w:szCs w:val="24"/>
          <w:lang w:val="en-GB"/>
        </w:rPr>
        <w:t>; H</w:t>
      </w:r>
      <w:r w:rsidRPr="00462F98">
        <w:rPr>
          <w:rFonts w:ascii="Times New Roman" w:hAnsi="Times New Roman" w:cs="Times New Roman"/>
          <w:color w:val="000000" w:themeColor="text1"/>
          <w:sz w:val="24"/>
          <w:szCs w:val="24"/>
          <w:vertAlign w:val="subscript"/>
          <w:lang w:val="en-GB"/>
        </w:rPr>
        <w:t>0-2</w:t>
      </w:r>
      <w:r w:rsidR="00B974F6" w:rsidRPr="00462F98">
        <w:rPr>
          <w:rFonts w:ascii="Times New Roman" w:hAnsi="Times New Roman" w:cs="Times New Roman"/>
          <w:color w:val="000000" w:themeColor="text1"/>
          <w:sz w:val="24"/>
          <w:szCs w:val="24"/>
          <w:lang w:val="en-GB"/>
        </w:rPr>
        <w:t xml:space="preserve"> </w:t>
      </w:r>
      <w:r w:rsidRPr="00462F98">
        <w:rPr>
          <w:rFonts w:ascii="Times New Roman" w:hAnsi="Times New Roman" w:cs="Times New Roman"/>
          <w:color w:val="000000" w:themeColor="text1"/>
          <w:sz w:val="24"/>
          <w:szCs w:val="24"/>
          <w:lang w:val="en-GB"/>
        </w:rPr>
        <w:t xml:space="preserve">postulates that </w:t>
      </w:r>
      <w:r w:rsidR="00566813" w:rsidRPr="00462F98">
        <w:rPr>
          <w:rFonts w:ascii="Times New Roman" w:hAnsi="Times New Roman" w:cs="Times New Roman"/>
          <w:color w:val="000000" w:themeColor="text1"/>
          <w:sz w:val="24"/>
          <w:szCs w:val="24"/>
          <w:lang w:val="en-GB"/>
        </w:rPr>
        <w:t>“seigniorage”</w:t>
      </w:r>
      <w:r w:rsidR="00E21D46" w:rsidRPr="00462F98">
        <w:rPr>
          <w:rFonts w:ascii="Times New Roman" w:hAnsi="Times New Roman" w:cs="Times New Roman"/>
          <w:color w:val="000000" w:themeColor="text1"/>
          <w:sz w:val="24"/>
          <w:szCs w:val="24"/>
          <w:lang w:val="en-GB"/>
        </w:rPr>
        <w:t xml:space="preserve"> </w:t>
      </w:r>
      <w:r w:rsidRPr="00462F98">
        <w:rPr>
          <w:rFonts w:ascii="Times New Roman" w:hAnsi="Times New Roman" w:cs="Times New Roman"/>
          <w:color w:val="000000" w:themeColor="text1"/>
          <w:sz w:val="24"/>
          <w:szCs w:val="24"/>
          <w:lang w:val="en-GB"/>
        </w:rPr>
        <w:t>d</w:t>
      </w:r>
      <w:r w:rsidR="00566813" w:rsidRPr="00462F98">
        <w:rPr>
          <w:rFonts w:ascii="Times New Roman" w:hAnsi="Times New Roman" w:cs="Times New Roman"/>
          <w:color w:val="000000" w:themeColor="text1"/>
          <w:sz w:val="24"/>
          <w:szCs w:val="24"/>
          <w:lang w:val="en-GB"/>
        </w:rPr>
        <w:t xml:space="preserve">oes not </w:t>
      </w:r>
      <w:r w:rsidRPr="00462F98">
        <w:rPr>
          <w:rFonts w:ascii="Times New Roman" w:hAnsi="Times New Roman" w:cs="Times New Roman"/>
          <w:color w:val="000000" w:themeColor="text1"/>
          <w:sz w:val="24"/>
          <w:szCs w:val="24"/>
          <w:lang w:val="en-GB"/>
        </w:rPr>
        <w:t>(</w:t>
      </w:r>
      <w:r w:rsidR="00566813" w:rsidRPr="00462F98">
        <w:rPr>
          <w:rFonts w:ascii="Times New Roman" w:hAnsi="Times New Roman" w:cs="Times New Roman"/>
          <w:color w:val="000000" w:themeColor="text1"/>
          <w:sz w:val="24"/>
          <w:szCs w:val="24"/>
          <w:lang w:val="en-GB"/>
        </w:rPr>
        <w:t>Granger</w:t>
      </w:r>
      <w:r w:rsidRPr="00462F98">
        <w:rPr>
          <w:rFonts w:ascii="Times New Roman" w:hAnsi="Times New Roman" w:cs="Times New Roman"/>
          <w:color w:val="000000" w:themeColor="text1"/>
          <w:sz w:val="24"/>
          <w:szCs w:val="24"/>
          <w:lang w:val="en-GB"/>
        </w:rPr>
        <w:t>)</w:t>
      </w:r>
      <w:r w:rsidR="00566813" w:rsidRPr="00462F98">
        <w:rPr>
          <w:rFonts w:ascii="Times New Roman" w:hAnsi="Times New Roman" w:cs="Times New Roman"/>
          <w:color w:val="000000" w:themeColor="text1"/>
          <w:sz w:val="24"/>
          <w:szCs w:val="24"/>
          <w:lang w:val="en-GB"/>
        </w:rPr>
        <w:t xml:space="preserve"> cause “budget deficit”</w:t>
      </w:r>
      <w:r w:rsidR="00E21D46" w:rsidRPr="00462F98">
        <w:rPr>
          <w:rFonts w:ascii="Times New Roman" w:hAnsi="Times New Roman" w:cs="Times New Roman"/>
          <w:color w:val="000000" w:themeColor="text1"/>
          <w:sz w:val="24"/>
          <w:szCs w:val="24"/>
          <w:lang w:val="en-GB"/>
        </w:rPr>
        <w:t xml:space="preserve">. </w:t>
      </w:r>
      <w:r w:rsidRPr="00462F98">
        <w:rPr>
          <w:rFonts w:ascii="Times New Roman" w:hAnsi="Times New Roman" w:cs="Times New Roman"/>
          <w:color w:val="000000" w:themeColor="text1"/>
          <w:sz w:val="24"/>
          <w:szCs w:val="24"/>
          <w:lang w:val="en-GB"/>
        </w:rPr>
        <w:t>If H</w:t>
      </w:r>
      <w:r w:rsidRPr="00462F98">
        <w:rPr>
          <w:rFonts w:ascii="Times New Roman" w:hAnsi="Times New Roman" w:cs="Times New Roman"/>
          <w:color w:val="000000" w:themeColor="text1"/>
          <w:sz w:val="24"/>
          <w:szCs w:val="24"/>
          <w:vertAlign w:val="subscript"/>
          <w:lang w:val="en-GB"/>
        </w:rPr>
        <w:t>0-1</w:t>
      </w:r>
      <w:r w:rsidRPr="00462F98">
        <w:rPr>
          <w:rFonts w:ascii="Times New Roman" w:hAnsi="Times New Roman" w:cs="Times New Roman"/>
          <w:color w:val="000000" w:themeColor="text1"/>
          <w:sz w:val="24"/>
          <w:szCs w:val="24"/>
          <w:lang w:val="en-GB"/>
        </w:rPr>
        <w:t xml:space="preserve"> can be rejected (F-statistic above the 10%, 5% or even 1%-level of statistical significance)</w:t>
      </w:r>
      <w:r w:rsidR="00C52C21" w:rsidRPr="00462F98">
        <w:rPr>
          <w:rFonts w:ascii="Times New Roman" w:hAnsi="Times New Roman" w:cs="Times New Roman"/>
          <w:color w:val="000000" w:themeColor="text1"/>
          <w:sz w:val="24"/>
          <w:szCs w:val="24"/>
          <w:lang w:val="en-GB"/>
        </w:rPr>
        <w:t>,</w:t>
      </w:r>
      <w:r w:rsidRPr="00462F98">
        <w:rPr>
          <w:rFonts w:ascii="Times New Roman" w:hAnsi="Times New Roman" w:cs="Times New Roman"/>
          <w:color w:val="000000" w:themeColor="text1"/>
          <w:sz w:val="24"/>
          <w:szCs w:val="24"/>
          <w:lang w:val="en-GB"/>
        </w:rPr>
        <w:t xml:space="preserve"> but H</w:t>
      </w:r>
      <w:r w:rsidRPr="00462F98">
        <w:rPr>
          <w:rFonts w:ascii="Times New Roman" w:hAnsi="Times New Roman" w:cs="Times New Roman"/>
          <w:color w:val="000000" w:themeColor="text1"/>
          <w:sz w:val="24"/>
          <w:szCs w:val="24"/>
          <w:vertAlign w:val="subscript"/>
          <w:lang w:val="en-GB"/>
        </w:rPr>
        <w:t>0-2</w:t>
      </w:r>
      <w:r w:rsidRPr="00462F98">
        <w:rPr>
          <w:rFonts w:ascii="Times New Roman" w:hAnsi="Times New Roman" w:cs="Times New Roman"/>
          <w:color w:val="000000" w:themeColor="text1"/>
          <w:sz w:val="24"/>
          <w:szCs w:val="24"/>
          <w:lang w:val="en-GB"/>
        </w:rPr>
        <w:t xml:space="preserve"> cannot be rejected (F-statistic below the 10%-level of significance and hence also below the more stringent 5% and 1%-levels), then one-way Granger causality from budget deficit to seig</w:t>
      </w:r>
      <w:r w:rsidR="00953829" w:rsidRPr="00462F98">
        <w:rPr>
          <w:rFonts w:ascii="Times New Roman" w:hAnsi="Times New Roman" w:cs="Times New Roman"/>
          <w:color w:val="000000" w:themeColor="text1"/>
          <w:sz w:val="24"/>
          <w:szCs w:val="24"/>
          <w:lang w:val="en-GB"/>
        </w:rPr>
        <w:t>niorage is established; which we</w:t>
      </w:r>
      <w:r w:rsidRPr="00462F98">
        <w:rPr>
          <w:rFonts w:ascii="Times New Roman" w:hAnsi="Times New Roman" w:cs="Times New Roman"/>
          <w:color w:val="000000" w:themeColor="text1"/>
          <w:sz w:val="24"/>
          <w:szCs w:val="24"/>
          <w:lang w:val="en-GB"/>
        </w:rPr>
        <w:t xml:space="preserve"> interp</w:t>
      </w:r>
      <w:r w:rsidR="00953829" w:rsidRPr="00462F98">
        <w:rPr>
          <w:rFonts w:ascii="Times New Roman" w:hAnsi="Times New Roman" w:cs="Times New Roman"/>
          <w:color w:val="000000" w:themeColor="text1"/>
          <w:sz w:val="24"/>
          <w:szCs w:val="24"/>
          <w:lang w:val="en-GB"/>
        </w:rPr>
        <w:t>ret</w:t>
      </w:r>
      <w:r w:rsidRPr="00462F98">
        <w:rPr>
          <w:rFonts w:ascii="Times New Roman" w:hAnsi="Times New Roman" w:cs="Times New Roman"/>
          <w:color w:val="000000" w:themeColor="text1"/>
          <w:sz w:val="24"/>
          <w:szCs w:val="24"/>
          <w:lang w:val="en-GB"/>
        </w:rPr>
        <w:t xml:space="preserve"> as “fi</w:t>
      </w:r>
      <w:r w:rsidR="00953829" w:rsidRPr="00462F98">
        <w:rPr>
          <w:rFonts w:ascii="Times New Roman" w:hAnsi="Times New Roman" w:cs="Times New Roman"/>
          <w:color w:val="000000" w:themeColor="text1"/>
          <w:sz w:val="24"/>
          <w:szCs w:val="24"/>
          <w:lang w:val="en-GB"/>
        </w:rPr>
        <w:t>scal dominance”</w:t>
      </w:r>
      <w:r w:rsidRPr="00462F98">
        <w:rPr>
          <w:rFonts w:ascii="Times New Roman" w:hAnsi="Times New Roman" w:cs="Times New Roman"/>
          <w:color w:val="000000" w:themeColor="text1"/>
          <w:sz w:val="24"/>
          <w:szCs w:val="24"/>
          <w:lang w:val="en-GB"/>
        </w:rPr>
        <w:t>.</w:t>
      </w:r>
    </w:p>
    <w:p w:rsidR="00F70FBE" w:rsidRPr="0058709A" w:rsidRDefault="00F70FBE" w:rsidP="008C1B88">
      <w:pPr>
        <w:spacing w:after="0" w:line="360" w:lineRule="auto"/>
        <w:jc w:val="both"/>
        <w:rPr>
          <w:rFonts w:ascii="Times New Roman" w:hAnsi="Times New Roman" w:cs="Times New Roman"/>
          <w:color w:val="000000" w:themeColor="text1"/>
          <w:sz w:val="16"/>
          <w:szCs w:val="16"/>
          <w:lang w:val="en-GB"/>
        </w:rPr>
      </w:pPr>
    </w:p>
    <w:p w:rsidR="00E21D46" w:rsidRPr="00462F98" w:rsidRDefault="00492DAD" w:rsidP="008C1B88">
      <w:pPr>
        <w:spacing w:after="0" w:line="360" w:lineRule="auto"/>
        <w:jc w:val="both"/>
        <w:rPr>
          <w:rFonts w:ascii="Times New Roman" w:hAnsi="Times New Roman" w:cs="Times New Roman"/>
          <w:b/>
          <w:i/>
          <w:color w:val="000000" w:themeColor="text1"/>
          <w:sz w:val="24"/>
          <w:szCs w:val="24"/>
          <w:lang w:val="en-GB"/>
        </w:rPr>
      </w:pPr>
      <w:r w:rsidRPr="00462F98">
        <w:rPr>
          <w:rFonts w:ascii="Times New Roman" w:hAnsi="Times New Roman" w:cs="Times New Roman"/>
          <w:b/>
          <w:i/>
          <w:color w:val="000000" w:themeColor="text1"/>
          <w:sz w:val="24"/>
          <w:szCs w:val="24"/>
          <w:lang w:val="en-GB"/>
        </w:rPr>
        <w:t>1 &amp;</w:t>
      </w:r>
      <w:r w:rsidR="00493673" w:rsidRPr="00462F98">
        <w:rPr>
          <w:rFonts w:ascii="Times New Roman" w:hAnsi="Times New Roman" w:cs="Times New Roman"/>
          <w:b/>
          <w:i/>
          <w:color w:val="000000" w:themeColor="text1"/>
          <w:sz w:val="24"/>
          <w:szCs w:val="24"/>
          <w:lang w:val="en-GB"/>
        </w:rPr>
        <w:t xml:space="preserve"> 2: </w:t>
      </w:r>
      <w:r w:rsidRPr="00462F98">
        <w:rPr>
          <w:rFonts w:ascii="Times New Roman" w:hAnsi="Times New Roman" w:cs="Times New Roman"/>
          <w:b/>
          <w:i/>
          <w:color w:val="000000" w:themeColor="text1"/>
          <w:sz w:val="24"/>
          <w:szCs w:val="24"/>
          <w:lang w:val="en-GB"/>
        </w:rPr>
        <w:t xml:space="preserve">unit root test and </w:t>
      </w:r>
      <w:r w:rsidR="00493673" w:rsidRPr="00462F98">
        <w:rPr>
          <w:rFonts w:ascii="Times New Roman" w:hAnsi="Times New Roman" w:cs="Times New Roman"/>
          <w:b/>
          <w:i/>
          <w:color w:val="000000" w:themeColor="text1"/>
          <w:sz w:val="24"/>
          <w:szCs w:val="24"/>
          <w:lang w:val="en-GB"/>
        </w:rPr>
        <w:t>lag-length criteria</w:t>
      </w:r>
    </w:p>
    <w:p w:rsidR="00492DAD" w:rsidRPr="00980D93" w:rsidRDefault="00492DAD"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The </w:t>
      </w:r>
      <w:r w:rsidR="00601BA1">
        <w:rPr>
          <w:rFonts w:ascii="Times New Roman" w:hAnsi="Times New Roman" w:cs="Times New Roman"/>
          <w:color w:val="000000" w:themeColor="text1"/>
          <w:sz w:val="24"/>
          <w:szCs w:val="24"/>
          <w:lang w:val="en-GB"/>
        </w:rPr>
        <w:t>ADF</w:t>
      </w:r>
      <w:r w:rsidR="00566813" w:rsidRPr="00462F98">
        <w:rPr>
          <w:rFonts w:ascii="Times New Roman" w:hAnsi="Times New Roman" w:cs="Times New Roman"/>
          <w:color w:val="000000" w:themeColor="text1"/>
          <w:sz w:val="24"/>
          <w:szCs w:val="24"/>
          <w:lang w:val="en-GB"/>
        </w:rPr>
        <w:t xml:space="preserve"> Unit Root Test </w:t>
      </w:r>
      <w:r w:rsidRPr="00462F98">
        <w:rPr>
          <w:rFonts w:ascii="Times New Roman" w:hAnsi="Times New Roman" w:cs="Times New Roman"/>
          <w:color w:val="000000" w:themeColor="text1"/>
          <w:sz w:val="24"/>
          <w:szCs w:val="24"/>
          <w:lang w:val="en-GB"/>
        </w:rPr>
        <w:t xml:space="preserve">points </w:t>
      </w:r>
      <w:r w:rsidR="00E21D46" w:rsidRPr="00462F98">
        <w:rPr>
          <w:rFonts w:ascii="Times New Roman" w:hAnsi="Times New Roman" w:cs="Times New Roman"/>
          <w:color w:val="000000" w:themeColor="text1"/>
          <w:sz w:val="24"/>
          <w:szCs w:val="24"/>
          <w:lang w:val="en-GB"/>
        </w:rPr>
        <w:t xml:space="preserve">to stationary time series. </w:t>
      </w:r>
      <w:r w:rsidR="00601BA1">
        <w:rPr>
          <w:rFonts w:ascii="Times New Roman" w:hAnsi="Times New Roman" w:cs="Times New Roman"/>
          <w:color w:val="000000" w:themeColor="text1"/>
          <w:sz w:val="24"/>
          <w:szCs w:val="24"/>
          <w:lang w:val="en-GB"/>
        </w:rPr>
        <w:t>For</w:t>
      </w:r>
      <w:r w:rsidR="00E21D46" w:rsidRPr="00462F98">
        <w:rPr>
          <w:rFonts w:ascii="Times New Roman" w:hAnsi="Times New Roman" w:cs="Times New Roman"/>
          <w:color w:val="000000" w:themeColor="text1"/>
          <w:sz w:val="24"/>
          <w:szCs w:val="24"/>
          <w:lang w:val="en-GB"/>
        </w:rPr>
        <w:t xml:space="preserve"> Greece, Serbia/Yugoslavia and Romania, all</w:t>
      </w:r>
      <w:r w:rsidR="00493673" w:rsidRPr="00462F98">
        <w:rPr>
          <w:rFonts w:ascii="Times New Roman" w:hAnsi="Times New Roman" w:cs="Times New Roman"/>
          <w:color w:val="000000" w:themeColor="text1"/>
          <w:sz w:val="24"/>
          <w:szCs w:val="24"/>
          <w:lang w:val="en-GB"/>
        </w:rPr>
        <w:t xml:space="preserve"> </w:t>
      </w:r>
      <w:r w:rsidR="000339FE">
        <w:rPr>
          <w:rFonts w:ascii="Times New Roman" w:hAnsi="Times New Roman" w:cs="Times New Roman"/>
          <w:color w:val="000000" w:themeColor="text1"/>
          <w:sz w:val="24"/>
          <w:szCs w:val="24"/>
          <w:lang w:val="en-GB"/>
        </w:rPr>
        <w:t>three</w:t>
      </w:r>
      <w:r w:rsidR="00E21D46" w:rsidRPr="00462F98">
        <w:rPr>
          <w:rFonts w:ascii="Times New Roman" w:hAnsi="Times New Roman" w:cs="Times New Roman"/>
          <w:color w:val="000000" w:themeColor="text1"/>
          <w:sz w:val="24"/>
          <w:szCs w:val="24"/>
          <w:lang w:val="en-GB"/>
        </w:rPr>
        <w:t xml:space="preserve"> lag length selection criteria </w:t>
      </w:r>
      <w:r w:rsidRPr="00462F98">
        <w:rPr>
          <w:rFonts w:ascii="Times New Roman" w:hAnsi="Times New Roman" w:cs="Times New Roman"/>
          <w:color w:val="000000" w:themeColor="text1"/>
          <w:sz w:val="24"/>
          <w:szCs w:val="24"/>
          <w:lang w:val="en-GB"/>
        </w:rPr>
        <w:t>(</w:t>
      </w:r>
      <w:r w:rsidR="00C52C21" w:rsidRPr="00462F98">
        <w:rPr>
          <w:rFonts w:ascii="Times New Roman" w:hAnsi="Times New Roman" w:cs="Times New Roman"/>
          <w:color w:val="000000" w:themeColor="text1"/>
          <w:sz w:val="24"/>
          <w:szCs w:val="24"/>
          <w:lang w:val="en-GB"/>
        </w:rPr>
        <w:t>FPE, SIC, HQ</w:t>
      </w:r>
      <w:r w:rsidR="00271176" w:rsidRPr="00462F98">
        <w:rPr>
          <w:rFonts w:ascii="Times New Roman" w:hAnsi="Times New Roman" w:cs="Times New Roman"/>
          <w:color w:val="000000" w:themeColor="text1"/>
          <w:sz w:val="24"/>
          <w:szCs w:val="24"/>
          <w:lang w:val="en-GB"/>
        </w:rPr>
        <w:t xml:space="preserve">IC) </w:t>
      </w:r>
      <w:r w:rsidR="00E21D46" w:rsidRPr="00462F98">
        <w:rPr>
          <w:rFonts w:ascii="Times New Roman" w:hAnsi="Times New Roman" w:cs="Times New Roman"/>
          <w:color w:val="000000" w:themeColor="text1"/>
          <w:sz w:val="24"/>
          <w:szCs w:val="24"/>
          <w:lang w:val="en-GB"/>
        </w:rPr>
        <w:t>point to one lag</w:t>
      </w:r>
      <w:r w:rsidR="00BF72AF" w:rsidRPr="00462F98">
        <w:rPr>
          <w:rFonts w:ascii="Times New Roman" w:hAnsi="Times New Roman" w:cs="Times New Roman"/>
          <w:color w:val="000000" w:themeColor="text1"/>
          <w:sz w:val="24"/>
          <w:szCs w:val="24"/>
          <w:lang w:val="en-GB"/>
        </w:rPr>
        <w:t xml:space="preserve">; </w:t>
      </w:r>
      <w:r w:rsidR="009F5E38">
        <w:rPr>
          <w:rFonts w:ascii="Times New Roman" w:hAnsi="Times New Roman" w:cs="Times New Roman"/>
          <w:color w:val="000000" w:themeColor="text1"/>
          <w:sz w:val="24"/>
          <w:szCs w:val="24"/>
          <w:lang w:val="en-GB"/>
        </w:rPr>
        <w:t>for</w:t>
      </w:r>
      <w:r w:rsidR="00E21D46" w:rsidRPr="00462F98">
        <w:rPr>
          <w:rFonts w:ascii="Times New Roman" w:hAnsi="Times New Roman" w:cs="Times New Roman"/>
          <w:color w:val="000000" w:themeColor="text1"/>
          <w:sz w:val="24"/>
          <w:szCs w:val="24"/>
          <w:lang w:val="en-GB"/>
        </w:rPr>
        <w:t xml:space="preserve"> Bulgaria, </w:t>
      </w:r>
      <w:r w:rsidR="000339FE">
        <w:rPr>
          <w:rFonts w:ascii="Times New Roman" w:hAnsi="Times New Roman" w:cs="Times New Roman"/>
          <w:color w:val="000000" w:themeColor="text1"/>
          <w:sz w:val="24"/>
          <w:szCs w:val="24"/>
          <w:lang w:val="en-GB"/>
        </w:rPr>
        <w:t>two</w:t>
      </w:r>
      <w:r w:rsidR="00E21D46" w:rsidRPr="00462F98">
        <w:rPr>
          <w:rFonts w:ascii="Times New Roman" w:hAnsi="Times New Roman" w:cs="Times New Roman"/>
          <w:color w:val="000000" w:themeColor="text1"/>
          <w:sz w:val="24"/>
          <w:szCs w:val="24"/>
          <w:lang w:val="en-GB"/>
        </w:rPr>
        <w:t xml:space="preserve"> </w:t>
      </w:r>
      <w:r w:rsidR="00493673" w:rsidRPr="00462F98">
        <w:rPr>
          <w:rFonts w:ascii="Times New Roman" w:hAnsi="Times New Roman" w:cs="Times New Roman"/>
          <w:color w:val="000000" w:themeColor="text1"/>
          <w:sz w:val="24"/>
          <w:szCs w:val="24"/>
          <w:lang w:val="en-GB"/>
        </w:rPr>
        <w:t xml:space="preserve">criteria point to one lag. </w:t>
      </w:r>
      <w:r w:rsidRPr="00462F98">
        <w:rPr>
          <w:rFonts w:ascii="Times New Roman" w:hAnsi="Times New Roman" w:cs="Times New Roman"/>
          <w:color w:val="000000" w:themeColor="text1"/>
          <w:sz w:val="24"/>
          <w:szCs w:val="24"/>
          <w:lang w:val="en-GB"/>
        </w:rPr>
        <w:t>Consequently, we apply a VAR with l = 1.</w:t>
      </w:r>
      <w:r w:rsidR="00302019">
        <w:rPr>
          <w:rStyle w:val="FootnoteReference"/>
          <w:rFonts w:ascii="Times New Roman" w:hAnsi="Times New Roman" w:cs="Times New Roman"/>
          <w:color w:val="000000" w:themeColor="text1"/>
          <w:sz w:val="24"/>
          <w:szCs w:val="24"/>
          <w:lang w:val="en-GB"/>
        </w:rPr>
        <w:footnoteReference w:id="3"/>
      </w:r>
      <w:r w:rsidR="00BA5496" w:rsidRPr="00462F98">
        <w:rPr>
          <w:rFonts w:ascii="Times New Roman" w:hAnsi="Times New Roman" w:cs="Times New Roman"/>
          <w:color w:val="000000" w:themeColor="text1"/>
          <w:sz w:val="24"/>
          <w:szCs w:val="24"/>
          <w:lang w:val="en-GB"/>
        </w:rPr>
        <w:t xml:space="preserve"> </w:t>
      </w:r>
    </w:p>
    <w:p w:rsidR="0044695E" w:rsidRPr="0058709A" w:rsidRDefault="0044695E" w:rsidP="005173FA">
      <w:pPr>
        <w:spacing w:after="0" w:line="360" w:lineRule="auto"/>
        <w:jc w:val="both"/>
        <w:rPr>
          <w:rFonts w:ascii="Times New Roman" w:hAnsi="Times New Roman" w:cs="Times New Roman"/>
          <w:b/>
          <w:color w:val="000000" w:themeColor="text1"/>
          <w:sz w:val="16"/>
          <w:szCs w:val="16"/>
          <w:lang w:val="en-GB"/>
        </w:rPr>
      </w:pPr>
    </w:p>
    <w:p w:rsidR="00493673" w:rsidRPr="00462F98" w:rsidRDefault="00493673" w:rsidP="008C1B88">
      <w:pPr>
        <w:spacing w:after="0" w:line="360" w:lineRule="auto"/>
        <w:jc w:val="both"/>
        <w:rPr>
          <w:rFonts w:ascii="Times New Roman" w:hAnsi="Times New Roman" w:cs="Times New Roman"/>
          <w:b/>
          <w:i/>
          <w:color w:val="000000" w:themeColor="text1"/>
          <w:sz w:val="24"/>
          <w:szCs w:val="24"/>
          <w:lang w:val="en-GB"/>
        </w:rPr>
      </w:pPr>
      <w:r w:rsidRPr="00462F98">
        <w:rPr>
          <w:rFonts w:ascii="Times New Roman" w:hAnsi="Times New Roman" w:cs="Times New Roman"/>
          <w:b/>
          <w:i/>
          <w:color w:val="000000" w:themeColor="text1"/>
          <w:sz w:val="24"/>
          <w:szCs w:val="24"/>
          <w:lang w:val="en-GB"/>
        </w:rPr>
        <w:t>3: Granger causality test</w:t>
      </w:r>
    </w:p>
    <w:p w:rsidR="009129F5" w:rsidRPr="00462F98" w:rsidRDefault="009129F5" w:rsidP="008C1B8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Table </w:t>
      </w:r>
      <w:r w:rsidR="000339FE">
        <w:rPr>
          <w:rFonts w:ascii="Times New Roman" w:hAnsi="Times New Roman" w:cs="Times New Roman"/>
          <w:color w:val="000000" w:themeColor="text1"/>
          <w:sz w:val="24"/>
          <w:szCs w:val="24"/>
          <w:lang w:val="en-GB"/>
        </w:rPr>
        <w:t>8</w:t>
      </w:r>
      <w:r w:rsidRPr="00462F98">
        <w:rPr>
          <w:rFonts w:ascii="Times New Roman" w:hAnsi="Times New Roman" w:cs="Times New Roman"/>
          <w:color w:val="000000" w:themeColor="text1"/>
          <w:sz w:val="24"/>
          <w:szCs w:val="24"/>
          <w:lang w:val="en-GB"/>
        </w:rPr>
        <w:t xml:space="preserve"> reports the F-statistic for H</w:t>
      </w:r>
      <w:r w:rsidRPr="00462F98">
        <w:rPr>
          <w:rFonts w:ascii="Times New Roman" w:hAnsi="Times New Roman" w:cs="Times New Roman"/>
          <w:color w:val="000000" w:themeColor="text1"/>
          <w:sz w:val="24"/>
          <w:szCs w:val="24"/>
          <w:vertAlign w:val="subscript"/>
          <w:lang w:val="en-GB"/>
        </w:rPr>
        <w:t>0-1</w:t>
      </w:r>
      <w:r w:rsidRPr="00462F98">
        <w:rPr>
          <w:rFonts w:ascii="Times New Roman" w:hAnsi="Times New Roman" w:cs="Times New Roman"/>
          <w:color w:val="000000" w:themeColor="text1"/>
          <w:sz w:val="24"/>
          <w:szCs w:val="24"/>
          <w:lang w:val="en-GB"/>
        </w:rPr>
        <w:t xml:space="preserve"> and H</w:t>
      </w:r>
      <w:r w:rsidRPr="00462F98">
        <w:rPr>
          <w:rFonts w:ascii="Times New Roman" w:hAnsi="Times New Roman" w:cs="Times New Roman"/>
          <w:color w:val="000000" w:themeColor="text1"/>
          <w:sz w:val="24"/>
          <w:szCs w:val="24"/>
          <w:vertAlign w:val="subscript"/>
          <w:lang w:val="en-GB"/>
        </w:rPr>
        <w:t>0-2</w:t>
      </w:r>
      <w:r w:rsidRPr="00462F98">
        <w:rPr>
          <w:rFonts w:ascii="Times New Roman" w:hAnsi="Times New Roman" w:cs="Times New Roman"/>
          <w:color w:val="000000" w:themeColor="text1"/>
          <w:sz w:val="24"/>
          <w:szCs w:val="24"/>
          <w:lang w:val="en-GB"/>
        </w:rPr>
        <w:t>. Three different estimations were carried out. The full time spam establish</w:t>
      </w:r>
      <w:r w:rsidR="00601BA1">
        <w:rPr>
          <w:rFonts w:ascii="Times New Roman" w:hAnsi="Times New Roman" w:cs="Times New Roman"/>
          <w:color w:val="000000" w:themeColor="text1"/>
          <w:sz w:val="24"/>
          <w:szCs w:val="24"/>
          <w:lang w:val="en-GB"/>
        </w:rPr>
        <w:t>es</w:t>
      </w:r>
      <w:r w:rsidRPr="00462F98">
        <w:rPr>
          <w:rFonts w:ascii="Times New Roman" w:hAnsi="Times New Roman" w:cs="Times New Roman"/>
          <w:color w:val="000000" w:themeColor="text1"/>
          <w:sz w:val="24"/>
          <w:szCs w:val="24"/>
          <w:lang w:val="en-GB"/>
        </w:rPr>
        <w:t xml:space="preserve"> the overall pattern </w:t>
      </w:r>
      <w:r w:rsidR="00C52C21" w:rsidRPr="00462F98">
        <w:rPr>
          <w:rFonts w:ascii="Times New Roman" w:hAnsi="Times New Roman" w:cs="Times New Roman"/>
          <w:color w:val="000000" w:themeColor="text1"/>
          <w:sz w:val="24"/>
          <w:szCs w:val="24"/>
          <w:lang w:val="en-GB"/>
        </w:rPr>
        <w:t>(</w:t>
      </w:r>
      <w:r w:rsidRPr="00462F98">
        <w:rPr>
          <w:rFonts w:ascii="Times New Roman" w:hAnsi="Times New Roman" w:cs="Times New Roman"/>
          <w:color w:val="000000" w:themeColor="text1"/>
          <w:sz w:val="24"/>
          <w:szCs w:val="24"/>
          <w:lang w:val="en-GB"/>
        </w:rPr>
        <w:t>hypothesis 1</w:t>
      </w:r>
      <w:r w:rsidR="00C52C21" w:rsidRPr="00462F98">
        <w:rPr>
          <w:rFonts w:ascii="Times New Roman" w:hAnsi="Times New Roman" w:cs="Times New Roman"/>
          <w:color w:val="000000" w:themeColor="text1"/>
          <w:sz w:val="24"/>
          <w:szCs w:val="24"/>
          <w:lang w:val="en-GB"/>
        </w:rPr>
        <w:t>)</w:t>
      </w:r>
      <w:r w:rsidRPr="00462F98">
        <w:rPr>
          <w:rFonts w:ascii="Times New Roman" w:hAnsi="Times New Roman" w:cs="Times New Roman"/>
          <w:color w:val="000000" w:themeColor="text1"/>
          <w:sz w:val="24"/>
          <w:szCs w:val="24"/>
          <w:lang w:val="en-GB"/>
        </w:rPr>
        <w:t>. The full time span is then broken down into sub-periods: the “foreign” period, in which monetary and fiscal policy were constrained by supervision (periods 3 and 6); and all other periods, in which monetary an</w:t>
      </w:r>
      <w:r w:rsidR="00C52C21" w:rsidRPr="00462F98">
        <w:rPr>
          <w:rFonts w:ascii="Times New Roman" w:hAnsi="Times New Roman" w:cs="Times New Roman"/>
          <w:color w:val="000000" w:themeColor="text1"/>
          <w:sz w:val="24"/>
          <w:szCs w:val="24"/>
          <w:lang w:val="en-GB"/>
        </w:rPr>
        <w:t xml:space="preserve">d fiscal policy were set </w:t>
      </w:r>
      <w:r w:rsidRPr="00462F98">
        <w:rPr>
          <w:rFonts w:ascii="Times New Roman" w:hAnsi="Times New Roman" w:cs="Times New Roman"/>
          <w:color w:val="000000" w:themeColor="text1"/>
          <w:sz w:val="24"/>
          <w:szCs w:val="24"/>
          <w:lang w:val="en-GB"/>
        </w:rPr>
        <w:t>national</w:t>
      </w:r>
      <w:r w:rsidR="00C52C21" w:rsidRPr="00462F98">
        <w:rPr>
          <w:rFonts w:ascii="Times New Roman" w:hAnsi="Times New Roman" w:cs="Times New Roman"/>
          <w:color w:val="000000" w:themeColor="text1"/>
          <w:sz w:val="24"/>
          <w:szCs w:val="24"/>
          <w:lang w:val="en-GB"/>
        </w:rPr>
        <w:t>ly</w:t>
      </w:r>
      <w:r w:rsidRPr="00462F98">
        <w:rPr>
          <w:rFonts w:ascii="Times New Roman" w:hAnsi="Times New Roman" w:cs="Times New Roman"/>
          <w:color w:val="000000" w:themeColor="text1"/>
          <w:sz w:val="24"/>
          <w:szCs w:val="24"/>
          <w:lang w:val="en-GB"/>
        </w:rPr>
        <w:t xml:space="preserve"> (“domestic periods”). </w:t>
      </w:r>
      <w:r w:rsidR="00953829" w:rsidRPr="00462F98">
        <w:rPr>
          <w:rFonts w:ascii="Times New Roman" w:hAnsi="Times New Roman" w:cs="Times New Roman"/>
          <w:color w:val="000000" w:themeColor="text1"/>
          <w:sz w:val="24"/>
          <w:szCs w:val="24"/>
          <w:lang w:val="en-GB"/>
        </w:rPr>
        <w:t>This</w:t>
      </w:r>
      <w:r w:rsidR="008A152A" w:rsidRPr="00462F98">
        <w:rPr>
          <w:rFonts w:ascii="Times New Roman" w:hAnsi="Times New Roman" w:cs="Times New Roman"/>
          <w:color w:val="000000" w:themeColor="text1"/>
          <w:sz w:val="24"/>
          <w:szCs w:val="24"/>
          <w:lang w:val="en-GB"/>
        </w:rPr>
        <w:t xml:space="preserve"> distinction speaks to hypothesis 2.</w:t>
      </w:r>
    </w:p>
    <w:p w:rsidR="005173FA" w:rsidRPr="00462F98" w:rsidRDefault="005173FA" w:rsidP="005173FA">
      <w:pPr>
        <w:spacing w:after="0" w:line="360" w:lineRule="auto"/>
        <w:jc w:val="both"/>
        <w:rPr>
          <w:rFonts w:ascii="Times New Roman" w:hAnsi="Times New Roman" w:cs="Times New Roman"/>
          <w:color w:val="000000" w:themeColor="text1"/>
          <w:sz w:val="12"/>
          <w:szCs w:val="12"/>
          <w:lang w:val="en-GB"/>
        </w:rPr>
      </w:pPr>
    </w:p>
    <w:p w:rsidR="005173FA" w:rsidRPr="00462F98" w:rsidRDefault="00953829" w:rsidP="005173FA">
      <w:pPr>
        <w:spacing w:after="0" w:line="360" w:lineRule="auto"/>
        <w:jc w:val="both"/>
        <w:rPr>
          <w:rFonts w:ascii="Times New Roman" w:hAnsi="Times New Roman" w:cs="Times New Roman"/>
          <w:b/>
          <w:color w:val="000000" w:themeColor="text1"/>
          <w:sz w:val="24"/>
          <w:szCs w:val="24"/>
          <w:lang w:val="en-GB"/>
        </w:rPr>
      </w:pPr>
      <w:r w:rsidRPr="00462F98">
        <w:rPr>
          <w:rFonts w:ascii="Times New Roman" w:hAnsi="Times New Roman" w:cs="Times New Roman"/>
          <w:b/>
          <w:color w:val="000000" w:themeColor="text1"/>
          <w:sz w:val="24"/>
          <w:szCs w:val="24"/>
          <w:lang w:val="en-GB"/>
        </w:rPr>
        <w:tab/>
        <w:t>[table_</w:t>
      </w:r>
      <w:r w:rsidR="000339FE">
        <w:rPr>
          <w:rFonts w:ascii="Times New Roman" w:hAnsi="Times New Roman" w:cs="Times New Roman"/>
          <w:b/>
          <w:color w:val="000000" w:themeColor="text1"/>
          <w:sz w:val="24"/>
          <w:szCs w:val="24"/>
          <w:lang w:val="en-GB"/>
        </w:rPr>
        <w:t>8</w:t>
      </w:r>
      <w:r w:rsidR="005173FA" w:rsidRPr="00462F98">
        <w:rPr>
          <w:rFonts w:ascii="Times New Roman" w:hAnsi="Times New Roman" w:cs="Times New Roman"/>
          <w:b/>
          <w:color w:val="000000" w:themeColor="text1"/>
          <w:sz w:val="24"/>
          <w:szCs w:val="24"/>
          <w:lang w:val="en-GB"/>
        </w:rPr>
        <w:t>]</w:t>
      </w:r>
    </w:p>
    <w:p w:rsidR="005173FA" w:rsidRPr="00462F98" w:rsidRDefault="005173FA" w:rsidP="008C1B88">
      <w:pPr>
        <w:spacing w:after="0" w:line="360" w:lineRule="auto"/>
        <w:jc w:val="both"/>
        <w:rPr>
          <w:rFonts w:ascii="Times New Roman" w:hAnsi="Times New Roman" w:cs="Times New Roman"/>
          <w:color w:val="000000" w:themeColor="text1"/>
          <w:sz w:val="12"/>
          <w:szCs w:val="12"/>
          <w:lang w:val="en-GB"/>
        </w:rPr>
      </w:pPr>
    </w:p>
    <w:p w:rsidR="00CB36ED" w:rsidRDefault="008A152A" w:rsidP="00C52C21">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For the full period, we reject H</w:t>
      </w:r>
      <w:r w:rsidRPr="00462F98">
        <w:rPr>
          <w:rFonts w:ascii="Times New Roman" w:hAnsi="Times New Roman" w:cs="Times New Roman"/>
          <w:sz w:val="24"/>
          <w:szCs w:val="24"/>
          <w:vertAlign w:val="subscript"/>
          <w:lang w:val="en-GB"/>
        </w:rPr>
        <w:t>0-1</w:t>
      </w:r>
      <w:r w:rsidRPr="00462F98">
        <w:rPr>
          <w:rFonts w:ascii="Times New Roman" w:hAnsi="Times New Roman" w:cs="Times New Roman"/>
          <w:sz w:val="24"/>
          <w:szCs w:val="24"/>
          <w:lang w:val="en-GB"/>
        </w:rPr>
        <w:t xml:space="preserve"> at the levels of 1% for Greece, 5% for Romania and Serbia/Yugoslavia and 10% for Bulgaria, but </w:t>
      </w:r>
      <w:r w:rsidR="00302019">
        <w:rPr>
          <w:rFonts w:ascii="Times New Roman" w:hAnsi="Times New Roman" w:cs="Times New Roman"/>
          <w:sz w:val="24"/>
          <w:szCs w:val="24"/>
          <w:lang w:val="en-GB"/>
        </w:rPr>
        <w:t xml:space="preserve">consistently </w:t>
      </w:r>
      <w:r w:rsidRPr="00462F98">
        <w:rPr>
          <w:rFonts w:ascii="Times New Roman" w:hAnsi="Times New Roman" w:cs="Times New Roman"/>
          <w:sz w:val="24"/>
          <w:szCs w:val="24"/>
          <w:lang w:val="en-GB"/>
        </w:rPr>
        <w:t>fail to reject H</w:t>
      </w:r>
      <w:r w:rsidRPr="00462F98">
        <w:rPr>
          <w:rFonts w:ascii="Times New Roman" w:hAnsi="Times New Roman" w:cs="Times New Roman"/>
          <w:sz w:val="24"/>
          <w:szCs w:val="24"/>
          <w:vertAlign w:val="subscript"/>
          <w:lang w:val="en-GB"/>
        </w:rPr>
        <w:t>0-2</w:t>
      </w:r>
      <w:r w:rsidR="00953829"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w:t>
      </w:r>
      <w:r w:rsidR="00AB5046" w:rsidRPr="00462F98">
        <w:rPr>
          <w:rFonts w:ascii="Times New Roman" w:hAnsi="Times New Roman" w:cs="Times New Roman"/>
          <w:color w:val="000000"/>
          <w:sz w:val="24"/>
          <w:szCs w:val="24"/>
          <w:lang w:val="en-GB"/>
        </w:rPr>
        <w:t xml:space="preserve">causality runs from </w:t>
      </w:r>
      <w:r w:rsidRPr="00462F98">
        <w:rPr>
          <w:rFonts w:ascii="Times New Roman" w:hAnsi="Times New Roman" w:cs="Times New Roman"/>
          <w:color w:val="000000"/>
          <w:sz w:val="24"/>
          <w:szCs w:val="24"/>
          <w:lang w:val="en-GB"/>
        </w:rPr>
        <w:t>deficit to seigniorage. Hypothesis 1 is hence supported by the data. This finding remains unchanged when restricting estimations to domestic periods.</w:t>
      </w:r>
      <w:r w:rsidR="00C52C21" w:rsidRPr="00462F98">
        <w:rPr>
          <w:rFonts w:ascii="Times New Roman" w:hAnsi="Times New Roman" w:cs="Times New Roman"/>
          <w:color w:val="000000"/>
          <w:sz w:val="24"/>
          <w:szCs w:val="24"/>
          <w:lang w:val="en-GB"/>
        </w:rPr>
        <w:t xml:space="preserve"> </w:t>
      </w:r>
      <w:r w:rsidRPr="00462F98">
        <w:rPr>
          <w:rFonts w:ascii="Times New Roman" w:hAnsi="Times New Roman" w:cs="Times New Roman"/>
          <w:color w:val="000000" w:themeColor="text1"/>
          <w:sz w:val="24"/>
          <w:szCs w:val="24"/>
          <w:lang w:val="en-GB"/>
        </w:rPr>
        <w:t xml:space="preserve">By contrast, </w:t>
      </w:r>
      <w:r w:rsidRPr="00462F98">
        <w:rPr>
          <w:rFonts w:ascii="Times New Roman" w:hAnsi="Times New Roman" w:cs="Times New Roman"/>
          <w:color w:val="000000"/>
          <w:sz w:val="24"/>
          <w:szCs w:val="24"/>
          <w:lang w:val="en-GB"/>
        </w:rPr>
        <w:t>the causality pattern no longer holds under financial supervision: deficits no longer predict debt monetisation. This supports hypothesis 2</w:t>
      </w:r>
      <w:r w:rsidR="00271176" w:rsidRPr="00462F98">
        <w:rPr>
          <w:rFonts w:ascii="Times New Roman" w:hAnsi="Times New Roman" w:cs="Times New Roman"/>
          <w:color w:val="FF0000"/>
          <w:sz w:val="24"/>
          <w:szCs w:val="24"/>
          <w:lang w:val="en-GB"/>
        </w:rPr>
        <w:t>.</w:t>
      </w:r>
      <w:r w:rsidR="00302019">
        <w:rPr>
          <w:rFonts w:ascii="Times New Roman" w:hAnsi="Times New Roman" w:cs="Times New Roman"/>
          <w:color w:val="FF0000"/>
          <w:sz w:val="24"/>
          <w:szCs w:val="24"/>
          <w:lang w:val="en-GB"/>
        </w:rPr>
        <w:t xml:space="preserve"> </w:t>
      </w:r>
      <w:r w:rsidR="00CB36ED" w:rsidRPr="00980D93">
        <w:rPr>
          <w:rFonts w:ascii="Times New Roman" w:hAnsi="Times New Roman" w:cs="Times New Roman"/>
          <w:color w:val="000000" w:themeColor="text1"/>
          <w:sz w:val="24"/>
          <w:szCs w:val="24"/>
          <w:lang w:val="en-GB"/>
        </w:rPr>
        <w:t>We report various robustness checks to our baseline results in an online appendix.</w:t>
      </w:r>
    </w:p>
    <w:p w:rsidR="00331D54" w:rsidRPr="00980D93" w:rsidRDefault="00331D54" w:rsidP="00C52C21">
      <w:pPr>
        <w:spacing w:after="0" w:line="360" w:lineRule="auto"/>
        <w:jc w:val="both"/>
        <w:rPr>
          <w:rFonts w:ascii="Times New Roman" w:hAnsi="Times New Roman" w:cs="Times New Roman"/>
          <w:color w:val="000000" w:themeColor="text1"/>
          <w:sz w:val="24"/>
          <w:szCs w:val="24"/>
          <w:lang w:val="en-GB"/>
        </w:rPr>
      </w:pPr>
    </w:p>
    <w:p w:rsidR="00E92D21" w:rsidRPr="00462F98" w:rsidRDefault="00E92D21" w:rsidP="00E92D21">
      <w:pPr>
        <w:pStyle w:val="ListParagraph"/>
        <w:numPr>
          <w:ilvl w:val="0"/>
          <w:numId w:val="4"/>
        </w:numPr>
        <w:rPr>
          <w:rFonts w:ascii="Times New Roman" w:hAnsi="Times New Roman" w:cs="Times New Roman"/>
          <w:b/>
          <w:color w:val="000000" w:themeColor="text1"/>
          <w:sz w:val="24"/>
          <w:szCs w:val="24"/>
        </w:rPr>
      </w:pPr>
      <w:r w:rsidRPr="00462F98">
        <w:rPr>
          <w:rFonts w:ascii="Times New Roman" w:hAnsi="Times New Roman" w:cs="Times New Roman"/>
          <w:b/>
          <w:color w:val="000000" w:themeColor="text1"/>
          <w:sz w:val="24"/>
          <w:szCs w:val="24"/>
        </w:rPr>
        <w:t>Costs of financial supervision</w:t>
      </w:r>
    </w:p>
    <w:p w:rsidR="00E92D21" w:rsidRPr="00462F98" w:rsidRDefault="00E92D21" w:rsidP="00E92D21">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We have so far presented a positive view of international financial control, as measured by exchange-rate stabilisation, weaker debt monetisation and lower debt-to-GDP ratios. These benefits were the result of restrictive monetary and fiscal policies which the SEE governments found difficult to pursue on their own. Yet what were the costs of monetary and fiscal retrenchment to the domestic economy? It is precisely these costs which, in the </w:t>
      </w:r>
      <w:r w:rsidRPr="00462F98">
        <w:rPr>
          <w:rFonts w:ascii="Times New Roman" w:hAnsi="Times New Roman" w:cs="Times New Roman"/>
          <w:sz w:val="24"/>
          <w:szCs w:val="24"/>
          <w:lang w:val="en-GB"/>
        </w:rPr>
        <w:lastRenderedPageBreak/>
        <w:t>eurozone crisis, have provided ammunition to the critics of the bail-out programmes and given rise to the concept of self-defeating austerity</w:t>
      </w:r>
      <w:r w:rsidR="007E0382" w:rsidRPr="00462F98">
        <w:rPr>
          <w:rFonts w:ascii="Times New Roman" w:hAnsi="Times New Roman" w:cs="Times New Roman"/>
          <w:sz w:val="24"/>
          <w:szCs w:val="24"/>
          <w:lang w:val="en-GB"/>
        </w:rPr>
        <w:t xml:space="preserve"> (Müller 2014)</w:t>
      </w:r>
      <w:r w:rsidRPr="00462F98">
        <w:rPr>
          <w:rFonts w:ascii="Times New Roman" w:hAnsi="Times New Roman" w:cs="Times New Roman"/>
          <w:sz w:val="24"/>
          <w:szCs w:val="24"/>
          <w:lang w:val="en-GB"/>
        </w:rPr>
        <w:t>.</w:t>
      </w:r>
    </w:p>
    <w:p w:rsidR="00F60423" w:rsidRPr="00462F98" w:rsidRDefault="00F60423" w:rsidP="00F60423">
      <w:pPr>
        <w:pStyle w:val="ListParagraph"/>
        <w:spacing w:after="0" w:line="360" w:lineRule="auto"/>
        <w:ind w:left="1080"/>
        <w:jc w:val="both"/>
        <w:rPr>
          <w:rFonts w:ascii="Times New Roman" w:hAnsi="Times New Roman" w:cs="Times New Roman"/>
          <w:color w:val="000000" w:themeColor="text1"/>
          <w:sz w:val="12"/>
          <w:szCs w:val="12"/>
        </w:rPr>
      </w:pPr>
    </w:p>
    <w:p w:rsidR="00F60423" w:rsidRPr="00462F98" w:rsidRDefault="00A638B6" w:rsidP="00F60423">
      <w:pPr>
        <w:pStyle w:val="ListParagraph"/>
        <w:spacing w:after="0" w:line="360" w:lineRule="auto"/>
        <w:ind w:left="10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[table_9</w:t>
      </w:r>
      <w:r w:rsidR="00F60423" w:rsidRPr="00462F98">
        <w:rPr>
          <w:rFonts w:ascii="Times New Roman" w:hAnsi="Times New Roman" w:cs="Times New Roman"/>
          <w:b/>
          <w:color w:val="000000" w:themeColor="text1"/>
          <w:sz w:val="24"/>
          <w:szCs w:val="24"/>
        </w:rPr>
        <w:t>]</w:t>
      </w:r>
    </w:p>
    <w:p w:rsidR="00F60423" w:rsidRPr="00462F98" w:rsidRDefault="00F60423" w:rsidP="00E92D21">
      <w:pPr>
        <w:spacing w:after="0" w:line="360" w:lineRule="auto"/>
        <w:jc w:val="both"/>
        <w:rPr>
          <w:rFonts w:ascii="Times New Roman" w:hAnsi="Times New Roman" w:cs="Times New Roman"/>
          <w:sz w:val="12"/>
          <w:szCs w:val="12"/>
          <w:lang w:val="en-GB"/>
        </w:rPr>
      </w:pPr>
    </w:p>
    <w:p w:rsidR="00E92D21" w:rsidRPr="00C6153E" w:rsidRDefault="00E718E2" w:rsidP="00E92D21">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Table </w:t>
      </w:r>
      <w:r w:rsidR="00A638B6">
        <w:rPr>
          <w:rFonts w:ascii="Times New Roman" w:hAnsi="Times New Roman" w:cs="Times New Roman"/>
          <w:color w:val="000000" w:themeColor="text1"/>
          <w:sz w:val="24"/>
          <w:szCs w:val="24"/>
          <w:lang w:val="en-GB"/>
        </w:rPr>
        <w:t>9</w:t>
      </w:r>
      <w:r w:rsidR="00E92D21" w:rsidRPr="00462F98">
        <w:rPr>
          <w:rFonts w:ascii="Times New Roman" w:hAnsi="Times New Roman" w:cs="Times New Roman"/>
          <w:color w:val="000000" w:themeColor="text1"/>
          <w:sz w:val="24"/>
          <w:szCs w:val="24"/>
          <w:lang w:val="en-GB"/>
        </w:rPr>
        <w:t xml:space="preserve"> presents evidence for growth rates and price level developments, comparing periods under financial supervision with periods without such constraint. Measuring the impact on unemployment levels would be desirable, yet such data are available </w:t>
      </w:r>
      <w:r w:rsidRPr="00462F98">
        <w:rPr>
          <w:rFonts w:ascii="Times New Roman" w:hAnsi="Times New Roman" w:cs="Times New Roman"/>
          <w:color w:val="000000" w:themeColor="text1"/>
          <w:sz w:val="24"/>
          <w:szCs w:val="24"/>
          <w:lang w:val="en-GB"/>
        </w:rPr>
        <w:t xml:space="preserve">even </w:t>
      </w:r>
      <w:r w:rsidR="00E92D21" w:rsidRPr="00462F98">
        <w:rPr>
          <w:rFonts w:ascii="Times New Roman" w:hAnsi="Times New Roman" w:cs="Times New Roman"/>
          <w:color w:val="000000" w:themeColor="text1"/>
          <w:sz w:val="24"/>
          <w:szCs w:val="24"/>
          <w:lang w:val="en-GB"/>
        </w:rPr>
        <w:t xml:space="preserve">for Greece and Romania only after 1928 and for the other two countries not at all. In addition to the average value of GDP growth and inflation, table </w:t>
      </w:r>
      <w:r w:rsidR="00A638B6">
        <w:rPr>
          <w:rFonts w:ascii="Times New Roman" w:hAnsi="Times New Roman" w:cs="Times New Roman"/>
          <w:color w:val="000000" w:themeColor="text1"/>
          <w:sz w:val="24"/>
          <w:szCs w:val="24"/>
          <w:lang w:val="en-GB"/>
        </w:rPr>
        <w:t>9</w:t>
      </w:r>
      <w:r w:rsidR="00E92D21" w:rsidRPr="00462F98">
        <w:rPr>
          <w:rFonts w:ascii="Times New Roman" w:hAnsi="Times New Roman" w:cs="Times New Roman"/>
          <w:color w:val="000000" w:themeColor="text1"/>
          <w:sz w:val="24"/>
          <w:szCs w:val="24"/>
          <w:lang w:val="en-GB"/>
        </w:rPr>
        <w:t xml:space="preserve"> also presents results of a Wilcoxon rank-sum rest. This test provides an easily accessible measure for whether growth and </w:t>
      </w:r>
      <w:r w:rsidR="00E92D21" w:rsidRPr="00C6153E">
        <w:rPr>
          <w:rFonts w:ascii="Times New Roman" w:hAnsi="Times New Roman" w:cs="Times New Roman"/>
          <w:color w:val="000000" w:themeColor="text1"/>
          <w:sz w:val="24"/>
          <w:szCs w:val="24"/>
          <w:lang w:val="en-GB"/>
        </w:rPr>
        <w:t xml:space="preserve">inflation changed in </w:t>
      </w:r>
      <w:r w:rsidRPr="00C6153E">
        <w:rPr>
          <w:rFonts w:ascii="Times New Roman" w:hAnsi="Times New Roman" w:cs="Times New Roman"/>
          <w:color w:val="000000" w:themeColor="text1"/>
          <w:sz w:val="24"/>
          <w:szCs w:val="24"/>
          <w:lang w:val="en-GB"/>
        </w:rPr>
        <w:t>a statistically significant way</w:t>
      </w:r>
      <w:r w:rsidR="00E92D21" w:rsidRPr="00C6153E">
        <w:rPr>
          <w:rFonts w:ascii="Times New Roman" w:hAnsi="Times New Roman" w:cs="Times New Roman"/>
          <w:color w:val="000000" w:themeColor="text1"/>
          <w:sz w:val="24"/>
          <w:szCs w:val="24"/>
          <w:lang w:val="en-GB"/>
        </w:rPr>
        <w:t xml:space="preserve"> under supervision.</w:t>
      </w:r>
      <w:r w:rsidR="00BA5496" w:rsidRPr="00C6153E">
        <w:rPr>
          <w:rFonts w:ascii="Times New Roman" w:hAnsi="Times New Roman" w:cs="Times New Roman"/>
          <w:color w:val="000000" w:themeColor="text1"/>
          <w:sz w:val="24"/>
          <w:szCs w:val="24"/>
          <w:lang w:val="en-GB"/>
        </w:rPr>
        <w:t xml:space="preserve"> The evidence presented in this section is only suggestive and does not provide a counterfactual analysis.</w:t>
      </w:r>
    </w:p>
    <w:p w:rsidR="00E92D21" w:rsidRPr="00462F98" w:rsidRDefault="00E92D21" w:rsidP="00E92D21">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 xml:space="preserve">Growth rates under financial supervision and in all other periods were similar for Bulgaria, Romania and Serbia/Yugoslavia, with average </w:t>
      </w:r>
      <w:r w:rsidR="00E718E2" w:rsidRPr="00462F98">
        <w:rPr>
          <w:rFonts w:ascii="Times New Roman" w:hAnsi="Times New Roman" w:cs="Times New Roman"/>
          <w:sz w:val="24"/>
          <w:szCs w:val="24"/>
          <w:lang w:val="en-GB"/>
        </w:rPr>
        <w:t xml:space="preserve">annual </w:t>
      </w:r>
      <w:r w:rsidRPr="00462F98">
        <w:rPr>
          <w:rFonts w:ascii="Times New Roman" w:hAnsi="Times New Roman" w:cs="Times New Roman"/>
          <w:sz w:val="24"/>
          <w:szCs w:val="24"/>
          <w:lang w:val="en-GB"/>
        </w:rPr>
        <w:t xml:space="preserve">values ranging between 1.8% and 2.8%. In the Greek case the Wilcoxon rank-sum test suggests a statistically significant </w:t>
      </w:r>
      <w:r w:rsidRPr="00462F98">
        <w:rPr>
          <w:rFonts w:ascii="Times New Roman" w:hAnsi="Times New Roman" w:cs="Times New Roman"/>
          <w:i/>
          <w:sz w:val="24"/>
          <w:szCs w:val="24"/>
          <w:lang w:val="en-GB"/>
        </w:rPr>
        <w:t>positive</w:t>
      </w:r>
      <w:r w:rsidRPr="00462F98">
        <w:rPr>
          <w:rFonts w:ascii="Times New Roman" w:hAnsi="Times New Roman" w:cs="Times New Roman"/>
          <w:sz w:val="24"/>
          <w:szCs w:val="24"/>
          <w:lang w:val="en-GB"/>
        </w:rPr>
        <w:t xml:space="preserve"> difference for periods under financial supervision: the confidence-inducing aspects of the supervision arrangements</w:t>
      </w:r>
      <w:r w:rsidR="00E718E2" w:rsidRPr="00462F98">
        <w:rPr>
          <w:rFonts w:ascii="Times New Roman" w:hAnsi="Times New Roman" w:cs="Times New Roman"/>
          <w:sz w:val="24"/>
          <w:szCs w:val="24"/>
          <w:lang w:val="en-GB"/>
        </w:rPr>
        <w:t xml:space="preserve"> seem to have </w:t>
      </w:r>
      <w:r w:rsidRPr="00462F98">
        <w:rPr>
          <w:rFonts w:ascii="Times New Roman" w:hAnsi="Times New Roman" w:cs="Times New Roman"/>
          <w:sz w:val="24"/>
          <w:szCs w:val="24"/>
          <w:lang w:val="en-GB"/>
        </w:rPr>
        <w:t xml:space="preserve">outweighed any contractionary effects from restrictive monetary and fiscal policies. </w:t>
      </w:r>
      <w:r w:rsidR="00331D54">
        <w:rPr>
          <w:rFonts w:ascii="Times New Roman" w:hAnsi="Times New Roman" w:cs="Times New Roman"/>
          <w:sz w:val="24"/>
          <w:szCs w:val="24"/>
          <w:lang w:val="en-GB"/>
        </w:rPr>
        <w:t>T</w:t>
      </w:r>
      <w:r w:rsidRPr="00462F98">
        <w:rPr>
          <w:rFonts w:ascii="Times New Roman" w:hAnsi="Times New Roman" w:cs="Times New Roman"/>
          <w:sz w:val="24"/>
          <w:szCs w:val="24"/>
          <w:lang w:val="en-GB"/>
        </w:rPr>
        <w:t>he impact of financial supervision on economic growth was either neutral or even positive.</w:t>
      </w:r>
    </w:p>
    <w:p w:rsidR="00E92D21" w:rsidRPr="00462F98" w:rsidRDefault="00E92D21" w:rsidP="00E92D21">
      <w:pPr>
        <w:spacing w:after="0" w:line="360" w:lineRule="auto"/>
        <w:jc w:val="both"/>
        <w:rPr>
          <w:rFonts w:ascii="Times New Roman" w:hAnsi="Times New Roman" w:cs="Times New Roman"/>
          <w:b/>
          <w:color w:val="000000" w:themeColor="text1"/>
          <w:sz w:val="24"/>
          <w:szCs w:val="24"/>
          <w:lang w:val="en-GB"/>
        </w:rPr>
      </w:pPr>
      <w:r w:rsidRPr="00462F98">
        <w:rPr>
          <w:rFonts w:ascii="Times New Roman" w:hAnsi="Times New Roman" w:cs="Times New Roman"/>
          <w:color w:val="000000" w:themeColor="text1"/>
          <w:sz w:val="24"/>
          <w:szCs w:val="24"/>
          <w:lang w:val="en-GB"/>
        </w:rPr>
        <w:tab/>
        <w:t xml:space="preserve">Price level developments were statistically different in all four cases: average inflation fell between 1.8% (Bulgaria) and 5.8% (Greece) under financial supervision, </w:t>
      </w:r>
      <w:r w:rsidR="00E718E2" w:rsidRPr="00462F98">
        <w:rPr>
          <w:rFonts w:ascii="Times New Roman" w:hAnsi="Times New Roman" w:cs="Times New Roman"/>
          <w:color w:val="000000" w:themeColor="text1"/>
          <w:sz w:val="24"/>
          <w:szCs w:val="24"/>
          <w:lang w:val="en-GB"/>
        </w:rPr>
        <w:t xml:space="preserve">reflecting </w:t>
      </w:r>
      <w:r w:rsidRPr="00462F98">
        <w:rPr>
          <w:rFonts w:ascii="Times New Roman" w:hAnsi="Times New Roman" w:cs="Times New Roman"/>
          <w:color w:val="000000" w:themeColor="text1"/>
          <w:sz w:val="24"/>
          <w:szCs w:val="24"/>
          <w:lang w:val="en-GB"/>
        </w:rPr>
        <w:t>lower money growth (</w:t>
      </w:r>
      <w:r w:rsidR="00E718E2" w:rsidRPr="00462F98">
        <w:rPr>
          <w:rFonts w:ascii="Times New Roman" w:hAnsi="Times New Roman" w:cs="Times New Roman"/>
          <w:color w:val="000000" w:themeColor="text1"/>
          <w:sz w:val="24"/>
          <w:szCs w:val="24"/>
          <w:lang w:val="en-GB"/>
        </w:rPr>
        <w:t>table 7). N</w:t>
      </w:r>
      <w:r w:rsidRPr="00462F98">
        <w:rPr>
          <w:rFonts w:ascii="Times New Roman" w:hAnsi="Times New Roman" w:cs="Times New Roman"/>
          <w:color w:val="000000" w:themeColor="text1"/>
          <w:sz w:val="24"/>
          <w:szCs w:val="24"/>
          <w:lang w:val="en-GB"/>
        </w:rPr>
        <w:t xml:space="preserve">ote that the only country with a positive </w:t>
      </w:r>
      <w:r w:rsidR="00E718E2" w:rsidRPr="00462F98">
        <w:rPr>
          <w:rFonts w:ascii="Times New Roman" w:hAnsi="Times New Roman" w:cs="Times New Roman"/>
          <w:color w:val="000000" w:themeColor="text1"/>
          <w:sz w:val="24"/>
          <w:szCs w:val="24"/>
          <w:lang w:val="en-GB"/>
        </w:rPr>
        <w:t xml:space="preserve">economic growth effect </w:t>
      </w:r>
      <w:r w:rsidR="00E718E2" w:rsidRPr="00462F98">
        <w:rPr>
          <w:rFonts w:ascii="Times New Roman" w:hAnsi="Times New Roman" w:cs="Times New Roman"/>
          <w:sz w:val="24"/>
          <w:szCs w:val="24"/>
          <w:lang w:val="en-GB"/>
        </w:rPr>
        <w:t xml:space="preserve">was </w:t>
      </w:r>
      <w:r w:rsidRPr="00462F98">
        <w:rPr>
          <w:rFonts w:ascii="Times New Roman" w:hAnsi="Times New Roman" w:cs="Times New Roman"/>
          <w:sz w:val="24"/>
          <w:szCs w:val="24"/>
          <w:lang w:val="en-GB"/>
        </w:rPr>
        <w:t>the one in which inflation fell the most under financial supervision</w:t>
      </w:r>
      <w:r w:rsidR="00E718E2" w:rsidRPr="00462F98">
        <w:rPr>
          <w:rFonts w:ascii="Times New Roman" w:hAnsi="Times New Roman" w:cs="Times New Roman"/>
          <w:sz w:val="24"/>
          <w:szCs w:val="24"/>
          <w:lang w:val="en-GB"/>
        </w:rPr>
        <w:t xml:space="preserve">. This suggests that stabilising inflationary expectations and </w:t>
      </w:r>
      <w:r w:rsidRPr="00462F98">
        <w:rPr>
          <w:rFonts w:ascii="Times New Roman" w:hAnsi="Times New Roman" w:cs="Times New Roman"/>
          <w:sz w:val="24"/>
          <w:szCs w:val="24"/>
          <w:lang w:val="en-GB"/>
        </w:rPr>
        <w:t xml:space="preserve">increased confidence </w:t>
      </w:r>
      <w:r w:rsidR="00E718E2" w:rsidRPr="00462F98">
        <w:rPr>
          <w:rFonts w:ascii="Times New Roman" w:hAnsi="Times New Roman" w:cs="Times New Roman"/>
          <w:sz w:val="24"/>
          <w:szCs w:val="24"/>
          <w:lang w:val="en-GB"/>
        </w:rPr>
        <w:t xml:space="preserve">in general </w:t>
      </w:r>
      <w:r w:rsidRPr="00462F98">
        <w:rPr>
          <w:rFonts w:ascii="Times New Roman" w:hAnsi="Times New Roman" w:cs="Times New Roman"/>
          <w:sz w:val="24"/>
          <w:szCs w:val="24"/>
          <w:lang w:val="en-GB"/>
        </w:rPr>
        <w:t>played an important role in the Greek case.</w:t>
      </w:r>
      <w:r w:rsidR="00E718E2" w:rsidRPr="00462F98">
        <w:rPr>
          <w:rFonts w:ascii="Times New Roman" w:hAnsi="Times New Roman" w:cs="Times New Roman"/>
          <w:sz w:val="24"/>
          <w:szCs w:val="24"/>
          <w:lang w:val="en-GB"/>
        </w:rPr>
        <w:t xml:space="preserve"> I</w:t>
      </w:r>
      <w:r w:rsidRPr="00462F98">
        <w:rPr>
          <w:rFonts w:ascii="Times New Roman" w:hAnsi="Times New Roman" w:cs="Times New Roman"/>
          <w:sz w:val="24"/>
          <w:szCs w:val="24"/>
          <w:lang w:val="en-GB"/>
        </w:rPr>
        <w:t xml:space="preserve">n none of the cases did financial supervision lead to deflation, which is one of the main concerns in today’s debate over self-defeating austerity. </w:t>
      </w:r>
    </w:p>
    <w:p w:rsidR="00544E98" w:rsidRDefault="00544E98" w:rsidP="0058709A">
      <w:pPr>
        <w:spacing w:after="0" w:line="360" w:lineRule="auto"/>
        <w:rPr>
          <w:rFonts w:ascii="Times New Roman" w:hAnsi="Times New Roman" w:cs="Times New Roman"/>
          <w:b/>
          <w:color w:val="000000" w:themeColor="text1"/>
          <w:sz w:val="24"/>
          <w:szCs w:val="24"/>
          <w:lang w:val="en-GB"/>
        </w:rPr>
      </w:pPr>
    </w:p>
    <w:p w:rsidR="0058709A" w:rsidRPr="00462F98" w:rsidRDefault="0058709A" w:rsidP="0058709A">
      <w:pPr>
        <w:spacing w:after="0" w:line="360" w:lineRule="auto"/>
        <w:rPr>
          <w:rFonts w:ascii="Times New Roman" w:hAnsi="Times New Roman" w:cs="Times New Roman"/>
          <w:b/>
          <w:color w:val="000000" w:themeColor="text1"/>
          <w:sz w:val="24"/>
          <w:szCs w:val="24"/>
          <w:lang w:val="en-GB"/>
        </w:rPr>
      </w:pPr>
    </w:p>
    <w:p w:rsidR="00544E98" w:rsidRPr="00462F98" w:rsidRDefault="00544E98" w:rsidP="00544E98">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6. The political economy of exchange-rate stabilisation and financial supervision</w:t>
      </w:r>
      <w:r w:rsidR="00B0132C" w:rsidRPr="00462F98">
        <w:rPr>
          <w:rFonts w:ascii="Times New Roman" w:hAnsi="Times New Roman" w:cs="Times New Roman"/>
          <w:b/>
          <w:sz w:val="24"/>
          <w:szCs w:val="24"/>
          <w:lang w:val="en-GB"/>
        </w:rPr>
        <w:t xml:space="preserve"> in Greece</w:t>
      </w:r>
    </w:p>
    <w:p w:rsidR="00544E98" w:rsidRPr="00462F98" w:rsidRDefault="00302019" w:rsidP="00544E9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w:t>
      </w:r>
      <w:r w:rsidR="00B873E3" w:rsidRPr="00462F98">
        <w:rPr>
          <w:rFonts w:ascii="Times New Roman" w:hAnsi="Times New Roman" w:cs="Times New Roman"/>
          <w:sz w:val="24"/>
          <w:szCs w:val="24"/>
          <w:lang w:val="en-GB"/>
        </w:rPr>
        <w:t xml:space="preserve">old standard adherence was </w:t>
      </w:r>
      <w:r w:rsidR="00544E98" w:rsidRPr="00462F98">
        <w:rPr>
          <w:rFonts w:ascii="Times New Roman" w:hAnsi="Times New Roman" w:cs="Times New Roman"/>
          <w:sz w:val="24"/>
          <w:szCs w:val="24"/>
          <w:lang w:val="en-GB"/>
        </w:rPr>
        <w:t>a fundame</w:t>
      </w:r>
      <w:r w:rsidR="00B873E3" w:rsidRPr="00462F98">
        <w:rPr>
          <w:rFonts w:ascii="Times New Roman" w:hAnsi="Times New Roman" w:cs="Times New Roman"/>
          <w:sz w:val="24"/>
          <w:szCs w:val="24"/>
          <w:lang w:val="en-GB"/>
        </w:rPr>
        <w:t>ntal objective of Greece and its</w:t>
      </w:r>
      <w:r w:rsidR="00544E98" w:rsidRPr="00462F98">
        <w:rPr>
          <w:rFonts w:ascii="Times New Roman" w:hAnsi="Times New Roman" w:cs="Times New Roman"/>
          <w:sz w:val="24"/>
          <w:szCs w:val="24"/>
          <w:lang w:val="en-GB"/>
        </w:rPr>
        <w:t xml:space="preserve"> neighbours; an objective so important that the countries were willing to compromise on their much-cherished sovereignty by entering into </w:t>
      </w:r>
      <w:r w:rsidR="00331D54">
        <w:rPr>
          <w:rFonts w:ascii="Times New Roman" w:hAnsi="Times New Roman" w:cs="Times New Roman"/>
          <w:sz w:val="24"/>
          <w:szCs w:val="24"/>
          <w:lang w:val="en-GB"/>
        </w:rPr>
        <w:t xml:space="preserve">financial </w:t>
      </w:r>
      <w:r w:rsidR="00544E98" w:rsidRPr="00462F98">
        <w:rPr>
          <w:rFonts w:ascii="Times New Roman" w:hAnsi="Times New Roman" w:cs="Times New Roman"/>
          <w:sz w:val="24"/>
          <w:szCs w:val="24"/>
          <w:lang w:val="en-GB"/>
        </w:rPr>
        <w:t xml:space="preserve">supervision arrangements if this was the only way to achieve it. Yet what explains the </w:t>
      </w:r>
      <w:r w:rsidR="00B873E3" w:rsidRPr="00462F98">
        <w:rPr>
          <w:rFonts w:ascii="Times New Roman" w:hAnsi="Times New Roman" w:cs="Times New Roman"/>
          <w:sz w:val="24"/>
          <w:szCs w:val="24"/>
          <w:lang w:val="en-GB"/>
        </w:rPr>
        <w:t xml:space="preserve">strong </w:t>
      </w:r>
      <w:r w:rsidR="00544E98" w:rsidRPr="00462F98">
        <w:rPr>
          <w:rFonts w:ascii="Times New Roman" w:hAnsi="Times New Roman" w:cs="Times New Roman"/>
          <w:sz w:val="24"/>
          <w:szCs w:val="24"/>
          <w:lang w:val="en-GB"/>
        </w:rPr>
        <w:t xml:space="preserve">preference for fixed exchange-rates? </w:t>
      </w:r>
    </w:p>
    <w:p w:rsidR="00544E98" w:rsidRDefault="00544E98" w:rsidP="00544E9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lastRenderedPageBreak/>
        <w:tab/>
        <w:t>There is a sizeable literature on the political economy of exchange-rate choice and for the 1870-1914 period in particular. Some have emphasized better trade prospects and easier access to foreign capital</w:t>
      </w:r>
      <w:r w:rsidR="00B873E3" w:rsidRPr="00462F98">
        <w:rPr>
          <w:rFonts w:ascii="Times New Roman" w:hAnsi="Times New Roman" w:cs="Times New Roman"/>
          <w:sz w:val="24"/>
          <w:szCs w:val="24"/>
          <w:lang w:val="en-GB"/>
        </w:rPr>
        <w:t xml:space="preserve"> (section 2.2)</w:t>
      </w:r>
      <w:r w:rsidRPr="00462F98">
        <w:rPr>
          <w:rFonts w:ascii="Times New Roman" w:hAnsi="Times New Roman" w:cs="Times New Roman"/>
          <w:sz w:val="24"/>
          <w:szCs w:val="24"/>
          <w:lang w:val="en-GB"/>
        </w:rPr>
        <w:t xml:space="preserve">; yet without further investigating who benefits domestically from increased trade and foreign capital, </w:t>
      </w:r>
      <w:r w:rsidR="00B873E3" w:rsidRPr="00462F98">
        <w:rPr>
          <w:rFonts w:ascii="Times New Roman" w:hAnsi="Times New Roman" w:cs="Times New Roman"/>
          <w:sz w:val="24"/>
          <w:szCs w:val="24"/>
          <w:lang w:val="en-GB"/>
        </w:rPr>
        <w:t>this</w:t>
      </w:r>
      <w:r w:rsidRPr="00462F98">
        <w:rPr>
          <w:rFonts w:ascii="Times New Roman" w:hAnsi="Times New Roman" w:cs="Times New Roman"/>
          <w:sz w:val="24"/>
          <w:szCs w:val="24"/>
          <w:lang w:val="en-GB"/>
        </w:rPr>
        <w:t xml:space="preserve"> does not yet constitute a </w:t>
      </w:r>
      <w:r w:rsidR="00302019">
        <w:rPr>
          <w:rFonts w:ascii="Times New Roman" w:hAnsi="Times New Roman" w:cs="Times New Roman"/>
          <w:sz w:val="24"/>
          <w:szCs w:val="24"/>
          <w:lang w:val="en-GB"/>
        </w:rPr>
        <w:t xml:space="preserve">full-fledged </w:t>
      </w:r>
      <w:r w:rsidRPr="00462F98">
        <w:rPr>
          <w:rFonts w:ascii="Times New Roman" w:hAnsi="Times New Roman" w:cs="Times New Roman"/>
          <w:sz w:val="24"/>
          <w:szCs w:val="24"/>
          <w:lang w:val="en-GB"/>
        </w:rPr>
        <w:t xml:space="preserve">political economy analysis. De </w:t>
      </w:r>
      <w:proofErr w:type="spellStart"/>
      <w:r w:rsidRPr="00462F98">
        <w:rPr>
          <w:rFonts w:ascii="Times New Roman" w:hAnsi="Times New Roman" w:cs="Times New Roman"/>
          <w:sz w:val="24"/>
          <w:szCs w:val="24"/>
          <w:lang w:val="en-GB"/>
        </w:rPr>
        <w:t>Cecco</w:t>
      </w:r>
      <w:proofErr w:type="spellEnd"/>
      <w:r w:rsidRPr="00462F98">
        <w:rPr>
          <w:rFonts w:ascii="Times New Roman" w:hAnsi="Times New Roman" w:cs="Times New Roman"/>
          <w:sz w:val="24"/>
          <w:szCs w:val="24"/>
          <w:lang w:val="en-GB"/>
        </w:rPr>
        <w:t xml:space="preserve"> (1974) and </w:t>
      </w:r>
      <w:proofErr w:type="spellStart"/>
      <w:r w:rsidRPr="00462F98">
        <w:rPr>
          <w:rFonts w:ascii="Times New Roman" w:hAnsi="Times New Roman" w:cs="Times New Roman"/>
          <w:sz w:val="24"/>
          <w:szCs w:val="24"/>
          <w:lang w:val="en-GB"/>
        </w:rPr>
        <w:t>Gallarotti</w:t>
      </w:r>
      <w:proofErr w:type="spellEnd"/>
      <w:r w:rsidRPr="00462F98">
        <w:rPr>
          <w:rFonts w:ascii="Times New Roman" w:hAnsi="Times New Roman" w:cs="Times New Roman"/>
          <w:sz w:val="24"/>
          <w:szCs w:val="24"/>
          <w:lang w:val="en-GB"/>
        </w:rPr>
        <w:t xml:space="preserve"> (1995) provid</w:t>
      </w:r>
      <w:r w:rsidR="00B873E3" w:rsidRPr="00462F98">
        <w:rPr>
          <w:rFonts w:ascii="Times New Roman" w:hAnsi="Times New Roman" w:cs="Times New Roman"/>
          <w:sz w:val="24"/>
          <w:szCs w:val="24"/>
          <w:lang w:val="en-GB"/>
        </w:rPr>
        <w:t>e such an approach by focusing o</w:t>
      </w:r>
      <w:r w:rsidRPr="00462F98">
        <w:rPr>
          <w:rFonts w:ascii="Times New Roman" w:hAnsi="Times New Roman" w:cs="Times New Roman"/>
          <w:sz w:val="24"/>
          <w:szCs w:val="24"/>
          <w:lang w:val="en-GB"/>
        </w:rPr>
        <w:t>n two interest groups: a rising bourgeoisie</w:t>
      </w:r>
      <w:r w:rsidR="00B873E3"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which holds nominally denominated assets (bonds) and wishes to import consumer and industrial goods from advanced (gold standard) economies; they favour fixed exchange-rates. By contrast, agricultural producers hold</w:t>
      </w:r>
      <w:r w:rsidR="00B873E3" w:rsidRPr="00462F98">
        <w:rPr>
          <w:rFonts w:ascii="Times New Roman" w:hAnsi="Times New Roman" w:cs="Times New Roman"/>
          <w:sz w:val="24"/>
          <w:szCs w:val="24"/>
          <w:lang w:val="en-GB"/>
        </w:rPr>
        <w:t xml:space="preserve"> inflation-proof assets </w:t>
      </w:r>
      <w:r w:rsidR="00302019">
        <w:rPr>
          <w:rFonts w:ascii="Times New Roman" w:hAnsi="Times New Roman" w:cs="Times New Roman"/>
          <w:sz w:val="24"/>
          <w:szCs w:val="24"/>
          <w:lang w:val="en-GB"/>
        </w:rPr>
        <w:t>(</w:t>
      </w:r>
      <w:r w:rsidR="00B873E3" w:rsidRPr="00462F98">
        <w:rPr>
          <w:rFonts w:ascii="Times New Roman" w:hAnsi="Times New Roman" w:cs="Times New Roman"/>
          <w:sz w:val="24"/>
          <w:szCs w:val="24"/>
          <w:lang w:val="en-GB"/>
        </w:rPr>
        <w:t>land</w:t>
      </w:r>
      <w:r w:rsidR="00302019">
        <w:rPr>
          <w:rFonts w:ascii="Times New Roman" w:hAnsi="Times New Roman" w:cs="Times New Roman"/>
          <w:sz w:val="24"/>
          <w:szCs w:val="24"/>
          <w:lang w:val="en-GB"/>
        </w:rPr>
        <w:t>)</w:t>
      </w:r>
      <w:r w:rsidR="00B873E3"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as exporters of agricultural commodities, they benefit from a depreciatin</w:t>
      </w:r>
      <w:r w:rsidR="00B873E3" w:rsidRPr="00462F98">
        <w:rPr>
          <w:rFonts w:ascii="Times New Roman" w:hAnsi="Times New Roman" w:cs="Times New Roman"/>
          <w:sz w:val="24"/>
          <w:szCs w:val="24"/>
          <w:lang w:val="en-GB"/>
        </w:rPr>
        <w:t>g exchange-rate. T</w:t>
      </w:r>
      <w:r w:rsidRPr="00462F98">
        <w:rPr>
          <w:rFonts w:ascii="Times New Roman" w:hAnsi="Times New Roman" w:cs="Times New Roman"/>
          <w:sz w:val="24"/>
          <w:szCs w:val="24"/>
          <w:lang w:val="en-GB"/>
        </w:rPr>
        <w:t>hey are natural supporters of a silver or paper standard. As the 19th century progresses, industrialisation advances and the bourgeoisie gains the upper hand</w:t>
      </w:r>
      <w:r w:rsidR="00B873E3"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we expect the gold standard to spread from the industrialised core countries to the agricultural peripheries, as indeed it happened between 1870 and 1914. While this approach has not gone unchallenged</w:t>
      </w:r>
      <w:r w:rsidR="00B873E3" w:rsidRPr="00462F98">
        <w:rPr>
          <w:rFonts w:ascii="Times New Roman" w:hAnsi="Times New Roman" w:cs="Times New Roman"/>
          <w:sz w:val="24"/>
          <w:szCs w:val="24"/>
          <w:lang w:val="en-GB"/>
        </w:rPr>
        <w:t xml:space="preserve"> </w:t>
      </w:r>
      <w:r w:rsidR="00B873E3" w:rsidRPr="00462F98">
        <w:rPr>
          <w:rFonts w:ascii="Times New Roman" w:hAnsi="Times New Roman" w:cs="Times New Roman"/>
          <w:color w:val="000000" w:themeColor="text1"/>
          <w:sz w:val="24"/>
          <w:szCs w:val="24"/>
          <w:lang w:val="en-GB"/>
        </w:rPr>
        <w:t>(</w:t>
      </w:r>
      <w:r w:rsidR="00330EE2" w:rsidRPr="00462F98">
        <w:rPr>
          <w:rFonts w:ascii="Times New Roman" w:hAnsi="Times New Roman" w:cs="Times New Roman"/>
          <w:color w:val="000000" w:themeColor="text1"/>
          <w:sz w:val="24"/>
          <w:szCs w:val="24"/>
          <w:lang w:val="en-GB"/>
        </w:rPr>
        <w:t>Meissner 2005</w:t>
      </w:r>
      <w:r w:rsidR="00B873E3" w:rsidRPr="00462F98">
        <w:rPr>
          <w:rFonts w:ascii="Times New Roman" w:hAnsi="Times New Roman" w:cs="Times New Roman"/>
          <w:color w:val="000000" w:themeColor="text1"/>
          <w:sz w:val="24"/>
          <w:szCs w:val="24"/>
          <w:lang w:val="en-GB"/>
        </w:rPr>
        <w:t>)</w:t>
      </w:r>
      <w:r w:rsidRPr="00462F98">
        <w:rPr>
          <w:rFonts w:ascii="Times New Roman" w:hAnsi="Times New Roman" w:cs="Times New Roman"/>
          <w:sz w:val="24"/>
          <w:szCs w:val="24"/>
          <w:lang w:val="en-GB"/>
        </w:rPr>
        <w:t xml:space="preserve">, it constitutes the most widely used </w:t>
      </w:r>
      <w:r w:rsidR="00302019">
        <w:rPr>
          <w:rFonts w:ascii="Times New Roman" w:hAnsi="Times New Roman" w:cs="Times New Roman"/>
          <w:sz w:val="24"/>
          <w:szCs w:val="24"/>
          <w:lang w:val="en-GB"/>
        </w:rPr>
        <w:t xml:space="preserve">political economy </w:t>
      </w:r>
      <w:r w:rsidR="00B873E3" w:rsidRPr="00462F98">
        <w:rPr>
          <w:rFonts w:ascii="Times New Roman" w:hAnsi="Times New Roman" w:cs="Times New Roman"/>
          <w:sz w:val="24"/>
          <w:szCs w:val="24"/>
          <w:lang w:val="en-GB"/>
        </w:rPr>
        <w:t>framework</w:t>
      </w:r>
      <w:r w:rsidRPr="00462F98">
        <w:rPr>
          <w:rFonts w:ascii="Times New Roman" w:hAnsi="Times New Roman" w:cs="Times New Roman"/>
          <w:sz w:val="24"/>
          <w:szCs w:val="24"/>
          <w:lang w:val="en-GB"/>
        </w:rPr>
        <w:t xml:space="preserve"> </w:t>
      </w:r>
      <w:r w:rsidR="00330EE2" w:rsidRPr="00462F98">
        <w:rPr>
          <w:rFonts w:ascii="Times New Roman" w:hAnsi="Times New Roman" w:cs="Times New Roman"/>
          <w:sz w:val="24"/>
          <w:szCs w:val="24"/>
          <w:lang w:val="en-GB"/>
        </w:rPr>
        <w:t>(</w:t>
      </w:r>
      <w:proofErr w:type="spellStart"/>
      <w:r w:rsidR="00330EE2" w:rsidRPr="00462F98">
        <w:rPr>
          <w:rFonts w:ascii="Times New Roman" w:hAnsi="Times New Roman" w:cs="Times New Roman"/>
          <w:sz w:val="24"/>
          <w:szCs w:val="24"/>
          <w:lang w:val="en-GB"/>
        </w:rPr>
        <w:t>Eichengreen</w:t>
      </w:r>
      <w:proofErr w:type="spellEnd"/>
      <w:r w:rsidR="00330EE2" w:rsidRPr="00462F98">
        <w:rPr>
          <w:rFonts w:ascii="Times New Roman" w:hAnsi="Times New Roman" w:cs="Times New Roman"/>
          <w:sz w:val="24"/>
          <w:szCs w:val="24"/>
          <w:lang w:val="en-GB"/>
        </w:rPr>
        <w:t xml:space="preserve"> 1996)</w:t>
      </w:r>
      <w:r w:rsidRPr="00462F98">
        <w:rPr>
          <w:rFonts w:ascii="Times New Roman" w:hAnsi="Times New Roman" w:cs="Times New Roman"/>
          <w:sz w:val="24"/>
          <w:szCs w:val="24"/>
          <w:lang w:val="en-GB"/>
        </w:rPr>
        <w:t>.</w:t>
      </w:r>
    </w:p>
    <w:p w:rsidR="0058709A" w:rsidRPr="00462F98" w:rsidRDefault="0058709A" w:rsidP="00544E98">
      <w:pPr>
        <w:spacing w:after="0" w:line="360" w:lineRule="auto"/>
        <w:jc w:val="both"/>
        <w:rPr>
          <w:rFonts w:ascii="Times New Roman" w:hAnsi="Times New Roman" w:cs="Times New Roman"/>
          <w:sz w:val="24"/>
          <w:szCs w:val="24"/>
          <w:lang w:val="en-GB"/>
        </w:rPr>
      </w:pPr>
    </w:p>
    <w:p w:rsidR="00544E98" w:rsidRPr="00462F98" w:rsidRDefault="00544E98" w:rsidP="00544E98">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6.1 From the Congress of Berlin (1878) to the government default (1893)</w:t>
      </w:r>
    </w:p>
    <w:p w:rsidR="00544E98" w:rsidRPr="00462F98" w:rsidRDefault="00330EE2" w:rsidP="00544E98">
      <w:pPr>
        <w:spacing w:after="0" w:line="360" w:lineRule="auto"/>
        <w:jc w:val="both"/>
        <w:rPr>
          <w:rFonts w:ascii="Times New Roman" w:hAnsi="Times New Roman" w:cs="Times New Roman"/>
          <w:sz w:val="24"/>
          <w:szCs w:val="24"/>
          <w:lang w:val="en-GB"/>
        </w:rPr>
      </w:pPr>
      <w:r w:rsidRPr="00980D93">
        <w:rPr>
          <w:rFonts w:ascii="Times New Roman" w:hAnsi="Times New Roman" w:cs="Times New Roman"/>
          <w:color w:val="000000" w:themeColor="text1"/>
          <w:sz w:val="24"/>
          <w:szCs w:val="24"/>
          <w:lang w:val="en-GB"/>
        </w:rPr>
        <w:t xml:space="preserve">Understanding Greece’s political economy </w:t>
      </w:r>
      <w:r w:rsidR="00544E98" w:rsidRPr="00980D93">
        <w:rPr>
          <w:rFonts w:ascii="Times New Roman" w:hAnsi="Times New Roman" w:cs="Times New Roman"/>
          <w:color w:val="000000" w:themeColor="text1"/>
          <w:sz w:val="24"/>
          <w:szCs w:val="24"/>
          <w:lang w:val="en-GB"/>
        </w:rPr>
        <w:t xml:space="preserve">requires appreciating the new geopolitical situation </w:t>
      </w:r>
      <w:r w:rsidRPr="00980D93">
        <w:rPr>
          <w:rFonts w:ascii="Times New Roman" w:hAnsi="Times New Roman" w:cs="Times New Roman"/>
          <w:color w:val="000000" w:themeColor="text1"/>
          <w:sz w:val="24"/>
          <w:szCs w:val="24"/>
          <w:lang w:val="en-GB"/>
        </w:rPr>
        <w:t>after the Congress of Berlin</w:t>
      </w:r>
      <w:r w:rsidR="00544E98" w:rsidRPr="00980D93">
        <w:rPr>
          <w:rFonts w:ascii="Times New Roman" w:hAnsi="Times New Roman" w:cs="Times New Roman"/>
          <w:color w:val="000000" w:themeColor="text1"/>
          <w:sz w:val="24"/>
          <w:szCs w:val="24"/>
          <w:lang w:val="en-GB"/>
        </w:rPr>
        <w:t xml:space="preserve">.  The Kingdom of Greece </w:t>
      </w:r>
      <w:r w:rsidRPr="00980D93">
        <w:rPr>
          <w:rFonts w:ascii="Times New Roman" w:hAnsi="Times New Roman" w:cs="Times New Roman"/>
          <w:color w:val="000000" w:themeColor="text1"/>
          <w:sz w:val="24"/>
          <w:szCs w:val="24"/>
          <w:lang w:val="en-GB"/>
        </w:rPr>
        <w:t xml:space="preserve">(1832) </w:t>
      </w:r>
      <w:r w:rsidR="00544E98" w:rsidRPr="00980D93">
        <w:rPr>
          <w:rFonts w:ascii="Times New Roman" w:hAnsi="Times New Roman" w:cs="Times New Roman"/>
          <w:color w:val="000000" w:themeColor="text1"/>
          <w:sz w:val="24"/>
          <w:szCs w:val="24"/>
          <w:lang w:val="en-GB"/>
        </w:rPr>
        <w:t xml:space="preserve">was initially very </w:t>
      </w:r>
      <w:r w:rsidR="00544E98" w:rsidRPr="00462F98">
        <w:rPr>
          <w:rFonts w:ascii="Times New Roman" w:hAnsi="Times New Roman" w:cs="Times New Roman"/>
          <w:sz w:val="24"/>
          <w:szCs w:val="24"/>
          <w:lang w:val="en-GB"/>
        </w:rPr>
        <w:t xml:space="preserve">small and consisted only of </w:t>
      </w:r>
      <w:r w:rsidRPr="00462F98">
        <w:rPr>
          <w:rFonts w:ascii="Times New Roman" w:hAnsi="Times New Roman" w:cs="Times New Roman"/>
          <w:sz w:val="24"/>
          <w:szCs w:val="24"/>
          <w:lang w:val="en-GB"/>
        </w:rPr>
        <w:t xml:space="preserve">the Peloponnese and </w:t>
      </w:r>
      <w:proofErr w:type="spellStart"/>
      <w:r w:rsidRPr="00462F98">
        <w:rPr>
          <w:rFonts w:ascii="Times New Roman" w:hAnsi="Times New Roman" w:cs="Times New Roman"/>
          <w:sz w:val="24"/>
          <w:szCs w:val="24"/>
          <w:lang w:val="en-GB"/>
        </w:rPr>
        <w:t>Stereá</w:t>
      </w:r>
      <w:proofErr w:type="spellEnd"/>
      <w:r w:rsidRPr="00462F98">
        <w:rPr>
          <w:rFonts w:ascii="Times New Roman" w:hAnsi="Times New Roman" w:cs="Times New Roman"/>
          <w:sz w:val="24"/>
          <w:szCs w:val="24"/>
          <w:lang w:val="en-GB"/>
        </w:rPr>
        <w:t xml:space="preserve"> </w:t>
      </w:r>
      <w:proofErr w:type="spellStart"/>
      <w:r w:rsidRPr="00462F98">
        <w:rPr>
          <w:rFonts w:ascii="Times New Roman" w:hAnsi="Times New Roman" w:cs="Times New Roman"/>
          <w:sz w:val="24"/>
          <w:szCs w:val="24"/>
          <w:lang w:val="en-GB"/>
        </w:rPr>
        <w:t>Ellád</w:t>
      </w:r>
      <w:r w:rsidR="00A638B6">
        <w:rPr>
          <w:rFonts w:ascii="Times New Roman" w:hAnsi="Times New Roman" w:cs="Times New Roman"/>
          <w:sz w:val="24"/>
          <w:szCs w:val="24"/>
          <w:lang w:val="en-GB"/>
        </w:rPr>
        <w:t>a</w:t>
      </w:r>
      <w:proofErr w:type="spellEnd"/>
      <w:r w:rsidR="00A638B6">
        <w:rPr>
          <w:rFonts w:ascii="Times New Roman" w:hAnsi="Times New Roman" w:cs="Times New Roman"/>
          <w:sz w:val="24"/>
          <w:szCs w:val="24"/>
          <w:lang w:val="en-GB"/>
        </w:rPr>
        <w:t xml:space="preserve"> (Central Greece); two provinces</w:t>
      </w:r>
      <w:r w:rsidR="006A5471" w:rsidRPr="00462F98">
        <w:rPr>
          <w:rFonts w:ascii="Times New Roman" w:hAnsi="Times New Roman" w:cs="Times New Roman"/>
          <w:sz w:val="24"/>
          <w:szCs w:val="24"/>
          <w:lang w:val="en-GB"/>
        </w:rPr>
        <w:t xml:space="preserve"> </w:t>
      </w:r>
      <w:r w:rsidR="00544E98" w:rsidRPr="00462F98">
        <w:rPr>
          <w:rFonts w:ascii="Times New Roman" w:hAnsi="Times New Roman" w:cs="Times New Roman"/>
          <w:sz w:val="24"/>
          <w:szCs w:val="24"/>
          <w:lang w:val="en-GB"/>
        </w:rPr>
        <w:t>whose agricultural potential was so low th</w:t>
      </w:r>
      <w:r w:rsidR="006A5471" w:rsidRPr="00462F98">
        <w:rPr>
          <w:rFonts w:ascii="Times New Roman" w:hAnsi="Times New Roman" w:cs="Times New Roman"/>
          <w:sz w:val="24"/>
          <w:szCs w:val="24"/>
          <w:lang w:val="en-GB"/>
        </w:rPr>
        <w:t>at it did not even attract its</w:t>
      </w:r>
      <w:r w:rsidR="00544E98" w:rsidRPr="00462F98">
        <w:rPr>
          <w:rFonts w:ascii="Times New Roman" w:hAnsi="Times New Roman" w:cs="Times New Roman"/>
          <w:sz w:val="24"/>
          <w:szCs w:val="24"/>
          <w:lang w:val="en-GB"/>
        </w:rPr>
        <w:t xml:space="preserve"> neighbours’ territorial interests. In this situation, Greece could live with the financial autarky following default in 1843. There was little systematic building of state capacity and attempts to strike a deal with foreign credi</w:t>
      </w:r>
      <w:r w:rsidR="006A5471" w:rsidRPr="00462F98">
        <w:rPr>
          <w:rFonts w:ascii="Times New Roman" w:hAnsi="Times New Roman" w:cs="Times New Roman"/>
          <w:sz w:val="24"/>
          <w:szCs w:val="24"/>
          <w:lang w:val="en-GB"/>
        </w:rPr>
        <w:t>tors were half-hearted (</w:t>
      </w:r>
      <w:proofErr w:type="spellStart"/>
      <w:r w:rsidR="006A5471" w:rsidRPr="00462F98">
        <w:rPr>
          <w:rFonts w:ascii="Times New Roman" w:hAnsi="Times New Roman" w:cs="Times New Roman"/>
          <w:sz w:val="24"/>
          <w:szCs w:val="24"/>
          <w:lang w:val="en-GB"/>
        </w:rPr>
        <w:t>Levandis</w:t>
      </w:r>
      <w:proofErr w:type="spellEnd"/>
      <w:r w:rsidR="006A5471" w:rsidRPr="00462F98">
        <w:rPr>
          <w:rFonts w:ascii="Times New Roman" w:hAnsi="Times New Roman" w:cs="Times New Roman"/>
          <w:sz w:val="24"/>
          <w:szCs w:val="24"/>
          <w:lang w:val="en-GB"/>
        </w:rPr>
        <w:t xml:space="preserve"> 1943, </w:t>
      </w:r>
      <w:proofErr w:type="spellStart"/>
      <w:r w:rsidR="006A5471" w:rsidRPr="00462F98">
        <w:rPr>
          <w:rFonts w:ascii="Times New Roman" w:hAnsi="Times New Roman" w:cs="Times New Roman"/>
          <w:sz w:val="24"/>
          <w:szCs w:val="24"/>
          <w:lang w:val="en-GB"/>
        </w:rPr>
        <w:t>Kofas</w:t>
      </w:r>
      <w:proofErr w:type="spellEnd"/>
      <w:r w:rsidR="006A5471" w:rsidRPr="00462F98">
        <w:rPr>
          <w:rFonts w:ascii="Times New Roman" w:hAnsi="Times New Roman" w:cs="Times New Roman"/>
          <w:sz w:val="24"/>
          <w:szCs w:val="24"/>
          <w:lang w:val="en-GB"/>
        </w:rPr>
        <w:t xml:space="preserve"> 1981).</w:t>
      </w:r>
      <w:r w:rsidR="002905EF" w:rsidRPr="00462F98">
        <w:rPr>
          <w:rFonts w:ascii="Times New Roman" w:hAnsi="Times New Roman" w:cs="Times New Roman"/>
          <w:sz w:val="24"/>
          <w:szCs w:val="24"/>
          <w:lang w:val="en-GB"/>
        </w:rPr>
        <w:t xml:space="preserve"> </w:t>
      </w:r>
      <w:r w:rsidR="00DF3A68">
        <w:rPr>
          <w:rFonts w:ascii="Times New Roman" w:hAnsi="Times New Roman" w:cs="Times New Roman"/>
          <w:sz w:val="24"/>
          <w:szCs w:val="24"/>
          <w:lang w:val="en-GB"/>
        </w:rPr>
        <w:t>T</w:t>
      </w:r>
      <w:r w:rsidR="002905EF" w:rsidRPr="002519AF">
        <w:rPr>
          <w:rFonts w:ascii="Times New Roman" w:hAnsi="Times New Roman" w:cs="Times New Roman"/>
          <w:color w:val="000000" w:themeColor="text1"/>
          <w:sz w:val="24"/>
          <w:szCs w:val="24"/>
          <w:lang w:val="en-GB"/>
        </w:rPr>
        <w:t>he 1867 gold standard legislation enjoyed overwhelming support, but implementing it proved impossible in the presence of high seigniorage (table 5).</w:t>
      </w:r>
    </w:p>
    <w:p w:rsidR="00544E98" w:rsidRPr="00980D93" w:rsidRDefault="00544E98" w:rsidP="00544E98">
      <w:pPr>
        <w:spacing w:after="0" w:line="360" w:lineRule="auto"/>
        <w:ind w:firstLine="720"/>
        <w:jc w:val="both"/>
        <w:rPr>
          <w:rFonts w:ascii="Times New Roman" w:hAnsi="Times New Roman" w:cs="Times New Roman"/>
          <w:color w:val="000000" w:themeColor="text1"/>
          <w:sz w:val="24"/>
          <w:szCs w:val="24"/>
          <w:lang w:val="en-GB"/>
        </w:rPr>
      </w:pPr>
      <w:r w:rsidRPr="00980D93">
        <w:rPr>
          <w:rFonts w:ascii="Times New Roman" w:hAnsi="Times New Roman" w:cs="Times New Roman"/>
          <w:color w:val="000000" w:themeColor="text1"/>
          <w:sz w:val="24"/>
          <w:szCs w:val="24"/>
          <w:lang w:val="en-GB"/>
        </w:rPr>
        <w:t>The Congress of Berlin altered the picture by introducing both potential and risk. Greece moved North by incorporating the rich agricultural plains of Thessaly, but Bulgaria moved South and Serbia had its own territorial ambitions. The liquidation of the European possessions of the Ottoman Empire was only a matter of time, providing Greece with a</w:t>
      </w:r>
      <w:r w:rsidR="00A638B6" w:rsidRPr="00980D93">
        <w:rPr>
          <w:rFonts w:ascii="Times New Roman" w:hAnsi="Times New Roman" w:cs="Times New Roman"/>
          <w:color w:val="000000" w:themeColor="text1"/>
          <w:sz w:val="24"/>
          <w:szCs w:val="24"/>
          <w:lang w:val="en-GB"/>
        </w:rPr>
        <w:t>n opportunity of pursuing</w:t>
      </w:r>
      <w:r w:rsidRPr="00980D93">
        <w:rPr>
          <w:rFonts w:ascii="Times New Roman" w:hAnsi="Times New Roman" w:cs="Times New Roman"/>
          <w:color w:val="000000" w:themeColor="text1"/>
          <w:sz w:val="24"/>
          <w:szCs w:val="24"/>
          <w:lang w:val="en-GB"/>
        </w:rPr>
        <w:t xml:space="preserve"> its own irredentism known as the “Great Idea”, that is the incorporation of all Ottoman territories settled by Greek people. On the downside, any future military conflict could henceforth involve Turkey as much as other Balkan countries. </w:t>
      </w:r>
    </w:p>
    <w:p w:rsidR="002905EF" w:rsidRPr="00462F98" w:rsidRDefault="00544E98" w:rsidP="00544E98">
      <w:pPr>
        <w:spacing w:after="0" w:line="360" w:lineRule="auto"/>
        <w:ind w:firstLine="720"/>
        <w:jc w:val="both"/>
        <w:rPr>
          <w:rFonts w:ascii="Times New Roman" w:hAnsi="Times New Roman" w:cs="Times New Roman"/>
          <w:color w:val="000000" w:themeColor="text1"/>
          <w:sz w:val="24"/>
          <w:szCs w:val="24"/>
          <w:lang w:val="en-GB"/>
        </w:rPr>
      </w:pPr>
      <w:r w:rsidRPr="00980D93">
        <w:rPr>
          <w:rFonts w:ascii="Times New Roman" w:hAnsi="Times New Roman" w:cs="Times New Roman"/>
          <w:color w:val="000000" w:themeColor="text1"/>
          <w:sz w:val="24"/>
          <w:szCs w:val="24"/>
          <w:lang w:val="en-GB"/>
        </w:rPr>
        <w:t xml:space="preserve">Greece was left with no other choice than to </w:t>
      </w:r>
      <w:r w:rsidR="006A5471" w:rsidRPr="00980D93">
        <w:rPr>
          <w:rFonts w:ascii="Times New Roman" w:hAnsi="Times New Roman" w:cs="Times New Roman"/>
          <w:color w:val="000000" w:themeColor="text1"/>
          <w:sz w:val="24"/>
          <w:szCs w:val="24"/>
          <w:lang w:val="en-GB"/>
        </w:rPr>
        <w:t>make a great leap forward</w:t>
      </w:r>
      <w:r w:rsidRPr="00980D93">
        <w:rPr>
          <w:rFonts w:ascii="Times New Roman" w:hAnsi="Times New Roman" w:cs="Times New Roman"/>
          <w:color w:val="000000" w:themeColor="text1"/>
          <w:sz w:val="24"/>
          <w:szCs w:val="24"/>
          <w:lang w:val="en-GB"/>
        </w:rPr>
        <w:t>, improving state capacity domestically and forging strong alliances externally</w:t>
      </w:r>
      <w:r w:rsidR="002C44EB" w:rsidRPr="00980D93">
        <w:rPr>
          <w:rFonts w:ascii="Times New Roman" w:hAnsi="Times New Roman" w:cs="Times New Roman"/>
          <w:color w:val="000000" w:themeColor="text1"/>
          <w:sz w:val="24"/>
          <w:szCs w:val="24"/>
          <w:lang w:val="en-GB"/>
        </w:rPr>
        <w:t xml:space="preserve"> (Kostis 2014: 437-491). </w:t>
      </w:r>
      <w:r w:rsidR="002C44EB" w:rsidRPr="00980D93">
        <w:rPr>
          <w:rFonts w:ascii="Times New Roman" w:hAnsi="Times New Roman" w:cs="Times New Roman"/>
          <w:color w:val="000000" w:themeColor="text1"/>
          <w:sz w:val="24"/>
          <w:szCs w:val="24"/>
          <w:lang w:val="en-GB"/>
        </w:rPr>
        <w:lastRenderedPageBreak/>
        <w:t>Finding</w:t>
      </w:r>
      <w:r w:rsidRPr="00980D93">
        <w:rPr>
          <w:rFonts w:ascii="Times New Roman" w:hAnsi="Times New Roman" w:cs="Times New Roman"/>
          <w:color w:val="000000" w:themeColor="text1"/>
          <w:sz w:val="24"/>
          <w:szCs w:val="24"/>
          <w:lang w:val="en-GB"/>
        </w:rPr>
        <w:t xml:space="preserve"> a debt compromise only two months after the Congress of Berlin (after 35 years of fruitless negotiations) underlines this important paradigm shift</w:t>
      </w:r>
      <w:r w:rsidR="00437375" w:rsidRPr="00980D93">
        <w:rPr>
          <w:rFonts w:ascii="Times New Roman" w:hAnsi="Times New Roman" w:cs="Times New Roman"/>
          <w:color w:val="000000" w:themeColor="text1"/>
          <w:sz w:val="24"/>
          <w:szCs w:val="24"/>
          <w:lang w:val="en-GB"/>
        </w:rPr>
        <w:t xml:space="preserve"> (</w:t>
      </w:r>
      <w:proofErr w:type="spellStart"/>
      <w:r w:rsidR="00437375" w:rsidRPr="00980D93">
        <w:rPr>
          <w:rFonts w:ascii="Times New Roman" w:hAnsi="Times New Roman" w:cs="Times New Roman"/>
          <w:color w:val="000000" w:themeColor="text1"/>
          <w:sz w:val="24"/>
          <w:szCs w:val="24"/>
          <w:lang w:val="en-GB"/>
        </w:rPr>
        <w:t>Psalidopoulos&amp;Schönhärl</w:t>
      </w:r>
      <w:proofErr w:type="spellEnd"/>
      <w:r w:rsidR="00437375" w:rsidRPr="00980D93">
        <w:rPr>
          <w:rFonts w:ascii="Times New Roman" w:hAnsi="Times New Roman" w:cs="Times New Roman"/>
          <w:color w:val="000000" w:themeColor="text1"/>
          <w:sz w:val="24"/>
          <w:szCs w:val="24"/>
          <w:lang w:val="en-GB"/>
        </w:rPr>
        <w:t xml:space="preserve"> 2013: 152-53)</w:t>
      </w:r>
      <w:r w:rsidRPr="00980D93">
        <w:rPr>
          <w:rFonts w:ascii="Times New Roman" w:hAnsi="Times New Roman" w:cs="Times New Roman"/>
          <w:color w:val="000000" w:themeColor="text1"/>
          <w:sz w:val="24"/>
          <w:szCs w:val="24"/>
          <w:lang w:val="en-GB"/>
        </w:rPr>
        <w:t xml:space="preserve">. The politician most </w:t>
      </w:r>
      <w:r w:rsidRPr="00462F98">
        <w:rPr>
          <w:rFonts w:ascii="Times New Roman" w:hAnsi="Times New Roman" w:cs="Times New Roman"/>
          <w:sz w:val="24"/>
          <w:szCs w:val="24"/>
          <w:lang w:val="en-GB"/>
        </w:rPr>
        <w:t xml:space="preserve">aware of </w:t>
      </w:r>
      <w:r w:rsidR="00DF3A68">
        <w:rPr>
          <w:rFonts w:ascii="Times New Roman" w:hAnsi="Times New Roman" w:cs="Times New Roman"/>
          <w:sz w:val="24"/>
          <w:szCs w:val="24"/>
          <w:lang w:val="en-GB"/>
        </w:rPr>
        <w:t>this new era</w:t>
      </w:r>
      <w:r w:rsidRPr="00462F98">
        <w:rPr>
          <w:rFonts w:ascii="Times New Roman" w:hAnsi="Times New Roman" w:cs="Times New Roman"/>
          <w:sz w:val="24"/>
          <w:szCs w:val="24"/>
          <w:lang w:val="en-GB"/>
        </w:rPr>
        <w:t xml:space="preserve"> was </w:t>
      </w:r>
      <w:proofErr w:type="spellStart"/>
      <w:r w:rsidRPr="00462F98">
        <w:rPr>
          <w:rFonts w:ascii="Times New Roman" w:hAnsi="Times New Roman" w:cs="Times New Roman"/>
          <w:sz w:val="24"/>
          <w:szCs w:val="24"/>
          <w:lang w:val="en-GB"/>
        </w:rPr>
        <w:t>Charilaos</w:t>
      </w:r>
      <w:proofErr w:type="spellEnd"/>
      <w:r w:rsidRPr="00462F98">
        <w:rPr>
          <w:rFonts w:ascii="Times New Roman" w:hAnsi="Times New Roman" w:cs="Times New Roman"/>
          <w:sz w:val="24"/>
          <w:szCs w:val="24"/>
          <w:lang w:val="en-GB"/>
        </w:rPr>
        <w:t xml:space="preserve"> </w:t>
      </w:r>
      <w:proofErr w:type="spellStart"/>
      <w:r w:rsidRPr="00462F98">
        <w:rPr>
          <w:rFonts w:ascii="Times New Roman" w:hAnsi="Times New Roman" w:cs="Times New Roman"/>
          <w:sz w:val="24"/>
          <w:szCs w:val="24"/>
          <w:lang w:val="en-GB"/>
        </w:rPr>
        <w:t>Trikoupis</w:t>
      </w:r>
      <w:proofErr w:type="spellEnd"/>
      <w:r w:rsidRPr="00462F98">
        <w:rPr>
          <w:rFonts w:ascii="Times New Roman" w:hAnsi="Times New Roman" w:cs="Times New Roman"/>
          <w:sz w:val="24"/>
          <w:szCs w:val="24"/>
          <w:lang w:val="en-GB"/>
        </w:rPr>
        <w:t xml:space="preserve"> (1832-1896), the six-time prime minister (1875, 1878, 1880, 1882-85, 1887-90, 1892-95) and dominant political figure of the time. </w:t>
      </w:r>
      <w:proofErr w:type="spellStart"/>
      <w:r w:rsidRPr="00462F98">
        <w:rPr>
          <w:rFonts w:ascii="Times New Roman" w:hAnsi="Times New Roman" w:cs="Times New Roman"/>
          <w:sz w:val="24"/>
          <w:szCs w:val="24"/>
          <w:lang w:val="en-GB"/>
        </w:rPr>
        <w:t>Trikoupis</w:t>
      </w:r>
      <w:proofErr w:type="spellEnd"/>
      <w:r w:rsidRPr="00462F98">
        <w:rPr>
          <w:rFonts w:ascii="Times New Roman" w:hAnsi="Times New Roman" w:cs="Times New Roman"/>
          <w:sz w:val="24"/>
          <w:szCs w:val="24"/>
          <w:lang w:val="en-GB"/>
        </w:rPr>
        <w:t xml:space="preserve"> shared th</w:t>
      </w:r>
      <w:r w:rsidR="00437375" w:rsidRPr="00462F98">
        <w:rPr>
          <w:rFonts w:ascii="Times New Roman" w:hAnsi="Times New Roman" w:cs="Times New Roman"/>
          <w:sz w:val="24"/>
          <w:szCs w:val="24"/>
          <w:lang w:val="en-GB"/>
        </w:rPr>
        <w:t xml:space="preserve">e irredentist agenda of </w:t>
      </w:r>
      <w:r w:rsidRPr="00462F98">
        <w:rPr>
          <w:rFonts w:ascii="Times New Roman" w:hAnsi="Times New Roman" w:cs="Times New Roman"/>
          <w:sz w:val="24"/>
          <w:szCs w:val="24"/>
          <w:lang w:val="en-GB"/>
        </w:rPr>
        <w:t>his compatriots, but thought it could only be achieved by co-operating with the so-called Great Powers (</w:t>
      </w:r>
      <w:proofErr w:type="spellStart"/>
      <w:r w:rsidR="00A638B6">
        <w:rPr>
          <w:rFonts w:ascii="Times New Roman" w:hAnsi="Times New Roman" w:cs="Times New Roman"/>
          <w:sz w:val="24"/>
          <w:szCs w:val="24"/>
          <w:lang w:val="en-GB"/>
        </w:rPr>
        <w:t>μεγάλε</w:t>
      </w:r>
      <w:r w:rsidR="00437375" w:rsidRPr="00462F98">
        <w:rPr>
          <w:rFonts w:ascii="Times New Roman" w:hAnsi="Times New Roman" w:cs="Times New Roman"/>
          <w:sz w:val="24"/>
          <w:szCs w:val="24"/>
          <w:lang w:val="en-GB"/>
        </w:rPr>
        <w:t>ς</w:t>
      </w:r>
      <w:proofErr w:type="spellEnd"/>
      <w:r w:rsidR="00437375" w:rsidRPr="00462F98">
        <w:rPr>
          <w:rFonts w:ascii="Times New Roman" w:hAnsi="Times New Roman" w:cs="Times New Roman"/>
          <w:sz w:val="24"/>
          <w:szCs w:val="24"/>
          <w:lang w:val="en-GB"/>
        </w:rPr>
        <w:t xml:space="preserve"> </w:t>
      </w:r>
      <w:proofErr w:type="spellStart"/>
      <w:r w:rsidR="00437375" w:rsidRPr="00462F98">
        <w:rPr>
          <w:rFonts w:ascii="Times New Roman" w:hAnsi="Times New Roman" w:cs="Times New Roman"/>
          <w:sz w:val="24"/>
          <w:szCs w:val="24"/>
          <w:lang w:val="en-GB"/>
        </w:rPr>
        <w:t>δυνάμεις</w:t>
      </w:r>
      <w:proofErr w:type="spellEnd"/>
      <w:r w:rsidRPr="00462F98">
        <w:rPr>
          <w:rFonts w:ascii="Times New Roman" w:hAnsi="Times New Roman" w:cs="Times New Roman"/>
          <w:sz w:val="24"/>
          <w:szCs w:val="24"/>
          <w:lang w:val="en-GB"/>
        </w:rPr>
        <w:t>), namely Britain, France and Germany, as well as modernizing the state and the economy</w:t>
      </w:r>
      <w:r w:rsidR="00DF3A68">
        <w:rPr>
          <w:rFonts w:ascii="Times New Roman" w:hAnsi="Times New Roman" w:cs="Times New Roman"/>
          <w:sz w:val="24"/>
          <w:szCs w:val="24"/>
          <w:lang w:val="en-GB"/>
        </w:rPr>
        <w:t xml:space="preserve"> </w:t>
      </w:r>
      <w:r w:rsidR="00DF3A68" w:rsidRPr="00462F98">
        <w:rPr>
          <w:rFonts w:ascii="Times New Roman" w:hAnsi="Times New Roman" w:cs="Times New Roman"/>
          <w:sz w:val="24"/>
          <w:szCs w:val="24"/>
          <w:lang w:val="en-GB"/>
        </w:rPr>
        <w:t>(</w:t>
      </w:r>
      <w:proofErr w:type="spellStart"/>
      <w:r w:rsidR="00DF3A68" w:rsidRPr="00462F98">
        <w:rPr>
          <w:rFonts w:ascii="Times New Roman" w:hAnsi="Times New Roman" w:cs="Times New Roman"/>
          <w:color w:val="000000" w:themeColor="text1"/>
          <w:sz w:val="24"/>
          <w:szCs w:val="24"/>
          <w:lang w:val="en-GB"/>
        </w:rPr>
        <w:t>Aroni-Tsichli</w:t>
      </w:r>
      <w:proofErr w:type="spellEnd"/>
      <w:r w:rsidR="00DF3A68" w:rsidRPr="00462F98">
        <w:rPr>
          <w:rFonts w:ascii="Times New Roman" w:hAnsi="Times New Roman" w:cs="Times New Roman"/>
          <w:color w:val="000000" w:themeColor="text1"/>
          <w:sz w:val="24"/>
          <w:szCs w:val="24"/>
          <w:lang w:val="en-GB"/>
        </w:rPr>
        <w:t xml:space="preserve"> 2000</w:t>
      </w:r>
      <w:r w:rsidR="00DF3A68"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Starting in the 1880s and financed with six major bond issues (four of which under his premiership), he presided over large infrastructure projects many of which </w:t>
      </w:r>
      <w:r w:rsidR="00AA04C8" w:rsidRPr="00462F98">
        <w:rPr>
          <w:rFonts w:ascii="Times New Roman" w:hAnsi="Times New Roman" w:cs="Times New Roman"/>
          <w:sz w:val="24"/>
          <w:szCs w:val="24"/>
          <w:lang w:val="en-GB"/>
        </w:rPr>
        <w:t>also had a</w:t>
      </w:r>
      <w:r w:rsidRPr="00462F98">
        <w:rPr>
          <w:rFonts w:ascii="Times New Roman" w:hAnsi="Times New Roman" w:cs="Times New Roman"/>
          <w:sz w:val="24"/>
          <w:szCs w:val="24"/>
          <w:lang w:val="en-GB"/>
        </w:rPr>
        <w:t xml:space="preserve"> military motive</w:t>
      </w:r>
      <w:r w:rsidR="00AA04C8" w:rsidRPr="00462F98">
        <w:rPr>
          <w:rFonts w:ascii="Times New Roman" w:hAnsi="Times New Roman" w:cs="Times New Roman"/>
          <w:sz w:val="24"/>
          <w:szCs w:val="24"/>
          <w:lang w:val="en-GB"/>
        </w:rPr>
        <w:t xml:space="preserve"> (Kostis 2014: 459-464)</w:t>
      </w:r>
      <w:r w:rsidRPr="00462F98">
        <w:rPr>
          <w:rFonts w:ascii="Times New Roman" w:hAnsi="Times New Roman" w:cs="Times New Roman"/>
          <w:sz w:val="24"/>
          <w:szCs w:val="24"/>
          <w:lang w:val="en-GB"/>
        </w:rPr>
        <w:t xml:space="preserve">. </w:t>
      </w:r>
      <w:proofErr w:type="spellStart"/>
      <w:r w:rsidRPr="00462F98">
        <w:rPr>
          <w:rFonts w:ascii="Times New Roman" w:hAnsi="Times New Roman" w:cs="Times New Roman"/>
          <w:sz w:val="24"/>
          <w:szCs w:val="24"/>
          <w:lang w:val="en-GB"/>
        </w:rPr>
        <w:t>Trikoupis</w:t>
      </w:r>
      <w:proofErr w:type="spellEnd"/>
      <w:r w:rsidRPr="00462F98">
        <w:rPr>
          <w:rFonts w:ascii="Times New Roman" w:hAnsi="Times New Roman" w:cs="Times New Roman"/>
          <w:sz w:val="24"/>
          <w:szCs w:val="24"/>
          <w:lang w:val="en-GB"/>
        </w:rPr>
        <w:t xml:space="preserve"> was convinced that the military threat and the territorial opportunities were so large that defici</w:t>
      </w:r>
      <w:r w:rsidR="00AA04C8" w:rsidRPr="00462F98">
        <w:rPr>
          <w:rFonts w:ascii="Times New Roman" w:hAnsi="Times New Roman" w:cs="Times New Roman"/>
          <w:sz w:val="24"/>
          <w:szCs w:val="24"/>
          <w:lang w:val="en-GB"/>
        </w:rPr>
        <w:t>t financing was the only option: “It is better to have a budget deficit in 1877 but a well-equipped military; rather than a balanced budget but a poorly prepared military.”</w:t>
      </w:r>
      <w:r w:rsidRPr="00462F98">
        <w:rPr>
          <w:rFonts w:ascii="Times New Roman" w:hAnsi="Times New Roman" w:cs="Times New Roman"/>
          <w:sz w:val="24"/>
          <w:szCs w:val="24"/>
          <w:lang w:val="en-GB"/>
        </w:rPr>
        <w:t xml:space="preserve"> </w:t>
      </w:r>
      <w:r w:rsidR="00AA04C8" w:rsidRPr="00462F98">
        <w:rPr>
          <w:rFonts w:ascii="Times New Roman" w:hAnsi="Times New Roman" w:cs="Times New Roman"/>
          <w:color w:val="000000" w:themeColor="text1"/>
          <w:sz w:val="24"/>
          <w:szCs w:val="24"/>
          <w:lang w:val="en-GB"/>
        </w:rPr>
        <w:t xml:space="preserve">(quoted after </w:t>
      </w:r>
      <w:proofErr w:type="spellStart"/>
      <w:r w:rsidR="00AA04C8" w:rsidRPr="00462F98">
        <w:rPr>
          <w:rFonts w:ascii="Times New Roman" w:hAnsi="Times New Roman" w:cs="Times New Roman"/>
          <w:color w:val="000000" w:themeColor="text1"/>
          <w:sz w:val="24"/>
          <w:szCs w:val="24"/>
          <w:lang w:val="en-GB"/>
        </w:rPr>
        <w:t>Psalidopoulos&amp;Schönhärl</w:t>
      </w:r>
      <w:proofErr w:type="spellEnd"/>
      <w:r w:rsidR="00AA04C8" w:rsidRPr="00462F98">
        <w:rPr>
          <w:rFonts w:ascii="Times New Roman" w:hAnsi="Times New Roman" w:cs="Times New Roman"/>
          <w:color w:val="000000" w:themeColor="text1"/>
          <w:sz w:val="24"/>
          <w:szCs w:val="24"/>
          <w:lang w:val="en-GB"/>
        </w:rPr>
        <w:t xml:space="preserve"> 2013: 157). </w:t>
      </w:r>
      <w:r w:rsidRPr="00462F98">
        <w:rPr>
          <w:rFonts w:ascii="Times New Roman" w:hAnsi="Times New Roman" w:cs="Times New Roman"/>
          <w:color w:val="000000" w:themeColor="text1"/>
          <w:sz w:val="24"/>
          <w:szCs w:val="24"/>
          <w:lang w:val="en-GB"/>
        </w:rPr>
        <w:t xml:space="preserve"> </w:t>
      </w:r>
    </w:p>
    <w:p w:rsidR="00544E98" w:rsidRDefault="00267447" w:rsidP="002905EF">
      <w:pPr>
        <w:spacing w:after="0"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544E98" w:rsidRPr="00462F98">
        <w:rPr>
          <w:rFonts w:ascii="Times New Roman" w:hAnsi="Times New Roman" w:cs="Times New Roman"/>
          <w:sz w:val="24"/>
          <w:szCs w:val="24"/>
          <w:lang w:val="en-GB"/>
        </w:rPr>
        <w:t>his bold polic</w:t>
      </w:r>
      <w:r w:rsidR="00AA04C8" w:rsidRPr="00462F98">
        <w:rPr>
          <w:rFonts w:ascii="Times New Roman" w:hAnsi="Times New Roman" w:cs="Times New Roman"/>
          <w:sz w:val="24"/>
          <w:szCs w:val="24"/>
          <w:lang w:val="en-GB"/>
        </w:rPr>
        <w:t>y required convincing foreign investors</w:t>
      </w:r>
      <w:r w:rsidR="00544E98" w:rsidRPr="00462F98">
        <w:rPr>
          <w:rFonts w:ascii="Times New Roman" w:hAnsi="Times New Roman" w:cs="Times New Roman"/>
          <w:sz w:val="24"/>
          <w:szCs w:val="24"/>
          <w:lang w:val="en-GB"/>
        </w:rPr>
        <w:t xml:space="preserve"> of debt sustainability: overhauling the system of taxation – to cover annual interest payments – and re-establishing the gold link – in order to avoid </w:t>
      </w:r>
      <w:r w:rsidR="00AA04C8" w:rsidRPr="00462F98">
        <w:rPr>
          <w:rFonts w:ascii="Times New Roman" w:hAnsi="Times New Roman" w:cs="Times New Roman"/>
          <w:sz w:val="24"/>
          <w:szCs w:val="24"/>
          <w:lang w:val="en-GB"/>
        </w:rPr>
        <w:t xml:space="preserve">a </w:t>
      </w:r>
      <w:r w:rsidR="00544E98" w:rsidRPr="00462F98">
        <w:rPr>
          <w:rFonts w:ascii="Times New Roman" w:hAnsi="Times New Roman" w:cs="Times New Roman"/>
          <w:sz w:val="24"/>
          <w:szCs w:val="24"/>
          <w:lang w:val="en-GB"/>
        </w:rPr>
        <w:t xml:space="preserve">currency mismatch – became the domestic cornerstones of </w:t>
      </w:r>
      <w:r w:rsidR="00544E98" w:rsidRPr="002519AF">
        <w:rPr>
          <w:rFonts w:ascii="Times New Roman" w:hAnsi="Times New Roman" w:cs="Times New Roman"/>
          <w:color w:val="000000" w:themeColor="text1"/>
          <w:sz w:val="24"/>
          <w:szCs w:val="24"/>
          <w:lang w:val="en-GB"/>
        </w:rPr>
        <w:t>his policies.</w:t>
      </w:r>
      <w:r w:rsidR="002905EF" w:rsidRPr="002519AF">
        <w:rPr>
          <w:rFonts w:ascii="Times New Roman" w:hAnsi="Times New Roman" w:cs="Times New Roman"/>
          <w:color w:val="000000" w:themeColor="text1"/>
          <w:sz w:val="24"/>
          <w:szCs w:val="24"/>
          <w:lang w:val="en-GB"/>
        </w:rPr>
        <w:t xml:space="preserve"> </w:t>
      </w:r>
      <w:proofErr w:type="spellStart"/>
      <w:r w:rsidR="00DF3A68">
        <w:rPr>
          <w:rFonts w:ascii="Times New Roman" w:hAnsi="Times New Roman" w:cs="Times New Roman"/>
          <w:color w:val="000000" w:themeColor="text1"/>
          <w:sz w:val="24"/>
          <w:szCs w:val="24"/>
          <w:lang w:val="en-GB"/>
        </w:rPr>
        <w:t>Trikoupis</w:t>
      </w:r>
      <w:proofErr w:type="spellEnd"/>
      <w:r w:rsidR="00544E98" w:rsidRPr="00462F98">
        <w:rPr>
          <w:rFonts w:ascii="Times New Roman" w:hAnsi="Times New Roman" w:cs="Times New Roman"/>
          <w:sz w:val="24"/>
          <w:szCs w:val="24"/>
          <w:lang w:val="en-GB"/>
        </w:rPr>
        <w:t xml:space="preserve"> was moderately successful on both accounts: he increased taxation from 10% of GDP in earlier decades to almost 15% by the late </w:t>
      </w:r>
      <w:r w:rsidR="002905EF" w:rsidRPr="00462F98">
        <w:rPr>
          <w:rFonts w:ascii="Times New Roman" w:hAnsi="Times New Roman" w:cs="Times New Roman"/>
          <w:sz w:val="24"/>
          <w:szCs w:val="24"/>
          <w:lang w:val="en-GB"/>
        </w:rPr>
        <w:t xml:space="preserve">1880s (Kostis 2014: 484) and </w:t>
      </w:r>
      <w:r w:rsidR="00544E98" w:rsidRPr="00462F98">
        <w:rPr>
          <w:rFonts w:ascii="Times New Roman" w:hAnsi="Times New Roman" w:cs="Times New Roman"/>
          <w:sz w:val="24"/>
          <w:szCs w:val="24"/>
          <w:lang w:val="en-GB"/>
        </w:rPr>
        <w:t>introd</w:t>
      </w:r>
      <w:r w:rsidR="00E36393" w:rsidRPr="00462F98">
        <w:rPr>
          <w:rFonts w:ascii="Times New Roman" w:hAnsi="Times New Roman" w:cs="Times New Roman"/>
          <w:sz w:val="24"/>
          <w:szCs w:val="24"/>
          <w:lang w:val="en-GB"/>
        </w:rPr>
        <w:t>uced gold convertibility in 1885</w:t>
      </w:r>
      <w:r w:rsidR="00544E98" w:rsidRPr="00462F98">
        <w:rPr>
          <w:rFonts w:ascii="Times New Roman" w:hAnsi="Times New Roman" w:cs="Times New Roman"/>
          <w:sz w:val="24"/>
          <w:szCs w:val="24"/>
          <w:lang w:val="en-GB"/>
        </w:rPr>
        <w:t xml:space="preserve"> (which, however, was soon suspended </w:t>
      </w:r>
      <w:r>
        <w:rPr>
          <w:rFonts w:ascii="Times New Roman" w:hAnsi="Times New Roman" w:cs="Times New Roman"/>
          <w:sz w:val="24"/>
          <w:szCs w:val="24"/>
          <w:lang w:val="en-GB"/>
        </w:rPr>
        <w:t xml:space="preserve">due to </w:t>
      </w:r>
      <w:r w:rsidR="00544E98" w:rsidRPr="00462F98">
        <w:rPr>
          <w:rFonts w:ascii="Times New Roman" w:hAnsi="Times New Roman" w:cs="Times New Roman"/>
          <w:sz w:val="24"/>
          <w:szCs w:val="24"/>
          <w:lang w:val="en-GB"/>
        </w:rPr>
        <w:t>the 1885 Bulgarian crisis</w:t>
      </w:r>
      <w:r w:rsidR="00E36393" w:rsidRPr="00462F98">
        <w:rPr>
          <w:rFonts w:ascii="Times New Roman" w:hAnsi="Times New Roman" w:cs="Times New Roman"/>
          <w:sz w:val="24"/>
          <w:szCs w:val="24"/>
          <w:lang w:val="en-GB"/>
        </w:rPr>
        <w:t xml:space="preserve">, </w:t>
      </w:r>
      <w:proofErr w:type="spellStart"/>
      <w:r w:rsidR="00E36393" w:rsidRPr="00462F98">
        <w:rPr>
          <w:rFonts w:ascii="Times New Roman" w:hAnsi="Times New Roman" w:cs="Times New Roman"/>
          <w:sz w:val="24"/>
          <w:szCs w:val="24"/>
          <w:lang w:val="en-GB"/>
        </w:rPr>
        <w:t>Lazaretou</w:t>
      </w:r>
      <w:proofErr w:type="spellEnd"/>
      <w:r w:rsidR="00E36393" w:rsidRPr="00462F98">
        <w:rPr>
          <w:rFonts w:ascii="Times New Roman" w:hAnsi="Times New Roman" w:cs="Times New Roman"/>
          <w:sz w:val="24"/>
          <w:szCs w:val="24"/>
          <w:lang w:val="en-GB"/>
        </w:rPr>
        <w:t xml:space="preserve"> 2005: 222</w:t>
      </w:r>
      <w:r w:rsidR="00544E98" w:rsidRPr="00462F98">
        <w:rPr>
          <w:rFonts w:ascii="Times New Roman" w:hAnsi="Times New Roman" w:cs="Times New Roman"/>
          <w:sz w:val="24"/>
          <w:szCs w:val="24"/>
          <w:lang w:val="en-GB"/>
        </w:rPr>
        <w:t>). The main obstacle was that raising taxes was difficult, as the farming population – more than 80% of the electorate</w:t>
      </w:r>
      <w:r w:rsidR="00985034">
        <w:rPr>
          <w:rFonts w:ascii="Times New Roman" w:hAnsi="Times New Roman" w:cs="Times New Roman"/>
          <w:sz w:val="24"/>
          <w:szCs w:val="24"/>
          <w:lang w:val="en-GB"/>
        </w:rPr>
        <w:t xml:space="preserve"> </w:t>
      </w:r>
      <w:r w:rsidR="00544E98" w:rsidRPr="00462F98">
        <w:rPr>
          <w:rFonts w:ascii="Times New Roman" w:hAnsi="Times New Roman" w:cs="Times New Roman"/>
          <w:sz w:val="24"/>
          <w:szCs w:val="24"/>
          <w:lang w:val="en-GB"/>
        </w:rPr>
        <w:t xml:space="preserve">– successfully pushed for a reduction of their tax burden (abolition of the tithe in 1880, </w:t>
      </w:r>
      <w:r w:rsidR="00544E98" w:rsidRPr="00462F98">
        <w:rPr>
          <w:rFonts w:ascii="Times New Roman" w:hAnsi="Times New Roman" w:cs="Times New Roman"/>
          <w:color w:val="000000" w:themeColor="text1"/>
          <w:sz w:val="24"/>
          <w:szCs w:val="24"/>
          <w:lang w:val="en-GB"/>
        </w:rPr>
        <w:t>Kostis 2014</w:t>
      </w:r>
      <w:r w:rsidR="00E36393" w:rsidRPr="00462F98">
        <w:rPr>
          <w:rFonts w:ascii="Times New Roman" w:hAnsi="Times New Roman" w:cs="Times New Roman"/>
          <w:color w:val="000000" w:themeColor="text1"/>
          <w:sz w:val="24"/>
          <w:szCs w:val="24"/>
          <w:lang w:val="en-GB"/>
        </w:rPr>
        <w:t>: 481-486</w:t>
      </w:r>
      <w:r w:rsidR="00544E98" w:rsidRPr="00462F98">
        <w:rPr>
          <w:rFonts w:ascii="Times New Roman" w:hAnsi="Times New Roman" w:cs="Times New Roman"/>
          <w:color w:val="000000" w:themeColor="text1"/>
          <w:sz w:val="24"/>
          <w:szCs w:val="24"/>
          <w:lang w:val="en-GB"/>
        </w:rPr>
        <w:t xml:space="preserve">). </w:t>
      </w:r>
      <w:r w:rsidR="00544E98" w:rsidRPr="00462F98">
        <w:rPr>
          <w:rFonts w:ascii="Times New Roman" w:hAnsi="Times New Roman" w:cs="Times New Roman"/>
          <w:sz w:val="24"/>
          <w:szCs w:val="24"/>
          <w:lang w:val="en-GB"/>
        </w:rPr>
        <w:t xml:space="preserve">Shifting taxation towards the small urban centres was the only option available. </w:t>
      </w:r>
    </w:p>
    <w:p w:rsidR="00DF3A68" w:rsidRPr="0037616A" w:rsidRDefault="00DF3A68" w:rsidP="00570392">
      <w:pPr>
        <w:spacing w:after="0" w:line="360" w:lineRule="auto"/>
        <w:ind w:firstLine="720"/>
        <w:jc w:val="both"/>
        <w:rPr>
          <w:rFonts w:ascii="Times New Roman" w:hAnsi="Times New Roman" w:cs="Times New Roman"/>
          <w:color w:val="000000" w:themeColor="text1"/>
          <w:sz w:val="24"/>
          <w:szCs w:val="24"/>
          <w:lang w:val="en-GB"/>
        </w:rPr>
      </w:pPr>
      <w:r w:rsidRPr="0037616A">
        <w:rPr>
          <w:rFonts w:ascii="Times New Roman" w:hAnsi="Times New Roman" w:cs="Times New Roman"/>
          <w:color w:val="000000" w:themeColor="text1"/>
          <w:sz w:val="24"/>
          <w:szCs w:val="24"/>
          <w:lang w:val="en-GB"/>
        </w:rPr>
        <w:t xml:space="preserve">Why exactly did </w:t>
      </w:r>
      <w:proofErr w:type="spellStart"/>
      <w:r w:rsidRPr="0037616A">
        <w:rPr>
          <w:rFonts w:ascii="Times New Roman" w:hAnsi="Times New Roman" w:cs="Times New Roman"/>
          <w:color w:val="000000" w:themeColor="text1"/>
          <w:sz w:val="24"/>
          <w:szCs w:val="24"/>
          <w:lang w:val="en-GB"/>
        </w:rPr>
        <w:t>Trikoupis</w:t>
      </w:r>
      <w:proofErr w:type="spellEnd"/>
      <w:r w:rsidRPr="0037616A">
        <w:rPr>
          <w:rFonts w:ascii="Times New Roman" w:hAnsi="Times New Roman" w:cs="Times New Roman"/>
          <w:color w:val="000000" w:themeColor="text1"/>
          <w:sz w:val="24"/>
          <w:szCs w:val="24"/>
          <w:lang w:val="en-GB"/>
        </w:rPr>
        <w:t xml:space="preserve"> want to join the gold standard? We mentioned above that the international literature has focused on economic reasons (in the spirit of </w:t>
      </w:r>
      <w:proofErr w:type="spellStart"/>
      <w:r w:rsidRPr="0037616A">
        <w:rPr>
          <w:rFonts w:ascii="Times New Roman" w:hAnsi="Times New Roman" w:cs="Times New Roman"/>
          <w:color w:val="000000" w:themeColor="text1"/>
          <w:sz w:val="24"/>
          <w:szCs w:val="24"/>
          <w:lang w:val="en-GB"/>
        </w:rPr>
        <w:t>Bordo&amp;Rockoff</w:t>
      </w:r>
      <w:proofErr w:type="spellEnd"/>
      <w:r w:rsidRPr="0037616A">
        <w:rPr>
          <w:rFonts w:ascii="Times New Roman" w:hAnsi="Times New Roman" w:cs="Times New Roman"/>
          <w:color w:val="000000" w:themeColor="text1"/>
          <w:sz w:val="24"/>
          <w:szCs w:val="24"/>
          <w:lang w:val="en-GB"/>
        </w:rPr>
        <w:t xml:space="preserve"> 1996), whereas scholars from SEE have stressed </w:t>
      </w:r>
      <w:r w:rsidRPr="0037616A">
        <w:rPr>
          <w:rFonts w:ascii="Times New Roman" w:hAnsi="Times New Roman" w:cs="Times New Roman"/>
          <w:i/>
          <w:color w:val="000000" w:themeColor="text1"/>
          <w:sz w:val="24"/>
          <w:szCs w:val="24"/>
          <w:lang w:val="en-GB"/>
        </w:rPr>
        <w:t>additional</w:t>
      </w:r>
      <w:r w:rsidRPr="0037616A">
        <w:rPr>
          <w:rFonts w:ascii="Times New Roman" w:hAnsi="Times New Roman" w:cs="Times New Roman"/>
          <w:color w:val="000000" w:themeColor="text1"/>
          <w:sz w:val="24"/>
          <w:szCs w:val="24"/>
          <w:lang w:val="en-GB"/>
        </w:rPr>
        <w:t xml:space="preserve"> political factors. The implication of the latter view is that governments would be more determined to establish fixed exchange-rates, and be more inclined to defend them </w:t>
      </w:r>
      <w:r w:rsidR="00FA314E" w:rsidRPr="0037616A">
        <w:rPr>
          <w:rFonts w:ascii="Times New Roman" w:hAnsi="Times New Roman" w:cs="Times New Roman"/>
          <w:color w:val="000000" w:themeColor="text1"/>
          <w:sz w:val="24"/>
          <w:szCs w:val="24"/>
          <w:lang w:val="en-GB"/>
        </w:rPr>
        <w:t xml:space="preserve">vigorously </w:t>
      </w:r>
      <w:r w:rsidRPr="0037616A">
        <w:rPr>
          <w:rFonts w:ascii="Times New Roman" w:hAnsi="Times New Roman" w:cs="Times New Roman"/>
          <w:color w:val="000000" w:themeColor="text1"/>
          <w:sz w:val="24"/>
          <w:szCs w:val="24"/>
          <w:lang w:val="en-GB"/>
        </w:rPr>
        <w:t xml:space="preserve">if they came under pressure. An analysis of </w:t>
      </w:r>
      <w:proofErr w:type="spellStart"/>
      <w:r w:rsidRPr="0037616A">
        <w:rPr>
          <w:rFonts w:ascii="Times New Roman" w:hAnsi="Times New Roman" w:cs="Times New Roman"/>
          <w:color w:val="000000" w:themeColor="text1"/>
          <w:sz w:val="24"/>
          <w:szCs w:val="24"/>
          <w:lang w:val="en-GB"/>
        </w:rPr>
        <w:t>Trikoupis</w:t>
      </w:r>
      <w:proofErr w:type="spellEnd"/>
      <w:r w:rsidRPr="0037616A">
        <w:rPr>
          <w:rFonts w:ascii="Times New Roman" w:hAnsi="Times New Roman" w:cs="Times New Roman"/>
          <w:color w:val="000000" w:themeColor="text1"/>
          <w:sz w:val="24"/>
          <w:szCs w:val="24"/>
          <w:lang w:val="en-GB"/>
        </w:rPr>
        <w:t xml:space="preserve">’ </w:t>
      </w:r>
      <w:r w:rsidR="00985034">
        <w:rPr>
          <w:rFonts w:ascii="Times New Roman" w:hAnsi="Times New Roman" w:cs="Times New Roman"/>
          <w:color w:val="000000" w:themeColor="text1"/>
          <w:sz w:val="24"/>
          <w:szCs w:val="24"/>
          <w:lang w:val="en-GB"/>
        </w:rPr>
        <w:t xml:space="preserve">parliamentary </w:t>
      </w:r>
      <w:r w:rsidRPr="0037616A">
        <w:rPr>
          <w:rFonts w:ascii="Times New Roman" w:hAnsi="Times New Roman" w:cs="Times New Roman"/>
          <w:color w:val="000000" w:themeColor="text1"/>
          <w:sz w:val="24"/>
          <w:szCs w:val="24"/>
          <w:lang w:val="en-GB"/>
        </w:rPr>
        <w:t xml:space="preserve">speeches reveals that the bulk of the arguments was economic. He routinely mentions that gold standard membership will help attract foreign capital and avoid a currency mismatch. On occasions </w:t>
      </w:r>
      <w:proofErr w:type="spellStart"/>
      <w:r w:rsidRPr="0037616A">
        <w:rPr>
          <w:rFonts w:ascii="Times New Roman" w:hAnsi="Times New Roman" w:cs="Times New Roman"/>
          <w:color w:val="000000" w:themeColor="text1"/>
          <w:sz w:val="24"/>
          <w:szCs w:val="24"/>
          <w:lang w:val="en-GB"/>
        </w:rPr>
        <w:t>Trikoupis</w:t>
      </w:r>
      <w:proofErr w:type="spellEnd"/>
      <w:r w:rsidRPr="0037616A">
        <w:rPr>
          <w:rFonts w:ascii="Times New Roman" w:hAnsi="Times New Roman" w:cs="Times New Roman"/>
          <w:color w:val="000000" w:themeColor="text1"/>
          <w:sz w:val="24"/>
          <w:szCs w:val="24"/>
          <w:lang w:val="en-GB"/>
        </w:rPr>
        <w:t xml:space="preserve"> ventures beyond economics, e.g., when he exclaims that joining gold ”is not only material revival, </w:t>
      </w:r>
      <w:r w:rsidR="00617973" w:rsidRPr="0037616A">
        <w:rPr>
          <w:rFonts w:ascii="Times New Roman" w:hAnsi="Times New Roman" w:cs="Times New Roman"/>
          <w:color w:val="000000" w:themeColor="text1"/>
          <w:sz w:val="24"/>
          <w:szCs w:val="24"/>
          <w:lang w:val="en-GB"/>
        </w:rPr>
        <w:t>but also moral progress” (p. 30</w:t>
      </w:r>
      <w:r w:rsidRPr="0037616A">
        <w:rPr>
          <w:rFonts w:ascii="Times New Roman" w:hAnsi="Times New Roman" w:cs="Times New Roman"/>
          <w:color w:val="000000" w:themeColor="text1"/>
          <w:sz w:val="24"/>
          <w:szCs w:val="24"/>
          <w:lang w:val="en-GB"/>
        </w:rPr>
        <w:t xml:space="preserve">), or when he argues that the gold standard is meant “to bring Greece to the </w:t>
      </w:r>
      <w:r w:rsidRPr="0037616A">
        <w:rPr>
          <w:rFonts w:ascii="Times New Roman" w:hAnsi="Times New Roman" w:cs="Times New Roman"/>
          <w:color w:val="000000" w:themeColor="text1"/>
          <w:sz w:val="24"/>
          <w:szCs w:val="24"/>
          <w:lang w:val="en-GB"/>
        </w:rPr>
        <w:lastRenderedPageBreak/>
        <w:t>level of other civilised states” (</w:t>
      </w:r>
      <w:r w:rsidR="00617973" w:rsidRPr="0037616A">
        <w:rPr>
          <w:rFonts w:ascii="Times New Roman" w:hAnsi="Times New Roman" w:cs="Times New Roman"/>
          <w:color w:val="000000" w:themeColor="text1"/>
          <w:sz w:val="24"/>
          <w:szCs w:val="24"/>
          <w:lang w:val="en-GB"/>
        </w:rPr>
        <w:t>p. 30</w:t>
      </w:r>
      <w:r w:rsidRPr="0037616A">
        <w:rPr>
          <w:rFonts w:ascii="Times New Roman" w:hAnsi="Times New Roman" w:cs="Times New Roman"/>
          <w:color w:val="000000" w:themeColor="text1"/>
          <w:sz w:val="24"/>
          <w:szCs w:val="24"/>
          <w:lang w:val="en-GB"/>
        </w:rPr>
        <w:t xml:space="preserve">: </w:t>
      </w:r>
      <w:r w:rsidRPr="00A41BEE">
        <w:rPr>
          <w:rFonts w:ascii="Times New Roman" w:hAnsi="Times New Roman" w:cs="Times New Roman"/>
          <w:color w:val="000000" w:themeColor="text1"/>
          <w:sz w:val="24"/>
          <w:szCs w:val="24"/>
          <w:lang w:val="el-GR"/>
        </w:rPr>
        <w:t>πεπολιτισμένα</w:t>
      </w:r>
      <w:r w:rsidRPr="0037616A">
        <w:rPr>
          <w:rFonts w:ascii="Times New Roman" w:hAnsi="Times New Roman" w:cs="Times New Roman"/>
          <w:color w:val="000000" w:themeColor="text1"/>
          <w:sz w:val="24"/>
          <w:szCs w:val="24"/>
          <w:lang w:val="en-GB"/>
        </w:rPr>
        <w:t xml:space="preserve"> </w:t>
      </w:r>
      <w:r w:rsidRPr="00A41BEE">
        <w:rPr>
          <w:rFonts w:ascii="Times New Roman" w:hAnsi="Times New Roman" w:cs="Times New Roman"/>
          <w:color w:val="000000" w:themeColor="text1"/>
          <w:sz w:val="24"/>
          <w:szCs w:val="24"/>
          <w:lang w:val="el-GR"/>
        </w:rPr>
        <w:t>κράτη</w:t>
      </w:r>
      <w:r w:rsidRPr="0037616A">
        <w:rPr>
          <w:rFonts w:ascii="Times New Roman" w:hAnsi="Times New Roman" w:cs="Times New Roman"/>
          <w:color w:val="000000" w:themeColor="text1"/>
          <w:sz w:val="24"/>
          <w:szCs w:val="24"/>
          <w:lang w:val="en-GB"/>
        </w:rPr>
        <w:t>).</w:t>
      </w:r>
      <w:r w:rsidR="00617973" w:rsidRPr="00A41BEE">
        <w:rPr>
          <w:rStyle w:val="FootnoteReference"/>
          <w:rFonts w:ascii="Times New Roman" w:hAnsi="Times New Roman" w:cs="Times New Roman"/>
          <w:color w:val="000000" w:themeColor="text1"/>
          <w:sz w:val="24"/>
          <w:szCs w:val="24"/>
        </w:rPr>
        <w:footnoteReference w:id="4"/>
      </w:r>
      <w:r w:rsidRPr="0037616A">
        <w:rPr>
          <w:rFonts w:ascii="Times New Roman" w:hAnsi="Times New Roman" w:cs="Times New Roman"/>
          <w:color w:val="000000" w:themeColor="text1"/>
          <w:sz w:val="24"/>
          <w:szCs w:val="24"/>
          <w:lang w:val="en-GB"/>
        </w:rPr>
        <w:t xml:space="preserve"> Yet it remains unclear whether such sporadic statements were </w:t>
      </w:r>
      <w:r w:rsidR="00FA314E" w:rsidRPr="0037616A">
        <w:rPr>
          <w:rFonts w:ascii="Times New Roman" w:hAnsi="Times New Roman" w:cs="Times New Roman"/>
          <w:color w:val="000000" w:themeColor="text1"/>
          <w:sz w:val="24"/>
          <w:szCs w:val="24"/>
          <w:lang w:val="en-GB"/>
        </w:rPr>
        <w:t xml:space="preserve">pure </w:t>
      </w:r>
      <w:proofErr w:type="spellStart"/>
      <w:r w:rsidR="00FA314E" w:rsidRPr="0037616A">
        <w:rPr>
          <w:rFonts w:ascii="Times New Roman" w:hAnsi="Times New Roman" w:cs="Times New Roman"/>
          <w:color w:val="000000" w:themeColor="text1"/>
          <w:sz w:val="24"/>
          <w:szCs w:val="24"/>
          <w:lang w:val="en-GB"/>
        </w:rPr>
        <w:t>rhetorics</w:t>
      </w:r>
      <w:proofErr w:type="spellEnd"/>
      <w:r w:rsidR="00FA314E" w:rsidRPr="0037616A">
        <w:rPr>
          <w:rFonts w:ascii="Times New Roman" w:hAnsi="Times New Roman" w:cs="Times New Roman"/>
          <w:color w:val="000000" w:themeColor="text1"/>
          <w:sz w:val="24"/>
          <w:szCs w:val="24"/>
          <w:lang w:val="en-GB"/>
        </w:rPr>
        <w:t xml:space="preserve"> </w:t>
      </w:r>
      <w:r w:rsidRPr="0037616A">
        <w:rPr>
          <w:rFonts w:ascii="Times New Roman" w:hAnsi="Times New Roman" w:cs="Times New Roman"/>
          <w:color w:val="000000" w:themeColor="text1"/>
          <w:sz w:val="24"/>
          <w:szCs w:val="24"/>
          <w:lang w:val="en-GB"/>
        </w:rPr>
        <w:t xml:space="preserve">or had the potential to </w:t>
      </w:r>
      <w:r w:rsidR="00985034">
        <w:rPr>
          <w:rFonts w:ascii="Times New Roman" w:hAnsi="Times New Roman" w:cs="Times New Roman"/>
          <w:color w:val="000000" w:themeColor="text1"/>
          <w:sz w:val="24"/>
          <w:szCs w:val="24"/>
          <w:lang w:val="en-GB"/>
        </w:rPr>
        <w:t xml:space="preserve">actually </w:t>
      </w:r>
      <w:r w:rsidRPr="0037616A">
        <w:rPr>
          <w:rFonts w:ascii="Times New Roman" w:hAnsi="Times New Roman" w:cs="Times New Roman"/>
          <w:color w:val="000000" w:themeColor="text1"/>
          <w:sz w:val="24"/>
          <w:szCs w:val="24"/>
          <w:lang w:val="en-GB"/>
        </w:rPr>
        <w:t>drive Greek politics.</w:t>
      </w:r>
    </w:p>
    <w:p w:rsidR="00544E98" w:rsidRPr="002519AF" w:rsidRDefault="00DF3A68" w:rsidP="00570392">
      <w:pPr>
        <w:spacing w:after="0" w:line="360" w:lineRule="auto"/>
        <w:ind w:firstLine="720"/>
        <w:jc w:val="both"/>
        <w:rPr>
          <w:rFonts w:ascii="Times New Roman" w:hAnsi="Times New Roman" w:cs="Times New Roman"/>
          <w:color w:val="000000" w:themeColor="text1"/>
          <w:sz w:val="24"/>
          <w:szCs w:val="24"/>
          <w:lang w:val="en-GB"/>
        </w:rPr>
      </w:pPr>
      <w:r w:rsidRPr="0037616A">
        <w:rPr>
          <w:rFonts w:ascii="Times New Roman" w:hAnsi="Times New Roman" w:cs="Times New Roman"/>
          <w:sz w:val="24"/>
          <w:szCs w:val="24"/>
          <w:lang w:val="en-GB"/>
        </w:rPr>
        <w:t xml:space="preserve">Ultimately, </w:t>
      </w:r>
      <w:proofErr w:type="spellStart"/>
      <w:r w:rsidRPr="0037616A">
        <w:rPr>
          <w:rFonts w:ascii="Times New Roman" w:hAnsi="Times New Roman" w:cs="Times New Roman"/>
          <w:sz w:val="24"/>
          <w:szCs w:val="24"/>
          <w:lang w:val="en-GB"/>
        </w:rPr>
        <w:t>Trikoupis</w:t>
      </w:r>
      <w:proofErr w:type="spellEnd"/>
      <w:r w:rsidRPr="0037616A">
        <w:rPr>
          <w:rFonts w:ascii="Times New Roman" w:hAnsi="Times New Roman" w:cs="Times New Roman"/>
          <w:sz w:val="24"/>
          <w:szCs w:val="24"/>
          <w:lang w:val="en-GB"/>
        </w:rPr>
        <w:t xml:space="preserve"> failed. Resistance to urban tax increases grew and could only be partly bought off by providing public sector jobs (</w:t>
      </w:r>
      <w:proofErr w:type="spellStart"/>
      <w:r w:rsidRPr="0037616A">
        <w:rPr>
          <w:rFonts w:ascii="Times New Roman" w:hAnsi="Times New Roman" w:cs="Times New Roman"/>
          <w:sz w:val="24"/>
          <w:szCs w:val="24"/>
          <w:lang w:val="en-GB"/>
        </w:rPr>
        <w:t>Pepelasis</w:t>
      </w:r>
      <w:proofErr w:type="spellEnd"/>
      <w:r w:rsidRPr="0037616A">
        <w:rPr>
          <w:rFonts w:ascii="Times New Roman" w:hAnsi="Times New Roman" w:cs="Times New Roman"/>
          <w:sz w:val="24"/>
          <w:szCs w:val="24"/>
          <w:lang w:val="en-GB"/>
        </w:rPr>
        <w:t xml:space="preserve"> </w:t>
      </w:r>
      <w:proofErr w:type="spellStart"/>
      <w:r w:rsidRPr="0037616A">
        <w:rPr>
          <w:rFonts w:ascii="Times New Roman" w:hAnsi="Times New Roman" w:cs="Times New Roman"/>
          <w:sz w:val="24"/>
          <w:szCs w:val="24"/>
          <w:lang w:val="en-GB"/>
        </w:rPr>
        <w:t>Minoglou</w:t>
      </w:r>
      <w:proofErr w:type="spellEnd"/>
      <w:r w:rsidRPr="0037616A">
        <w:rPr>
          <w:rFonts w:ascii="Times New Roman" w:hAnsi="Times New Roman" w:cs="Times New Roman"/>
          <w:sz w:val="24"/>
          <w:szCs w:val="24"/>
          <w:lang w:val="en-GB"/>
        </w:rPr>
        <w:t xml:space="preserve"> 1995: 263). </w:t>
      </w:r>
      <w:r w:rsidR="00544E98" w:rsidRPr="002519AF">
        <w:rPr>
          <w:rFonts w:ascii="Times New Roman" w:hAnsi="Times New Roman" w:cs="Times New Roman"/>
          <w:color w:val="000000" w:themeColor="text1"/>
          <w:sz w:val="24"/>
          <w:szCs w:val="24"/>
          <w:lang w:val="en-GB"/>
        </w:rPr>
        <w:t xml:space="preserve">More importantly, it was exploited by an increasingly vocal opposition led by Theodore </w:t>
      </w:r>
      <w:proofErr w:type="spellStart"/>
      <w:r w:rsidR="00544E98" w:rsidRPr="002519AF">
        <w:rPr>
          <w:rFonts w:ascii="Times New Roman" w:hAnsi="Times New Roman" w:cs="Times New Roman"/>
          <w:color w:val="000000" w:themeColor="text1"/>
          <w:sz w:val="24"/>
          <w:szCs w:val="24"/>
          <w:lang w:val="en-GB"/>
        </w:rPr>
        <w:t>Deliyannis</w:t>
      </w:r>
      <w:proofErr w:type="spellEnd"/>
      <w:r w:rsidR="00544E98" w:rsidRPr="002519AF">
        <w:rPr>
          <w:rFonts w:ascii="Times New Roman" w:hAnsi="Times New Roman" w:cs="Times New Roman"/>
          <w:color w:val="000000" w:themeColor="text1"/>
          <w:sz w:val="24"/>
          <w:szCs w:val="24"/>
          <w:lang w:val="en-GB"/>
        </w:rPr>
        <w:t xml:space="preserve"> (</w:t>
      </w:r>
      <w:r w:rsidR="00E36393" w:rsidRPr="002519AF">
        <w:rPr>
          <w:rFonts w:ascii="Times New Roman" w:hAnsi="Times New Roman" w:cs="Times New Roman"/>
          <w:color w:val="000000" w:themeColor="text1"/>
          <w:sz w:val="24"/>
          <w:szCs w:val="24"/>
          <w:lang w:val="en-GB"/>
        </w:rPr>
        <w:t>1820-1905</w:t>
      </w:r>
      <w:r w:rsidR="00544E98" w:rsidRPr="002519AF">
        <w:rPr>
          <w:rFonts w:ascii="Times New Roman" w:hAnsi="Times New Roman" w:cs="Times New Roman"/>
          <w:color w:val="000000" w:themeColor="text1"/>
          <w:sz w:val="24"/>
          <w:szCs w:val="24"/>
          <w:lang w:val="en-GB"/>
        </w:rPr>
        <w:t xml:space="preserve">), the other dominant political figure and </w:t>
      </w:r>
      <w:proofErr w:type="spellStart"/>
      <w:r w:rsidR="00E36393" w:rsidRPr="002519AF">
        <w:rPr>
          <w:rFonts w:ascii="Times New Roman" w:hAnsi="Times New Roman" w:cs="Times New Roman"/>
          <w:color w:val="000000" w:themeColor="text1"/>
          <w:sz w:val="24"/>
          <w:szCs w:val="24"/>
          <w:lang w:val="en-GB"/>
        </w:rPr>
        <w:t>archrival</w:t>
      </w:r>
      <w:proofErr w:type="spellEnd"/>
      <w:r w:rsidR="00E36393" w:rsidRPr="002519AF">
        <w:rPr>
          <w:rFonts w:ascii="Times New Roman" w:hAnsi="Times New Roman" w:cs="Times New Roman"/>
          <w:color w:val="000000" w:themeColor="text1"/>
          <w:sz w:val="24"/>
          <w:szCs w:val="24"/>
          <w:lang w:val="en-GB"/>
        </w:rPr>
        <w:t xml:space="preserve"> of </w:t>
      </w:r>
      <w:proofErr w:type="spellStart"/>
      <w:r w:rsidR="00E36393" w:rsidRPr="002519AF">
        <w:rPr>
          <w:rFonts w:ascii="Times New Roman" w:hAnsi="Times New Roman" w:cs="Times New Roman"/>
          <w:color w:val="000000" w:themeColor="text1"/>
          <w:sz w:val="24"/>
          <w:szCs w:val="24"/>
          <w:lang w:val="en-GB"/>
        </w:rPr>
        <w:t>Trikoupis</w:t>
      </w:r>
      <w:proofErr w:type="spellEnd"/>
      <w:r w:rsidR="002905EF" w:rsidRPr="002519AF">
        <w:rPr>
          <w:rFonts w:ascii="Times New Roman" w:hAnsi="Times New Roman" w:cs="Times New Roman"/>
          <w:color w:val="000000" w:themeColor="text1"/>
          <w:sz w:val="24"/>
          <w:szCs w:val="24"/>
          <w:lang w:val="en-GB"/>
        </w:rPr>
        <w:t>. An analysis of his</w:t>
      </w:r>
      <w:r w:rsidR="00544E98" w:rsidRPr="002519AF">
        <w:rPr>
          <w:rFonts w:ascii="Times New Roman" w:hAnsi="Times New Roman" w:cs="Times New Roman"/>
          <w:color w:val="000000" w:themeColor="text1"/>
          <w:sz w:val="24"/>
          <w:szCs w:val="24"/>
          <w:lang w:val="en-GB"/>
        </w:rPr>
        <w:t xml:space="preserve"> speeches in parliament and actions in government reveals that </w:t>
      </w:r>
      <w:proofErr w:type="spellStart"/>
      <w:r w:rsidR="00544E98" w:rsidRPr="002519AF">
        <w:rPr>
          <w:rFonts w:ascii="Times New Roman" w:hAnsi="Times New Roman" w:cs="Times New Roman"/>
          <w:color w:val="000000" w:themeColor="text1"/>
          <w:sz w:val="24"/>
          <w:szCs w:val="24"/>
          <w:lang w:val="en-GB"/>
        </w:rPr>
        <w:t>Deliyannis</w:t>
      </w:r>
      <w:proofErr w:type="spellEnd"/>
      <w:r w:rsidR="00544E98" w:rsidRPr="002519AF">
        <w:rPr>
          <w:rFonts w:ascii="Times New Roman" w:hAnsi="Times New Roman" w:cs="Times New Roman"/>
          <w:color w:val="000000" w:themeColor="text1"/>
          <w:sz w:val="24"/>
          <w:szCs w:val="24"/>
          <w:lang w:val="en-GB"/>
        </w:rPr>
        <w:t xml:space="preserve"> broadly agreed with the economic policy framework of </w:t>
      </w:r>
      <w:proofErr w:type="spellStart"/>
      <w:r w:rsidR="00544E98" w:rsidRPr="002519AF">
        <w:rPr>
          <w:rFonts w:ascii="Times New Roman" w:hAnsi="Times New Roman" w:cs="Times New Roman"/>
          <w:color w:val="000000" w:themeColor="text1"/>
          <w:sz w:val="24"/>
          <w:szCs w:val="24"/>
          <w:lang w:val="en-GB"/>
        </w:rPr>
        <w:t>Trikoupis</w:t>
      </w:r>
      <w:proofErr w:type="spellEnd"/>
      <w:r w:rsidR="002905EF" w:rsidRPr="002519AF">
        <w:rPr>
          <w:rFonts w:ascii="Times New Roman" w:hAnsi="Times New Roman" w:cs="Times New Roman"/>
          <w:color w:val="000000" w:themeColor="text1"/>
          <w:sz w:val="24"/>
          <w:szCs w:val="24"/>
          <w:lang w:val="en-GB"/>
        </w:rPr>
        <w:t>, including support for the gold standard</w:t>
      </w:r>
      <w:r w:rsidR="008A26BF">
        <w:rPr>
          <w:rFonts w:ascii="Times New Roman" w:hAnsi="Times New Roman" w:cs="Times New Roman"/>
          <w:color w:val="000000" w:themeColor="text1"/>
          <w:sz w:val="24"/>
          <w:szCs w:val="24"/>
          <w:lang w:val="en-GB"/>
        </w:rPr>
        <w:t>.</w:t>
      </w:r>
      <w:r w:rsidR="00A53A9C">
        <w:rPr>
          <w:rStyle w:val="FootnoteReference"/>
          <w:rFonts w:ascii="Times New Roman" w:hAnsi="Times New Roman" w:cs="Times New Roman"/>
          <w:color w:val="000000" w:themeColor="text1"/>
          <w:sz w:val="24"/>
          <w:szCs w:val="24"/>
          <w:lang w:val="en-GB"/>
        </w:rPr>
        <w:footnoteReference w:id="5"/>
      </w:r>
      <w:r w:rsidR="008A26BF">
        <w:rPr>
          <w:rFonts w:ascii="Times New Roman" w:hAnsi="Times New Roman" w:cs="Times New Roman"/>
          <w:color w:val="000000" w:themeColor="text1"/>
          <w:sz w:val="24"/>
          <w:szCs w:val="24"/>
          <w:lang w:val="en-GB"/>
        </w:rPr>
        <w:t xml:space="preserve"> Y</w:t>
      </w:r>
      <w:r w:rsidR="00544E98" w:rsidRPr="002519AF">
        <w:rPr>
          <w:rFonts w:ascii="Times New Roman" w:hAnsi="Times New Roman" w:cs="Times New Roman"/>
          <w:color w:val="000000" w:themeColor="text1"/>
          <w:sz w:val="24"/>
          <w:szCs w:val="24"/>
          <w:lang w:val="en-GB"/>
        </w:rPr>
        <w:t>et he was a populist successfully exploiting resistance to reform</w:t>
      </w:r>
      <w:r w:rsidR="00042751" w:rsidRPr="002519AF">
        <w:rPr>
          <w:rFonts w:ascii="Times New Roman" w:hAnsi="Times New Roman" w:cs="Times New Roman"/>
          <w:color w:val="000000" w:themeColor="text1"/>
          <w:sz w:val="24"/>
          <w:szCs w:val="24"/>
          <w:lang w:val="en-GB"/>
        </w:rPr>
        <w:t xml:space="preserve"> (</w:t>
      </w:r>
      <w:proofErr w:type="spellStart"/>
      <w:r w:rsidR="00D3435D" w:rsidRPr="002519AF">
        <w:rPr>
          <w:rFonts w:ascii="Times New Roman" w:hAnsi="Times New Roman" w:cs="Times New Roman"/>
          <w:color w:val="000000" w:themeColor="text1"/>
          <w:sz w:val="24"/>
          <w:szCs w:val="24"/>
          <w:lang w:val="en-GB"/>
        </w:rPr>
        <w:t>Tuncer</w:t>
      </w:r>
      <w:proofErr w:type="spellEnd"/>
      <w:r w:rsidR="00D3435D" w:rsidRPr="002519AF">
        <w:rPr>
          <w:rFonts w:ascii="Times New Roman" w:hAnsi="Times New Roman" w:cs="Times New Roman"/>
          <w:color w:val="000000" w:themeColor="text1"/>
          <w:sz w:val="24"/>
          <w:szCs w:val="24"/>
          <w:lang w:val="en-GB"/>
        </w:rPr>
        <w:t xml:space="preserve"> 2015: 175</w:t>
      </w:r>
      <w:r w:rsidR="00042751" w:rsidRPr="002519AF">
        <w:rPr>
          <w:rFonts w:ascii="Times New Roman" w:hAnsi="Times New Roman" w:cs="Times New Roman"/>
          <w:color w:val="000000" w:themeColor="text1"/>
          <w:sz w:val="24"/>
          <w:szCs w:val="24"/>
          <w:lang w:val="en-GB"/>
        </w:rPr>
        <w:t>)</w:t>
      </w:r>
      <w:r w:rsidR="00544E98" w:rsidRPr="002519AF">
        <w:rPr>
          <w:rFonts w:ascii="Times New Roman" w:hAnsi="Times New Roman" w:cs="Times New Roman"/>
          <w:color w:val="000000" w:themeColor="text1"/>
          <w:sz w:val="24"/>
          <w:szCs w:val="24"/>
          <w:lang w:val="en-GB"/>
        </w:rPr>
        <w:t>.</w:t>
      </w:r>
      <w:r w:rsidR="00042751" w:rsidRPr="002519AF">
        <w:rPr>
          <w:rFonts w:ascii="Times New Roman" w:hAnsi="Times New Roman" w:cs="Times New Roman"/>
          <w:color w:val="000000" w:themeColor="text1"/>
          <w:sz w:val="24"/>
          <w:szCs w:val="24"/>
          <w:lang w:val="en-GB"/>
        </w:rPr>
        <w:t xml:space="preserve"> E</w:t>
      </w:r>
      <w:r w:rsidR="00544E98" w:rsidRPr="002519AF">
        <w:rPr>
          <w:rFonts w:ascii="Times New Roman" w:hAnsi="Times New Roman" w:cs="Times New Roman"/>
          <w:color w:val="000000" w:themeColor="text1"/>
          <w:sz w:val="24"/>
          <w:szCs w:val="24"/>
          <w:lang w:val="en-GB"/>
        </w:rPr>
        <w:t xml:space="preserve">ither politician cannot easily be identified with a specific socio-economic group. While this period witnessed the emergence of a </w:t>
      </w:r>
      <w:proofErr w:type="gramStart"/>
      <w:r w:rsidR="00544E98" w:rsidRPr="002519AF">
        <w:rPr>
          <w:rFonts w:ascii="Times New Roman" w:hAnsi="Times New Roman" w:cs="Times New Roman"/>
          <w:color w:val="000000" w:themeColor="text1"/>
          <w:sz w:val="24"/>
          <w:szCs w:val="24"/>
          <w:lang w:val="en-GB"/>
        </w:rPr>
        <w:t>two party</w:t>
      </w:r>
      <w:proofErr w:type="gramEnd"/>
      <w:r w:rsidR="00544E98" w:rsidRPr="002519AF">
        <w:rPr>
          <w:rFonts w:ascii="Times New Roman" w:hAnsi="Times New Roman" w:cs="Times New Roman"/>
          <w:color w:val="000000" w:themeColor="text1"/>
          <w:sz w:val="24"/>
          <w:szCs w:val="24"/>
          <w:lang w:val="en-GB"/>
        </w:rPr>
        <w:t xml:space="preserve"> system (the New Party of </w:t>
      </w:r>
      <w:proofErr w:type="spellStart"/>
      <w:r w:rsidR="00544E98" w:rsidRPr="002519AF">
        <w:rPr>
          <w:rFonts w:ascii="Times New Roman" w:hAnsi="Times New Roman" w:cs="Times New Roman"/>
          <w:color w:val="000000" w:themeColor="text1"/>
          <w:sz w:val="24"/>
          <w:szCs w:val="24"/>
          <w:lang w:val="en-GB"/>
        </w:rPr>
        <w:t>Trikoupis</w:t>
      </w:r>
      <w:proofErr w:type="spellEnd"/>
      <w:r w:rsidR="00544E98" w:rsidRPr="002519AF">
        <w:rPr>
          <w:rFonts w:ascii="Times New Roman" w:hAnsi="Times New Roman" w:cs="Times New Roman"/>
          <w:color w:val="000000" w:themeColor="text1"/>
          <w:sz w:val="24"/>
          <w:szCs w:val="24"/>
          <w:lang w:val="en-GB"/>
        </w:rPr>
        <w:t xml:space="preserve"> and the Po</w:t>
      </w:r>
      <w:r w:rsidR="00042751" w:rsidRPr="002519AF">
        <w:rPr>
          <w:rFonts w:ascii="Times New Roman" w:hAnsi="Times New Roman" w:cs="Times New Roman"/>
          <w:color w:val="000000" w:themeColor="text1"/>
          <w:sz w:val="24"/>
          <w:szCs w:val="24"/>
          <w:lang w:val="en-GB"/>
        </w:rPr>
        <w:t xml:space="preserve">pulist Party of </w:t>
      </w:r>
      <w:proofErr w:type="spellStart"/>
      <w:r w:rsidR="00042751" w:rsidRPr="002519AF">
        <w:rPr>
          <w:rFonts w:ascii="Times New Roman" w:hAnsi="Times New Roman" w:cs="Times New Roman"/>
          <w:color w:val="000000" w:themeColor="text1"/>
          <w:sz w:val="24"/>
          <w:szCs w:val="24"/>
          <w:lang w:val="en-GB"/>
        </w:rPr>
        <w:t>Deliyannis</w:t>
      </w:r>
      <w:proofErr w:type="spellEnd"/>
      <w:r w:rsidR="00544E98" w:rsidRPr="002519AF">
        <w:rPr>
          <w:rFonts w:ascii="Times New Roman" w:hAnsi="Times New Roman" w:cs="Times New Roman"/>
          <w:color w:val="000000" w:themeColor="text1"/>
          <w:sz w:val="24"/>
          <w:szCs w:val="24"/>
          <w:lang w:val="en-GB"/>
        </w:rPr>
        <w:t>), parties did not yet operate in a national sphere that extended beyond local politics</w:t>
      </w:r>
      <w:r w:rsidR="00042751" w:rsidRPr="002519AF">
        <w:rPr>
          <w:rFonts w:ascii="Times New Roman" w:hAnsi="Times New Roman" w:cs="Times New Roman"/>
          <w:color w:val="000000" w:themeColor="text1"/>
          <w:sz w:val="24"/>
          <w:szCs w:val="24"/>
          <w:lang w:val="en-GB"/>
        </w:rPr>
        <w:t xml:space="preserve">. </w:t>
      </w:r>
      <w:proofErr w:type="spellStart"/>
      <w:r w:rsidR="00042751" w:rsidRPr="002519AF">
        <w:rPr>
          <w:rFonts w:ascii="Times New Roman" w:hAnsi="Times New Roman" w:cs="Times New Roman"/>
          <w:color w:val="000000" w:themeColor="text1"/>
          <w:sz w:val="24"/>
          <w:szCs w:val="24"/>
          <w:lang w:val="en-GB"/>
        </w:rPr>
        <w:t>C</w:t>
      </w:r>
      <w:r w:rsidR="00544E98" w:rsidRPr="002519AF">
        <w:rPr>
          <w:rFonts w:ascii="Times New Roman" w:hAnsi="Times New Roman" w:cs="Times New Roman"/>
          <w:color w:val="000000" w:themeColor="text1"/>
          <w:sz w:val="24"/>
          <w:szCs w:val="24"/>
          <w:lang w:val="en-GB"/>
        </w:rPr>
        <w:t>lientelistic</w:t>
      </w:r>
      <w:proofErr w:type="spellEnd"/>
      <w:r w:rsidR="00544E98" w:rsidRPr="002519AF">
        <w:rPr>
          <w:rFonts w:ascii="Times New Roman" w:hAnsi="Times New Roman" w:cs="Times New Roman"/>
          <w:color w:val="000000" w:themeColor="text1"/>
          <w:sz w:val="24"/>
          <w:szCs w:val="24"/>
          <w:lang w:val="en-GB"/>
        </w:rPr>
        <w:t xml:space="preserve"> relationships to local party leaders were more important than a broader political agenda </w:t>
      </w:r>
      <w:r w:rsidR="00042751" w:rsidRPr="002519AF">
        <w:rPr>
          <w:rFonts w:ascii="Times New Roman" w:hAnsi="Times New Roman" w:cs="Times New Roman"/>
          <w:color w:val="000000" w:themeColor="text1"/>
          <w:sz w:val="24"/>
          <w:szCs w:val="24"/>
          <w:lang w:val="en-GB"/>
        </w:rPr>
        <w:t>(</w:t>
      </w:r>
      <w:proofErr w:type="spellStart"/>
      <w:r w:rsidR="00042751" w:rsidRPr="002519AF">
        <w:rPr>
          <w:rFonts w:ascii="Times New Roman" w:hAnsi="Times New Roman" w:cs="Times New Roman"/>
          <w:color w:val="000000" w:themeColor="text1"/>
          <w:sz w:val="24"/>
          <w:szCs w:val="24"/>
          <w:lang w:val="en-GB"/>
        </w:rPr>
        <w:t>Clogg</w:t>
      </w:r>
      <w:proofErr w:type="spellEnd"/>
      <w:r w:rsidR="00042751" w:rsidRPr="002519AF">
        <w:rPr>
          <w:rFonts w:ascii="Times New Roman" w:hAnsi="Times New Roman" w:cs="Times New Roman"/>
          <w:color w:val="000000" w:themeColor="text1"/>
          <w:sz w:val="24"/>
          <w:szCs w:val="24"/>
          <w:lang w:val="en-GB"/>
        </w:rPr>
        <w:t xml:space="preserve"> 2002: 59; </w:t>
      </w:r>
      <w:proofErr w:type="spellStart"/>
      <w:r w:rsidR="00042751" w:rsidRPr="002519AF">
        <w:rPr>
          <w:rFonts w:ascii="Times New Roman" w:hAnsi="Times New Roman" w:cs="Times New Roman"/>
          <w:color w:val="000000" w:themeColor="text1"/>
          <w:sz w:val="24"/>
          <w:szCs w:val="24"/>
          <w:lang w:val="en-GB"/>
        </w:rPr>
        <w:t>Kalyvas</w:t>
      </w:r>
      <w:proofErr w:type="spellEnd"/>
      <w:r w:rsidR="00042751" w:rsidRPr="002519AF">
        <w:rPr>
          <w:rFonts w:ascii="Times New Roman" w:hAnsi="Times New Roman" w:cs="Times New Roman"/>
          <w:color w:val="000000" w:themeColor="text1"/>
          <w:sz w:val="24"/>
          <w:szCs w:val="24"/>
          <w:lang w:val="en-GB"/>
        </w:rPr>
        <w:t xml:space="preserve"> 2015: 71</w:t>
      </w:r>
      <w:r w:rsidR="00267447">
        <w:rPr>
          <w:rFonts w:ascii="Times New Roman" w:hAnsi="Times New Roman" w:cs="Times New Roman"/>
          <w:color w:val="000000" w:themeColor="text1"/>
          <w:sz w:val="24"/>
          <w:szCs w:val="24"/>
          <w:lang w:val="en-GB"/>
        </w:rPr>
        <w:t>;</w:t>
      </w:r>
      <w:r w:rsidR="00042751" w:rsidRPr="002519AF">
        <w:rPr>
          <w:rFonts w:ascii="Times New Roman" w:hAnsi="Times New Roman" w:cs="Times New Roman"/>
          <w:color w:val="000000" w:themeColor="text1"/>
          <w:sz w:val="24"/>
          <w:szCs w:val="24"/>
          <w:lang w:val="en-GB"/>
        </w:rPr>
        <w:t xml:space="preserve"> Kostis 2014: 437-444)</w:t>
      </w:r>
      <w:r w:rsidR="00544E98" w:rsidRPr="002519AF">
        <w:rPr>
          <w:rFonts w:ascii="Times New Roman" w:hAnsi="Times New Roman" w:cs="Times New Roman"/>
          <w:color w:val="000000" w:themeColor="text1"/>
          <w:sz w:val="24"/>
          <w:szCs w:val="24"/>
          <w:lang w:val="en-GB"/>
        </w:rPr>
        <w:t xml:space="preserve">. Put differently, the </w:t>
      </w:r>
      <w:proofErr w:type="spellStart"/>
      <w:r w:rsidR="00544E98" w:rsidRPr="002519AF">
        <w:rPr>
          <w:rFonts w:ascii="Times New Roman" w:hAnsi="Times New Roman" w:cs="Times New Roman"/>
          <w:color w:val="000000" w:themeColor="text1"/>
          <w:sz w:val="24"/>
          <w:szCs w:val="24"/>
          <w:lang w:val="en-GB"/>
        </w:rPr>
        <w:t>Trikoupis-Deliyannis</w:t>
      </w:r>
      <w:proofErr w:type="spellEnd"/>
      <w:r w:rsidR="00544E98" w:rsidRPr="002519AF">
        <w:rPr>
          <w:rFonts w:ascii="Times New Roman" w:hAnsi="Times New Roman" w:cs="Times New Roman"/>
          <w:color w:val="000000" w:themeColor="text1"/>
          <w:sz w:val="24"/>
          <w:szCs w:val="24"/>
          <w:lang w:val="en-GB"/>
        </w:rPr>
        <w:t xml:space="preserve"> debate followed very different lines from </w:t>
      </w:r>
      <w:r w:rsidR="00985034">
        <w:rPr>
          <w:rFonts w:ascii="Times New Roman" w:hAnsi="Times New Roman" w:cs="Times New Roman"/>
          <w:color w:val="000000" w:themeColor="text1"/>
          <w:sz w:val="24"/>
          <w:szCs w:val="24"/>
          <w:lang w:val="en-GB"/>
        </w:rPr>
        <w:t>contemporary</w:t>
      </w:r>
      <w:r w:rsidR="00544E98" w:rsidRPr="002519AF">
        <w:rPr>
          <w:rFonts w:ascii="Times New Roman" w:hAnsi="Times New Roman" w:cs="Times New Roman"/>
          <w:color w:val="000000" w:themeColor="text1"/>
          <w:sz w:val="24"/>
          <w:szCs w:val="24"/>
          <w:lang w:val="en-GB"/>
        </w:rPr>
        <w:t xml:space="preserve"> discussions in Austria-Hungary and Russia where de </w:t>
      </w:r>
      <w:proofErr w:type="spellStart"/>
      <w:r w:rsidR="00544E98" w:rsidRPr="002519AF">
        <w:rPr>
          <w:rFonts w:ascii="Times New Roman" w:hAnsi="Times New Roman" w:cs="Times New Roman"/>
          <w:color w:val="000000" w:themeColor="text1"/>
          <w:sz w:val="24"/>
          <w:szCs w:val="24"/>
          <w:lang w:val="en-GB"/>
        </w:rPr>
        <w:t>Cecco</w:t>
      </w:r>
      <w:proofErr w:type="spellEnd"/>
      <w:r w:rsidR="00544E98" w:rsidRPr="002519AF">
        <w:rPr>
          <w:rFonts w:ascii="Times New Roman" w:hAnsi="Times New Roman" w:cs="Times New Roman"/>
          <w:color w:val="000000" w:themeColor="text1"/>
          <w:sz w:val="24"/>
          <w:szCs w:val="24"/>
          <w:lang w:val="en-GB"/>
        </w:rPr>
        <w:t xml:space="preserve"> </w:t>
      </w:r>
      <w:r w:rsidR="00042751" w:rsidRPr="002519AF">
        <w:rPr>
          <w:rFonts w:ascii="Times New Roman" w:hAnsi="Times New Roman" w:cs="Times New Roman"/>
          <w:color w:val="000000" w:themeColor="text1"/>
          <w:sz w:val="24"/>
          <w:szCs w:val="24"/>
          <w:lang w:val="en-GB"/>
        </w:rPr>
        <w:t xml:space="preserve">(1974) </w:t>
      </w:r>
      <w:r w:rsidR="00544E98" w:rsidRPr="002519AF">
        <w:rPr>
          <w:rFonts w:ascii="Times New Roman" w:hAnsi="Times New Roman" w:cs="Times New Roman"/>
          <w:color w:val="000000" w:themeColor="text1"/>
          <w:sz w:val="24"/>
          <w:szCs w:val="24"/>
          <w:lang w:val="en-GB"/>
        </w:rPr>
        <w:t>was able to identify interest groups in support of and in opp</w:t>
      </w:r>
      <w:r w:rsidR="00D3435D" w:rsidRPr="002519AF">
        <w:rPr>
          <w:rFonts w:ascii="Times New Roman" w:hAnsi="Times New Roman" w:cs="Times New Roman"/>
          <w:color w:val="000000" w:themeColor="text1"/>
          <w:sz w:val="24"/>
          <w:szCs w:val="24"/>
          <w:lang w:val="en-GB"/>
        </w:rPr>
        <w:t>osition to fixed exchange-rates (in the same vain Dritsas 1999: 29</w:t>
      </w:r>
      <w:r w:rsidR="002C40DE" w:rsidRPr="002519AF">
        <w:rPr>
          <w:rFonts w:ascii="Times New Roman" w:hAnsi="Times New Roman" w:cs="Times New Roman"/>
          <w:color w:val="000000" w:themeColor="text1"/>
          <w:sz w:val="24"/>
          <w:szCs w:val="24"/>
          <w:lang w:val="en-GB"/>
        </w:rPr>
        <w:t xml:space="preserve"> and </w:t>
      </w:r>
      <w:proofErr w:type="spellStart"/>
      <w:r w:rsidR="002C40DE" w:rsidRPr="002519AF">
        <w:rPr>
          <w:rFonts w:ascii="Times New Roman" w:hAnsi="Times New Roman" w:cs="Times New Roman"/>
          <w:color w:val="000000" w:themeColor="text1"/>
          <w:sz w:val="24"/>
          <w:szCs w:val="24"/>
          <w:lang w:val="en-GB"/>
        </w:rPr>
        <w:t>Stassinopoulos</w:t>
      </w:r>
      <w:proofErr w:type="spellEnd"/>
      <w:r w:rsidR="00161730" w:rsidRPr="002519AF">
        <w:rPr>
          <w:rFonts w:ascii="Times New Roman" w:hAnsi="Times New Roman" w:cs="Times New Roman"/>
          <w:color w:val="000000" w:themeColor="text1"/>
          <w:sz w:val="24"/>
          <w:szCs w:val="24"/>
          <w:lang w:val="en-GB"/>
        </w:rPr>
        <w:t xml:space="preserve"> 2002:</w:t>
      </w:r>
      <w:r w:rsidR="002C40DE" w:rsidRPr="002519AF">
        <w:rPr>
          <w:rFonts w:ascii="Times New Roman" w:hAnsi="Times New Roman" w:cs="Times New Roman"/>
          <w:color w:val="000000" w:themeColor="text1"/>
          <w:sz w:val="24"/>
          <w:szCs w:val="24"/>
          <w:lang w:val="en-GB"/>
        </w:rPr>
        <w:t xml:space="preserve"> 181</w:t>
      </w:r>
      <w:r w:rsidR="00D3435D" w:rsidRPr="002519AF">
        <w:rPr>
          <w:rFonts w:ascii="Times New Roman" w:hAnsi="Times New Roman" w:cs="Times New Roman"/>
          <w:color w:val="000000" w:themeColor="text1"/>
          <w:sz w:val="24"/>
          <w:szCs w:val="24"/>
          <w:lang w:val="en-GB"/>
        </w:rPr>
        <w:t>).</w:t>
      </w:r>
    </w:p>
    <w:p w:rsidR="00DF3A68" w:rsidRDefault="00DF3A68" w:rsidP="00544E98">
      <w:pPr>
        <w:spacing w:after="0" w:line="360" w:lineRule="auto"/>
        <w:jc w:val="both"/>
        <w:rPr>
          <w:rFonts w:ascii="Times New Roman" w:hAnsi="Times New Roman" w:cs="Times New Roman"/>
          <w:b/>
          <w:sz w:val="24"/>
          <w:szCs w:val="24"/>
          <w:lang w:val="en-GB"/>
        </w:rPr>
      </w:pPr>
    </w:p>
    <w:p w:rsidR="00544E98" w:rsidRPr="00462F98" w:rsidRDefault="00544E98" w:rsidP="00544E98">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6.2 From the International Financial Commission (1898) to W</w:t>
      </w:r>
      <w:r w:rsidR="00267447">
        <w:rPr>
          <w:rFonts w:ascii="Times New Roman" w:hAnsi="Times New Roman" w:cs="Times New Roman"/>
          <w:b/>
          <w:sz w:val="24"/>
          <w:szCs w:val="24"/>
          <w:lang w:val="en-GB"/>
        </w:rPr>
        <w:t>WI</w:t>
      </w:r>
    </w:p>
    <w:p w:rsidR="00544E98" w:rsidRPr="00462F98" w:rsidRDefault="00544E98" w:rsidP="00544E98">
      <w:pPr>
        <w:spacing w:after="0" w:line="360" w:lineRule="auto"/>
        <w:jc w:val="both"/>
        <w:rPr>
          <w:rFonts w:ascii="Times New Roman" w:hAnsi="Times New Roman" w:cs="Times New Roman"/>
          <w:sz w:val="24"/>
          <w:szCs w:val="24"/>
          <w:lang w:val="en-GB"/>
        </w:rPr>
      </w:pPr>
      <w:r w:rsidRPr="008C0233">
        <w:rPr>
          <w:rFonts w:ascii="Times New Roman" w:hAnsi="Times New Roman" w:cs="Times New Roman"/>
          <w:color w:val="000000" w:themeColor="text1"/>
          <w:sz w:val="24"/>
          <w:szCs w:val="24"/>
          <w:lang w:val="en-GB"/>
        </w:rPr>
        <w:t xml:space="preserve">Following the default of 1893, it took five years to come to a comprehensive settlement </w:t>
      </w:r>
      <w:r w:rsidRPr="00462F98">
        <w:rPr>
          <w:rFonts w:ascii="Times New Roman" w:hAnsi="Times New Roman" w:cs="Times New Roman"/>
          <w:sz w:val="24"/>
          <w:szCs w:val="24"/>
          <w:lang w:val="en-GB"/>
        </w:rPr>
        <w:t xml:space="preserve">involving financial control in exchange for debt relief, coupled with the objective of joining gold once monetary and fiscal policies were stabilised. The cleavage between the </w:t>
      </w:r>
      <w:proofErr w:type="spellStart"/>
      <w:r w:rsidRPr="00462F98">
        <w:rPr>
          <w:rFonts w:ascii="Times New Roman" w:hAnsi="Times New Roman" w:cs="Times New Roman"/>
          <w:sz w:val="24"/>
          <w:szCs w:val="24"/>
          <w:lang w:val="en-GB"/>
        </w:rPr>
        <w:t>Trikoupis</w:t>
      </w:r>
      <w:proofErr w:type="spellEnd"/>
      <w:r w:rsidRPr="00462F98">
        <w:rPr>
          <w:rFonts w:ascii="Times New Roman" w:hAnsi="Times New Roman" w:cs="Times New Roman"/>
          <w:sz w:val="24"/>
          <w:szCs w:val="24"/>
          <w:lang w:val="en-GB"/>
        </w:rPr>
        <w:t xml:space="preserve"> and the </w:t>
      </w:r>
      <w:proofErr w:type="spellStart"/>
      <w:r w:rsidRPr="00462F98">
        <w:rPr>
          <w:rFonts w:ascii="Times New Roman" w:hAnsi="Times New Roman" w:cs="Times New Roman"/>
          <w:sz w:val="24"/>
          <w:szCs w:val="24"/>
          <w:lang w:val="en-GB"/>
        </w:rPr>
        <w:t>Deliyannis</w:t>
      </w:r>
      <w:proofErr w:type="spellEnd"/>
      <w:r w:rsidRPr="00462F98">
        <w:rPr>
          <w:rFonts w:ascii="Times New Roman" w:hAnsi="Times New Roman" w:cs="Times New Roman"/>
          <w:sz w:val="24"/>
          <w:szCs w:val="24"/>
          <w:lang w:val="en-GB"/>
        </w:rPr>
        <w:t xml:space="preserve"> camp persisted: </w:t>
      </w:r>
      <w:r w:rsidR="00042751" w:rsidRPr="00462F98">
        <w:rPr>
          <w:rFonts w:ascii="Times New Roman" w:hAnsi="Times New Roman" w:cs="Times New Roman"/>
          <w:sz w:val="24"/>
          <w:szCs w:val="24"/>
          <w:lang w:val="en-GB"/>
        </w:rPr>
        <w:t xml:space="preserve">the more internationalist </w:t>
      </w:r>
      <w:proofErr w:type="spellStart"/>
      <w:r w:rsidRPr="00462F98">
        <w:rPr>
          <w:rFonts w:ascii="Times New Roman" w:hAnsi="Times New Roman" w:cs="Times New Roman"/>
          <w:sz w:val="24"/>
          <w:szCs w:val="24"/>
          <w:lang w:val="en-GB"/>
        </w:rPr>
        <w:t>Trikoupis</w:t>
      </w:r>
      <w:proofErr w:type="spellEnd"/>
      <w:r w:rsidRPr="00462F98">
        <w:rPr>
          <w:rFonts w:ascii="Times New Roman" w:hAnsi="Times New Roman" w:cs="Times New Roman"/>
          <w:sz w:val="24"/>
          <w:szCs w:val="24"/>
          <w:lang w:val="en-GB"/>
        </w:rPr>
        <w:t xml:space="preserve"> – prime minister at the time of the default and until early 1895 – was more inclined to achieve a settlement than </w:t>
      </w:r>
      <w:proofErr w:type="spellStart"/>
      <w:r w:rsidRPr="00462F98">
        <w:rPr>
          <w:rFonts w:ascii="Times New Roman" w:hAnsi="Times New Roman" w:cs="Times New Roman"/>
          <w:sz w:val="24"/>
          <w:szCs w:val="24"/>
          <w:lang w:val="en-GB"/>
        </w:rPr>
        <w:t>Deliyannis</w:t>
      </w:r>
      <w:proofErr w:type="spellEnd"/>
      <w:r w:rsidRPr="00462F98">
        <w:rPr>
          <w:rFonts w:ascii="Times New Roman" w:hAnsi="Times New Roman" w:cs="Times New Roman"/>
          <w:sz w:val="24"/>
          <w:szCs w:val="24"/>
          <w:lang w:val="en-GB"/>
        </w:rPr>
        <w:t xml:space="preserve"> (1895-1897)</w:t>
      </w:r>
      <w:r w:rsidR="00042751"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w:t>
      </w:r>
      <w:r w:rsidR="00042751" w:rsidRPr="00462F98">
        <w:rPr>
          <w:rFonts w:ascii="Times New Roman" w:hAnsi="Times New Roman" w:cs="Times New Roman"/>
          <w:sz w:val="24"/>
          <w:szCs w:val="24"/>
          <w:lang w:val="en-GB"/>
        </w:rPr>
        <w:t>Wynne 1951: 308-312</w:t>
      </w:r>
      <w:r w:rsidRPr="00462F98">
        <w:rPr>
          <w:rFonts w:ascii="Times New Roman" w:hAnsi="Times New Roman" w:cs="Times New Roman"/>
          <w:sz w:val="24"/>
          <w:szCs w:val="24"/>
          <w:lang w:val="en-GB"/>
        </w:rPr>
        <w:t xml:space="preserve">). Yet in the absence of an urgent need to compromise, both sides were unwilling to acquiescence into any form of </w:t>
      </w:r>
      <w:r w:rsidR="004C5094">
        <w:rPr>
          <w:rFonts w:ascii="Times New Roman" w:hAnsi="Times New Roman" w:cs="Times New Roman"/>
          <w:sz w:val="24"/>
          <w:szCs w:val="24"/>
          <w:lang w:val="en-GB"/>
        </w:rPr>
        <w:t>financial supervision</w:t>
      </w:r>
      <w:r w:rsidRPr="00462F98">
        <w:rPr>
          <w:rFonts w:ascii="Times New Roman" w:hAnsi="Times New Roman" w:cs="Times New Roman"/>
          <w:sz w:val="24"/>
          <w:szCs w:val="24"/>
          <w:lang w:val="en-GB"/>
        </w:rPr>
        <w:t>.</w:t>
      </w:r>
    </w:p>
    <w:p w:rsidR="00F74C70" w:rsidRDefault="00544E98" w:rsidP="00544E98">
      <w:pPr>
        <w:spacing w:after="0" w:line="360" w:lineRule="auto"/>
        <w:jc w:val="both"/>
        <w:rPr>
          <w:rFonts w:ascii="Times New Roman" w:hAnsi="Times New Roman" w:cs="Times New Roman"/>
          <w:sz w:val="24"/>
          <w:szCs w:val="24"/>
          <w:lang w:val="en-GB"/>
        </w:rPr>
      </w:pPr>
      <w:r w:rsidRPr="003B276C">
        <w:rPr>
          <w:rFonts w:ascii="Times New Roman" w:hAnsi="Times New Roman" w:cs="Times New Roman"/>
          <w:color w:val="000000" w:themeColor="text1"/>
          <w:sz w:val="24"/>
          <w:szCs w:val="24"/>
          <w:lang w:val="en-GB"/>
        </w:rPr>
        <w:lastRenderedPageBreak/>
        <w:tab/>
        <w:t xml:space="preserve">Such a need arose after the Greco-Turkish war of 1897. Not only did the uprising in Crete fail (in support of unification with Greece), but the Ottoman Army occupied Thessaly. Unable to pay the war indemnity required by Turkey to retreat from the province, Greece was </w:t>
      </w:r>
      <w:r w:rsidR="00267447">
        <w:rPr>
          <w:rFonts w:ascii="Times New Roman" w:hAnsi="Times New Roman" w:cs="Times New Roman"/>
          <w:color w:val="000000" w:themeColor="text1"/>
          <w:sz w:val="24"/>
          <w:szCs w:val="24"/>
          <w:lang w:val="en-GB"/>
        </w:rPr>
        <w:t>forced</w:t>
      </w:r>
      <w:r w:rsidRPr="003B276C">
        <w:rPr>
          <w:rFonts w:ascii="Times New Roman" w:hAnsi="Times New Roman" w:cs="Times New Roman"/>
          <w:color w:val="000000" w:themeColor="text1"/>
          <w:sz w:val="24"/>
          <w:szCs w:val="24"/>
          <w:lang w:val="en-GB"/>
        </w:rPr>
        <w:t xml:space="preserve"> to compromise with its creditors. Yet neither </w:t>
      </w:r>
      <w:r w:rsidRPr="00462F98">
        <w:rPr>
          <w:rFonts w:ascii="Times New Roman" w:hAnsi="Times New Roman" w:cs="Times New Roman"/>
          <w:sz w:val="24"/>
          <w:szCs w:val="24"/>
          <w:lang w:val="en-GB"/>
        </w:rPr>
        <w:t xml:space="preserve">political camp was prepared to make the necessary compromises. In this situation we see a solution emerging which repeated itself during the interwar currency stabilisation: the formation of a technocratic </w:t>
      </w:r>
      <w:r w:rsidR="00042751" w:rsidRPr="00462F98">
        <w:rPr>
          <w:rFonts w:ascii="Times New Roman" w:hAnsi="Times New Roman" w:cs="Times New Roman"/>
          <w:sz w:val="24"/>
          <w:szCs w:val="24"/>
          <w:lang w:val="en-GB"/>
        </w:rPr>
        <w:t xml:space="preserve">government, intriguingly </w:t>
      </w:r>
      <w:r w:rsidRPr="00462F98">
        <w:rPr>
          <w:rFonts w:ascii="Times New Roman" w:hAnsi="Times New Roman" w:cs="Times New Roman"/>
          <w:sz w:val="24"/>
          <w:szCs w:val="24"/>
          <w:lang w:val="en-GB"/>
        </w:rPr>
        <w:t xml:space="preserve">in both cases under the same (independent) Prime Minister Alexandros </w:t>
      </w:r>
      <w:proofErr w:type="spellStart"/>
      <w:r w:rsidRPr="00462F98">
        <w:rPr>
          <w:rFonts w:ascii="Times New Roman" w:hAnsi="Times New Roman" w:cs="Times New Roman"/>
          <w:sz w:val="24"/>
          <w:szCs w:val="24"/>
          <w:lang w:val="en-GB"/>
        </w:rPr>
        <w:t>Zaimis</w:t>
      </w:r>
      <w:proofErr w:type="spellEnd"/>
      <w:r w:rsidR="00042751" w:rsidRPr="00462F98">
        <w:rPr>
          <w:rFonts w:ascii="Times New Roman" w:hAnsi="Times New Roman" w:cs="Times New Roman"/>
          <w:sz w:val="24"/>
          <w:szCs w:val="24"/>
          <w:lang w:val="en-GB"/>
        </w:rPr>
        <w:t xml:space="preserve"> (1855-1936)</w:t>
      </w:r>
      <w:r w:rsidRPr="00462F98">
        <w:rPr>
          <w:rFonts w:ascii="Times New Roman" w:hAnsi="Times New Roman" w:cs="Times New Roman"/>
          <w:sz w:val="24"/>
          <w:szCs w:val="24"/>
          <w:lang w:val="en-GB"/>
        </w:rPr>
        <w:t xml:space="preserve">. </w:t>
      </w:r>
      <w:proofErr w:type="spellStart"/>
      <w:r w:rsidRPr="00462F98">
        <w:rPr>
          <w:rFonts w:ascii="Times New Roman" w:hAnsi="Times New Roman" w:cs="Times New Roman"/>
          <w:sz w:val="24"/>
          <w:szCs w:val="24"/>
          <w:lang w:val="en-GB"/>
        </w:rPr>
        <w:t>Zaimis</w:t>
      </w:r>
      <w:proofErr w:type="spellEnd"/>
      <w:r w:rsidRPr="00462F98">
        <w:rPr>
          <w:rFonts w:ascii="Times New Roman" w:hAnsi="Times New Roman" w:cs="Times New Roman"/>
          <w:sz w:val="24"/>
          <w:szCs w:val="24"/>
          <w:lang w:val="en-GB"/>
        </w:rPr>
        <w:t xml:space="preserve"> formed a government transcending conventional party lines as well as drawing in outsiders; most importantly, he named Stefanos </w:t>
      </w:r>
      <w:proofErr w:type="spellStart"/>
      <w:r w:rsidRPr="00462F98">
        <w:rPr>
          <w:rFonts w:ascii="Times New Roman" w:hAnsi="Times New Roman" w:cs="Times New Roman"/>
          <w:sz w:val="24"/>
          <w:szCs w:val="24"/>
          <w:lang w:val="en-GB"/>
        </w:rPr>
        <w:t>Streit</w:t>
      </w:r>
      <w:proofErr w:type="spellEnd"/>
      <w:r w:rsidRPr="00462F98">
        <w:rPr>
          <w:rFonts w:ascii="Times New Roman" w:hAnsi="Times New Roman" w:cs="Times New Roman"/>
          <w:sz w:val="24"/>
          <w:szCs w:val="24"/>
          <w:lang w:val="en-GB"/>
        </w:rPr>
        <w:t xml:space="preserve">, the </w:t>
      </w:r>
      <w:r w:rsidR="003D74F5">
        <w:rPr>
          <w:rFonts w:ascii="Times New Roman" w:hAnsi="Times New Roman" w:cs="Times New Roman"/>
          <w:sz w:val="24"/>
          <w:szCs w:val="24"/>
          <w:lang w:val="en-GB"/>
        </w:rPr>
        <w:t xml:space="preserve">NBG </w:t>
      </w:r>
      <w:r w:rsidRPr="00462F98">
        <w:rPr>
          <w:rFonts w:ascii="Times New Roman" w:hAnsi="Times New Roman" w:cs="Times New Roman"/>
          <w:sz w:val="24"/>
          <w:szCs w:val="24"/>
          <w:lang w:val="en-GB"/>
        </w:rPr>
        <w:t>governor, as Finance Minister</w:t>
      </w:r>
      <w:r w:rsidR="00042751" w:rsidRPr="00462F98">
        <w:rPr>
          <w:rFonts w:ascii="Times New Roman" w:hAnsi="Times New Roman" w:cs="Times New Roman"/>
          <w:sz w:val="24"/>
          <w:szCs w:val="24"/>
          <w:lang w:val="en-GB"/>
        </w:rPr>
        <w:t xml:space="preserve"> (</w:t>
      </w:r>
      <w:proofErr w:type="spellStart"/>
      <w:r w:rsidR="00042751" w:rsidRPr="00462F98">
        <w:rPr>
          <w:rFonts w:ascii="Times New Roman" w:hAnsi="Times New Roman" w:cs="Times New Roman"/>
          <w:sz w:val="24"/>
          <w:szCs w:val="24"/>
          <w:lang w:val="en-GB"/>
        </w:rPr>
        <w:t>Levandis</w:t>
      </w:r>
      <w:proofErr w:type="spellEnd"/>
      <w:r w:rsidR="00042751" w:rsidRPr="00462F98">
        <w:rPr>
          <w:rFonts w:ascii="Times New Roman" w:hAnsi="Times New Roman" w:cs="Times New Roman"/>
          <w:sz w:val="24"/>
          <w:szCs w:val="24"/>
          <w:lang w:val="en-GB"/>
        </w:rPr>
        <w:t xml:space="preserve"> 1944: 98-105)</w:t>
      </w:r>
      <w:r w:rsidRPr="00462F98">
        <w:rPr>
          <w:rFonts w:ascii="Times New Roman" w:hAnsi="Times New Roman" w:cs="Times New Roman"/>
          <w:sz w:val="24"/>
          <w:szCs w:val="24"/>
          <w:lang w:val="en-GB"/>
        </w:rPr>
        <w:t xml:space="preserve">. </w:t>
      </w:r>
      <w:proofErr w:type="spellStart"/>
      <w:r w:rsidRPr="00462F98">
        <w:rPr>
          <w:rFonts w:ascii="Times New Roman" w:hAnsi="Times New Roman" w:cs="Times New Roman"/>
          <w:sz w:val="24"/>
          <w:szCs w:val="24"/>
          <w:lang w:val="en-GB"/>
        </w:rPr>
        <w:t>Zaimis</w:t>
      </w:r>
      <w:proofErr w:type="spellEnd"/>
      <w:r w:rsidRPr="00462F98">
        <w:rPr>
          <w:rFonts w:ascii="Times New Roman" w:hAnsi="Times New Roman" w:cs="Times New Roman"/>
          <w:sz w:val="24"/>
          <w:szCs w:val="24"/>
          <w:lang w:val="en-GB"/>
        </w:rPr>
        <w:t xml:space="preserve"> and </w:t>
      </w:r>
      <w:proofErr w:type="spellStart"/>
      <w:r w:rsidRPr="00462F98">
        <w:rPr>
          <w:rFonts w:ascii="Times New Roman" w:hAnsi="Times New Roman" w:cs="Times New Roman"/>
          <w:sz w:val="24"/>
          <w:szCs w:val="24"/>
          <w:lang w:val="en-GB"/>
        </w:rPr>
        <w:t>Streit</w:t>
      </w:r>
      <w:proofErr w:type="spellEnd"/>
      <w:r w:rsidRPr="00462F98">
        <w:rPr>
          <w:rFonts w:ascii="Times New Roman" w:hAnsi="Times New Roman" w:cs="Times New Roman"/>
          <w:sz w:val="24"/>
          <w:szCs w:val="24"/>
          <w:lang w:val="en-GB"/>
        </w:rPr>
        <w:t xml:space="preserve"> had both studied in Western Europe and their cosmopolitan outlook made them well-suited for the difficult negotiations with the countries’ creditors (</w:t>
      </w:r>
      <w:proofErr w:type="spellStart"/>
      <w:r w:rsidRPr="00462F98">
        <w:rPr>
          <w:rFonts w:ascii="Times New Roman" w:hAnsi="Times New Roman" w:cs="Times New Roman"/>
          <w:sz w:val="24"/>
          <w:szCs w:val="24"/>
          <w:lang w:val="en-GB"/>
        </w:rPr>
        <w:t>Streit</w:t>
      </w:r>
      <w:proofErr w:type="spellEnd"/>
      <w:r w:rsidRPr="00462F98">
        <w:rPr>
          <w:rFonts w:ascii="Times New Roman" w:hAnsi="Times New Roman" w:cs="Times New Roman"/>
          <w:sz w:val="24"/>
          <w:szCs w:val="24"/>
          <w:lang w:val="en-GB"/>
        </w:rPr>
        <w:t xml:space="preserve"> was half-German but had grown up in Greece)</w:t>
      </w:r>
      <w:r w:rsidR="00042751" w:rsidRPr="00462F98">
        <w:rPr>
          <w:rFonts w:ascii="Times New Roman" w:hAnsi="Times New Roman" w:cs="Times New Roman"/>
          <w:sz w:val="24"/>
          <w:szCs w:val="24"/>
          <w:lang w:val="en-GB"/>
        </w:rPr>
        <w:t>. In a time period of less than a year</w:t>
      </w:r>
      <w:r w:rsidR="006E62D5">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the </w:t>
      </w:r>
      <w:proofErr w:type="spellStart"/>
      <w:r w:rsidRPr="00462F98">
        <w:rPr>
          <w:rFonts w:ascii="Times New Roman" w:hAnsi="Times New Roman" w:cs="Times New Roman"/>
          <w:sz w:val="24"/>
          <w:szCs w:val="24"/>
          <w:lang w:val="en-GB"/>
        </w:rPr>
        <w:t>Zaimis-Streit</w:t>
      </w:r>
      <w:proofErr w:type="spellEnd"/>
      <w:r w:rsidRPr="00462F98">
        <w:rPr>
          <w:rFonts w:ascii="Times New Roman" w:hAnsi="Times New Roman" w:cs="Times New Roman"/>
          <w:sz w:val="24"/>
          <w:szCs w:val="24"/>
          <w:lang w:val="en-GB"/>
        </w:rPr>
        <w:t xml:space="preserve"> </w:t>
      </w:r>
      <w:r w:rsidR="0044695E" w:rsidRPr="00462F98">
        <w:rPr>
          <w:rFonts w:ascii="Times New Roman" w:hAnsi="Times New Roman" w:cs="Times New Roman"/>
          <w:sz w:val="24"/>
          <w:szCs w:val="24"/>
          <w:lang w:val="en-GB"/>
        </w:rPr>
        <w:t xml:space="preserve">government not only </w:t>
      </w:r>
      <w:r w:rsidRPr="00462F98">
        <w:rPr>
          <w:rFonts w:ascii="Times New Roman" w:hAnsi="Times New Roman" w:cs="Times New Roman"/>
          <w:sz w:val="24"/>
          <w:szCs w:val="24"/>
          <w:lang w:val="en-GB"/>
        </w:rPr>
        <w:t>secure</w:t>
      </w:r>
      <w:r w:rsidR="0044695E" w:rsidRPr="00462F98">
        <w:rPr>
          <w:rFonts w:ascii="Times New Roman" w:hAnsi="Times New Roman" w:cs="Times New Roman"/>
          <w:sz w:val="24"/>
          <w:szCs w:val="24"/>
          <w:lang w:val="en-GB"/>
        </w:rPr>
        <w:t>d</w:t>
      </w:r>
      <w:r w:rsidRPr="00462F98">
        <w:rPr>
          <w:rFonts w:ascii="Times New Roman" w:hAnsi="Times New Roman" w:cs="Times New Roman"/>
          <w:sz w:val="24"/>
          <w:szCs w:val="24"/>
          <w:lang w:val="en-GB"/>
        </w:rPr>
        <w:t xml:space="preserve"> debt relief as part of the financial control agreem</w:t>
      </w:r>
      <w:r w:rsidR="002905EF" w:rsidRPr="00462F98">
        <w:rPr>
          <w:rFonts w:ascii="Times New Roman" w:hAnsi="Times New Roman" w:cs="Times New Roman"/>
          <w:sz w:val="24"/>
          <w:szCs w:val="24"/>
          <w:lang w:val="en-GB"/>
        </w:rPr>
        <w:t xml:space="preserve">ent; but they </w:t>
      </w:r>
      <w:r w:rsidR="0044695E" w:rsidRPr="00462F98">
        <w:rPr>
          <w:rFonts w:ascii="Times New Roman" w:hAnsi="Times New Roman" w:cs="Times New Roman"/>
          <w:sz w:val="24"/>
          <w:szCs w:val="24"/>
          <w:lang w:val="en-GB"/>
        </w:rPr>
        <w:t xml:space="preserve">also </w:t>
      </w:r>
      <w:r w:rsidRPr="00462F98">
        <w:rPr>
          <w:rFonts w:ascii="Times New Roman" w:hAnsi="Times New Roman" w:cs="Times New Roman"/>
          <w:sz w:val="24"/>
          <w:szCs w:val="24"/>
          <w:lang w:val="en-GB"/>
        </w:rPr>
        <w:t>introduce</w:t>
      </w:r>
      <w:r w:rsidR="0044695E" w:rsidRPr="00462F98">
        <w:rPr>
          <w:rFonts w:ascii="Times New Roman" w:hAnsi="Times New Roman" w:cs="Times New Roman"/>
          <w:sz w:val="24"/>
          <w:szCs w:val="24"/>
          <w:lang w:val="en-GB"/>
        </w:rPr>
        <w:t>d</w:t>
      </w:r>
      <w:r w:rsidRPr="00462F98">
        <w:rPr>
          <w:rFonts w:ascii="Times New Roman" w:hAnsi="Times New Roman" w:cs="Times New Roman"/>
          <w:sz w:val="24"/>
          <w:szCs w:val="24"/>
          <w:lang w:val="en-GB"/>
        </w:rPr>
        <w:t xml:space="preserve"> </w:t>
      </w:r>
      <w:r w:rsidR="0044695E" w:rsidRPr="00462F98">
        <w:rPr>
          <w:rFonts w:ascii="Times New Roman" w:hAnsi="Times New Roman" w:cs="Times New Roman"/>
          <w:sz w:val="24"/>
          <w:szCs w:val="24"/>
          <w:lang w:val="en-GB"/>
        </w:rPr>
        <w:t>key</w:t>
      </w:r>
      <w:r w:rsidRPr="00462F98">
        <w:rPr>
          <w:rFonts w:ascii="Times New Roman" w:hAnsi="Times New Roman" w:cs="Times New Roman"/>
          <w:sz w:val="24"/>
          <w:szCs w:val="24"/>
          <w:lang w:val="en-GB"/>
        </w:rPr>
        <w:t xml:space="preserve"> tax legislation (such as inheritance tax) which had been discussed for decades but never passed parliament. </w:t>
      </w:r>
    </w:p>
    <w:p w:rsidR="00544E98" w:rsidRPr="0037616A" w:rsidRDefault="00F74C70" w:rsidP="00570392">
      <w:pPr>
        <w:spacing w:after="0" w:line="360" w:lineRule="auto"/>
        <w:ind w:firstLine="720"/>
        <w:jc w:val="both"/>
        <w:rPr>
          <w:rFonts w:ascii="Times New Roman" w:hAnsi="Times New Roman" w:cs="Times New Roman"/>
          <w:color w:val="000000" w:themeColor="text1"/>
          <w:sz w:val="24"/>
          <w:szCs w:val="24"/>
          <w:lang w:val="en-GB"/>
        </w:rPr>
      </w:pPr>
      <w:r w:rsidRPr="0037616A">
        <w:rPr>
          <w:rFonts w:ascii="Times New Roman" w:hAnsi="Times New Roman" w:cs="Times New Roman"/>
          <w:color w:val="000000" w:themeColor="text1"/>
          <w:sz w:val="24"/>
          <w:szCs w:val="24"/>
          <w:lang w:val="en-GB"/>
        </w:rPr>
        <w:t>The parliamentary debates of February 1898</w:t>
      </w:r>
      <w:r w:rsidR="00454BF1" w:rsidRPr="006E6FED">
        <w:rPr>
          <w:rStyle w:val="FootnoteReference"/>
          <w:rFonts w:ascii="Times New Roman" w:hAnsi="Times New Roman" w:cs="Times New Roman"/>
          <w:color w:val="000000" w:themeColor="text1"/>
          <w:sz w:val="24"/>
          <w:szCs w:val="24"/>
        </w:rPr>
        <w:footnoteReference w:id="6"/>
      </w:r>
      <w:r w:rsidRPr="0037616A">
        <w:rPr>
          <w:rFonts w:ascii="Times New Roman" w:hAnsi="Times New Roman" w:cs="Times New Roman"/>
          <w:color w:val="000000" w:themeColor="text1"/>
          <w:sz w:val="24"/>
          <w:szCs w:val="24"/>
          <w:lang w:val="en-GB"/>
        </w:rPr>
        <w:t xml:space="preserve"> on the financial supervision agreements shed an interesting light on how contemporaries viewed “the foreign intrusion.” Not a single member of parliament came out publicly in support. Yet Finance Minister </w:t>
      </w:r>
      <w:proofErr w:type="spellStart"/>
      <w:r w:rsidRPr="0037616A">
        <w:rPr>
          <w:rFonts w:ascii="Times New Roman" w:hAnsi="Times New Roman" w:cs="Times New Roman"/>
          <w:color w:val="000000" w:themeColor="text1"/>
          <w:sz w:val="24"/>
          <w:szCs w:val="24"/>
          <w:lang w:val="en-GB"/>
        </w:rPr>
        <w:t>Streit</w:t>
      </w:r>
      <w:proofErr w:type="spellEnd"/>
      <w:r w:rsidRPr="0037616A">
        <w:rPr>
          <w:rFonts w:ascii="Times New Roman" w:hAnsi="Times New Roman" w:cs="Times New Roman"/>
          <w:color w:val="000000" w:themeColor="text1"/>
          <w:sz w:val="24"/>
          <w:szCs w:val="24"/>
          <w:lang w:val="en-GB"/>
        </w:rPr>
        <w:t xml:space="preserve"> complained to the chamber that the hidden support for the proposed agreements had been all too clear to the foreign creditors, undermining his bargaining position (pp. 147-148). It is also instructive how </w:t>
      </w:r>
      <w:proofErr w:type="spellStart"/>
      <w:r w:rsidRPr="0037616A">
        <w:rPr>
          <w:rFonts w:ascii="Times New Roman" w:hAnsi="Times New Roman" w:cs="Times New Roman"/>
          <w:color w:val="000000" w:themeColor="text1"/>
          <w:sz w:val="24"/>
          <w:szCs w:val="24"/>
          <w:lang w:val="en-GB"/>
        </w:rPr>
        <w:t>Streit</w:t>
      </w:r>
      <w:proofErr w:type="spellEnd"/>
      <w:r w:rsidRPr="0037616A">
        <w:rPr>
          <w:rFonts w:ascii="Times New Roman" w:hAnsi="Times New Roman" w:cs="Times New Roman"/>
          <w:color w:val="000000" w:themeColor="text1"/>
          <w:sz w:val="24"/>
          <w:szCs w:val="24"/>
          <w:lang w:val="en-GB"/>
        </w:rPr>
        <w:t xml:space="preserve"> defended himself against the allegation of “selling out” to the foreigners. While </w:t>
      </w:r>
      <w:r w:rsidR="00FA314E" w:rsidRPr="0037616A">
        <w:rPr>
          <w:rFonts w:ascii="Times New Roman" w:hAnsi="Times New Roman" w:cs="Times New Roman"/>
          <w:color w:val="000000" w:themeColor="text1"/>
          <w:sz w:val="24"/>
          <w:szCs w:val="24"/>
          <w:lang w:val="en-GB"/>
        </w:rPr>
        <w:t>conceding</w:t>
      </w:r>
      <w:r w:rsidRPr="0037616A">
        <w:rPr>
          <w:rFonts w:ascii="Times New Roman" w:hAnsi="Times New Roman" w:cs="Times New Roman"/>
          <w:color w:val="000000" w:themeColor="text1"/>
          <w:sz w:val="24"/>
          <w:szCs w:val="24"/>
          <w:lang w:val="en-GB"/>
        </w:rPr>
        <w:t xml:space="preserve"> </w:t>
      </w:r>
      <w:r w:rsidR="00FA314E" w:rsidRPr="0037616A">
        <w:rPr>
          <w:rFonts w:ascii="Times New Roman" w:hAnsi="Times New Roman" w:cs="Times New Roman"/>
          <w:color w:val="000000" w:themeColor="text1"/>
          <w:sz w:val="24"/>
          <w:szCs w:val="24"/>
          <w:lang w:val="en-GB"/>
        </w:rPr>
        <w:t xml:space="preserve">he had been under </w:t>
      </w:r>
      <w:r w:rsidRPr="0037616A">
        <w:rPr>
          <w:rFonts w:ascii="Times New Roman" w:hAnsi="Times New Roman" w:cs="Times New Roman"/>
          <w:color w:val="000000" w:themeColor="text1"/>
          <w:sz w:val="24"/>
          <w:szCs w:val="24"/>
          <w:lang w:val="en-GB"/>
        </w:rPr>
        <w:t>enormous pressure, he pointed out that he had been able to agree with the creditors a clearly delineated path for returning to the gold standard in return for the supervision agreement (</w:t>
      </w:r>
      <w:r w:rsidR="006E6FED" w:rsidRPr="0037616A">
        <w:rPr>
          <w:rFonts w:ascii="Times New Roman" w:hAnsi="Times New Roman" w:cs="Times New Roman"/>
          <w:color w:val="000000" w:themeColor="text1"/>
          <w:sz w:val="24"/>
          <w:szCs w:val="24"/>
          <w:lang w:val="en-GB"/>
        </w:rPr>
        <w:t xml:space="preserve">p. 166, </w:t>
      </w:r>
      <w:r w:rsidRPr="0037616A">
        <w:rPr>
          <w:rFonts w:ascii="Times New Roman" w:hAnsi="Times New Roman" w:cs="Times New Roman"/>
          <w:color w:val="000000" w:themeColor="text1"/>
          <w:sz w:val="24"/>
          <w:szCs w:val="24"/>
          <w:lang w:val="en-GB"/>
        </w:rPr>
        <w:t>by means of a step-by-step withdrawal of currency, with stabilisation eventually achieved in 1910</w:t>
      </w:r>
      <w:r w:rsidR="004C5094">
        <w:rPr>
          <w:rFonts w:ascii="Times New Roman" w:hAnsi="Times New Roman" w:cs="Times New Roman"/>
          <w:color w:val="000000" w:themeColor="text1"/>
          <w:sz w:val="24"/>
          <w:szCs w:val="24"/>
          <w:lang w:val="en-GB"/>
        </w:rPr>
        <w:t xml:space="preserve">, </w:t>
      </w:r>
      <w:proofErr w:type="spellStart"/>
      <w:r w:rsidR="00E259C8" w:rsidRPr="006E6FED">
        <w:rPr>
          <w:rFonts w:ascii="Times New Roman" w:hAnsi="Times New Roman" w:cs="Times New Roman"/>
          <w:color w:val="000000" w:themeColor="text1"/>
          <w:sz w:val="24"/>
          <w:szCs w:val="24"/>
          <w:lang w:val="en-GB"/>
        </w:rPr>
        <w:t>Lazaretou</w:t>
      </w:r>
      <w:proofErr w:type="spellEnd"/>
      <w:r w:rsidR="00E259C8" w:rsidRPr="006E6FED">
        <w:rPr>
          <w:rFonts w:ascii="Times New Roman" w:hAnsi="Times New Roman" w:cs="Times New Roman"/>
          <w:color w:val="000000" w:themeColor="text1"/>
          <w:sz w:val="24"/>
          <w:szCs w:val="24"/>
          <w:lang w:val="en-GB"/>
        </w:rPr>
        <w:t xml:space="preserve"> 2013)</w:t>
      </w:r>
      <w:r w:rsidR="002C40DE" w:rsidRPr="006E6FED">
        <w:rPr>
          <w:rFonts w:ascii="Times New Roman" w:hAnsi="Times New Roman" w:cs="Times New Roman"/>
          <w:color w:val="000000" w:themeColor="text1"/>
          <w:sz w:val="24"/>
          <w:szCs w:val="24"/>
          <w:lang w:val="en-GB"/>
        </w:rPr>
        <w:t>.</w:t>
      </w:r>
    </w:p>
    <w:p w:rsidR="00544E98" w:rsidRPr="00570392" w:rsidRDefault="00544E98" w:rsidP="00544E9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ab/>
        <w:t>There was little discussion of the exchange-rate system and financial supervision after 1898</w:t>
      </w:r>
      <w:r w:rsidR="001572A6" w:rsidRPr="00462F98">
        <w:rPr>
          <w:rFonts w:ascii="Times New Roman" w:hAnsi="Times New Roman" w:cs="Times New Roman"/>
          <w:sz w:val="24"/>
          <w:szCs w:val="24"/>
          <w:lang w:val="en-GB"/>
        </w:rPr>
        <w:t xml:space="preserve"> (Kostis 2003: 17-38</w:t>
      </w:r>
      <w:r w:rsidR="002905EF" w:rsidRPr="00462F98">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w:t>
      </w:r>
      <w:r w:rsidR="001572A6" w:rsidRPr="00462F98">
        <w:rPr>
          <w:rFonts w:ascii="Times New Roman" w:hAnsi="Times New Roman" w:cs="Times New Roman"/>
          <w:sz w:val="24"/>
          <w:szCs w:val="24"/>
          <w:lang w:val="en-GB"/>
        </w:rPr>
        <w:t>Financial supervision did not beco</w:t>
      </w:r>
      <w:r w:rsidRPr="00462F98">
        <w:rPr>
          <w:rFonts w:ascii="Times New Roman" w:hAnsi="Times New Roman" w:cs="Times New Roman"/>
          <w:sz w:val="24"/>
          <w:szCs w:val="24"/>
          <w:lang w:val="en-GB"/>
        </w:rPr>
        <w:t>me popular, but was not threatened either; and the gradual improvement of the exchange-rate was hailed as a sign that reforms delivered results</w:t>
      </w:r>
      <w:r w:rsidR="006E6FED">
        <w:rPr>
          <w:rFonts w:ascii="Times New Roman" w:hAnsi="Times New Roman" w:cs="Times New Roman"/>
          <w:sz w:val="24"/>
          <w:szCs w:val="24"/>
          <w:lang w:val="en-GB"/>
        </w:rPr>
        <w:t xml:space="preserve"> (Dertilis 2010: 652-656)</w:t>
      </w:r>
      <w:r w:rsidRPr="00462F98">
        <w:rPr>
          <w:rFonts w:ascii="Times New Roman" w:hAnsi="Times New Roman" w:cs="Times New Roman"/>
          <w:sz w:val="24"/>
          <w:szCs w:val="24"/>
          <w:lang w:val="en-GB"/>
        </w:rPr>
        <w:t>. The 1898 settlement was helped by the fact that it coincided with the beginning of a long boom in the Greek economy</w:t>
      </w:r>
      <w:r w:rsidR="001572A6" w:rsidRPr="00462F98">
        <w:rPr>
          <w:rFonts w:ascii="Times New Roman" w:hAnsi="Times New Roman" w:cs="Times New Roman"/>
          <w:sz w:val="24"/>
          <w:szCs w:val="24"/>
          <w:lang w:val="en-GB"/>
        </w:rPr>
        <w:t xml:space="preserve"> (Kostis 2014: 502-509)</w:t>
      </w:r>
      <w:r w:rsidRPr="00462F98">
        <w:rPr>
          <w:rFonts w:ascii="Times New Roman" w:hAnsi="Times New Roman" w:cs="Times New Roman"/>
          <w:sz w:val="24"/>
          <w:szCs w:val="24"/>
          <w:lang w:val="en-GB"/>
        </w:rPr>
        <w:t xml:space="preserve">. Rapid growth, rising urbanisation (which is where the taxes were paid) and the early stages of industrialisation eased the burden associated with monetary and fiscal </w:t>
      </w:r>
      <w:r w:rsidRPr="00462F98">
        <w:rPr>
          <w:rFonts w:ascii="Times New Roman" w:hAnsi="Times New Roman" w:cs="Times New Roman"/>
          <w:sz w:val="24"/>
          <w:szCs w:val="24"/>
          <w:lang w:val="en-GB"/>
        </w:rPr>
        <w:lastRenderedPageBreak/>
        <w:t xml:space="preserve">stabilisation. </w:t>
      </w:r>
      <w:r w:rsidR="002C7EE8">
        <w:rPr>
          <w:rFonts w:ascii="Times New Roman" w:hAnsi="Times New Roman" w:cs="Times New Roman"/>
          <w:sz w:val="24"/>
          <w:szCs w:val="24"/>
          <w:lang w:val="en-GB"/>
        </w:rPr>
        <w:t>T</w:t>
      </w:r>
      <w:r w:rsidRPr="00462F98">
        <w:rPr>
          <w:rFonts w:ascii="Times New Roman" w:hAnsi="Times New Roman" w:cs="Times New Roman"/>
          <w:sz w:val="24"/>
          <w:szCs w:val="24"/>
          <w:lang w:val="en-GB"/>
        </w:rPr>
        <w:t>he last building bloc</w:t>
      </w:r>
      <w:r w:rsidR="001572A6" w:rsidRPr="00462F98">
        <w:rPr>
          <w:rFonts w:ascii="Times New Roman" w:hAnsi="Times New Roman" w:cs="Times New Roman"/>
          <w:sz w:val="24"/>
          <w:szCs w:val="24"/>
          <w:lang w:val="en-GB"/>
        </w:rPr>
        <w:t xml:space="preserve"> of the ambitious reform programme</w:t>
      </w:r>
      <w:r w:rsidRPr="00462F98">
        <w:rPr>
          <w:rFonts w:ascii="Times New Roman" w:hAnsi="Times New Roman" w:cs="Times New Roman"/>
          <w:sz w:val="24"/>
          <w:szCs w:val="24"/>
          <w:lang w:val="en-GB"/>
        </w:rPr>
        <w:t xml:space="preserve"> – the formal </w:t>
      </w:r>
      <w:r w:rsidRPr="00570392">
        <w:rPr>
          <w:rFonts w:ascii="Times New Roman" w:hAnsi="Times New Roman" w:cs="Times New Roman"/>
          <w:color w:val="000000" w:themeColor="text1"/>
          <w:sz w:val="24"/>
          <w:szCs w:val="24"/>
          <w:lang w:val="en-GB"/>
        </w:rPr>
        <w:t xml:space="preserve">introduction of gold convertibility in </w:t>
      </w:r>
      <w:r w:rsidR="001572A6" w:rsidRPr="00570392">
        <w:rPr>
          <w:rFonts w:ascii="Times New Roman" w:hAnsi="Times New Roman" w:cs="Times New Roman"/>
          <w:color w:val="000000" w:themeColor="text1"/>
          <w:sz w:val="24"/>
          <w:szCs w:val="24"/>
          <w:lang w:val="en-GB"/>
        </w:rPr>
        <w:t xml:space="preserve">March </w:t>
      </w:r>
      <w:r w:rsidRPr="00570392">
        <w:rPr>
          <w:rFonts w:ascii="Times New Roman" w:hAnsi="Times New Roman" w:cs="Times New Roman"/>
          <w:color w:val="000000" w:themeColor="text1"/>
          <w:sz w:val="24"/>
          <w:szCs w:val="24"/>
          <w:lang w:val="en-GB"/>
        </w:rPr>
        <w:t>1910 – was again achieved under a short-lived technocratic government</w:t>
      </w:r>
      <w:r w:rsidR="001572A6" w:rsidRPr="00570392">
        <w:rPr>
          <w:rFonts w:ascii="Times New Roman" w:hAnsi="Times New Roman" w:cs="Times New Roman"/>
          <w:color w:val="000000" w:themeColor="text1"/>
          <w:sz w:val="24"/>
          <w:szCs w:val="24"/>
          <w:lang w:val="en-GB"/>
        </w:rPr>
        <w:t xml:space="preserve"> (</w:t>
      </w:r>
      <w:proofErr w:type="spellStart"/>
      <w:r w:rsidR="001572A6" w:rsidRPr="00570392">
        <w:rPr>
          <w:rFonts w:ascii="Times New Roman" w:hAnsi="Times New Roman" w:cs="Times New Roman"/>
          <w:color w:val="000000" w:themeColor="text1"/>
          <w:sz w:val="24"/>
          <w:szCs w:val="24"/>
          <w:lang w:val="en-GB"/>
        </w:rPr>
        <w:t>Lazaretou</w:t>
      </w:r>
      <w:proofErr w:type="spellEnd"/>
      <w:r w:rsidR="001572A6" w:rsidRPr="00570392">
        <w:rPr>
          <w:rFonts w:ascii="Times New Roman" w:hAnsi="Times New Roman" w:cs="Times New Roman"/>
          <w:color w:val="000000" w:themeColor="text1"/>
          <w:sz w:val="24"/>
          <w:szCs w:val="24"/>
          <w:lang w:val="en-GB"/>
        </w:rPr>
        <w:t xml:space="preserve"> 2005: 224)</w:t>
      </w:r>
      <w:r w:rsidRPr="00570392">
        <w:rPr>
          <w:rFonts w:ascii="Times New Roman" w:hAnsi="Times New Roman" w:cs="Times New Roman"/>
          <w:color w:val="000000" w:themeColor="text1"/>
          <w:sz w:val="24"/>
          <w:szCs w:val="24"/>
          <w:lang w:val="en-GB"/>
        </w:rPr>
        <w:t>.</w:t>
      </w:r>
    </w:p>
    <w:p w:rsidR="00544E98" w:rsidRDefault="00544E98" w:rsidP="00544E98">
      <w:pPr>
        <w:spacing w:after="0" w:line="36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ab/>
        <w:t xml:space="preserve">These benign economic developments helped strengthen a political constituency interested in further modernisation of the economy. The protagonist of such a policy became </w:t>
      </w:r>
      <w:proofErr w:type="spellStart"/>
      <w:r w:rsidRPr="00462F98">
        <w:rPr>
          <w:rFonts w:ascii="Times New Roman" w:hAnsi="Times New Roman" w:cs="Times New Roman"/>
          <w:sz w:val="24"/>
          <w:szCs w:val="24"/>
          <w:lang w:val="en-GB"/>
        </w:rPr>
        <w:t>Eleftherios</w:t>
      </w:r>
      <w:proofErr w:type="spellEnd"/>
      <w:r w:rsidRPr="00462F98">
        <w:rPr>
          <w:rFonts w:ascii="Times New Roman" w:hAnsi="Times New Roman" w:cs="Times New Roman"/>
          <w:sz w:val="24"/>
          <w:szCs w:val="24"/>
          <w:lang w:val="en-GB"/>
        </w:rPr>
        <w:t xml:space="preserve"> Venizelos </w:t>
      </w:r>
      <w:r w:rsidRPr="00462F98">
        <w:rPr>
          <w:rFonts w:ascii="Times New Roman" w:hAnsi="Times New Roman" w:cs="Times New Roman"/>
          <w:color w:val="000000" w:themeColor="text1"/>
          <w:sz w:val="24"/>
          <w:szCs w:val="24"/>
          <w:lang w:val="en-GB"/>
        </w:rPr>
        <w:t>(1864-1936),</w:t>
      </w:r>
      <w:r w:rsidRPr="00462F98">
        <w:rPr>
          <w:rFonts w:ascii="Times New Roman" w:hAnsi="Times New Roman" w:cs="Times New Roman"/>
          <w:sz w:val="24"/>
          <w:szCs w:val="24"/>
          <w:lang w:val="en-GB"/>
        </w:rPr>
        <w:t xml:space="preserve"> a charismatic politician who entered the national stage in 1910. Hailing from commercially active Crete, he was convinced that mainland Greece needed fundamental change and founded his own party, the Liberal Party. Only with Venizelos are we in a position to identify, with some certainty, the socio-economic characteristics of the voters of the different parties. His own support base was the entrepreneurial bourgeoisie and the emerging working class, two groups united by their urban outlook and private sector employment (</w:t>
      </w:r>
      <w:proofErr w:type="spellStart"/>
      <w:r w:rsidRPr="00462F98">
        <w:rPr>
          <w:rFonts w:ascii="Times New Roman" w:hAnsi="Times New Roman" w:cs="Times New Roman"/>
          <w:sz w:val="24"/>
          <w:szCs w:val="24"/>
          <w:lang w:val="en-GB"/>
        </w:rPr>
        <w:t>Clogg</w:t>
      </w:r>
      <w:proofErr w:type="spellEnd"/>
      <w:r w:rsidRPr="00462F98">
        <w:rPr>
          <w:rFonts w:ascii="Times New Roman" w:hAnsi="Times New Roman" w:cs="Times New Roman"/>
          <w:sz w:val="24"/>
          <w:szCs w:val="24"/>
          <w:lang w:val="en-GB"/>
        </w:rPr>
        <w:t xml:space="preserve"> </w:t>
      </w:r>
      <w:r w:rsidR="001572A6" w:rsidRPr="00462F98">
        <w:rPr>
          <w:rFonts w:ascii="Times New Roman" w:hAnsi="Times New Roman" w:cs="Times New Roman"/>
          <w:sz w:val="24"/>
          <w:szCs w:val="24"/>
          <w:lang w:val="en-GB"/>
        </w:rPr>
        <w:t xml:space="preserve">2002: </w:t>
      </w:r>
      <w:r w:rsidRPr="00462F98">
        <w:rPr>
          <w:rFonts w:ascii="Times New Roman" w:hAnsi="Times New Roman" w:cs="Times New Roman"/>
          <w:sz w:val="24"/>
          <w:szCs w:val="24"/>
          <w:lang w:val="en-GB"/>
        </w:rPr>
        <w:t xml:space="preserve">106, </w:t>
      </w:r>
      <w:proofErr w:type="spellStart"/>
      <w:r w:rsidRPr="00462F98">
        <w:rPr>
          <w:rFonts w:ascii="Times New Roman" w:hAnsi="Times New Roman" w:cs="Times New Roman"/>
          <w:sz w:val="24"/>
          <w:szCs w:val="24"/>
          <w:lang w:val="en-GB"/>
        </w:rPr>
        <w:t>Kalyvas</w:t>
      </w:r>
      <w:proofErr w:type="spellEnd"/>
      <w:r w:rsidR="001572A6" w:rsidRPr="00462F98">
        <w:rPr>
          <w:rFonts w:ascii="Times New Roman" w:hAnsi="Times New Roman" w:cs="Times New Roman"/>
          <w:sz w:val="24"/>
          <w:szCs w:val="24"/>
          <w:lang w:val="en-GB"/>
        </w:rPr>
        <w:t xml:space="preserve"> 2015:</w:t>
      </w:r>
      <w:r w:rsidRPr="00462F98">
        <w:rPr>
          <w:rFonts w:ascii="Times New Roman" w:hAnsi="Times New Roman" w:cs="Times New Roman"/>
          <w:sz w:val="24"/>
          <w:szCs w:val="24"/>
          <w:lang w:val="en-GB"/>
        </w:rPr>
        <w:t xml:space="preserve"> 78). Venizelos continued and accelerated the reforms implemented since 1898, </w:t>
      </w:r>
      <w:r w:rsidRPr="00462F98">
        <w:rPr>
          <w:rFonts w:ascii="Times New Roman" w:hAnsi="Times New Roman" w:cs="Times New Roman"/>
          <w:color w:val="000000" w:themeColor="text1"/>
          <w:sz w:val="24"/>
          <w:szCs w:val="24"/>
          <w:lang w:val="en-GB"/>
        </w:rPr>
        <w:t>most notably by introducing income tax in 1910 as one of the last European countries</w:t>
      </w:r>
      <w:r w:rsidR="000E1910" w:rsidRPr="00462F98">
        <w:rPr>
          <w:rFonts w:ascii="Times New Roman" w:hAnsi="Times New Roman" w:cs="Times New Roman"/>
          <w:color w:val="000000" w:themeColor="text1"/>
          <w:sz w:val="24"/>
          <w:szCs w:val="24"/>
          <w:lang w:val="en-GB"/>
        </w:rPr>
        <w:t xml:space="preserve"> (</w:t>
      </w:r>
      <w:proofErr w:type="spellStart"/>
      <w:r w:rsidR="000E1910" w:rsidRPr="00462F98">
        <w:rPr>
          <w:rFonts w:ascii="Times New Roman" w:hAnsi="Times New Roman" w:cs="Times New Roman"/>
          <w:sz w:val="24"/>
          <w:szCs w:val="24"/>
          <w:lang w:val="en-GB"/>
        </w:rPr>
        <w:t>G</w:t>
      </w:r>
      <w:r w:rsidR="003434C1" w:rsidRPr="00462F98">
        <w:rPr>
          <w:rFonts w:ascii="Times New Roman" w:hAnsi="Times New Roman" w:cs="Times New Roman"/>
          <w:color w:val="000000" w:themeColor="text1"/>
          <w:sz w:val="24"/>
          <w:szCs w:val="24"/>
          <w:lang w:val="en-GB"/>
        </w:rPr>
        <w:t>ardikas-Katsiadakis</w:t>
      </w:r>
      <w:proofErr w:type="spellEnd"/>
      <w:r w:rsidR="003434C1" w:rsidRPr="00462F98">
        <w:rPr>
          <w:rFonts w:ascii="Times New Roman" w:hAnsi="Times New Roman" w:cs="Times New Roman"/>
          <w:color w:val="000000" w:themeColor="text1"/>
          <w:sz w:val="24"/>
          <w:szCs w:val="24"/>
          <w:lang w:val="en-GB"/>
        </w:rPr>
        <w:t xml:space="preserve"> 2008)</w:t>
      </w:r>
      <w:r w:rsidRPr="00462F98">
        <w:rPr>
          <w:rFonts w:ascii="Times New Roman" w:hAnsi="Times New Roman" w:cs="Times New Roman"/>
          <w:color w:val="000000" w:themeColor="text1"/>
          <w:sz w:val="24"/>
          <w:szCs w:val="24"/>
          <w:lang w:val="en-GB"/>
        </w:rPr>
        <w:t xml:space="preserve">. </w:t>
      </w:r>
    </w:p>
    <w:p w:rsidR="00544E98" w:rsidRPr="0092691E" w:rsidRDefault="00544E98" w:rsidP="00544E98">
      <w:pPr>
        <w:spacing w:after="0" w:line="360" w:lineRule="auto"/>
        <w:jc w:val="both"/>
        <w:rPr>
          <w:rFonts w:ascii="Times New Roman" w:hAnsi="Times New Roman" w:cs="Times New Roman"/>
          <w:color w:val="000000" w:themeColor="text1"/>
          <w:sz w:val="24"/>
          <w:szCs w:val="24"/>
          <w:lang w:val="en-GB"/>
        </w:rPr>
      </w:pPr>
    </w:p>
    <w:p w:rsidR="00544E98" w:rsidRPr="00462F98" w:rsidRDefault="00544E98" w:rsidP="00544E98">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6.3 The national schism and its impact on the interwar political economy</w:t>
      </w:r>
    </w:p>
    <w:p w:rsidR="00544E98" w:rsidRPr="00462F98" w:rsidRDefault="000E1910" w:rsidP="00544E9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color w:val="000000" w:themeColor="text1"/>
          <w:sz w:val="24"/>
          <w:szCs w:val="24"/>
          <w:lang w:val="en-GB"/>
        </w:rPr>
        <w:t>In</w:t>
      </w:r>
      <w:r w:rsidR="00544E98" w:rsidRPr="00462F98">
        <w:rPr>
          <w:rFonts w:ascii="Times New Roman" w:hAnsi="Times New Roman" w:cs="Times New Roman"/>
          <w:color w:val="000000" w:themeColor="text1"/>
          <w:sz w:val="24"/>
          <w:szCs w:val="24"/>
          <w:lang w:val="en-GB"/>
        </w:rPr>
        <w:t xml:space="preserve"> the </w:t>
      </w:r>
      <w:r w:rsidRPr="00462F98">
        <w:rPr>
          <w:rFonts w:ascii="Times New Roman" w:hAnsi="Times New Roman" w:cs="Times New Roman"/>
          <w:color w:val="000000" w:themeColor="text1"/>
          <w:sz w:val="24"/>
          <w:szCs w:val="24"/>
          <w:lang w:val="en-GB"/>
        </w:rPr>
        <w:t xml:space="preserve">outlined </w:t>
      </w:r>
      <w:r w:rsidR="00544E98" w:rsidRPr="00462F98">
        <w:rPr>
          <w:rFonts w:ascii="Times New Roman" w:hAnsi="Times New Roman" w:cs="Times New Roman"/>
          <w:color w:val="000000" w:themeColor="text1"/>
          <w:sz w:val="24"/>
          <w:szCs w:val="24"/>
          <w:lang w:val="en-GB"/>
        </w:rPr>
        <w:t>political framework, the domestic constituency supporting the country’s gold standard membership was destined to grow in the 1910s: the urban middle classes expanded and, for a first time, a significant number of Greek bonds were repatriated and held domestically</w:t>
      </w:r>
      <w:r w:rsidRPr="00462F98">
        <w:rPr>
          <w:rFonts w:ascii="Times New Roman" w:hAnsi="Times New Roman" w:cs="Times New Roman"/>
          <w:color w:val="000000" w:themeColor="text1"/>
          <w:sz w:val="24"/>
          <w:szCs w:val="24"/>
          <w:lang w:val="en-GB"/>
        </w:rPr>
        <w:t xml:space="preserve"> (Kostis 2003: 17-38</w:t>
      </w:r>
      <w:r w:rsidR="002905EF" w:rsidRPr="00462F98">
        <w:rPr>
          <w:rFonts w:ascii="Times New Roman" w:hAnsi="Times New Roman" w:cs="Times New Roman"/>
          <w:color w:val="000000" w:themeColor="text1"/>
          <w:sz w:val="24"/>
          <w:szCs w:val="24"/>
          <w:lang w:val="en-GB"/>
        </w:rPr>
        <w:t>)</w:t>
      </w:r>
      <w:r w:rsidR="00544E98" w:rsidRPr="00462F98">
        <w:rPr>
          <w:rFonts w:ascii="Times New Roman" w:hAnsi="Times New Roman" w:cs="Times New Roman"/>
          <w:color w:val="000000" w:themeColor="text1"/>
          <w:sz w:val="24"/>
          <w:szCs w:val="24"/>
          <w:lang w:val="en-GB"/>
        </w:rPr>
        <w:t xml:space="preserve">. </w:t>
      </w:r>
      <w:r w:rsidRPr="00462F98">
        <w:rPr>
          <w:rFonts w:ascii="Times New Roman" w:hAnsi="Times New Roman" w:cs="Times New Roman"/>
          <w:sz w:val="24"/>
          <w:szCs w:val="24"/>
          <w:lang w:val="en-GB"/>
        </w:rPr>
        <w:t>T</w:t>
      </w:r>
      <w:r w:rsidR="00544E98" w:rsidRPr="00462F98">
        <w:rPr>
          <w:rFonts w:ascii="Times New Roman" w:hAnsi="Times New Roman" w:cs="Times New Roman"/>
          <w:sz w:val="24"/>
          <w:szCs w:val="24"/>
          <w:lang w:val="en-GB"/>
        </w:rPr>
        <w:t>he Balkan Wars (1912-13) added, in the form of Macedonia</w:t>
      </w:r>
      <w:r w:rsidRPr="00462F98">
        <w:rPr>
          <w:rFonts w:ascii="Times New Roman" w:hAnsi="Times New Roman" w:cs="Times New Roman"/>
          <w:sz w:val="24"/>
          <w:szCs w:val="24"/>
          <w:lang w:val="en-GB"/>
        </w:rPr>
        <w:t xml:space="preserve"> and Crete</w:t>
      </w:r>
      <w:r w:rsidR="00544E98" w:rsidRPr="00462F98">
        <w:rPr>
          <w:rFonts w:ascii="Times New Roman" w:hAnsi="Times New Roman" w:cs="Times New Roman"/>
          <w:sz w:val="24"/>
          <w:szCs w:val="24"/>
          <w:lang w:val="en-GB"/>
        </w:rPr>
        <w:t xml:space="preserve">, two provinces which were </w:t>
      </w:r>
      <w:r w:rsidRPr="00462F98">
        <w:rPr>
          <w:rFonts w:ascii="Times New Roman" w:hAnsi="Times New Roman" w:cs="Times New Roman"/>
          <w:sz w:val="24"/>
          <w:szCs w:val="24"/>
          <w:lang w:val="en-GB"/>
        </w:rPr>
        <w:t>commercially</w:t>
      </w:r>
      <w:r w:rsidR="00544E98" w:rsidRPr="00462F98">
        <w:rPr>
          <w:rFonts w:ascii="Times New Roman" w:hAnsi="Times New Roman" w:cs="Times New Roman"/>
          <w:sz w:val="24"/>
          <w:szCs w:val="24"/>
          <w:lang w:val="en-GB"/>
        </w:rPr>
        <w:t xml:space="preserve"> more developed than “Old Greece”, doubling the country</w:t>
      </w:r>
      <w:r w:rsidR="004C5094">
        <w:rPr>
          <w:rFonts w:ascii="Times New Roman" w:hAnsi="Times New Roman" w:cs="Times New Roman"/>
          <w:sz w:val="24"/>
          <w:szCs w:val="24"/>
          <w:lang w:val="en-GB"/>
        </w:rPr>
        <w:t>’s</w:t>
      </w:r>
      <w:r w:rsidR="00544E98" w:rsidRPr="00462F98">
        <w:rPr>
          <w:rFonts w:ascii="Times New Roman" w:hAnsi="Times New Roman" w:cs="Times New Roman"/>
          <w:sz w:val="24"/>
          <w:szCs w:val="24"/>
          <w:lang w:val="en-GB"/>
        </w:rPr>
        <w:t xml:space="preserve"> territory and population.</w:t>
      </w:r>
    </w:p>
    <w:p w:rsidR="00544E98" w:rsidRPr="00462F98" w:rsidRDefault="00544E98" w:rsidP="00544E9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 xml:space="preserve">Yet Greek politics soon </w:t>
      </w:r>
      <w:r w:rsidR="000E1910" w:rsidRPr="00462F98">
        <w:rPr>
          <w:rFonts w:ascii="Times New Roman" w:hAnsi="Times New Roman" w:cs="Times New Roman"/>
          <w:sz w:val="24"/>
          <w:szCs w:val="24"/>
          <w:lang w:val="en-GB"/>
        </w:rPr>
        <w:t>incur</w:t>
      </w:r>
      <w:r w:rsidRPr="00462F98">
        <w:rPr>
          <w:rFonts w:ascii="Times New Roman" w:hAnsi="Times New Roman" w:cs="Times New Roman"/>
          <w:sz w:val="24"/>
          <w:szCs w:val="24"/>
          <w:lang w:val="en-GB"/>
        </w:rPr>
        <w:t>red a fundamental divide which had a bearing on all political and economic decisions in the interwar period, even seemingly unrelated ones such as currency stabilisation</w:t>
      </w:r>
      <w:r w:rsidR="000E1910" w:rsidRPr="00462F98">
        <w:rPr>
          <w:rFonts w:ascii="Times New Roman" w:hAnsi="Times New Roman" w:cs="Times New Roman"/>
          <w:sz w:val="24"/>
          <w:szCs w:val="24"/>
          <w:lang w:val="en-GB"/>
        </w:rPr>
        <w:t xml:space="preserve"> (</w:t>
      </w:r>
      <w:proofErr w:type="spellStart"/>
      <w:r w:rsidR="000E1910" w:rsidRPr="00462F98">
        <w:rPr>
          <w:rFonts w:ascii="Times New Roman" w:hAnsi="Times New Roman" w:cs="Times New Roman"/>
          <w:sz w:val="24"/>
          <w:szCs w:val="24"/>
          <w:lang w:val="en-GB"/>
        </w:rPr>
        <w:t>Kalyvas</w:t>
      </w:r>
      <w:proofErr w:type="spellEnd"/>
      <w:r w:rsidR="000E1910" w:rsidRPr="00462F98">
        <w:rPr>
          <w:rFonts w:ascii="Times New Roman" w:hAnsi="Times New Roman" w:cs="Times New Roman"/>
          <w:sz w:val="24"/>
          <w:szCs w:val="24"/>
          <w:lang w:val="en-GB"/>
        </w:rPr>
        <w:t xml:space="preserve"> 2015: 69-71</w:t>
      </w:r>
      <w:r w:rsidR="00ED351A">
        <w:rPr>
          <w:rFonts w:ascii="Times New Roman" w:hAnsi="Times New Roman" w:cs="Times New Roman"/>
          <w:sz w:val="24"/>
          <w:szCs w:val="24"/>
          <w:lang w:val="en-GB"/>
        </w:rPr>
        <w:t>)</w:t>
      </w:r>
      <w:r w:rsidRPr="00462F98">
        <w:rPr>
          <w:rFonts w:ascii="Times New Roman" w:hAnsi="Times New Roman" w:cs="Times New Roman"/>
          <w:sz w:val="24"/>
          <w:szCs w:val="24"/>
          <w:lang w:val="en-GB"/>
        </w:rPr>
        <w:t>. The National Schism (</w:t>
      </w:r>
      <w:proofErr w:type="spellStart"/>
      <w:r w:rsidRPr="00462F98">
        <w:rPr>
          <w:rFonts w:ascii="Times New Roman" w:hAnsi="Times New Roman" w:cs="Times New Roman"/>
          <w:sz w:val="24"/>
          <w:szCs w:val="24"/>
          <w:lang w:val="en-GB"/>
        </w:rPr>
        <w:t>εθνικóς</w:t>
      </w:r>
      <w:proofErr w:type="spellEnd"/>
      <w:r w:rsidRPr="00462F98">
        <w:rPr>
          <w:rFonts w:ascii="Times New Roman" w:hAnsi="Times New Roman" w:cs="Times New Roman"/>
          <w:sz w:val="24"/>
          <w:szCs w:val="24"/>
          <w:lang w:val="en-GB"/>
        </w:rPr>
        <w:t xml:space="preserve"> </w:t>
      </w:r>
      <w:proofErr w:type="spellStart"/>
      <w:r w:rsidRPr="00462F98">
        <w:rPr>
          <w:rFonts w:ascii="Times New Roman" w:hAnsi="Times New Roman" w:cs="Times New Roman"/>
          <w:sz w:val="24"/>
          <w:szCs w:val="24"/>
          <w:lang w:val="en-GB"/>
        </w:rPr>
        <w:t>διχ</w:t>
      </w:r>
      <w:proofErr w:type="spellEnd"/>
      <w:r w:rsidRPr="00462F98">
        <w:rPr>
          <w:rFonts w:ascii="Times New Roman" w:hAnsi="Times New Roman" w:cs="Times New Roman"/>
          <w:sz w:val="24"/>
          <w:szCs w:val="24"/>
          <w:lang w:val="en-GB"/>
        </w:rPr>
        <w:t>ασμóς)</w:t>
      </w:r>
      <w:r w:rsidRPr="00462F98">
        <w:rPr>
          <w:rFonts w:ascii="Times New Roman" w:hAnsi="Times New Roman" w:cs="Times New Roman"/>
          <w:b/>
          <w:sz w:val="24"/>
          <w:szCs w:val="24"/>
          <w:lang w:val="en-GB"/>
        </w:rPr>
        <w:t xml:space="preserve"> </w:t>
      </w:r>
      <w:r w:rsidRPr="00462F98">
        <w:rPr>
          <w:rFonts w:ascii="Times New Roman" w:hAnsi="Times New Roman" w:cs="Times New Roman"/>
          <w:sz w:val="24"/>
          <w:szCs w:val="24"/>
          <w:lang w:val="en-GB"/>
        </w:rPr>
        <w:t>split the country into two rival camps, typically referred to as Republican (or Venizelist) and Royalist. Starting point was whether Greece should join W</w:t>
      </w:r>
      <w:r w:rsidR="004C5094">
        <w:rPr>
          <w:rFonts w:ascii="Times New Roman" w:hAnsi="Times New Roman" w:cs="Times New Roman"/>
          <w:sz w:val="24"/>
          <w:szCs w:val="24"/>
          <w:lang w:val="en-GB"/>
        </w:rPr>
        <w:t>W</w:t>
      </w:r>
      <w:r w:rsidRPr="00462F98">
        <w:rPr>
          <w:rFonts w:ascii="Times New Roman" w:hAnsi="Times New Roman" w:cs="Times New Roman"/>
          <w:sz w:val="24"/>
          <w:szCs w:val="24"/>
          <w:lang w:val="en-GB"/>
        </w:rPr>
        <w:t>I on the side of the Entente or the Central Powers. King Constantine (</w:t>
      </w:r>
      <w:r w:rsidRPr="00462F98">
        <w:rPr>
          <w:rFonts w:ascii="Times New Roman" w:hAnsi="Times New Roman" w:cs="Times New Roman"/>
          <w:color w:val="000000" w:themeColor="text1"/>
          <w:sz w:val="24"/>
          <w:szCs w:val="24"/>
          <w:lang w:val="en-GB"/>
        </w:rPr>
        <w:t>1913-17, 1920-22</w:t>
      </w:r>
      <w:r w:rsidRPr="00462F98">
        <w:rPr>
          <w:rFonts w:ascii="Times New Roman" w:hAnsi="Times New Roman" w:cs="Times New Roman"/>
          <w:sz w:val="24"/>
          <w:szCs w:val="24"/>
          <w:lang w:val="en-GB"/>
        </w:rPr>
        <w:t xml:space="preserve">) preferred neutrality given the unclear war outcome. By contrast, Venizelos argued that siding with Britain and France was likely to lead to territorial gains after the war. The conflict intensified to the point where the King was forced into exile, giving the prime minister free hand to join the Allies. Venizelos’ strategy paid off with large territorial gains in the Treaty of </w:t>
      </w:r>
      <w:proofErr w:type="spellStart"/>
      <w:r w:rsidRPr="00462F98">
        <w:rPr>
          <w:rFonts w:ascii="Times New Roman" w:hAnsi="Times New Roman" w:cs="Times New Roman"/>
          <w:sz w:val="24"/>
          <w:szCs w:val="24"/>
          <w:lang w:val="en-GB"/>
        </w:rPr>
        <w:t>Sèvres</w:t>
      </w:r>
      <w:proofErr w:type="spellEnd"/>
      <w:r w:rsidRPr="00462F98">
        <w:rPr>
          <w:rFonts w:ascii="Times New Roman" w:hAnsi="Times New Roman" w:cs="Times New Roman"/>
          <w:sz w:val="24"/>
          <w:szCs w:val="24"/>
          <w:lang w:val="en-GB"/>
        </w:rPr>
        <w:t xml:space="preserve"> </w:t>
      </w:r>
      <w:r w:rsidRPr="00462F98">
        <w:rPr>
          <w:rFonts w:ascii="Times New Roman" w:hAnsi="Times New Roman" w:cs="Times New Roman"/>
          <w:color w:val="000000" w:themeColor="text1"/>
          <w:sz w:val="24"/>
          <w:szCs w:val="24"/>
          <w:lang w:val="en-GB"/>
        </w:rPr>
        <w:t>(August 1920)</w:t>
      </w:r>
      <w:r w:rsidRPr="00462F98">
        <w:rPr>
          <w:rFonts w:ascii="Times New Roman" w:hAnsi="Times New Roman" w:cs="Times New Roman"/>
          <w:sz w:val="24"/>
          <w:szCs w:val="24"/>
          <w:lang w:val="en-GB"/>
        </w:rPr>
        <w:t>, but King Constantine returned to the throne in November 1920 and his political allies won national elections in the same month. The Royalist side subsequently embarked on a full-scale military campaign in Asia Minor to secure permanently the recent ter</w:t>
      </w:r>
      <w:r w:rsidR="00ED351A">
        <w:rPr>
          <w:rFonts w:ascii="Times New Roman" w:hAnsi="Times New Roman" w:cs="Times New Roman"/>
          <w:sz w:val="24"/>
          <w:szCs w:val="24"/>
          <w:lang w:val="en-GB"/>
        </w:rPr>
        <w:t>ritorial gains and extend</w:t>
      </w:r>
      <w:r w:rsidRPr="00462F98">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lastRenderedPageBreak/>
        <w:t>further if possible, in pursuit of the “Great Idea</w:t>
      </w:r>
      <w:r w:rsidR="00ED351A">
        <w:rPr>
          <w:rFonts w:ascii="Times New Roman" w:hAnsi="Times New Roman" w:cs="Times New Roman"/>
          <w:sz w:val="24"/>
          <w:szCs w:val="24"/>
          <w:lang w:val="en-GB"/>
        </w:rPr>
        <w:t>.</w:t>
      </w:r>
      <w:r w:rsidRPr="00462F98">
        <w:rPr>
          <w:rFonts w:ascii="Times New Roman" w:hAnsi="Times New Roman" w:cs="Times New Roman"/>
          <w:sz w:val="24"/>
          <w:szCs w:val="24"/>
          <w:lang w:val="en-GB"/>
        </w:rPr>
        <w:t xml:space="preserve">” Yet the military adventure ended in defeat, known as the 1922 Asia Minor catastrophe, reversing </w:t>
      </w:r>
      <w:r w:rsidR="000E1910" w:rsidRPr="00462F98">
        <w:rPr>
          <w:rFonts w:ascii="Times New Roman" w:hAnsi="Times New Roman" w:cs="Times New Roman"/>
          <w:sz w:val="24"/>
          <w:szCs w:val="24"/>
          <w:lang w:val="en-GB"/>
        </w:rPr>
        <w:t xml:space="preserve">almost completely </w:t>
      </w:r>
      <w:r w:rsidRPr="00462F98">
        <w:rPr>
          <w:rFonts w:ascii="Times New Roman" w:hAnsi="Times New Roman" w:cs="Times New Roman"/>
          <w:sz w:val="24"/>
          <w:szCs w:val="24"/>
          <w:lang w:val="en-GB"/>
        </w:rPr>
        <w:t>the territorial gains in the Treaty of Lausanne (</w:t>
      </w:r>
      <w:r w:rsidRPr="00462F98">
        <w:rPr>
          <w:rFonts w:ascii="Times New Roman" w:hAnsi="Times New Roman" w:cs="Times New Roman"/>
          <w:color w:val="000000" w:themeColor="text1"/>
          <w:sz w:val="24"/>
          <w:szCs w:val="24"/>
          <w:lang w:val="en-GB"/>
        </w:rPr>
        <w:t>July 1923</w:t>
      </w:r>
      <w:r w:rsidRPr="00462F98">
        <w:rPr>
          <w:rFonts w:ascii="Times New Roman" w:hAnsi="Times New Roman" w:cs="Times New Roman"/>
          <w:sz w:val="24"/>
          <w:szCs w:val="24"/>
          <w:lang w:val="en-GB"/>
        </w:rPr>
        <w:t xml:space="preserve">). Pro-Venizelist officers took control of the government in September 1922 and forced the King to abdicate in favour of his son, King George II.  The monarchy was eventually abolished following a referendum (April 1924), giving way to a republic so fragile that it was overthrown by General </w:t>
      </w:r>
      <w:proofErr w:type="spellStart"/>
      <w:r w:rsidRPr="00462F98">
        <w:rPr>
          <w:rFonts w:ascii="Times New Roman" w:hAnsi="Times New Roman" w:cs="Times New Roman"/>
          <w:sz w:val="24"/>
          <w:szCs w:val="24"/>
          <w:lang w:val="en-GB"/>
        </w:rPr>
        <w:t>Pangalos</w:t>
      </w:r>
      <w:proofErr w:type="spellEnd"/>
      <w:r w:rsidRPr="00462F98">
        <w:rPr>
          <w:rFonts w:ascii="Times New Roman" w:hAnsi="Times New Roman" w:cs="Times New Roman"/>
          <w:sz w:val="24"/>
          <w:szCs w:val="24"/>
          <w:lang w:val="en-GB"/>
        </w:rPr>
        <w:t xml:space="preserve"> the next year. Some form of normality only returned in late 1926 wi</w:t>
      </w:r>
      <w:r w:rsidR="000E1910" w:rsidRPr="00462F98">
        <w:rPr>
          <w:rFonts w:ascii="Times New Roman" w:hAnsi="Times New Roman" w:cs="Times New Roman"/>
          <w:sz w:val="24"/>
          <w:szCs w:val="24"/>
          <w:lang w:val="en-GB"/>
        </w:rPr>
        <w:t>th the restoration of democracy</w:t>
      </w:r>
      <w:r w:rsidRPr="00462F98">
        <w:rPr>
          <w:rFonts w:ascii="Times New Roman" w:hAnsi="Times New Roman" w:cs="Times New Roman"/>
          <w:sz w:val="24"/>
          <w:szCs w:val="24"/>
          <w:lang w:val="en-GB"/>
        </w:rPr>
        <w:t xml:space="preserve"> and the holding of election</w:t>
      </w:r>
      <w:r w:rsidR="000E1910" w:rsidRPr="00462F98">
        <w:rPr>
          <w:rFonts w:ascii="Times New Roman" w:hAnsi="Times New Roman" w:cs="Times New Roman"/>
          <w:sz w:val="24"/>
          <w:szCs w:val="24"/>
          <w:lang w:val="en-GB"/>
        </w:rPr>
        <w:t>s, which le</w:t>
      </w:r>
      <w:r w:rsidRPr="00462F98">
        <w:rPr>
          <w:rFonts w:ascii="Times New Roman" w:hAnsi="Times New Roman" w:cs="Times New Roman"/>
          <w:sz w:val="24"/>
          <w:szCs w:val="24"/>
          <w:lang w:val="en-GB"/>
        </w:rPr>
        <w:t xml:space="preserve">d to a broad-based government under Alexandros </w:t>
      </w:r>
      <w:proofErr w:type="spellStart"/>
      <w:r w:rsidRPr="00462F98">
        <w:rPr>
          <w:rFonts w:ascii="Times New Roman" w:hAnsi="Times New Roman" w:cs="Times New Roman"/>
          <w:sz w:val="24"/>
          <w:szCs w:val="24"/>
          <w:lang w:val="en-GB"/>
        </w:rPr>
        <w:t>Zaimis</w:t>
      </w:r>
      <w:proofErr w:type="spellEnd"/>
      <w:r w:rsidRPr="00462F98">
        <w:rPr>
          <w:rFonts w:ascii="Times New Roman" w:hAnsi="Times New Roman" w:cs="Times New Roman"/>
          <w:color w:val="000000" w:themeColor="text1"/>
          <w:sz w:val="24"/>
          <w:szCs w:val="24"/>
          <w:lang w:val="en-GB"/>
        </w:rPr>
        <w:t>.</w:t>
      </w:r>
    </w:p>
    <w:p w:rsidR="00544E98" w:rsidRPr="00980D93" w:rsidRDefault="00544E98" w:rsidP="00544E98">
      <w:pPr>
        <w:spacing w:after="0" w:line="360" w:lineRule="auto"/>
        <w:jc w:val="both"/>
        <w:rPr>
          <w:rFonts w:ascii="Times New Roman" w:hAnsi="Times New Roman" w:cs="Times New Roman"/>
          <w:color w:val="000000" w:themeColor="text1"/>
          <w:sz w:val="24"/>
          <w:szCs w:val="24"/>
          <w:lang w:val="en-GB"/>
        </w:rPr>
      </w:pPr>
      <w:r w:rsidRPr="00980D93">
        <w:rPr>
          <w:rFonts w:ascii="Times New Roman" w:hAnsi="Times New Roman" w:cs="Times New Roman"/>
          <w:color w:val="000000" w:themeColor="text1"/>
          <w:sz w:val="24"/>
          <w:szCs w:val="24"/>
          <w:lang w:val="en-GB"/>
        </w:rPr>
        <w:tab/>
        <w:t>These developments had at least three implications for the political economy of exchange-rate stabilisation in the 1920s. First, relations between the two camps remained poisonous and paralysed the political process: interwar Greece became a “stillborn republic” in the words of arguably the most important study dedicated to political coalitions and party strategies between 1922 and 1936 (</w:t>
      </w:r>
      <w:proofErr w:type="spellStart"/>
      <w:r w:rsidRPr="00980D93">
        <w:rPr>
          <w:rFonts w:ascii="Times New Roman" w:hAnsi="Times New Roman" w:cs="Times New Roman"/>
          <w:color w:val="000000" w:themeColor="text1"/>
          <w:sz w:val="24"/>
          <w:szCs w:val="24"/>
          <w:lang w:val="en-GB"/>
        </w:rPr>
        <w:t>Mavrogordatos</w:t>
      </w:r>
      <w:proofErr w:type="spellEnd"/>
      <w:r w:rsidRPr="00980D93">
        <w:rPr>
          <w:rFonts w:ascii="Times New Roman" w:hAnsi="Times New Roman" w:cs="Times New Roman"/>
          <w:color w:val="000000" w:themeColor="text1"/>
          <w:sz w:val="24"/>
          <w:szCs w:val="24"/>
          <w:lang w:val="en-GB"/>
        </w:rPr>
        <w:t xml:space="preserve"> </w:t>
      </w:r>
      <w:r w:rsidR="000E1910" w:rsidRPr="00980D93">
        <w:rPr>
          <w:rFonts w:ascii="Times New Roman" w:hAnsi="Times New Roman" w:cs="Times New Roman"/>
          <w:color w:val="000000" w:themeColor="text1"/>
          <w:sz w:val="24"/>
          <w:szCs w:val="24"/>
          <w:lang w:val="en-GB"/>
        </w:rPr>
        <w:t>1983</w:t>
      </w:r>
      <w:r w:rsidRPr="00980D93">
        <w:rPr>
          <w:rFonts w:ascii="Times New Roman" w:hAnsi="Times New Roman" w:cs="Times New Roman"/>
          <w:color w:val="000000" w:themeColor="text1"/>
          <w:sz w:val="24"/>
          <w:szCs w:val="24"/>
          <w:lang w:val="en-GB"/>
        </w:rPr>
        <w:t>). Governments were even more short-lived than before the w</w:t>
      </w:r>
      <w:r w:rsidR="000E1910" w:rsidRPr="00980D93">
        <w:rPr>
          <w:rFonts w:ascii="Times New Roman" w:hAnsi="Times New Roman" w:cs="Times New Roman"/>
          <w:color w:val="000000" w:themeColor="text1"/>
          <w:sz w:val="24"/>
          <w:szCs w:val="24"/>
          <w:lang w:val="en-GB"/>
        </w:rPr>
        <w:t>ar (14</w:t>
      </w:r>
      <w:r w:rsidRPr="00980D93">
        <w:rPr>
          <w:rFonts w:ascii="Times New Roman" w:hAnsi="Times New Roman" w:cs="Times New Roman"/>
          <w:color w:val="000000" w:themeColor="text1"/>
          <w:sz w:val="24"/>
          <w:szCs w:val="24"/>
          <w:lang w:val="en-GB"/>
        </w:rPr>
        <w:t xml:space="preserve"> governments between 1924 and 1935 when the monarchy was reintroduced). Fundamental economic and political decisions were more likely to be taken by the occasional broad-based government</w:t>
      </w:r>
      <w:r w:rsidR="000975BC">
        <w:rPr>
          <w:rFonts w:ascii="Times New Roman" w:hAnsi="Times New Roman" w:cs="Times New Roman"/>
          <w:color w:val="000000" w:themeColor="text1"/>
          <w:sz w:val="24"/>
          <w:szCs w:val="24"/>
          <w:lang w:val="en-GB"/>
        </w:rPr>
        <w:t>,</w:t>
      </w:r>
      <w:r w:rsidRPr="00980D93">
        <w:rPr>
          <w:rFonts w:ascii="Times New Roman" w:hAnsi="Times New Roman" w:cs="Times New Roman"/>
          <w:color w:val="000000" w:themeColor="text1"/>
          <w:sz w:val="24"/>
          <w:szCs w:val="24"/>
          <w:lang w:val="en-GB"/>
        </w:rPr>
        <w:t xml:space="preserve"> transcending the national schism to avoid policy reversal by the next government from the opposite camp. The rapid succession of governments also made foreign oversight more attractive: it was seen as a bulwark against such reversals</w:t>
      </w:r>
      <w:r w:rsidR="000E1910" w:rsidRPr="00980D93">
        <w:rPr>
          <w:rFonts w:ascii="Times New Roman" w:hAnsi="Times New Roman" w:cs="Times New Roman"/>
          <w:color w:val="000000" w:themeColor="text1"/>
          <w:sz w:val="24"/>
          <w:szCs w:val="24"/>
          <w:lang w:val="en-GB"/>
        </w:rPr>
        <w:t xml:space="preserve"> (</w:t>
      </w:r>
      <w:proofErr w:type="spellStart"/>
      <w:r w:rsidR="000E1910" w:rsidRPr="00980D93">
        <w:rPr>
          <w:rFonts w:ascii="Times New Roman" w:hAnsi="Times New Roman" w:cs="Times New Roman"/>
          <w:color w:val="000000" w:themeColor="text1"/>
          <w:sz w:val="24"/>
          <w:szCs w:val="24"/>
          <w:lang w:val="en-GB"/>
        </w:rPr>
        <w:t>Clogg</w:t>
      </w:r>
      <w:proofErr w:type="spellEnd"/>
      <w:r w:rsidR="000E1910" w:rsidRPr="00980D93">
        <w:rPr>
          <w:rFonts w:ascii="Times New Roman" w:hAnsi="Times New Roman" w:cs="Times New Roman"/>
          <w:color w:val="000000" w:themeColor="text1"/>
          <w:sz w:val="24"/>
          <w:szCs w:val="24"/>
          <w:lang w:val="en-GB"/>
        </w:rPr>
        <w:t xml:space="preserve"> 2002: 98-115; Kostis 2014: 593-637</w:t>
      </w:r>
      <w:r w:rsidR="00205943" w:rsidRPr="00980D93">
        <w:rPr>
          <w:rFonts w:ascii="Times New Roman" w:hAnsi="Times New Roman" w:cs="Times New Roman"/>
          <w:color w:val="000000" w:themeColor="text1"/>
          <w:sz w:val="24"/>
          <w:szCs w:val="24"/>
          <w:lang w:val="en-GB"/>
        </w:rPr>
        <w:t>)</w:t>
      </w:r>
      <w:r w:rsidRPr="00980D93">
        <w:rPr>
          <w:rFonts w:ascii="Times New Roman" w:hAnsi="Times New Roman" w:cs="Times New Roman"/>
          <w:color w:val="000000" w:themeColor="text1"/>
          <w:sz w:val="24"/>
          <w:szCs w:val="24"/>
          <w:lang w:val="en-GB"/>
        </w:rPr>
        <w:t xml:space="preserve">. Second, the Asia Minor expedition, the abolishment of the monarchy and the </w:t>
      </w:r>
      <w:proofErr w:type="spellStart"/>
      <w:r w:rsidRPr="00980D93">
        <w:rPr>
          <w:rFonts w:ascii="Times New Roman" w:hAnsi="Times New Roman" w:cs="Times New Roman"/>
          <w:color w:val="000000" w:themeColor="text1"/>
          <w:sz w:val="24"/>
          <w:szCs w:val="24"/>
          <w:lang w:val="en-GB"/>
        </w:rPr>
        <w:t>Pangalos</w:t>
      </w:r>
      <w:proofErr w:type="spellEnd"/>
      <w:r w:rsidRPr="00980D93">
        <w:rPr>
          <w:rFonts w:ascii="Times New Roman" w:hAnsi="Times New Roman" w:cs="Times New Roman"/>
          <w:color w:val="000000" w:themeColor="text1"/>
          <w:sz w:val="24"/>
          <w:szCs w:val="24"/>
          <w:lang w:val="en-GB"/>
        </w:rPr>
        <w:t xml:space="preserve"> dictatorship had isolated the country politically and financially. Britain and France cut Greece from financial markets in November 1920 in an attempt to prevent the military campaign, remaining highly distrustful of any revanchist tendencies after the 1922 defeat</w:t>
      </w:r>
      <w:r w:rsidR="002C58B5" w:rsidRPr="00980D93">
        <w:rPr>
          <w:rFonts w:ascii="Times New Roman" w:hAnsi="Times New Roman" w:cs="Times New Roman"/>
          <w:color w:val="000000" w:themeColor="text1"/>
          <w:sz w:val="24"/>
          <w:szCs w:val="24"/>
          <w:lang w:val="en-GB"/>
        </w:rPr>
        <w:t xml:space="preserve"> (</w:t>
      </w:r>
      <w:proofErr w:type="spellStart"/>
      <w:r w:rsidR="002C58B5" w:rsidRPr="00980D93">
        <w:rPr>
          <w:rFonts w:ascii="Times New Roman" w:hAnsi="Times New Roman" w:cs="Times New Roman"/>
          <w:color w:val="000000" w:themeColor="text1"/>
          <w:sz w:val="24"/>
          <w:szCs w:val="24"/>
          <w:lang w:val="en-GB"/>
        </w:rPr>
        <w:t>Pepelasis</w:t>
      </w:r>
      <w:proofErr w:type="spellEnd"/>
      <w:r w:rsidR="002C58B5" w:rsidRPr="00980D93">
        <w:rPr>
          <w:rFonts w:ascii="Times New Roman" w:hAnsi="Times New Roman" w:cs="Times New Roman"/>
          <w:color w:val="000000" w:themeColor="text1"/>
          <w:sz w:val="24"/>
          <w:szCs w:val="24"/>
          <w:lang w:val="en-GB"/>
        </w:rPr>
        <w:t xml:space="preserve"> </w:t>
      </w:r>
      <w:proofErr w:type="spellStart"/>
      <w:r w:rsidR="002C58B5" w:rsidRPr="00980D93">
        <w:rPr>
          <w:rFonts w:ascii="Times New Roman" w:hAnsi="Times New Roman" w:cs="Times New Roman"/>
          <w:color w:val="000000" w:themeColor="text1"/>
          <w:sz w:val="24"/>
          <w:szCs w:val="24"/>
          <w:lang w:val="en-GB"/>
        </w:rPr>
        <w:t>Minoglou</w:t>
      </w:r>
      <w:proofErr w:type="spellEnd"/>
      <w:r w:rsidR="002C58B5" w:rsidRPr="00980D93">
        <w:rPr>
          <w:rFonts w:ascii="Times New Roman" w:hAnsi="Times New Roman" w:cs="Times New Roman"/>
          <w:color w:val="000000" w:themeColor="text1"/>
          <w:sz w:val="24"/>
          <w:szCs w:val="24"/>
          <w:lang w:val="en-GB"/>
        </w:rPr>
        <w:t xml:space="preserve"> 1993: 53-57)</w:t>
      </w:r>
      <w:r w:rsidRPr="00980D93">
        <w:rPr>
          <w:rFonts w:ascii="Times New Roman" w:hAnsi="Times New Roman" w:cs="Times New Roman"/>
          <w:color w:val="000000" w:themeColor="text1"/>
          <w:sz w:val="24"/>
          <w:szCs w:val="24"/>
          <w:lang w:val="en-GB"/>
        </w:rPr>
        <w:t>. This particular constellation made both countries likely to help after the restoration of democracy (to retain influence over an erstwhile ally), but under strict conditions (in particular, keeping military expenditure low). Third, three wars in only ten years (1912-22) and resettling 1.5 million refugees from Asia Minor had exhausted the country financially.</w:t>
      </w:r>
    </w:p>
    <w:p w:rsidR="0092691E" w:rsidRDefault="0092691E" w:rsidP="00544E98">
      <w:pPr>
        <w:spacing w:after="0" w:line="360" w:lineRule="auto"/>
        <w:jc w:val="both"/>
        <w:rPr>
          <w:rFonts w:ascii="Times New Roman" w:hAnsi="Times New Roman" w:cs="Times New Roman"/>
          <w:b/>
          <w:sz w:val="12"/>
          <w:szCs w:val="12"/>
          <w:lang w:val="en-GB"/>
        </w:rPr>
      </w:pPr>
    </w:p>
    <w:p w:rsidR="0092691E" w:rsidRPr="00462F98" w:rsidRDefault="0092691E" w:rsidP="00544E98">
      <w:pPr>
        <w:spacing w:after="0" w:line="360" w:lineRule="auto"/>
        <w:jc w:val="both"/>
        <w:rPr>
          <w:rFonts w:ascii="Times New Roman" w:hAnsi="Times New Roman" w:cs="Times New Roman"/>
          <w:b/>
          <w:sz w:val="12"/>
          <w:szCs w:val="12"/>
          <w:lang w:val="en-GB"/>
        </w:rPr>
      </w:pPr>
    </w:p>
    <w:p w:rsidR="00544E98" w:rsidRPr="00462F98" w:rsidRDefault="00544E98" w:rsidP="00544E98">
      <w:pPr>
        <w:spacing w:after="0" w:line="360" w:lineRule="auto"/>
        <w:jc w:val="both"/>
        <w:rPr>
          <w:rFonts w:ascii="Times New Roman" w:hAnsi="Times New Roman" w:cs="Times New Roman"/>
          <w:b/>
          <w:sz w:val="24"/>
          <w:szCs w:val="24"/>
          <w:lang w:val="en-GB"/>
        </w:rPr>
      </w:pPr>
      <w:r w:rsidRPr="00462F98">
        <w:rPr>
          <w:rFonts w:ascii="Times New Roman" w:hAnsi="Times New Roman" w:cs="Times New Roman"/>
          <w:b/>
          <w:sz w:val="24"/>
          <w:szCs w:val="24"/>
          <w:lang w:val="en-GB"/>
        </w:rPr>
        <w:t>6.4 The 1928 currency stabilisation and financial supervision by the League of Nations</w:t>
      </w:r>
    </w:p>
    <w:p w:rsidR="00544E98" w:rsidRPr="00462F98" w:rsidRDefault="00544E98" w:rsidP="00544E9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 xml:space="preserve">It was under these conditions that the 1928 currency stabilisation emerged. The monetary financing of three wars had reduced the exchange-rate to 6.7% of its pre-war value, one of the largest war-time depreciations (table 1).  In turn, the political consensus behind exchange-rate stabilisation was particularly strong: all parties supported this objective in 1927-28. They also shared the conviction that the foreign capital required for reconstruction would flow only if </w:t>
      </w:r>
      <w:r w:rsidRPr="00462F98">
        <w:rPr>
          <w:rFonts w:ascii="Times New Roman" w:hAnsi="Times New Roman" w:cs="Times New Roman"/>
          <w:sz w:val="24"/>
          <w:szCs w:val="24"/>
          <w:lang w:val="en-GB"/>
        </w:rPr>
        <w:lastRenderedPageBreak/>
        <w:t>the country joined the interwar gold standard</w:t>
      </w:r>
      <w:r w:rsidR="002C58B5" w:rsidRPr="00462F98">
        <w:rPr>
          <w:rFonts w:ascii="Times New Roman" w:hAnsi="Times New Roman" w:cs="Times New Roman"/>
          <w:sz w:val="24"/>
          <w:szCs w:val="24"/>
          <w:lang w:val="en-GB"/>
        </w:rPr>
        <w:t xml:space="preserve"> (</w:t>
      </w:r>
      <w:proofErr w:type="spellStart"/>
      <w:r w:rsidR="002C58B5" w:rsidRPr="00462F98">
        <w:rPr>
          <w:rFonts w:ascii="Times New Roman" w:hAnsi="Times New Roman" w:cs="Times New Roman"/>
          <w:sz w:val="24"/>
          <w:szCs w:val="24"/>
          <w:lang w:val="en-GB"/>
        </w:rPr>
        <w:t>Pepelasis</w:t>
      </w:r>
      <w:proofErr w:type="spellEnd"/>
      <w:r w:rsidR="002C58B5" w:rsidRPr="00462F98">
        <w:rPr>
          <w:rFonts w:ascii="Times New Roman" w:hAnsi="Times New Roman" w:cs="Times New Roman"/>
          <w:sz w:val="24"/>
          <w:szCs w:val="24"/>
          <w:lang w:val="en-GB"/>
        </w:rPr>
        <w:t xml:space="preserve"> </w:t>
      </w:r>
      <w:proofErr w:type="spellStart"/>
      <w:r w:rsidR="002C58B5" w:rsidRPr="00462F98">
        <w:rPr>
          <w:rFonts w:ascii="Times New Roman" w:hAnsi="Times New Roman" w:cs="Times New Roman"/>
          <w:sz w:val="24"/>
          <w:szCs w:val="24"/>
          <w:lang w:val="en-GB"/>
        </w:rPr>
        <w:t>Minoglou</w:t>
      </w:r>
      <w:proofErr w:type="spellEnd"/>
      <w:r w:rsidR="002C58B5" w:rsidRPr="00462F98">
        <w:rPr>
          <w:rFonts w:ascii="Times New Roman" w:hAnsi="Times New Roman" w:cs="Times New Roman"/>
          <w:sz w:val="24"/>
          <w:szCs w:val="24"/>
          <w:lang w:val="en-GB"/>
        </w:rPr>
        <w:t xml:space="preserve"> 1993: 142-150)</w:t>
      </w:r>
      <w:r w:rsidRPr="00462F98">
        <w:rPr>
          <w:rFonts w:ascii="Times New Roman" w:hAnsi="Times New Roman" w:cs="Times New Roman"/>
          <w:sz w:val="24"/>
          <w:szCs w:val="24"/>
          <w:lang w:val="en-GB"/>
        </w:rPr>
        <w:t xml:space="preserve">. The interwar rationale, then, was very similar to the pre-war political economy. </w:t>
      </w:r>
    </w:p>
    <w:p w:rsidR="00544E98" w:rsidRDefault="00544E98" w:rsidP="00544E9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 xml:space="preserve">Yet </w:t>
      </w:r>
      <w:r w:rsidR="002C58B5" w:rsidRPr="00462F98">
        <w:rPr>
          <w:rFonts w:ascii="Times New Roman" w:hAnsi="Times New Roman" w:cs="Times New Roman"/>
          <w:sz w:val="24"/>
          <w:szCs w:val="24"/>
          <w:lang w:val="en-GB"/>
        </w:rPr>
        <w:t xml:space="preserve">just like in 1898, there also was </w:t>
      </w:r>
      <w:r w:rsidRPr="00462F98">
        <w:rPr>
          <w:rFonts w:ascii="Times New Roman" w:hAnsi="Times New Roman" w:cs="Times New Roman"/>
          <w:sz w:val="24"/>
          <w:szCs w:val="24"/>
          <w:lang w:val="en-GB"/>
        </w:rPr>
        <w:t xml:space="preserve">reluctance to accept foreign financial supervision. The </w:t>
      </w:r>
      <w:proofErr w:type="spellStart"/>
      <w:r w:rsidRPr="00462F98">
        <w:rPr>
          <w:rFonts w:ascii="Times New Roman" w:hAnsi="Times New Roman" w:cs="Times New Roman"/>
          <w:i/>
          <w:sz w:val="24"/>
          <w:szCs w:val="24"/>
          <w:lang w:val="en-GB"/>
        </w:rPr>
        <w:t>deus</w:t>
      </w:r>
      <w:proofErr w:type="spellEnd"/>
      <w:r w:rsidRPr="00462F98">
        <w:rPr>
          <w:rFonts w:ascii="Times New Roman" w:hAnsi="Times New Roman" w:cs="Times New Roman"/>
          <w:i/>
          <w:sz w:val="24"/>
          <w:szCs w:val="24"/>
          <w:lang w:val="en-GB"/>
        </w:rPr>
        <w:t xml:space="preserve"> ex </w:t>
      </w:r>
      <w:proofErr w:type="spellStart"/>
      <w:r w:rsidRPr="00462F98">
        <w:rPr>
          <w:rFonts w:ascii="Times New Roman" w:hAnsi="Times New Roman" w:cs="Times New Roman"/>
          <w:i/>
          <w:sz w:val="24"/>
          <w:szCs w:val="24"/>
          <w:lang w:val="en-GB"/>
        </w:rPr>
        <w:t>machina</w:t>
      </w:r>
      <w:proofErr w:type="spellEnd"/>
      <w:r w:rsidR="006E62D5">
        <w:rPr>
          <w:rFonts w:ascii="Times New Roman" w:hAnsi="Times New Roman" w:cs="Times New Roman"/>
          <w:sz w:val="24"/>
          <w:szCs w:val="24"/>
          <w:lang w:val="en-GB"/>
        </w:rPr>
        <w:t xml:space="preserve"> </w:t>
      </w:r>
      <w:r w:rsidRPr="00462F98">
        <w:rPr>
          <w:rFonts w:ascii="Times New Roman" w:hAnsi="Times New Roman" w:cs="Times New Roman"/>
          <w:sz w:val="24"/>
          <w:szCs w:val="24"/>
          <w:lang w:val="en-GB"/>
        </w:rPr>
        <w:t xml:space="preserve">was again the independent Prime Minister Alexandros </w:t>
      </w:r>
      <w:proofErr w:type="spellStart"/>
      <w:r w:rsidRPr="00462F98">
        <w:rPr>
          <w:rFonts w:ascii="Times New Roman" w:hAnsi="Times New Roman" w:cs="Times New Roman"/>
          <w:sz w:val="24"/>
          <w:szCs w:val="24"/>
          <w:lang w:val="en-GB"/>
        </w:rPr>
        <w:t>Zaimis</w:t>
      </w:r>
      <w:proofErr w:type="spellEnd"/>
      <w:r w:rsidRPr="00462F98">
        <w:rPr>
          <w:rFonts w:ascii="Times New Roman" w:hAnsi="Times New Roman" w:cs="Times New Roman"/>
          <w:sz w:val="24"/>
          <w:szCs w:val="24"/>
          <w:lang w:val="en-GB"/>
        </w:rPr>
        <w:t xml:space="preserve"> who had already presided over the 1898 debt compromise. Leading a </w:t>
      </w:r>
      <w:r w:rsidR="002C58B5" w:rsidRPr="00462F98">
        <w:rPr>
          <w:rFonts w:ascii="Times New Roman" w:hAnsi="Times New Roman" w:cs="Times New Roman"/>
          <w:sz w:val="24"/>
          <w:szCs w:val="24"/>
          <w:lang w:val="en-GB"/>
        </w:rPr>
        <w:t xml:space="preserve">national unity government </w:t>
      </w:r>
      <w:r w:rsidRPr="00462F98">
        <w:rPr>
          <w:rFonts w:ascii="Times New Roman" w:hAnsi="Times New Roman" w:cs="Times New Roman"/>
          <w:sz w:val="24"/>
          <w:szCs w:val="24"/>
          <w:lang w:val="en-GB"/>
        </w:rPr>
        <w:t>after the return to democrac</w:t>
      </w:r>
      <w:r w:rsidR="002C58B5" w:rsidRPr="00462F98">
        <w:rPr>
          <w:rFonts w:ascii="Times New Roman" w:hAnsi="Times New Roman" w:cs="Times New Roman"/>
          <w:sz w:val="24"/>
          <w:szCs w:val="24"/>
          <w:lang w:val="en-GB"/>
        </w:rPr>
        <w:t>y in late 1926, he was given a</w:t>
      </w:r>
      <w:r w:rsidRPr="00462F98">
        <w:rPr>
          <w:rFonts w:ascii="Times New Roman" w:hAnsi="Times New Roman" w:cs="Times New Roman"/>
          <w:sz w:val="24"/>
          <w:szCs w:val="24"/>
          <w:lang w:val="en-GB"/>
        </w:rPr>
        <w:t xml:space="preserve"> broad mandate to establish democratic institutions (drawing up a constitution and curbing military influences in politics), to restore good </w:t>
      </w:r>
      <w:r w:rsidR="002C58B5" w:rsidRPr="00462F98">
        <w:rPr>
          <w:rFonts w:ascii="Times New Roman" w:hAnsi="Times New Roman" w:cs="Times New Roman"/>
          <w:sz w:val="24"/>
          <w:szCs w:val="24"/>
          <w:lang w:val="en-GB"/>
        </w:rPr>
        <w:t xml:space="preserve">external </w:t>
      </w:r>
      <w:r w:rsidRPr="00462F98">
        <w:rPr>
          <w:rFonts w:ascii="Times New Roman" w:hAnsi="Times New Roman" w:cs="Times New Roman"/>
          <w:sz w:val="24"/>
          <w:szCs w:val="24"/>
          <w:lang w:val="en-GB"/>
        </w:rPr>
        <w:t xml:space="preserve">relations (among others, by signing war debt agreements with Britain and France) and to put the economy on a sound footing. As before the war, currency stabilisation was part of </w:t>
      </w:r>
      <w:r w:rsidR="00F74C70">
        <w:rPr>
          <w:rFonts w:ascii="Times New Roman" w:hAnsi="Times New Roman" w:cs="Times New Roman"/>
          <w:sz w:val="24"/>
          <w:szCs w:val="24"/>
          <w:lang w:val="en-GB"/>
        </w:rPr>
        <w:t xml:space="preserve">a </w:t>
      </w:r>
      <w:r w:rsidRPr="00462F98">
        <w:rPr>
          <w:rFonts w:ascii="Times New Roman" w:hAnsi="Times New Roman" w:cs="Times New Roman"/>
          <w:sz w:val="24"/>
          <w:szCs w:val="24"/>
          <w:lang w:val="en-GB"/>
        </w:rPr>
        <w:t>reform programme so ambitious that only a government transcending conventional party lines could shoulder it. Likewise, acquiescing into League of Nations fin</w:t>
      </w:r>
      <w:r w:rsidR="00B8515D" w:rsidRPr="00462F98">
        <w:rPr>
          <w:rFonts w:ascii="Times New Roman" w:hAnsi="Times New Roman" w:cs="Times New Roman"/>
          <w:sz w:val="24"/>
          <w:szCs w:val="24"/>
          <w:lang w:val="en-GB"/>
        </w:rPr>
        <w:t xml:space="preserve">ancial supervision </w:t>
      </w:r>
      <w:r w:rsidRPr="00462F98">
        <w:rPr>
          <w:rFonts w:ascii="Times New Roman" w:hAnsi="Times New Roman" w:cs="Times New Roman"/>
          <w:sz w:val="24"/>
          <w:szCs w:val="24"/>
          <w:lang w:val="en-GB"/>
        </w:rPr>
        <w:t xml:space="preserve">could be presented </w:t>
      </w:r>
      <w:r w:rsidR="002C58B5" w:rsidRPr="00462F98">
        <w:rPr>
          <w:rFonts w:ascii="Times New Roman" w:hAnsi="Times New Roman" w:cs="Times New Roman"/>
          <w:sz w:val="24"/>
          <w:szCs w:val="24"/>
          <w:lang w:val="en-GB"/>
        </w:rPr>
        <w:t xml:space="preserve">by the </w:t>
      </w:r>
      <w:proofErr w:type="spellStart"/>
      <w:r w:rsidR="002C58B5" w:rsidRPr="00462F98">
        <w:rPr>
          <w:rFonts w:ascii="Times New Roman" w:hAnsi="Times New Roman" w:cs="Times New Roman"/>
          <w:sz w:val="24"/>
          <w:szCs w:val="24"/>
          <w:lang w:val="en-GB"/>
        </w:rPr>
        <w:t>Zaimis</w:t>
      </w:r>
      <w:proofErr w:type="spellEnd"/>
      <w:r w:rsidR="002C58B5" w:rsidRPr="00462F98">
        <w:rPr>
          <w:rFonts w:ascii="Times New Roman" w:hAnsi="Times New Roman" w:cs="Times New Roman"/>
          <w:sz w:val="24"/>
          <w:szCs w:val="24"/>
          <w:lang w:val="en-GB"/>
        </w:rPr>
        <w:t xml:space="preserve"> government </w:t>
      </w:r>
      <w:r w:rsidRPr="00462F98">
        <w:rPr>
          <w:rFonts w:ascii="Times New Roman" w:hAnsi="Times New Roman" w:cs="Times New Roman"/>
          <w:sz w:val="24"/>
          <w:szCs w:val="24"/>
          <w:lang w:val="en-GB"/>
        </w:rPr>
        <w:t>as the prize to be paid for an overall improvement of external relations</w:t>
      </w:r>
      <w:r w:rsidR="00B8515D" w:rsidRPr="00462F98">
        <w:rPr>
          <w:rFonts w:ascii="Times New Roman" w:hAnsi="Times New Roman" w:cs="Times New Roman"/>
          <w:sz w:val="24"/>
          <w:szCs w:val="24"/>
          <w:lang w:val="en-GB"/>
        </w:rPr>
        <w:t xml:space="preserve"> (</w:t>
      </w:r>
      <w:proofErr w:type="spellStart"/>
      <w:r w:rsidR="00B8515D" w:rsidRPr="00462F98">
        <w:rPr>
          <w:rFonts w:ascii="Times New Roman" w:hAnsi="Times New Roman" w:cs="Times New Roman"/>
          <w:sz w:val="24"/>
          <w:szCs w:val="24"/>
          <w:lang w:val="en-GB"/>
        </w:rPr>
        <w:t>Pepelasis</w:t>
      </w:r>
      <w:proofErr w:type="spellEnd"/>
      <w:r w:rsidR="00B8515D" w:rsidRPr="00462F98">
        <w:rPr>
          <w:rFonts w:ascii="Times New Roman" w:hAnsi="Times New Roman" w:cs="Times New Roman"/>
          <w:sz w:val="24"/>
          <w:szCs w:val="24"/>
          <w:lang w:val="en-GB"/>
        </w:rPr>
        <w:t xml:space="preserve"> </w:t>
      </w:r>
      <w:proofErr w:type="spellStart"/>
      <w:r w:rsidR="00B8515D" w:rsidRPr="00462F98">
        <w:rPr>
          <w:rFonts w:ascii="Times New Roman" w:hAnsi="Times New Roman" w:cs="Times New Roman"/>
          <w:sz w:val="24"/>
          <w:szCs w:val="24"/>
          <w:lang w:val="en-GB"/>
        </w:rPr>
        <w:t>Minoglou</w:t>
      </w:r>
      <w:proofErr w:type="spellEnd"/>
      <w:r w:rsidR="00B8515D" w:rsidRPr="00462F98">
        <w:rPr>
          <w:rFonts w:ascii="Times New Roman" w:hAnsi="Times New Roman" w:cs="Times New Roman"/>
          <w:sz w:val="24"/>
          <w:szCs w:val="24"/>
          <w:lang w:val="en-GB"/>
        </w:rPr>
        <w:t xml:space="preserve"> 1993: 29-31)</w:t>
      </w:r>
      <w:r w:rsidRPr="00462F98">
        <w:rPr>
          <w:rFonts w:ascii="Times New Roman" w:hAnsi="Times New Roman" w:cs="Times New Roman"/>
          <w:sz w:val="24"/>
          <w:szCs w:val="24"/>
          <w:lang w:val="en-GB"/>
        </w:rPr>
        <w:t xml:space="preserve">. </w:t>
      </w:r>
    </w:p>
    <w:p w:rsidR="00F74C70" w:rsidRPr="0037616A" w:rsidRDefault="00F74C70" w:rsidP="009652DB">
      <w:pPr>
        <w:spacing w:after="0" w:line="360" w:lineRule="auto"/>
        <w:ind w:firstLine="720"/>
        <w:jc w:val="both"/>
        <w:rPr>
          <w:rFonts w:ascii="Times New Roman" w:hAnsi="Times New Roman" w:cs="Times New Roman"/>
          <w:color w:val="000000" w:themeColor="text1"/>
          <w:sz w:val="24"/>
          <w:szCs w:val="24"/>
          <w:lang w:val="en-GB"/>
        </w:rPr>
      </w:pPr>
      <w:r w:rsidRPr="0037616A">
        <w:rPr>
          <w:rFonts w:ascii="Times New Roman" w:hAnsi="Times New Roman" w:cs="Times New Roman"/>
          <w:color w:val="000000" w:themeColor="text1"/>
          <w:sz w:val="24"/>
          <w:szCs w:val="24"/>
          <w:lang w:val="en-GB"/>
        </w:rPr>
        <w:t>In order to understand better the exact reasons for re-joining the gold standard, we analyse</w:t>
      </w:r>
      <w:r w:rsidR="00570392" w:rsidRPr="0037616A">
        <w:rPr>
          <w:rFonts w:ascii="Times New Roman" w:hAnsi="Times New Roman" w:cs="Times New Roman"/>
          <w:color w:val="000000" w:themeColor="text1"/>
          <w:sz w:val="24"/>
          <w:szCs w:val="24"/>
          <w:lang w:val="en-GB"/>
        </w:rPr>
        <w:t>d</w:t>
      </w:r>
      <w:r w:rsidRPr="0037616A">
        <w:rPr>
          <w:rFonts w:ascii="Times New Roman" w:hAnsi="Times New Roman" w:cs="Times New Roman"/>
          <w:color w:val="000000" w:themeColor="text1"/>
          <w:sz w:val="24"/>
          <w:szCs w:val="24"/>
          <w:lang w:val="en-GB"/>
        </w:rPr>
        <w:t xml:space="preserve"> the February 1927 report of the</w:t>
      </w:r>
      <w:r w:rsidR="000975BC">
        <w:rPr>
          <w:rFonts w:ascii="Times New Roman" w:hAnsi="Times New Roman" w:cs="Times New Roman"/>
          <w:color w:val="000000" w:themeColor="text1"/>
          <w:sz w:val="24"/>
          <w:szCs w:val="24"/>
          <w:lang w:val="en-GB"/>
        </w:rPr>
        <w:t xml:space="preserve"> </w:t>
      </w:r>
      <w:r w:rsidRPr="0037616A">
        <w:rPr>
          <w:rFonts w:ascii="Times New Roman" w:hAnsi="Times New Roman" w:cs="Times New Roman"/>
          <w:color w:val="000000" w:themeColor="text1"/>
          <w:sz w:val="24"/>
          <w:szCs w:val="24"/>
          <w:lang w:val="en-GB"/>
        </w:rPr>
        <w:t xml:space="preserve">“Committee of experts”; a committee of leading Greek economists of the time, which the </w:t>
      </w:r>
      <w:proofErr w:type="spellStart"/>
      <w:r w:rsidRPr="0037616A">
        <w:rPr>
          <w:rFonts w:ascii="Times New Roman" w:hAnsi="Times New Roman" w:cs="Times New Roman"/>
          <w:color w:val="000000" w:themeColor="text1"/>
          <w:sz w:val="24"/>
          <w:szCs w:val="24"/>
          <w:lang w:val="en-GB"/>
        </w:rPr>
        <w:t>Zaimis</w:t>
      </w:r>
      <w:proofErr w:type="spellEnd"/>
      <w:r w:rsidRPr="0037616A">
        <w:rPr>
          <w:rFonts w:ascii="Times New Roman" w:hAnsi="Times New Roman" w:cs="Times New Roman"/>
          <w:color w:val="000000" w:themeColor="text1"/>
          <w:sz w:val="24"/>
          <w:szCs w:val="24"/>
          <w:lang w:val="en-GB"/>
        </w:rPr>
        <w:t xml:space="preserve"> government called to establish an authoritative view on currency matters.</w:t>
      </w:r>
      <w:r w:rsidR="00DD3F68" w:rsidRPr="009652DB">
        <w:rPr>
          <w:rStyle w:val="FootnoteReference"/>
          <w:rFonts w:ascii="Times New Roman" w:hAnsi="Times New Roman" w:cs="Times New Roman"/>
          <w:color w:val="000000" w:themeColor="text1"/>
          <w:sz w:val="24"/>
          <w:szCs w:val="24"/>
        </w:rPr>
        <w:footnoteReference w:id="7"/>
      </w:r>
      <w:r w:rsidRPr="0037616A">
        <w:rPr>
          <w:rFonts w:ascii="Times New Roman" w:hAnsi="Times New Roman" w:cs="Times New Roman"/>
          <w:color w:val="000000" w:themeColor="text1"/>
          <w:sz w:val="24"/>
          <w:szCs w:val="24"/>
          <w:lang w:val="en-GB"/>
        </w:rPr>
        <w:t xml:space="preserve"> Correspondence with the Bank of England reveals that the Greek govern</w:t>
      </w:r>
      <w:r w:rsidR="00570392" w:rsidRPr="0037616A">
        <w:rPr>
          <w:rFonts w:ascii="Times New Roman" w:hAnsi="Times New Roman" w:cs="Times New Roman"/>
          <w:color w:val="000000" w:themeColor="text1"/>
          <w:sz w:val="24"/>
          <w:szCs w:val="24"/>
          <w:lang w:val="en-GB"/>
        </w:rPr>
        <w:t>ment view</w:t>
      </w:r>
      <w:r w:rsidR="00DD3F68" w:rsidRPr="0037616A">
        <w:rPr>
          <w:rFonts w:ascii="Times New Roman" w:hAnsi="Times New Roman" w:cs="Times New Roman"/>
          <w:color w:val="000000" w:themeColor="text1"/>
          <w:sz w:val="24"/>
          <w:szCs w:val="24"/>
          <w:lang w:val="en-GB"/>
        </w:rPr>
        <w:t xml:space="preserve">ed this committee as </w:t>
      </w:r>
      <w:r w:rsidRPr="0037616A">
        <w:rPr>
          <w:rFonts w:ascii="Times New Roman" w:hAnsi="Times New Roman" w:cs="Times New Roman"/>
          <w:color w:val="000000" w:themeColor="text1"/>
          <w:sz w:val="24"/>
          <w:szCs w:val="24"/>
          <w:lang w:val="en-GB"/>
        </w:rPr>
        <w:t>preparing government policy.</w:t>
      </w:r>
      <w:r w:rsidR="00DD3F68" w:rsidRPr="009652DB">
        <w:rPr>
          <w:rStyle w:val="FootnoteReference"/>
          <w:rFonts w:ascii="Times New Roman" w:hAnsi="Times New Roman" w:cs="Times New Roman"/>
          <w:color w:val="000000" w:themeColor="text1"/>
          <w:sz w:val="24"/>
          <w:szCs w:val="24"/>
        </w:rPr>
        <w:footnoteReference w:id="8"/>
      </w:r>
      <w:r w:rsidR="009652DB" w:rsidRPr="0037616A">
        <w:rPr>
          <w:rFonts w:ascii="Times New Roman" w:hAnsi="Times New Roman" w:cs="Times New Roman"/>
          <w:color w:val="000000" w:themeColor="text1"/>
          <w:sz w:val="24"/>
          <w:szCs w:val="24"/>
          <w:lang w:val="en-GB"/>
        </w:rPr>
        <w:t xml:space="preserve"> </w:t>
      </w:r>
      <w:r w:rsidR="00A41BEE" w:rsidRPr="0037616A">
        <w:rPr>
          <w:rFonts w:ascii="Times New Roman" w:hAnsi="Times New Roman" w:cs="Times New Roman"/>
          <w:color w:val="000000" w:themeColor="text1"/>
          <w:sz w:val="24"/>
          <w:szCs w:val="24"/>
          <w:lang w:val="en-GB"/>
        </w:rPr>
        <w:t>The committee ruled</w:t>
      </w:r>
      <w:r w:rsidRPr="0037616A">
        <w:rPr>
          <w:rFonts w:ascii="Times New Roman" w:hAnsi="Times New Roman" w:cs="Times New Roman"/>
          <w:color w:val="000000" w:themeColor="text1"/>
          <w:sz w:val="24"/>
          <w:szCs w:val="24"/>
          <w:lang w:val="en-GB"/>
        </w:rPr>
        <w:t xml:space="preserve"> out in no uncertain terms a continuation of the floating exchange-rates which had prevailed since WWI. Floating exchange-rates are portrayed as a “monetary anomaly” </w:t>
      </w:r>
      <w:r w:rsidR="00DD3F68" w:rsidRPr="0037616A">
        <w:rPr>
          <w:rFonts w:ascii="Times New Roman" w:hAnsi="Times New Roman" w:cs="Times New Roman"/>
          <w:color w:val="000000" w:themeColor="text1"/>
          <w:sz w:val="24"/>
          <w:szCs w:val="24"/>
          <w:lang w:val="en-GB"/>
        </w:rPr>
        <w:t>(</w:t>
      </w:r>
      <w:r w:rsidR="00DD3F68" w:rsidRPr="009652DB">
        <w:rPr>
          <w:rFonts w:ascii="Times New Roman" w:hAnsi="Times New Roman" w:cs="Times New Roman"/>
          <w:color w:val="000000" w:themeColor="text1"/>
          <w:sz w:val="24"/>
          <w:szCs w:val="24"/>
          <w:lang w:val="en-GB"/>
        </w:rPr>
        <w:t xml:space="preserve">p. 80: </w:t>
      </w:r>
      <w:r w:rsidR="00DD3F68" w:rsidRPr="009652DB">
        <w:rPr>
          <w:color w:val="000000" w:themeColor="text1"/>
          <w:lang w:val="el-GR"/>
        </w:rPr>
        <w:t>νομισματική</w:t>
      </w:r>
      <w:r w:rsidR="00DD3F68" w:rsidRPr="0037616A">
        <w:rPr>
          <w:color w:val="000000" w:themeColor="text1"/>
          <w:lang w:val="en-GB"/>
        </w:rPr>
        <w:t xml:space="preserve"> </w:t>
      </w:r>
      <w:r w:rsidR="00DD3F68" w:rsidRPr="009652DB">
        <w:rPr>
          <w:color w:val="000000" w:themeColor="text1"/>
          <w:lang w:val="el-GR"/>
        </w:rPr>
        <w:t>ανωμαλία</w:t>
      </w:r>
      <w:r w:rsidR="00DD3F68" w:rsidRPr="0037616A">
        <w:rPr>
          <w:color w:val="000000" w:themeColor="text1"/>
          <w:lang w:val="en-GB"/>
        </w:rPr>
        <w:t xml:space="preserve">) </w:t>
      </w:r>
      <w:r w:rsidRPr="0037616A">
        <w:rPr>
          <w:rFonts w:ascii="Times New Roman" w:hAnsi="Times New Roman" w:cs="Times New Roman"/>
          <w:color w:val="000000" w:themeColor="text1"/>
          <w:sz w:val="24"/>
          <w:szCs w:val="24"/>
          <w:lang w:val="en-GB"/>
        </w:rPr>
        <w:t>and a “monetary disease”</w:t>
      </w:r>
      <w:r w:rsidR="00A41BEE" w:rsidRPr="0037616A">
        <w:rPr>
          <w:rFonts w:ascii="Times New Roman" w:hAnsi="Times New Roman" w:cs="Times New Roman"/>
          <w:color w:val="000000" w:themeColor="text1"/>
          <w:sz w:val="24"/>
          <w:szCs w:val="24"/>
          <w:lang w:val="en-GB"/>
        </w:rPr>
        <w:t xml:space="preserve"> </w:t>
      </w:r>
      <w:r w:rsidR="00A41BEE" w:rsidRPr="0037616A">
        <w:rPr>
          <w:color w:val="000000" w:themeColor="text1"/>
          <w:lang w:val="en-GB"/>
        </w:rPr>
        <w:t>(</w:t>
      </w:r>
      <w:r w:rsidR="00A41BEE" w:rsidRPr="009652DB">
        <w:rPr>
          <w:color w:val="000000" w:themeColor="text1"/>
          <w:lang w:val="en-GB"/>
        </w:rPr>
        <w:t xml:space="preserve">p. 4: </w:t>
      </w:r>
      <w:r w:rsidR="00A41BEE" w:rsidRPr="009652DB">
        <w:rPr>
          <w:color w:val="000000" w:themeColor="text1"/>
          <w:lang w:val="el-GR"/>
        </w:rPr>
        <w:t>νομισματικό</w:t>
      </w:r>
      <w:r w:rsidR="00A41BEE" w:rsidRPr="0037616A">
        <w:rPr>
          <w:color w:val="000000" w:themeColor="text1"/>
          <w:lang w:val="en-GB"/>
        </w:rPr>
        <w:t xml:space="preserve"> </w:t>
      </w:r>
      <w:r w:rsidR="00A41BEE" w:rsidRPr="009652DB">
        <w:rPr>
          <w:color w:val="000000" w:themeColor="text1"/>
          <w:lang w:val="el-GR"/>
        </w:rPr>
        <w:t>νόσημα</w:t>
      </w:r>
      <w:r w:rsidR="00A41BEE" w:rsidRPr="0037616A">
        <w:rPr>
          <w:color w:val="000000" w:themeColor="text1"/>
          <w:lang w:val="en-GB"/>
        </w:rPr>
        <w:t>)</w:t>
      </w:r>
      <w:r w:rsidRPr="0037616A">
        <w:rPr>
          <w:rFonts w:ascii="Times New Roman" w:hAnsi="Times New Roman" w:cs="Times New Roman"/>
          <w:color w:val="000000" w:themeColor="text1"/>
          <w:sz w:val="24"/>
          <w:szCs w:val="24"/>
          <w:lang w:val="en-GB"/>
        </w:rPr>
        <w:t>; a disease which is not “untreatable” (</w:t>
      </w:r>
      <w:r w:rsidR="00DD3F68" w:rsidRPr="009652DB">
        <w:rPr>
          <w:rFonts w:ascii="Times New Roman" w:hAnsi="Times New Roman" w:cs="Times New Roman"/>
          <w:color w:val="000000" w:themeColor="text1"/>
          <w:sz w:val="24"/>
          <w:szCs w:val="24"/>
          <w:lang w:val="en-GB"/>
        </w:rPr>
        <w:t xml:space="preserve">p. 25: </w:t>
      </w:r>
      <w:r w:rsidR="00DD3F68" w:rsidRPr="009652DB">
        <w:rPr>
          <w:rFonts w:ascii="Times New Roman" w:hAnsi="Times New Roman" w:cs="Times New Roman"/>
          <w:color w:val="000000" w:themeColor="text1"/>
          <w:sz w:val="24"/>
          <w:szCs w:val="24"/>
          <w:lang w:val="el-GR"/>
        </w:rPr>
        <w:t>α</w:t>
      </w:r>
      <w:r w:rsidRPr="009652DB">
        <w:rPr>
          <w:rFonts w:ascii="Times New Roman" w:hAnsi="Times New Roman" w:cs="Times New Roman"/>
          <w:color w:val="000000" w:themeColor="text1"/>
          <w:sz w:val="24"/>
          <w:szCs w:val="24"/>
          <w:lang w:val="el-GR"/>
        </w:rPr>
        <w:t>θεράπευτη</w:t>
      </w:r>
      <w:r w:rsidRPr="0037616A">
        <w:rPr>
          <w:rFonts w:ascii="Times New Roman" w:hAnsi="Times New Roman" w:cs="Times New Roman"/>
          <w:color w:val="000000" w:themeColor="text1"/>
          <w:sz w:val="24"/>
          <w:szCs w:val="24"/>
          <w:lang w:val="en-GB"/>
        </w:rPr>
        <w:t>) but can be cured, leading to “healthy money” (</w:t>
      </w:r>
      <w:r w:rsidR="00DD3F68" w:rsidRPr="0037616A">
        <w:rPr>
          <w:rFonts w:ascii="Times New Roman" w:hAnsi="Times New Roman" w:cs="Times New Roman"/>
          <w:color w:val="000000" w:themeColor="text1"/>
          <w:sz w:val="24"/>
          <w:szCs w:val="24"/>
          <w:lang w:val="en-GB"/>
        </w:rPr>
        <w:t xml:space="preserve">p. 81: </w:t>
      </w:r>
      <w:r w:rsidRPr="009652DB">
        <w:rPr>
          <w:rFonts w:ascii="Times New Roman" w:hAnsi="Times New Roman" w:cs="Times New Roman"/>
          <w:color w:val="000000" w:themeColor="text1"/>
          <w:sz w:val="24"/>
          <w:szCs w:val="24"/>
          <w:lang w:val="el-GR"/>
        </w:rPr>
        <w:t>υγιές</w:t>
      </w:r>
      <w:r w:rsidRPr="0037616A">
        <w:rPr>
          <w:rFonts w:ascii="Times New Roman" w:hAnsi="Times New Roman" w:cs="Times New Roman"/>
          <w:color w:val="000000" w:themeColor="text1"/>
          <w:sz w:val="24"/>
          <w:szCs w:val="24"/>
          <w:lang w:val="en-GB"/>
        </w:rPr>
        <w:t xml:space="preserve"> </w:t>
      </w:r>
      <w:r w:rsidRPr="009652DB">
        <w:rPr>
          <w:rFonts w:ascii="Times New Roman" w:hAnsi="Times New Roman" w:cs="Times New Roman"/>
          <w:color w:val="000000" w:themeColor="text1"/>
          <w:sz w:val="24"/>
          <w:szCs w:val="24"/>
          <w:lang w:val="el-GR"/>
        </w:rPr>
        <w:t>νόμισμα</w:t>
      </w:r>
      <w:r w:rsidRPr="0037616A">
        <w:rPr>
          <w:rFonts w:ascii="Times New Roman" w:hAnsi="Times New Roman" w:cs="Times New Roman"/>
          <w:color w:val="000000" w:themeColor="text1"/>
          <w:sz w:val="24"/>
          <w:szCs w:val="24"/>
          <w:lang w:val="en-GB"/>
        </w:rPr>
        <w:t xml:space="preserve">), </w:t>
      </w:r>
      <w:r w:rsidR="00570392" w:rsidRPr="0037616A">
        <w:rPr>
          <w:rFonts w:ascii="Times New Roman" w:hAnsi="Times New Roman" w:cs="Times New Roman"/>
          <w:color w:val="000000" w:themeColor="text1"/>
          <w:sz w:val="24"/>
          <w:szCs w:val="24"/>
          <w:lang w:val="en-GB"/>
        </w:rPr>
        <w:t>namely</w:t>
      </w:r>
      <w:r w:rsidRPr="0037616A">
        <w:rPr>
          <w:rFonts w:ascii="Times New Roman" w:hAnsi="Times New Roman" w:cs="Times New Roman"/>
          <w:color w:val="000000" w:themeColor="text1"/>
          <w:sz w:val="24"/>
          <w:szCs w:val="24"/>
          <w:lang w:val="en-GB"/>
        </w:rPr>
        <w:t xml:space="preserve"> fixed exchange-rates. It follows from this medical analogy that everything needs to be done to cure the disease, even if this implies accepting a League of Nations loan and the conditions attached to it</w:t>
      </w:r>
      <w:r w:rsidR="00DD3F68" w:rsidRPr="0037616A">
        <w:rPr>
          <w:rFonts w:ascii="Times New Roman" w:hAnsi="Times New Roman" w:cs="Times New Roman"/>
          <w:color w:val="000000" w:themeColor="text1"/>
          <w:sz w:val="24"/>
          <w:szCs w:val="24"/>
          <w:lang w:val="en-GB"/>
        </w:rPr>
        <w:t xml:space="preserve"> (p. 81)</w:t>
      </w:r>
      <w:r w:rsidRPr="0037616A">
        <w:rPr>
          <w:rFonts w:ascii="Times New Roman" w:hAnsi="Times New Roman" w:cs="Times New Roman"/>
          <w:color w:val="000000" w:themeColor="text1"/>
          <w:sz w:val="24"/>
          <w:szCs w:val="24"/>
          <w:lang w:val="en-GB"/>
        </w:rPr>
        <w:t>. While this is very strong language when measured against contemporaneous discussions</w:t>
      </w:r>
      <w:r w:rsidR="00DD3F68" w:rsidRPr="0037616A">
        <w:rPr>
          <w:rFonts w:ascii="Times New Roman" w:hAnsi="Times New Roman" w:cs="Times New Roman"/>
          <w:color w:val="000000" w:themeColor="text1"/>
          <w:sz w:val="24"/>
          <w:szCs w:val="24"/>
          <w:lang w:val="en-GB"/>
        </w:rPr>
        <w:t xml:space="preserve"> in other countries (Straumann 2010</w:t>
      </w:r>
      <w:r w:rsidRPr="0037616A">
        <w:rPr>
          <w:rFonts w:ascii="Times New Roman" w:hAnsi="Times New Roman" w:cs="Times New Roman"/>
          <w:color w:val="000000" w:themeColor="text1"/>
          <w:sz w:val="24"/>
          <w:szCs w:val="24"/>
          <w:lang w:val="en-GB"/>
        </w:rPr>
        <w:t xml:space="preserve">), the specific problems which the committee wished to address </w:t>
      </w:r>
      <w:r w:rsidR="00570392" w:rsidRPr="0037616A">
        <w:rPr>
          <w:rFonts w:ascii="Times New Roman" w:hAnsi="Times New Roman" w:cs="Times New Roman"/>
          <w:color w:val="000000" w:themeColor="text1"/>
          <w:sz w:val="24"/>
          <w:szCs w:val="24"/>
          <w:lang w:val="en-GB"/>
        </w:rPr>
        <w:t>were of economic and not of political nature</w:t>
      </w:r>
      <w:r w:rsidRPr="0037616A">
        <w:rPr>
          <w:rFonts w:ascii="Times New Roman" w:hAnsi="Times New Roman" w:cs="Times New Roman"/>
          <w:color w:val="000000" w:themeColor="text1"/>
          <w:sz w:val="24"/>
          <w:szCs w:val="24"/>
          <w:lang w:val="en-GB"/>
        </w:rPr>
        <w:t xml:space="preserve">, most importantly </w:t>
      </w:r>
      <w:r w:rsidR="00570392" w:rsidRPr="0037616A">
        <w:rPr>
          <w:rFonts w:ascii="Times New Roman" w:hAnsi="Times New Roman" w:cs="Times New Roman"/>
          <w:color w:val="000000" w:themeColor="text1"/>
          <w:sz w:val="24"/>
          <w:szCs w:val="24"/>
          <w:lang w:val="en-GB"/>
        </w:rPr>
        <w:t xml:space="preserve">the need </w:t>
      </w:r>
      <w:r w:rsidRPr="0037616A">
        <w:rPr>
          <w:rFonts w:ascii="Times New Roman" w:hAnsi="Times New Roman" w:cs="Times New Roman"/>
          <w:color w:val="000000" w:themeColor="text1"/>
          <w:sz w:val="24"/>
          <w:szCs w:val="24"/>
          <w:lang w:val="en-GB"/>
        </w:rPr>
        <w:t>to secure capital inflows for reconstruction purposes</w:t>
      </w:r>
      <w:r w:rsidR="009652DB" w:rsidRPr="0037616A">
        <w:rPr>
          <w:rFonts w:ascii="Times New Roman" w:hAnsi="Times New Roman" w:cs="Times New Roman"/>
          <w:color w:val="000000" w:themeColor="text1"/>
          <w:sz w:val="24"/>
          <w:szCs w:val="24"/>
          <w:lang w:val="en-GB"/>
        </w:rPr>
        <w:t xml:space="preserve"> (pp. 80-82)</w:t>
      </w:r>
      <w:r w:rsidRPr="0037616A">
        <w:rPr>
          <w:rFonts w:ascii="Times New Roman" w:hAnsi="Times New Roman" w:cs="Times New Roman"/>
          <w:color w:val="000000" w:themeColor="text1"/>
          <w:sz w:val="24"/>
          <w:szCs w:val="24"/>
          <w:lang w:val="en-GB"/>
        </w:rPr>
        <w:t xml:space="preserve">. As in other countries at the time, there was some connection between currency stabilisation and the issue of settling war debts, and the risk of a political fall-out with Britain and France (from whom Greece had received wartime loans) weighed heavily on </w:t>
      </w:r>
      <w:r w:rsidRPr="0037616A">
        <w:rPr>
          <w:rFonts w:ascii="Times New Roman" w:hAnsi="Times New Roman" w:cs="Times New Roman"/>
          <w:color w:val="000000" w:themeColor="text1"/>
          <w:sz w:val="24"/>
          <w:szCs w:val="24"/>
          <w:lang w:val="en-GB"/>
        </w:rPr>
        <w:lastRenderedPageBreak/>
        <w:t>the committee</w:t>
      </w:r>
      <w:r w:rsidR="009652DB" w:rsidRPr="0037616A">
        <w:rPr>
          <w:rFonts w:ascii="Times New Roman" w:hAnsi="Times New Roman" w:cs="Times New Roman"/>
          <w:color w:val="000000" w:themeColor="text1"/>
          <w:sz w:val="24"/>
          <w:szCs w:val="24"/>
          <w:lang w:val="en-GB"/>
        </w:rPr>
        <w:t xml:space="preserve"> (p. 81)</w:t>
      </w:r>
      <w:r w:rsidRPr="0037616A">
        <w:rPr>
          <w:rFonts w:ascii="Times New Roman" w:hAnsi="Times New Roman" w:cs="Times New Roman"/>
          <w:color w:val="000000" w:themeColor="text1"/>
          <w:sz w:val="24"/>
          <w:szCs w:val="24"/>
          <w:lang w:val="en-GB"/>
        </w:rPr>
        <w:t xml:space="preserve">. But as before the war, the main focus of gold standard membership was on the perceived economic benefits, rather than the pursuit of </w:t>
      </w:r>
      <w:r w:rsidR="009652DB" w:rsidRPr="0037616A">
        <w:rPr>
          <w:rFonts w:ascii="Times New Roman" w:hAnsi="Times New Roman" w:cs="Times New Roman"/>
          <w:color w:val="000000" w:themeColor="text1"/>
          <w:sz w:val="24"/>
          <w:szCs w:val="24"/>
          <w:lang w:val="en-GB"/>
        </w:rPr>
        <w:t xml:space="preserve">wider </w:t>
      </w:r>
      <w:r w:rsidRPr="0037616A">
        <w:rPr>
          <w:rFonts w:ascii="Times New Roman" w:hAnsi="Times New Roman" w:cs="Times New Roman"/>
          <w:color w:val="000000" w:themeColor="text1"/>
          <w:sz w:val="24"/>
          <w:szCs w:val="24"/>
          <w:lang w:val="en-GB"/>
        </w:rPr>
        <w:t>political objectives.</w:t>
      </w:r>
    </w:p>
    <w:p w:rsidR="00544E98" w:rsidRDefault="00544E98" w:rsidP="00544E98">
      <w:pPr>
        <w:spacing w:after="0" w:line="360" w:lineRule="auto"/>
        <w:jc w:val="both"/>
        <w:rPr>
          <w:rFonts w:ascii="Times New Roman" w:hAnsi="Times New Roman" w:cs="Times New Roman"/>
          <w:sz w:val="24"/>
          <w:szCs w:val="24"/>
          <w:lang w:val="en-GB"/>
        </w:rPr>
      </w:pPr>
      <w:r w:rsidRPr="00462F98">
        <w:rPr>
          <w:rFonts w:ascii="Times New Roman" w:hAnsi="Times New Roman" w:cs="Times New Roman"/>
          <w:sz w:val="24"/>
          <w:szCs w:val="24"/>
          <w:lang w:val="en-GB"/>
        </w:rPr>
        <w:tab/>
        <w:t>While the road to the agreement was long and arduous, the 1928 currency stabilisation became a cornerstone of the country’s interwar economic policy. Subsequent governments were more partisan, but d</w:t>
      </w:r>
      <w:r w:rsidR="00B8515D" w:rsidRPr="00462F98">
        <w:rPr>
          <w:rFonts w:ascii="Times New Roman" w:hAnsi="Times New Roman" w:cs="Times New Roman"/>
          <w:sz w:val="24"/>
          <w:szCs w:val="24"/>
          <w:lang w:val="en-GB"/>
        </w:rPr>
        <w:t>id not go back</w:t>
      </w:r>
      <w:r w:rsidR="00F74C70">
        <w:rPr>
          <w:rFonts w:ascii="Times New Roman" w:hAnsi="Times New Roman" w:cs="Times New Roman"/>
          <w:sz w:val="24"/>
          <w:szCs w:val="24"/>
          <w:lang w:val="en-GB"/>
        </w:rPr>
        <w:t xml:space="preserve"> on the reforms</w:t>
      </w:r>
      <w:r w:rsidRPr="00462F98">
        <w:rPr>
          <w:rFonts w:ascii="Times New Roman" w:hAnsi="Times New Roman" w:cs="Times New Roman"/>
          <w:sz w:val="24"/>
          <w:szCs w:val="24"/>
          <w:lang w:val="en-GB"/>
        </w:rPr>
        <w:t>.</w:t>
      </w:r>
    </w:p>
    <w:p w:rsidR="009D0A87" w:rsidRDefault="009D0A87" w:rsidP="00544E98">
      <w:pPr>
        <w:pStyle w:val="ListParagraph"/>
        <w:rPr>
          <w:rFonts w:ascii="Times New Roman" w:hAnsi="Times New Roman" w:cs="Times New Roman"/>
          <w:b/>
          <w:color w:val="000000" w:themeColor="text1"/>
          <w:sz w:val="24"/>
          <w:szCs w:val="24"/>
        </w:rPr>
      </w:pPr>
    </w:p>
    <w:p w:rsidR="009D0A87" w:rsidRDefault="009D0A87" w:rsidP="00544E98">
      <w:pPr>
        <w:pStyle w:val="ListParagraph"/>
        <w:rPr>
          <w:rFonts w:ascii="Times New Roman" w:hAnsi="Times New Roman" w:cs="Times New Roman"/>
          <w:b/>
          <w:color w:val="000000" w:themeColor="text1"/>
          <w:sz w:val="24"/>
          <w:szCs w:val="24"/>
        </w:rPr>
      </w:pPr>
    </w:p>
    <w:p w:rsidR="00AE755A" w:rsidRPr="00462F98" w:rsidRDefault="00544E98" w:rsidP="00544E98">
      <w:pPr>
        <w:pStyle w:val="ListParagraph"/>
        <w:rPr>
          <w:rFonts w:ascii="Times New Roman" w:hAnsi="Times New Roman" w:cs="Times New Roman"/>
          <w:b/>
          <w:color w:val="000000" w:themeColor="text1"/>
          <w:sz w:val="24"/>
          <w:szCs w:val="24"/>
        </w:rPr>
      </w:pPr>
      <w:r w:rsidRPr="00462F98">
        <w:rPr>
          <w:rFonts w:ascii="Times New Roman" w:hAnsi="Times New Roman" w:cs="Times New Roman"/>
          <w:b/>
          <w:color w:val="000000" w:themeColor="text1"/>
          <w:sz w:val="24"/>
          <w:szCs w:val="24"/>
        </w:rPr>
        <w:t xml:space="preserve">7. </w:t>
      </w:r>
      <w:r w:rsidR="00AE755A" w:rsidRPr="00462F98">
        <w:rPr>
          <w:rFonts w:ascii="Times New Roman" w:hAnsi="Times New Roman" w:cs="Times New Roman"/>
          <w:b/>
          <w:color w:val="000000" w:themeColor="text1"/>
          <w:sz w:val="24"/>
          <w:szCs w:val="24"/>
        </w:rPr>
        <w:t>Conclusion</w:t>
      </w:r>
    </w:p>
    <w:p w:rsidR="0075720C" w:rsidRPr="00462F98" w:rsidRDefault="0075720C" w:rsidP="003D67E9">
      <w:pPr>
        <w:spacing w:after="0" w:line="350" w:lineRule="auto"/>
        <w:jc w:val="both"/>
        <w:rPr>
          <w:rFonts w:ascii="Times New Roman" w:hAnsi="Times New Roman" w:cs="Times New Roman"/>
          <w:color w:val="000000" w:themeColor="text1"/>
          <w:sz w:val="24"/>
          <w:szCs w:val="24"/>
          <w:lang w:val="en-GB"/>
        </w:rPr>
      </w:pPr>
      <w:r w:rsidRPr="00462F98">
        <w:rPr>
          <w:rFonts w:ascii="Times New Roman" w:hAnsi="Times New Roman" w:cs="Times New Roman"/>
          <w:color w:val="000000" w:themeColor="text1"/>
          <w:sz w:val="24"/>
          <w:szCs w:val="24"/>
          <w:lang w:val="en-GB"/>
        </w:rPr>
        <w:t xml:space="preserve">This paper has added a historical and regional dimension to the debate on the Greek debt crisis. </w:t>
      </w:r>
      <w:r w:rsidR="007B1EAC" w:rsidRPr="00462F98">
        <w:rPr>
          <w:rFonts w:ascii="Times New Roman" w:hAnsi="Times New Roman" w:cs="Times New Roman"/>
          <w:color w:val="000000" w:themeColor="text1"/>
          <w:sz w:val="24"/>
          <w:szCs w:val="24"/>
          <w:lang w:val="en-GB"/>
        </w:rPr>
        <w:t xml:space="preserve">Instead of </w:t>
      </w:r>
      <w:r w:rsidRPr="00462F98">
        <w:rPr>
          <w:rFonts w:ascii="Times New Roman" w:hAnsi="Times New Roman" w:cs="Times New Roman"/>
          <w:color w:val="000000" w:themeColor="text1"/>
          <w:sz w:val="24"/>
          <w:szCs w:val="24"/>
          <w:lang w:val="en-GB"/>
        </w:rPr>
        <w:t>overhaul</w:t>
      </w:r>
      <w:r w:rsidR="007B1EAC" w:rsidRPr="00462F98">
        <w:rPr>
          <w:rFonts w:ascii="Times New Roman" w:hAnsi="Times New Roman" w:cs="Times New Roman"/>
          <w:color w:val="000000" w:themeColor="text1"/>
          <w:sz w:val="24"/>
          <w:szCs w:val="24"/>
          <w:lang w:val="en-GB"/>
        </w:rPr>
        <w:t>ing</w:t>
      </w:r>
      <w:r w:rsidRPr="00462F98">
        <w:rPr>
          <w:rFonts w:ascii="Times New Roman" w:hAnsi="Times New Roman" w:cs="Times New Roman"/>
          <w:color w:val="000000" w:themeColor="text1"/>
          <w:sz w:val="24"/>
          <w:szCs w:val="24"/>
          <w:lang w:val="en-GB"/>
        </w:rPr>
        <w:t xml:space="preserve"> their systems of taxation</w:t>
      </w:r>
      <w:r w:rsidR="00370A40" w:rsidRPr="00462F98">
        <w:rPr>
          <w:rFonts w:ascii="Times New Roman" w:hAnsi="Times New Roman" w:cs="Times New Roman"/>
          <w:color w:val="000000" w:themeColor="text1"/>
          <w:sz w:val="24"/>
          <w:szCs w:val="24"/>
          <w:lang w:val="en-GB"/>
        </w:rPr>
        <w:t xml:space="preserve"> and spending</w:t>
      </w:r>
      <w:r w:rsidRPr="00462F98">
        <w:rPr>
          <w:rFonts w:ascii="Times New Roman" w:hAnsi="Times New Roman" w:cs="Times New Roman"/>
          <w:color w:val="000000" w:themeColor="text1"/>
          <w:sz w:val="24"/>
          <w:szCs w:val="24"/>
          <w:lang w:val="en-GB"/>
        </w:rPr>
        <w:t xml:space="preserve">, Greece and its neighbours </w:t>
      </w:r>
      <w:r w:rsidR="00DA060A" w:rsidRPr="00462F98">
        <w:rPr>
          <w:rFonts w:ascii="Times New Roman" w:hAnsi="Times New Roman" w:cs="Times New Roman"/>
          <w:color w:val="000000" w:themeColor="text1"/>
          <w:sz w:val="24"/>
          <w:szCs w:val="24"/>
          <w:lang w:val="en-GB"/>
        </w:rPr>
        <w:t>relied</w:t>
      </w:r>
      <w:r w:rsidRPr="00462F98">
        <w:rPr>
          <w:rFonts w:ascii="Times New Roman" w:hAnsi="Times New Roman" w:cs="Times New Roman"/>
          <w:color w:val="000000" w:themeColor="text1"/>
          <w:sz w:val="24"/>
          <w:szCs w:val="24"/>
          <w:lang w:val="en-GB"/>
        </w:rPr>
        <w:t xml:space="preserve"> on seigniorage and capital imports to close weak budgets. We have documented seven </w:t>
      </w:r>
      <w:r w:rsidR="0040027D" w:rsidRPr="00462F98">
        <w:rPr>
          <w:rFonts w:ascii="Times New Roman" w:hAnsi="Times New Roman" w:cs="Times New Roman"/>
          <w:color w:val="000000" w:themeColor="text1"/>
          <w:sz w:val="24"/>
          <w:szCs w:val="24"/>
          <w:lang w:val="en-GB"/>
        </w:rPr>
        <w:t>distinct</w:t>
      </w:r>
      <w:r w:rsidRPr="00462F98">
        <w:rPr>
          <w:rFonts w:ascii="Times New Roman" w:hAnsi="Times New Roman" w:cs="Times New Roman"/>
          <w:color w:val="000000" w:themeColor="text1"/>
          <w:sz w:val="24"/>
          <w:szCs w:val="24"/>
          <w:lang w:val="en-GB"/>
        </w:rPr>
        <w:t xml:space="preserve"> periods for each country in which either seigniorage or capital imports dominated (often to the </w:t>
      </w:r>
      <w:r w:rsidR="00DA060A" w:rsidRPr="00462F98">
        <w:rPr>
          <w:rFonts w:ascii="Times New Roman" w:hAnsi="Times New Roman" w:cs="Times New Roman"/>
          <w:color w:val="000000" w:themeColor="text1"/>
          <w:sz w:val="24"/>
          <w:szCs w:val="24"/>
          <w:lang w:val="en-GB"/>
        </w:rPr>
        <w:t>complete</w:t>
      </w:r>
      <w:r w:rsidRPr="00462F98">
        <w:rPr>
          <w:rFonts w:ascii="Times New Roman" w:hAnsi="Times New Roman" w:cs="Times New Roman"/>
          <w:color w:val="000000" w:themeColor="text1"/>
          <w:sz w:val="24"/>
          <w:szCs w:val="24"/>
          <w:lang w:val="en-GB"/>
        </w:rPr>
        <w:t xml:space="preserve"> exclusion of the other), and we have explained why </w:t>
      </w:r>
      <w:r w:rsidR="00DA060A" w:rsidRPr="00462F98">
        <w:rPr>
          <w:rFonts w:ascii="Times New Roman" w:hAnsi="Times New Roman" w:cs="Times New Roman"/>
          <w:color w:val="000000" w:themeColor="text1"/>
          <w:sz w:val="24"/>
          <w:szCs w:val="24"/>
          <w:lang w:val="en-GB"/>
        </w:rPr>
        <w:t xml:space="preserve">country-specific periods </w:t>
      </w:r>
      <w:r w:rsidRPr="00462F98">
        <w:rPr>
          <w:rFonts w:ascii="Times New Roman" w:hAnsi="Times New Roman" w:cs="Times New Roman"/>
          <w:color w:val="000000" w:themeColor="text1"/>
          <w:sz w:val="24"/>
          <w:szCs w:val="24"/>
          <w:lang w:val="en-GB"/>
        </w:rPr>
        <w:t xml:space="preserve">were well-synchronised regionally. Fiscal dominance and external dependence </w:t>
      </w:r>
      <w:r w:rsidR="00370A40" w:rsidRPr="00462F98">
        <w:rPr>
          <w:rFonts w:ascii="Times New Roman" w:hAnsi="Times New Roman" w:cs="Times New Roman"/>
          <w:color w:val="000000" w:themeColor="text1"/>
          <w:sz w:val="24"/>
          <w:szCs w:val="24"/>
          <w:lang w:val="en-GB"/>
        </w:rPr>
        <w:t>developed into</w:t>
      </w:r>
      <w:r w:rsidRPr="00462F98">
        <w:rPr>
          <w:rFonts w:ascii="Times New Roman" w:hAnsi="Times New Roman" w:cs="Times New Roman"/>
          <w:color w:val="000000" w:themeColor="text1"/>
          <w:sz w:val="24"/>
          <w:szCs w:val="24"/>
          <w:lang w:val="en-GB"/>
        </w:rPr>
        <w:t xml:space="preserve"> defining characteristics of the SEE experience</w:t>
      </w:r>
      <w:r w:rsidR="00C85357" w:rsidRPr="00462F98">
        <w:rPr>
          <w:rFonts w:ascii="Times New Roman" w:hAnsi="Times New Roman" w:cs="Times New Roman"/>
          <w:color w:val="000000" w:themeColor="text1"/>
          <w:sz w:val="24"/>
          <w:szCs w:val="24"/>
          <w:lang w:val="en-GB"/>
        </w:rPr>
        <w:t>.</w:t>
      </w:r>
    </w:p>
    <w:p w:rsidR="0075720C" w:rsidRPr="00462F98" w:rsidRDefault="00370A40" w:rsidP="003D67E9">
      <w:pPr>
        <w:spacing w:after="0" w:line="350" w:lineRule="auto"/>
        <w:jc w:val="both"/>
        <w:rPr>
          <w:rFonts w:ascii="Times New Roman" w:hAnsi="Times New Roman" w:cs="Times New Roman"/>
          <w:sz w:val="24"/>
          <w:szCs w:val="24"/>
          <w:lang w:val="en-GB"/>
        </w:rPr>
      </w:pPr>
      <w:r w:rsidRPr="00462F98">
        <w:rPr>
          <w:rFonts w:ascii="Times New Roman" w:hAnsi="Times New Roman" w:cs="Times New Roman"/>
          <w:color w:val="000000" w:themeColor="text1"/>
          <w:sz w:val="24"/>
          <w:szCs w:val="24"/>
          <w:lang w:val="en-GB"/>
        </w:rPr>
        <w:tab/>
        <w:t xml:space="preserve">External dependence </w:t>
      </w:r>
      <w:r w:rsidR="0040027D" w:rsidRPr="00462F98">
        <w:rPr>
          <w:rFonts w:ascii="Times New Roman" w:hAnsi="Times New Roman" w:cs="Times New Roman"/>
          <w:color w:val="000000" w:themeColor="text1"/>
          <w:sz w:val="24"/>
          <w:szCs w:val="24"/>
          <w:lang w:val="en-GB"/>
        </w:rPr>
        <w:t xml:space="preserve">was unusually high and pushed the region </w:t>
      </w:r>
      <w:r w:rsidR="00D4627E" w:rsidRPr="00462F98">
        <w:rPr>
          <w:rFonts w:ascii="Times New Roman" w:hAnsi="Times New Roman" w:cs="Times New Roman"/>
          <w:color w:val="000000" w:themeColor="text1"/>
          <w:sz w:val="24"/>
          <w:szCs w:val="24"/>
          <w:lang w:val="en-GB"/>
        </w:rPr>
        <w:t>on</w:t>
      </w:r>
      <w:r w:rsidRPr="00462F98">
        <w:rPr>
          <w:rFonts w:ascii="Times New Roman" w:hAnsi="Times New Roman" w:cs="Times New Roman"/>
          <w:color w:val="000000" w:themeColor="text1"/>
          <w:sz w:val="24"/>
          <w:szCs w:val="24"/>
          <w:lang w:val="en-GB"/>
        </w:rPr>
        <w:t xml:space="preserve"> a </w:t>
      </w:r>
      <w:r w:rsidRPr="00462F98">
        <w:rPr>
          <w:rFonts w:ascii="Times New Roman" w:hAnsi="Times New Roman" w:cs="Times New Roman"/>
          <w:i/>
          <w:color w:val="000000" w:themeColor="text1"/>
          <w:sz w:val="24"/>
          <w:szCs w:val="24"/>
          <w:lang w:val="en-GB"/>
        </w:rPr>
        <w:t>Sonderweg</w:t>
      </w:r>
      <w:r w:rsidRPr="00462F98">
        <w:rPr>
          <w:rFonts w:ascii="Times New Roman" w:hAnsi="Times New Roman" w:cs="Times New Roman"/>
          <w:color w:val="000000" w:themeColor="text1"/>
          <w:sz w:val="24"/>
          <w:szCs w:val="24"/>
          <w:lang w:val="en-GB"/>
        </w:rPr>
        <w:t>.</w:t>
      </w:r>
      <w:r w:rsidR="00ED576F" w:rsidRPr="00462F98">
        <w:rPr>
          <w:rFonts w:ascii="Times New Roman" w:hAnsi="Times New Roman" w:cs="Times New Roman"/>
          <w:color w:val="000000" w:themeColor="text1"/>
          <w:sz w:val="24"/>
          <w:szCs w:val="24"/>
          <w:lang w:val="en-GB"/>
        </w:rPr>
        <w:t xml:space="preserve"> High levels o</w:t>
      </w:r>
      <w:r w:rsidR="0075720C" w:rsidRPr="00462F98">
        <w:rPr>
          <w:rFonts w:ascii="Times New Roman" w:hAnsi="Times New Roman" w:cs="Times New Roman"/>
          <w:color w:val="000000" w:themeColor="text1"/>
          <w:sz w:val="24"/>
          <w:szCs w:val="24"/>
          <w:lang w:val="en-GB"/>
        </w:rPr>
        <w:t xml:space="preserve">f foreign debt eventually resulted in financial supervision, by which creditors took control of fiscal policy, either following default (the pre-war pattern) or </w:t>
      </w:r>
      <w:r w:rsidR="00DA060A" w:rsidRPr="00462F98">
        <w:rPr>
          <w:rFonts w:ascii="Times New Roman" w:hAnsi="Times New Roman" w:cs="Times New Roman"/>
          <w:color w:val="000000" w:themeColor="text1"/>
          <w:sz w:val="24"/>
          <w:szCs w:val="24"/>
          <w:lang w:val="en-GB"/>
        </w:rPr>
        <w:t>“</w:t>
      </w:r>
      <w:r w:rsidR="0075720C" w:rsidRPr="00462F98">
        <w:rPr>
          <w:rFonts w:ascii="Times New Roman" w:hAnsi="Times New Roman" w:cs="Times New Roman"/>
          <w:color w:val="000000" w:themeColor="text1"/>
          <w:sz w:val="24"/>
          <w:szCs w:val="24"/>
          <w:lang w:val="en-GB"/>
        </w:rPr>
        <w:t>pre-emptively</w:t>
      </w:r>
      <w:r w:rsidR="00DA060A" w:rsidRPr="00462F98">
        <w:rPr>
          <w:rFonts w:ascii="Times New Roman" w:hAnsi="Times New Roman" w:cs="Times New Roman"/>
          <w:color w:val="000000" w:themeColor="text1"/>
          <w:sz w:val="24"/>
          <w:szCs w:val="24"/>
          <w:lang w:val="en-GB"/>
        </w:rPr>
        <w:t>”</w:t>
      </w:r>
      <w:r w:rsidR="0075720C" w:rsidRPr="00462F98">
        <w:rPr>
          <w:rFonts w:ascii="Times New Roman" w:hAnsi="Times New Roman" w:cs="Times New Roman"/>
          <w:color w:val="000000" w:themeColor="text1"/>
          <w:sz w:val="24"/>
          <w:szCs w:val="24"/>
          <w:lang w:val="en-GB"/>
        </w:rPr>
        <w:t xml:space="preserve"> (the interwar pattern). </w:t>
      </w:r>
      <w:r w:rsidR="00F74C70">
        <w:rPr>
          <w:rFonts w:ascii="Times New Roman" w:hAnsi="Times New Roman" w:cs="Times New Roman"/>
          <w:color w:val="000000"/>
          <w:sz w:val="24"/>
          <w:szCs w:val="24"/>
          <w:lang w:val="en-GB"/>
        </w:rPr>
        <w:t>T</w:t>
      </w:r>
      <w:r w:rsidR="0075720C" w:rsidRPr="00462F98">
        <w:rPr>
          <w:rFonts w:ascii="Times New Roman" w:hAnsi="Times New Roman" w:cs="Times New Roman"/>
          <w:color w:val="000000"/>
          <w:sz w:val="24"/>
          <w:szCs w:val="24"/>
          <w:lang w:val="en-GB"/>
        </w:rPr>
        <w:t>he effective delegation of</w:t>
      </w:r>
      <w:r w:rsidR="002C0FA8" w:rsidRPr="00462F98">
        <w:rPr>
          <w:rFonts w:ascii="Times New Roman" w:hAnsi="Times New Roman" w:cs="Times New Roman"/>
          <w:color w:val="000000"/>
          <w:sz w:val="24"/>
          <w:szCs w:val="24"/>
          <w:lang w:val="en-GB"/>
        </w:rPr>
        <w:t xml:space="preserve"> fiscal policy allowed to </w:t>
      </w:r>
      <w:r w:rsidR="0075720C" w:rsidRPr="00462F98">
        <w:rPr>
          <w:rFonts w:ascii="Times New Roman" w:hAnsi="Times New Roman" w:cs="Times New Roman"/>
          <w:color w:val="000000"/>
          <w:sz w:val="24"/>
          <w:szCs w:val="24"/>
          <w:lang w:val="en-GB"/>
        </w:rPr>
        <w:t>break the prevailing pattern of fiscal dominance</w:t>
      </w:r>
      <w:r w:rsidR="002C0FA8" w:rsidRPr="00462F98">
        <w:rPr>
          <w:rFonts w:ascii="Times New Roman" w:hAnsi="Times New Roman" w:cs="Times New Roman"/>
          <w:color w:val="000000"/>
          <w:sz w:val="24"/>
          <w:szCs w:val="24"/>
          <w:lang w:val="en-GB"/>
        </w:rPr>
        <w:t xml:space="preserve">: </w:t>
      </w:r>
      <w:r w:rsidR="0075720C" w:rsidRPr="00462F98">
        <w:rPr>
          <w:rFonts w:ascii="Times New Roman" w:hAnsi="Times New Roman" w:cs="Times New Roman"/>
          <w:color w:val="000000"/>
          <w:sz w:val="24"/>
          <w:szCs w:val="24"/>
          <w:lang w:val="en-GB"/>
        </w:rPr>
        <w:t>(modest) budget surpluse</w:t>
      </w:r>
      <w:r w:rsidR="00ED576F" w:rsidRPr="00462F98">
        <w:rPr>
          <w:rFonts w:ascii="Times New Roman" w:hAnsi="Times New Roman" w:cs="Times New Roman"/>
          <w:color w:val="000000"/>
          <w:sz w:val="24"/>
          <w:szCs w:val="24"/>
          <w:lang w:val="en-GB"/>
        </w:rPr>
        <w:t xml:space="preserve">s began to emerge, </w:t>
      </w:r>
      <w:r w:rsidR="0040027D" w:rsidRPr="00462F98">
        <w:rPr>
          <w:rFonts w:ascii="Times New Roman" w:hAnsi="Times New Roman" w:cs="Times New Roman"/>
          <w:color w:val="000000"/>
          <w:sz w:val="24"/>
          <w:szCs w:val="24"/>
          <w:lang w:val="en-GB"/>
        </w:rPr>
        <w:t>enabling</w:t>
      </w:r>
      <w:r w:rsidR="0075720C" w:rsidRPr="00462F98">
        <w:rPr>
          <w:rFonts w:ascii="Times New Roman" w:hAnsi="Times New Roman" w:cs="Times New Roman"/>
          <w:color w:val="000000"/>
          <w:sz w:val="24"/>
          <w:szCs w:val="24"/>
          <w:lang w:val="en-GB"/>
        </w:rPr>
        <w:t xml:space="preserve"> central banks to conduct a rule-based monetary policy and join the gold standard.</w:t>
      </w:r>
      <w:r w:rsidR="0075720C" w:rsidRPr="00462F98">
        <w:rPr>
          <w:rFonts w:ascii="Times New Roman" w:hAnsi="Times New Roman" w:cs="Times New Roman"/>
          <w:sz w:val="24"/>
          <w:szCs w:val="24"/>
          <w:lang w:val="en-GB"/>
        </w:rPr>
        <w:t xml:space="preserve"> Financial supervision </w:t>
      </w:r>
      <w:r w:rsidR="0040027D" w:rsidRPr="00462F98">
        <w:rPr>
          <w:rFonts w:ascii="Times New Roman" w:hAnsi="Times New Roman" w:cs="Times New Roman"/>
          <w:sz w:val="24"/>
          <w:szCs w:val="24"/>
          <w:lang w:val="en-GB"/>
        </w:rPr>
        <w:t>allowed</w:t>
      </w:r>
      <w:r w:rsidR="0075720C" w:rsidRPr="00462F98">
        <w:rPr>
          <w:rFonts w:ascii="Times New Roman" w:hAnsi="Times New Roman" w:cs="Times New Roman"/>
          <w:sz w:val="24"/>
          <w:szCs w:val="24"/>
          <w:lang w:val="en-GB"/>
        </w:rPr>
        <w:t xml:space="preserve"> the </w:t>
      </w:r>
      <w:r w:rsidR="0040027D" w:rsidRPr="00462F98">
        <w:rPr>
          <w:rFonts w:ascii="Times New Roman" w:hAnsi="Times New Roman" w:cs="Times New Roman"/>
          <w:sz w:val="24"/>
          <w:szCs w:val="24"/>
          <w:lang w:val="en-GB"/>
        </w:rPr>
        <w:t>SEE</w:t>
      </w:r>
      <w:r w:rsidR="0075720C" w:rsidRPr="00462F98">
        <w:rPr>
          <w:rFonts w:ascii="Times New Roman" w:hAnsi="Times New Roman" w:cs="Times New Roman"/>
          <w:sz w:val="24"/>
          <w:szCs w:val="24"/>
          <w:lang w:val="en-GB"/>
        </w:rPr>
        <w:t xml:space="preserve"> countries to achieve their long-standing objective of exchange-rate stabilisation.</w:t>
      </w:r>
      <w:r w:rsidR="00DA060A" w:rsidRPr="00462F98">
        <w:rPr>
          <w:rFonts w:ascii="Times New Roman" w:hAnsi="Times New Roman" w:cs="Times New Roman"/>
          <w:sz w:val="24"/>
          <w:szCs w:val="24"/>
          <w:lang w:val="en-GB"/>
        </w:rPr>
        <w:t xml:space="preserve"> Only on a single occasion – Romania in 1890 – did a SEE country join the gold standard based on domestic reforms alone.</w:t>
      </w:r>
    </w:p>
    <w:p w:rsidR="00F74C70" w:rsidRPr="0037616A" w:rsidRDefault="0075720C" w:rsidP="00F74C70">
      <w:pPr>
        <w:spacing w:after="0" w:line="360" w:lineRule="auto"/>
        <w:jc w:val="both"/>
        <w:rPr>
          <w:rFonts w:ascii="Times New Roman" w:hAnsi="Times New Roman" w:cs="Times New Roman"/>
          <w:sz w:val="24"/>
          <w:szCs w:val="24"/>
          <w:lang w:val="en-GB"/>
        </w:rPr>
      </w:pPr>
      <w:r w:rsidRPr="00345F9E">
        <w:rPr>
          <w:rFonts w:ascii="Times New Roman" w:hAnsi="Times New Roman" w:cs="Times New Roman"/>
          <w:color w:val="000000" w:themeColor="text1"/>
          <w:sz w:val="24"/>
          <w:szCs w:val="24"/>
          <w:lang w:val="en-GB"/>
        </w:rPr>
        <w:tab/>
      </w:r>
      <w:r w:rsidR="00602FEB" w:rsidRPr="00345F9E">
        <w:rPr>
          <w:rFonts w:ascii="Times New Roman" w:hAnsi="Times New Roman" w:cs="Times New Roman"/>
          <w:color w:val="000000" w:themeColor="text1"/>
          <w:sz w:val="24"/>
          <w:szCs w:val="24"/>
          <w:lang w:val="en-GB"/>
        </w:rPr>
        <w:t xml:space="preserve">Contemporaries acquiesced into financial supervision, if this was the only way to secure </w:t>
      </w:r>
      <w:r w:rsidR="00F74C70">
        <w:rPr>
          <w:rFonts w:ascii="Times New Roman" w:hAnsi="Times New Roman" w:cs="Times New Roman"/>
          <w:color w:val="000000" w:themeColor="text1"/>
          <w:sz w:val="24"/>
          <w:szCs w:val="24"/>
          <w:lang w:val="en-GB"/>
        </w:rPr>
        <w:t xml:space="preserve">gold standard membership </w:t>
      </w:r>
      <w:r w:rsidR="00F74C70" w:rsidRPr="0037616A">
        <w:rPr>
          <w:rFonts w:ascii="Times New Roman" w:hAnsi="Times New Roman" w:cs="Times New Roman"/>
          <w:sz w:val="24"/>
          <w:szCs w:val="24"/>
          <w:lang w:val="en-GB"/>
        </w:rPr>
        <w:t xml:space="preserve">and the perceived economic benefits that came with it. The main benefit was the increased ability to attract foreign capital. If broader political objectives also played a role has been the matter of some debate. While </w:t>
      </w:r>
      <w:r w:rsidR="007169EC" w:rsidRPr="0037616A">
        <w:rPr>
          <w:rFonts w:ascii="Times New Roman" w:hAnsi="Times New Roman" w:cs="Times New Roman"/>
          <w:sz w:val="24"/>
          <w:szCs w:val="24"/>
          <w:lang w:val="en-GB"/>
        </w:rPr>
        <w:t xml:space="preserve">we have mustered </w:t>
      </w:r>
      <w:r w:rsidR="00F74C70" w:rsidRPr="0037616A">
        <w:rPr>
          <w:rFonts w:ascii="Times New Roman" w:hAnsi="Times New Roman" w:cs="Times New Roman"/>
          <w:sz w:val="24"/>
          <w:szCs w:val="24"/>
          <w:lang w:val="en-GB"/>
        </w:rPr>
        <w:t xml:space="preserve">some evidence to support such a view, we </w:t>
      </w:r>
      <w:r w:rsidR="007169EC" w:rsidRPr="0037616A">
        <w:rPr>
          <w:rFonts w:ascii="Times New Roman" w:hAnsi="Times New Roman" w:cs="Times New Roman"/>
          <w:sz w:val="24"/>
          <w:szCs w:val="24"/>
          <w:lang w:val="en-GB"/>
        </w:rPr>
        <w:t>are reluctant to embrace it following</w:t>
      </w:r>
      <w:r w:rsidR="00F74C70" w:rsidRPr="0037616A">
        <w:rPr>
          <w:rFonts w:ascii="Times New Roman" w:hAnsi="Times New Roman" w:cs="Times New Roman"/>
          <w:sz w:val="24"/>
          <w:szCs w:val="24"/>
          <w:lang w:val="en-GB"/>
        </w:rPr>
        <w:t xml:space="preserve"> a detailed study of primary sources from three key episodes of the Greek experience. </w:t>
      </w:r>
    </w:p>
    <w:p w:rsidR="00FA7A43" w:rsidRPr="00462F98" w:rsidRDefault="00DA060A" w:rsidP="003D67E9">
      <w:pPr>
        <w:spacing w:after="0" w:line="350" w:lineRule="auto"/>
        <w:ind w:firstLine="720"/>
        <w:jc w:val="both"/>
        <w:rPr>
          <w:rFonts w:ascii="Times New Roman" w:hAnsi="Times New Roman" w:cs="Times New Roman"/>
          <w:color w:val="000000" w:themeColor="text1"/>
          <w:sz w:val="24"/>
          <w:szCs w:val="24"/>
          <w:lang w:val="en-GB"/>
        </w:rPr>
      </w:pPr>
      <w:r w:rsidRPr="00462F98">
        <w:rPr>
          <w:rFonts w:ascii="Times New Roman" w:hAnsi="Times New Roman" w:cs="Times New Roman"/>
          <w:sz w:val="24"/>
          <w:szCs w:val="24"/>
          <w:lang w:val="en-GB"/>
        </w:rPr>
        <w:t>It</w:t>
      </w:r>
      <w:r w:rsidR="0040027D" w:rsidRPr="00462F98">
        <w:rPr>
          <w:rFonts w:ascii="Times New Roman" w:hAnsi="Times New Roman" w:cs="Times New Roman"/>
          <w:sz w:val="24"/>
          <w:szCs w:val="24"/>
          <w:lang w:val="en-GB"/>
        </w:rPr>
        <w:t xml:space="preserve"> is instructive to view the recent Greek experience </w:t>
      </w:r>
      <w:r w:rsidRPr="00462F98">
        <w:rPr>
          <w:rFonts w:ascii="Times New Roman" w:hAnsi="Times New Roman" w:cs="Times New Roman"/>
          <w:sz w:val="24"/>
          <w:szCs w:val="24"/>
          <w:lang w:val="en-GB"/>
        </w:rPr>
        <w:t xml:space="preserve">in the light of </w:t>
      </w:r>
      <w:r w:rsidR="0040027D" w:rsidRPr="00462F98">
        <w:rPr>
          <w:rFonts w:ascii="Times New Roman" w:hAnsi="Times New Roman" w:cs="Times New Roman"/>
          <w:sz w:val="24"/>
          <w:szCs w:val="24"/>
          <w:lang w:val="en-GB"/>
        </w:rPr>
        <w:t xml:space="preserve">the </w:t>
      </w:r>
      <w:r w:rsidR="00ED576F" w:rsidRPr="00462F98">
        <w:rPr>
          <w:rFonts w:ascii="Times New Roman" w:hAnsi="Times New Roman" w:cs="Times New Roman"/>
          <w:sz w:val="24"/>
          <w:szCs w:val="24"/>
          <w:lang w:val="en-GB"/>
        </w:rPr>
        <w:t xml:space="preserve">three </w:t>
      </w:r>
      <w:r w:rsidR="007B1EAC" w:rsidRPr="00462F98">
        <w:rPr>
          <w:rFonts w:ascii="Times New Roman" w:hAnsi="Times New Roman" w:cs="Times New Roman"/>
          <w:sz w:val="24"/>
          <w:szCs w:val="24"/>
          <w:lang w:val="en-GB"/>
        </w:rPr>
        <w:t xml:space="preserve">key themes: </w:t>
      </w:r>
      <w:r w:rsidR="0040027D" w:rsidRPr="00462F98">
        <w:rPr>
          <w:rFonts w:ascii="Times New Roman" w:hAnsi="Times New Roman" w:cs="Times New Roman"/>
          <w:sz w:val="24"/>
          <w:szCs w:val="24"/>
          <w:lang w:val="en-GB"/>
        </w:rPr>
        <w:t>seigniorage versus capital imports</w:t>
      </w:r>
      <w:r w:rsidR="007B1EAC" w:rsidRPr="00462F98">
        <w:rPr>
          <w:rFonts w:ascii="Times New Roman" w:hAnsi="Times New Roman" w:cs="Times New Roman"/>
          <w:sz w:val="24"/>
          <w:szCs w:val="24"/>
          <w:lang w:val="en-GB"/>
        </w:rPr>
        <w:t xml:space="preserve">; </w:t>
      </w:r>
      <w:r w:rsidR="00F74C70">
        <w:rPr>
          <w:rFonts w:ascii="Times New Roman" w:hAnsi="Times New Roman" w:cs="Times New Roman"/>
          <w:sz w:val="24"/>
          <w:szCs w:val="24"/>
          <w:lang w:val="en-GB"/>
        </w:rPr>
        <w:t>external dependence and</w:t>
      </w:r>
      <w:r w:rsidR="0040027D" w:rsidRPr="00462F98">
        <w:rPr>
          <w:rFonts w:ascii="Times New Roman" w:hAnsi="Times New Roman" w:cs="Times New Roman"/>
          <w:sz w:val="24"/>
          <w:szCs w:val="24"/>
          <w:lang w:val="en-GB"/>
        </w:rPr>
        <w:t xml:space="preserve"> financial supervision. </w:t>
      </w:r>
      <w:r w:rsidR="00BA69B2" w:rsidRPr="00462F98">
        <w:rPr>
          <w:rFonts w:ascii="Times New Roman" w:hAnsi="Times New Roman" w:cs="Times New Roman"/>
          <w:color w:val="000000" w:themeColor="text1"/>
          <w:sz w:val="24"/>
          <w:szCs w:val="24"/>
          <w:lang w:val="en-GB"/>
        </w:rPr>
        <w:t>H</w:t>
      </w:r>
      <w:r w:rsidR="0068429B" w:rsidRPr="00462F98">
        <w:rPr>
          <w:rFonts w:ascii="Times New Roman" w:hAnsi="Times New Roman" w:cs="Times New Roman"/>
          <w:color w:val="000000" w:themeColor="text1"/>
          <w:sz w:val="24"/>
          <w:szCs w:val="24"/>
          <w:lang w:val="en-GB"/>
        </w:rPr>
        <w:t xml:space="preserve">igh levels of inflationary finance remained important after </w:t>
      </w:r>
      <w:r w:rsidR="00751DA4" w:rsidRPr="00462F98">
        <w:rPr>
          <w:rFonts w:ascii="Times New Roman" w:hAnsi="Times New Roman" w:cs="Times New Roman"/>
          <w:color w:val="000000" w:themeColor="text1"/>
          <w:sz w:val="24"/>
          <w:szCs w:val="24"/>
          <w:lang w:val="en-GB"/>
        </w:rPr>
        <w:t>WW2</w:t>
      </w:r>
      <w:r w:rsidR="0068429B" w:rsidRPr="00462F98">
        <w:rPr>
          <w:rFonts w:ascii="Times New Roman" w:hAnsi="Times New Roman" w:cs="Times New Roman"/>
          <w:color w:val="000000" w:themeColor="text1"/>
          <w:sz w:val="24"/>
          <w:szCs w:val="24"/>
          <w:lang w:val="en-GB"/>
        </w:rPr>
        <w:t xml:space="preserve">. Notwithstanding a short spell of financial rectitude between 1953 and 1972 under the Bretton Woods constraints, the country’s </w:t>
      </w:r>
      <w:r w:rsidR="005A607A" w:rsidRPr="00462F98">
        <w:rPr>
          <w:rFonts w:ascii="Times New Roman" w:hAnsi="Times New Roman" w:cs="Times New Roman"/>
          <w:color w:val="000000" w:themeColor="text1"/>
          <w:sz w:val="24"/>
          <w:szCs w:val="24"/>
          <w:lang w:val="en-GB"/>
        </w:rPr>
        <w:t xml:space="preserve">weak fiscal institutions and difficulties in pursuing ambitious reforms </w:t>
      </w:r>
      <w:r w:rsidR="0068429B" w:rsidRPr="00462F98">
        <w:rPr>
          <w:rFonts w:ascii="Times New Roman" w:hAnsi="Times New Roman" w:cs="Times New Roman"/>
          <w:color w:val="000000" w:themeColor="text1"/>
          <w:sz w:val="24"/>
          <w:szCs w:val="24"/>
          <w:lang w:val="en-GB"/>
        </w:rPr>
        <w:t xml:space="preserve">prevented a </w:t>
      </w:r>
      <w:r w:rsidR="0068429B" w:rsidRPr="00462F98">
        <w:rPr>
          <w:rFonts w:ascii="Times New Roman" w:hAnsi="Times New Roman" w:cs="Times New Roman"/>
          <w:color w:val="000000" w:themeColor="text1"/>
          <w:sz w:val="24"/>
          <w:szCs w:val="24"/>
          <w:lang w:val="en-GB"/>
        </w:rPr>
        <w:lastRenderedPageBreak/>
        <w:t>decisive break with the past (</w:t>
      </w:r>
      <w:proofErr w:type="spellStart"/>
      <w:r w:rsidR="0068429B" w:rsidRPr="00462F98">
        <w:rPr>
          <w:rFonts w:ascii="Times New Roman" w:hAnsi="Times New Roman" w:cs="Times New Roman"/>
          <w:color w:val="000000" w:themeColor="text1"/>
          <w:sz w:val="24"/>
          <w:szCs w:val="24"/>
          <w:lang w:val="en-GB"/>
        </w:rPr>
        <w:t>Alogoskoufis</w:t>
      </w:r>
      <w:proofErr w:type="spellEnd"/>
      <w:r w:rsidR="0068429B" w:rsidRPr="00462F98">
        <w:rPr>
          <w:rFonts w:ascii="Times New Roman" w:hAnsi="Times New Roman" w:cs="Times New Roman"/>
          <w:color w:val="000000" w:themeColor="text1"/>
          <w:sz w:val="24"/>
          <w:szCs w:val="24"/>
          <w:lang w:val="en-GB"/>
        </w:rPr>
        <w:t xml:space="preserve"> 1995). Relying on seigniorage more strongly than any other EU country implied high inflation rates after the end of Bretton Woods</w:t>
      </w:r>
      <w:r w:rsidR="0018698F" w:rsidRPr="00462F98">
        <w:rPr>
          <w:rFonts w:ascii="Times New Roman" w:hAnsi="Times New Roman" w:cs="Times New Roman"/>
          <w:color w:val="000000" w:themeColor="text1"/>
          <w:sz w:val="24"/>
          <w:szCs w:val="24"/>
          <w:lang w:val="en-GB"/>
        </w:rPr>
        <w:t xml:space="preserve"> (Dornbusch 1988)</w:t>
      </w:r>
      <w:r w:rsidR="0024760A" w:rsidRPr="00462F98">
        <w:rPr>
          <w:rFonts w:ascii="Times New Roman" w:hAnsi="Times New Roman" w:cs="Times New Roman"/>
          <w:color w:val="000000" w:themeColor="text1"/>
          <w:sz w:val="24"/>
          <w:szCs w:val="24"/>
          <w:lang w:val="en-GB"/>
        </w:rPr>
        <w:t>.</w:t>
      </w:r>
      <w:r w:rsidR="0018698F" w:rsidRPr="00462F98">
        <w:rPr>
          <w:rFonts w:ascii="Times New Roman" w:hAnsi="Times New Roman" w:cs="Times New Roman"/>
          <w:color w:val="000000" w:themeColor="text1"/>
          <w:sz w:val="24"/>
          <w:szCs w:val="24"/>
          <w:lang w:val="en-GB"/>
        </w:rPr>
        <w:t xml:space="preserve"> </w:t>
      </w:r>
      <w:r w:rsidR="0024760A" w:rsidRPr="00462F98">
        <w:rPr>
          <w:rFonts w:ascii="Times New Roman" w:hAnsi="Times New Roman" w:cs="Times New Roman"/>
          <w:color w:val="000000" w:themeColor="text1"/>
          <w:sz w:val="24"/>
          <w:szCs w:val="24"/>
          <w:lang w:val="en-GB"/>
        </w:rPr>
        <w:t>I</w:t>
      </w:r>
      <w:r w:rsidR="0018698F" w:rsidRPr="00462F98">
        <w:rPr>
          <w:rFonts w:ascii="Times New Roman" w:hAnsi="Times New Roman" w:cs="Times New Roman"/>
          <w:color w:val="000000" w:themeColor="text1"/>
          <w:sz w:val="24"/>
          <w:szCs w:val="24"/>
          <w:lang w:val="en-GB"/>
        </w:rPr>
        <w:t xml:space="preserve">t </w:t>
      </w:r>
      <w:r w:rsidR="001A37CC">
        <w:rPr>
          <w:rFonts w:ascii="Times New Roman" w:hAnsi="Times New Roman" w:cs="Times New Roman"/>
          <w:color w:val="000000" w:themeColor="text1"/>
          <w:sz w:val="24"/>
          <w:szCs w:val="24"/>
          <w:lang w:val="en-GB"/>
        </w:rPr>
        <w:t xml:space="preserve">also </w:t>
      </w:r>
      <w:r w:rsidR="0018698F" w:rsidRPr="00462F98">
        <w:rPr>
          <w:rFonts w:ascii="Times New Roman" w:hAnsi="Times New Roman" w:cs="Times New Roman"/>
          <w:color w:val="000000" w:themeColor="text1"/>
          <w:sz w:val="24"/>
          <w:szCs w:val="24"/>
          <w:lang w:val="en-GB"/>
        </w:rPr>
        <w:t xml:space="preserve">explains why Greece was the only </w:t>
      </w:r>
      <w:r w:rsidR="003D67E9" w:rsidRPr="00462F98">
        <w:rPr>
          <w:rFonts w:ascii="Times New Roman" w:hAnsi="Times New Roman" w:cs="Times New Roman"/>
          <w:color w:val="000000" w:themeColor="text1"/>
          <w:sz w:val="24"/>
          <w:szCs w:val="24"/>
          <w:lang w:val="en-GB"/>
        </w:rPr>
        <w:t>EU country to not</w:t>
      </w:r>
      <w:r w:rsidR="0018698F" w:rsidRPr="00462F98">
        <w:rPr>
          <w:rFonts w:ascii="Times New Roman" w:hAnsi="Times New Roman" w:cs="Times New Roman"/>
          <w:color w:val="000000" w:themeColor="text1"/>
          <w:sz w:val="24"/>
          <w:szCs w:val="24"/>
          <w:lang w:val="en-GB"/>
        </w:rPr>
        <w:t xml:space="preserve"> join the European Exchange-Rate Mechanism (</w:t>
      </w:r>
      <w:proofErr w:type="spellStart"/>
      <w:r w:rsidR="0018698F" w:rsidRPr="00462F98">
        <w:rPr>
          <w:rFonts w:ascii="Times New Roman" w:hAnsi="Times New Roman" w:cs="Times New Roman"/>
          <w:color w:val="000000" w:themeColor="text1"/>
          <w:sz w:val="24"/>
          <w:szCs w:val="24"/>
          <w:lang w:val="en-GB"/>
        </w:rPr>
        <w:t>Gros&amp;Thygesen</w:t>
      </w:r>
      <w:proofErr w:type="spellEnd"/>
      <w:r w:rsidR="0018698F" w:rsidRPr="00462F98">
        <w:rPr>
          <w:rFonts w:ascii="Times New Roman" w:hAnsi="Times New Roman" w:cs="Times New Roman"/>
          <w:color w:val="000000" w:themeColor="text1"/>
          <w:sz w:val="24"/>
          <w:szCs w:val="24"/>
          <w:lang w:val="en-GB"/>
        </w:rPr>
        <w:t xml:space="preserve"> 1998: 65-107) and why it was initiall</w:t>
      </w:r>
      <w:r w:rsidR="00BA69B2" w:rsidRPr="00462F98">
        <w:rPr>
          <w:rFonts w:ascii="Times New Roman" w:hAnsi="Times New Roman" w:cs="Times New Roman"/>
          <w:color w:val="000000" w:themeColor="text1"/>
          <w:sz w:val="24"/>
          <w:szCs w:val="24"/>
          <w:lang w:val="en-GB"/>
        </w:rPr>
        <w:t xml:space="preserve">y excluded from the euro (as </w:t>
      </w:r>
      <w:r w:rsidR="0018698F" w:rsidRPr="00462F98">
        <w:rPr>
          <w:rFonts w:ascii="Times New Roman" w:hAnsi="Times New Roman" w:cs="Times New Roman"/>
          <w:color w:val="000000" w:themeColor="text1"/>
          <w:sz w:val="24"/>
          <w:szCs w:val="24"/>
          <w:lang w:val="en-GB"/>
        </w:rPr>
        <w:t xml:space="preserve">only EU country). </w:t>
      </w:r>
      <w:r w:rsidR="00681980" w:rsidRPr="00462F98">
        <w:rPr>
          <w:rFonts w:ascii="Times New Roman" w:hAnsi="Times New Roman" w:cs="Times New Roman"/>
          <w:color w:val="000000" w:themeColor="text1"/>
          <w:sz w:val="24"/>
          <w:szCs w:val="24"/>
          <w:lang w:val="en-GB"/>
        </w:rPr>
        <w:t xml:space="preserve">When Greece eventually joined in 2001, seigniorage was </w:t>
      </w:r>
      <w:r w:rsidR="0024760A" w:rsidRPr="00462F98">
        <w:rPr>
          <w:rFonts w:ascii="Times New Roman" w:hAnsi="Times New Roman" w:cs="Times New Roman"/>
          <w:color w:val="000000" w:themeColor="text1"/>
          <w:sz w:val="24"/>
          <w:szCs w:val="24"/>
          <w:lang w:val="en-GB"/>
        </w:rPr>
        <w:t>replaced</w:t>
      </w:r>
      <w:r w:rsidR="00681980" w:rsidRPr="00462F98">
        <w:rPr>
          <w:rFonts w:ascii="Times New Roman" w:hAnsi="Times New Roman" w:cs="Times New Roman"/>
          <w:color w:val="000000" w:themeColor="text1"/>
          <w:sz w:val="24"/>
          <w:szCs w:val="24"/>
          <w:lang w:val="en-GB"/>
        </w:rPr>
        <w:t xml:space="preserve">, in time-honoured fashion, by capital imports. </w:t>
      </w:r>
      <w:r w:rsidR="0018698F" w:rsidRPr="00462F98">
        <w:rPr>
          <w:rFonts w:ascii="Times New Roman" w:hAnsi="Times New Roman" w:cs="Times New Roman"/>
          <w:color w:val="000000" w:themeColor="text1"/>
          <w:sz w:val="24"/>
          <w:szCs w:val="24"/>
          <w:lang w:val="en-GB"/>
        </w:rPr>
        <w:t xml:space="preserve">Capital imports had played an important role in closing weak budgets already since the country’s </w:t>
      </w:r>
      <w:r w:rsidR="0024760A" w:rsidRPr="00462F98">
        <w:rPr>
          <w:rFonts w:ascii="Times New Roman" w:hAnsi="Times New Roman" w:cs="Times New Roman"/>
          <w:color w:val="000000" w:themeColor="text1"/>
          <w:sz w:val="24"/>
          <w:szCs w:val="24"/>
          <w:lang w:val="en-GB"/>
        </w:rPr>
        <w:t xml:space="preserve">EU </w:t>
      </w:r>
      <w:r w:rsidR="0018698F" w:rsidRPr="00462F98">
        <w:rPr>
          <w:rFonts w:ascii="Times New Roman" w:hAnsi="Times New Roman" w:cs="Times New Roman"/>
          <w:color w:val="000000" w:themeColor="text1"/>
          <w:sz w:val="24"/>
          <w:szCs w:val="24"/>
          <w:lang w:val="en-GB"/>
        </w:rPr>
        <w:t>accession in 1981. Government debt, which stood at only 20% of GDP at the time, ballooned and rose to 1</w:t>
      </w:r>
      <w:r w:rsidR="005A607A" w:rsidRPr="00462F98">
        <w:rPr>
          <w:rFonts w:ascii="Times New Roman" w:hAnsi="Times New Roman" w:cs="Times New Roman"/>
          <w:color w:val="000000" w:themeColor="text1"/>
          <w:sz w:val="24"/>
          <w:szCs w:val="24"/>
          <w:lang w:val="en-GB"/>
        </w:rPr>
        <w:t>20% of GDP by</w:t>
      </w:r>
      <w:r w:rsidR="0018698F" w:rsidRPr="00462F98">
        <w:rPr>
          <w:rFonts w:ascii="Times New Roman" w:hAnsi="Times New Roman" w:cs="Times New Roman"/>
          <w:color w:val="000000" w:themeColor="text1"/>
          <w:sz w:val="24"/>
          <w:szCs w:val="24"/>
          <w:lang w:val="en-GB"/>
        </w:rPr>
        <w:t xml:space="preserve"> the mid-1990s; approximately 80% </w:t>
      </w:r>
      <w:r w:rsidR="0018698F" w:rsidRPr="005D19A9">
        <w:rPr>
          <w:rFonts w:ascii="Times New Roman" w:hAnsi="Times New Roman" w:cs="Times New Roman"/>
          <w:color w:val="000000" w:themeColor="text1"/>
          <w:sz w:val="24"/>
          <w:szCs w:val="24"/>
          <w:lang w:val="en-GB"/>
        </w:rPr>
        <w:t>of which was held abroad (</w:t>
      </w:r>
      <w:proofErr w:type="spellStart"/>
      <w:r w:rsidR="006E2E9E" w:rsidRPr="005D19A9">
        <w:rPr>
          <w:rFonts w:ascii="Times New Roman" w:hAnsi="Times New Roman" w:cs="Times New Roman"/>
          <w:color w:val="000000" w:themeColor="text1"/>
          <w:sz w:val="24"/>
          <w:szCs w:val="24"/>
          <w:lang w:val="en-GB"/>
        </w:rPr>
        <w:t>Wickens</w:t>
      </w:r>
      <w:proofErr w:type="spellEnd"/>
      <w:r w:rsidR="006E2E9E" w:rsidRPr="005D19A9">
        <w:rPr>
          <w:rFonts w:ascii="Times New Roman" w:hAnsi="Times New Roman" w:cs="Times New Roman"/>
          <w:color w:val="000000" w:themeColor="text1"/>
          <w:sz w:val="24"/>
          <w:szCs w:val="24"/>
          <w:lang w:val="en-GB"/>
        </w:rPr>
        <w:t xml:space="preserve"> </w:t>
      </w:r>
      <w:r w:rsidR="00826CD8">
        <w:rPr>
          <w:rFonts w:ascii="Times New Roman" w:hAnsi="Times New Roman" w:cs="Times New Roman"/>
          <w:color w:val="000000" w:themeColor="text1"/>
          <w:sz w:val="24"/>
          <w:szCs w:val="24"/>
          <w:lang w:val="en-GB"/>
        </w:rPr>
        <w:t>2018</w:t>
      </w:r>
      <w:r w:rsidR="0018698F" w:rsidRPr="005D19A9">
        <w:rPr>
          <w:rFonts w:ascii="Times New Roman" w:hAnsi="Times New Roman" w:cs="Times New Roman"/>
          <w:color w:val="000000" w:themeColor="text1"/>
          <w:sz w:val="24"/>
          <w:szCs w:val="24"/>
          <w:lang w:val="en-GB"/>
        </w:rPr>
        <w:t xml:space="preserve">). Capital imports </w:t>
      </w:r>
      <w:r w:rsidR="0018698F" w:rsidRPr="00462F98">
        <w:rPr>
          <w:rFonts w:ascii="Times New Roman" w:hAnsi="Times New Roman" w:cs="Times New Roman"/>
          <w:color w:val="000000" w:themeColor="text1"/>
          <w:sz w:val="24"/>
          <w:szCs w:val="24"/>
          <w:lang w:val="en-GB"/>
        </w:rPr>
        <w:t>increased further after 2001, as the euro seemingly provided stability by removing currency risk.</w:t>
      </w:r>
    </w:p>
    <w:p w:rsidR="00AA5816" w:rsidRPr="00462F98" w:rsidRDefault="00256564" w:rsidP="003D67E9">
      <w:pPr>
        <w:spacing w:after="0" w:line="35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E</w:t>
      </w:r>
      <w:r w:rsidR="00A96AA7" w:rsidRPr="00462F98">
        <w:rPr>
          <w:rFonts w:ascii="Times New Roman" w:hAnsi="Times New Roman" w:cs="Times New Roman"/>
          <w:sz w:val="24"/>
          <w:szCs w:val="24"/>
          <w:lang w:val="en-GB"/>
        </w:rPr>
        <w:t xml:space="preserve">xternal dependence </w:t>
      </w:r>
      <w:r w:rsidR="00284F26" w:rsidRPr="00462F98">
        <w:rPr>
          <w:rFonts w:ascii="Times New Roman" w:hAnsi="Times New Roman" w:cs="Times New Roman"/>
          <w:sz w:val="24"/>
          <w:szCs w:val="24"/>
          <w:lang w:val="en-GB"/>
        </w:rPr>
        <w:t>resulted in a situation in which creditors took control of Greek fiscal policy. The 1898-191</w:t>
      </w:r>
      <w:r w:rsidR="00A96AA7" w:rsidRPr="00462F98">
        <w:rPr>
          <w:rFonts w:ascii="Times New Roman" w:hAnsi="Times New Roman" w:cs="Times New Roman"/>
          <w:sz w:val="24"/>
          <w:szCs w:val="24"/>
          <w:lang w:val="en-GB"/>
        </w:rPr>
        <w:t>2</w:t>
      </w:r>
      <w:r w:rsidR="00BA69B2" w:rsidRPr="00462F98">
        <w:rPr>
          <w:rFonts w:ascii="Times New Roman" w:hAnsi="Times New Roman" w:cs="Times New Roman"/>
          <w:sz w:val="24"/>
          <w:szCs w:val="24"/>
          <w:lang w:val="en-GB"/>
        </w:rPr>
        <w:t xml:space="preserve"> experience</w:t>
      </w:r>
      <w:r w:rsidR="00AA5816" w:rsidRPr="00462F98">
        <w:rPr>
          <w:rFonts w:ascii="Times New Roman" w:hAnsi="Times New Roman" w:cs="Times New Roman"/>
          <w:sz w:val="24"/>
          <w:szCs w:val="24"/>
          <w:lang w:val="en-GB"/>
        </w:rPr>
        <w:t xml:space="preserve"> </w:t>
      </w:r>
      <w:r w:rsidR="00284F26" w:rsidRPr="00462F98">
        <w:rPr>
          <w:rFonts w:ascii="Times New Roman" w:hAnsi="Times New Roman" w:cs="Times New Roman"/>
          <w:sz w:val="24"/>
          <w:szCs w:val="24"/>
          <w:lang w:val="en-GB"/>
        </w:rPr>
        <w:t>with its focus on fiscal consolidation, tax reform and administrative overhaul is a precursor to t</w:t>
      </w:r>
      <w:r w:rsidR="001A37CC">
        <w:rPr>
          <w:rFonts w:ascii="Times New Roman" w:hAnsi="Times New Roman" w:cs="Times New Roman"/>
          <w:sz w:val="24"/>
          <w:szCs w:val="24"/>
          <w:lang w:val="en-GB"/>
        </w:rPr>
        <w:t>oday’s</w:t>
      </w:r>
      <w:r w:rsidR="00284F26" w:rsidRPr="00462F98">
        <w:rPr>
          <w:rFonts w:ascii="Times New Roman" w:hAnsi="Times New Roman" w:cs="Times New Roman"/>
          <w:sz w:val="24"/>
          <w:szCs w:val="24"/>
          <w:lang w:val="en-GB"/>
        </w:rPr>
        <w:t xml:space="preserve"> EU-IMF-sponsored bail-out programmes. </w:t>
      </w:r>
      <w:r w:rsidR="00AA5816" w:rsidRPr="00462F98">
        <w:rPr>
          <w:rFonts w:ascii="Times New Roman" w:hAnsi="Times New Roman" w:cs="Times New Roman"/>
          <w:sz w:val="24"/>
          <w:szCs w:val="24"/>
          <w:lang w:val="en-GB"/>
        </w:rPr>
        <w:t xml:space="preserve">Similarities are not limited to content, but extend to governance. In 1898, 1928 and 2011/12 broad-based, technocratic governments were able to push for domestic reform; finding common ground with the creditors was helped by the cosmopolitan outlook and international experience of the Greek negotiators </w:t>
      </w:r>
      <w:r w:rsidR="00BA69B2" w:rsidRPr="00462F98">
        <w:rPr>
          <w:rFonts w:ascii="Times New Roman" w:hAnsi="Times New Roman" w:cs="Times New Roman"/>
          <w:sz w:val="24"/>
          <w:szCs w:val="24"/>
          <w:lang w:val="en-GB"/>
        </w:rPr>
        <w:t>(</w:t>
      </w:r>
      <w:proofErr w:type="spellStart"/>
      <w:r w:rsidR="007D56B4" w:rsidRPr="00462F98">
        <w:rPr>
          <w:rFonts w:ascii="Times New Roman" w:hAnsi="Times New Roman" w:cs="Times New Roman"/>
          <w:sz w:val="24"/>
          <w:szCs w:val="24"/>
          <w:lang w:val="en-GB"/>
        </w:rPr>
        <w:t>Zaimis</w:t>
      </w:r>
      <w:proofErr w:type="spellEnd"/>
      <w:r w:rsidR="007D56B4" w:rsidRPr="00462F98">
        <w:rPr>
          <w:rFonts w:ascii="Times New Roman" w:hAnsi="Times New Roman" w:cs="Times New Roman"/>
          <w:sz w:val="24"/>
          <w:szCs w:val="24"/>
          <w:lang w:val="en-GB"/>
        </w:rPr>
        <w:t xml:space="preserve"> found his modern counterpart in Prime Minis</w:t>
      </w:r>
      <w:r w:rsidR="00BA69B2" w:rsidRPr="00462F98">
        <w:rPr>
          <w:rFonts w:ascii="Times New Roman" w:hAnsi="Times New Roman" w:cs="Times New Roman"/>
          <w:sz w:val="24"/>
          <w:szCs w:val="24"/>
          <w:lang w:val="en-GB"/>
        </w:rPr>
        <w:t>ter Lucas Papademos,</w:t>
      </w:r>
      <w:r w:rsidR="007D56B4" w:rsidRPr="00462F98">
        <w:rPr>
          <w:rFonts w:ascii="Times New Roman" w:hAnsi="Times New Roman" w:cs="Times New Roman"/>
          <w:sz w:val="24"/>
          <w:szCs w:val="24"/>
          <w:lang w:val="en-GB"/>
        </w:rPr>
        <w:t xml:space="preserve"> ECB Vice President</w:t>
      </w:r>
      <w:r w:rsidR="00AA5816" w:rsidRPr="00462F98">
        <w:rPr>
          <w:rFonts w:ascii="Times New Roman" w:hAnsi="Times New Roman" w:cs="Times New Roman"/>
          <w:sz w:val="24"/>
          <w:szCs w:val="24"/>
          <w:lang w:val="en-GB"/>
        </w:rPr>
        <w:t xml:space="preserve"> </w:t>
      </w:r>
      <w:r w:rsidR="007D56B4" w:rsidRPr="00462F98">
        <w:rPr>
          <w:rFonts w:ascii="Times New Roman" w:hAnsi="Times New Roman" w:cs="Times New Roman"/>
          <w:sz w:val="24"/>
          <w:szCs w:val="24"/>
          <w:lang w:val="en-GB"/>
        </w:rPr>
        <w:t>between 2002 and 2010).</w:t>
      </w:r>
    </w:p>
    <w:p w:rsidR="00161730" w:rsidRDefault="00602FEB" w:rsidP="009D0A87">
      <w:pPr>
        <w:spacing w:after="0" w:line="360" w:lineRule="auto"/>
        <w:jc w:val="both"/>
        <w:rPr>
          <w:rFonts w:ascii="Times New Roman" w:hAnsi="Times New Roman" w:cs="Times New Roman"/>
          <w:b/>
          <w:color w:val="000000" w:themeColor="text1"/>
          <w:sz w:val="24"/>
          <w:szCs w:val="24"/>
          <w:lang w:val="en-GB"/>
        </w:rPr>
      </w:pPr>
      <w:r w:rsidRPr="00C6153E">
        <w:rPr>
          <w:rFonts w:ascii="Times New Roman" w:hAnsi="Times New Roman" w:cs="Times New Roman"/>
          <w:color w:val="000000" w:themeColor="text1"/>
          <w:sz w:val="24"/>
          <w:szCs w:val="24"/>
          <w:lang w:val="en-GB"/>
        </w:rPr>
        <w:tab/>
        <w:t xml:space="preserve">All this is not to say that parallels are exact and that differences between the time periods do not exist, let alone that a country cannot overcome a legacy of fiscal dominance on its own. </w:t>
      </w:r>
      <w:r w:rsidR="00256564" w:rsidRPr="0037616A">
        <w:rPr>
          <w:rFonts w:ascii="Times New Roman" w:hAnsi="Times New Roman" w:cs="Times New Roman"/>
          <w:sz w:val="24"/>
          <w:szCs w:val="24"/>
          <w:lang w:val="en-GB"/>
        </w:rPr>
        <w:t xml:space="preserve">Important differences include: Any debt </w:t>
      </w:r>
      <w:proofErr w:type="spellStart"/>
      <w:r w:rsidR="00256564" w:rsidRPr="0037616A">
        <w:rPr>
          <w:rFonts w:ascii="Times New Roman" w:hAnsi="Times New Roman" w:cs="Times New Roman"/>
          <w:sz w:val="24"/>
          <w:szCs w:val="24"/>
          <w:lang w:val="en-GB"/>
        </w:rPr>
        <w:t>monetisations</w:t>
      </w:r>
      <w:proofErr w:type="spellEnd"/>
      <w:r w:rsidR="00256564" w:rsidRPr="0037616A">
        <w:rPr>
          <w:rFonts w:ascii="Times New Roman" w:hAnsi="Times New Roman" w:cs="Times New Roman"/>
          <w:sz w:val="24"/>
          <w:szCs w:val="24"/>
          <w:lang w:val="en-GB"/>
        </w:rPr>
        <w:t xml:space="preserve"> today would not be carried out by the national central bank but by the ECB; and hence by an institution far more removed from the influence of the government</w:t>
      </w:r>
      <w:r w:rsidR="000975BC">
        <w:rPr>
          <w:rFonts w:ascii="Times New Roman" w:hAnsi="Times New Roman" w:cs="Times New Roman"/>
          <w:sz w:val="24"/>
          <w:szCs w:val="24"/>
          <w:lang w:val="en-GB"/>
        </w:rPr>
        <w:t>(s)</w:t>
      </w:r>
      <w:r w:rsidR="00256564" w:rsidRPr="0037616A">
        <w:rPr>
          <w:rFonts w:ascii="Times New Roman" w:hAnsi="Times New Roman" w:cs="Times New Roman"/>
          <w:sz w:val="24"/>
          <w:szCs w:val="24"/>
          <w:lang w:val="en-GB"/>
        </w:rPr>
        <w:t xml:space="preserve">. Moreover, while costs of financial supervision were low in the past, Greece experienced a </w:t>
      </w:r>
      <w:r w:rsidR="007169EC" w:rsidRPr="0037616A">
        <w:rPr>
          <w:rFonts w:ascii="Times New Roman" w:hAnsi="Times New Roman" w:cs="Times New Roman"/>
          <w:sz w:val="24"/>
          <w:szCs w:val="24"/>
          <w:lang w:val="en-GB"/>
        </w:rPr>
        <w:t xml:space="preserve">GDP </w:t>
      </w:r>
      <w:r w:rsidR="00256564" w:rsidRPr="0037616A">
        <w:rPr>
          <w:rFonts w:ascii="Times New Roman" w:hAnsi="Times New Roman" w:cs="Times New Roman"/>
          <w:sz w:val="24"/>
          <w:szCs w:val="24"/>
          <w:lang w:val="en-GB"/>
        </w:rPr>
        <w:t xml:space="preserve">decline of 25% between 2010 and 2014. Last but not least, </w:t>
      </w:r>
      <w:r w:rsidR="00256564">
        <w:rPr>
          <w:rFonts w:ascii="Times New Roman" w:hAnsi="Times New Roman" w:cs="Times New Roman"/>
          <w:color w:val="000000" w:themeColor="text1"/>
          <w:sz w:val="24"/>
          <w:szCs w:val="24"/>
          <w:lang w:val="en-GB"/>
        </w:rPr>
        <w:t>t</w:t>
      </w:r>
      <w:r w:rsidRPr="00C6153E">
        <w:rPr>
          <w:rFonts w:ascii="Times New Roman" w:hAnsi="Times New Roman" w:cs="Times New Roman"/>
          <w:color w:val="000000" w:themeColor="text1"/>
          <w:sz w:val="24"/>
          <w:szCs w:val="24"/>
          <w:lang w:val="en-GB"/>
        </w:rPr>
        <w:t>he structure of the Greek economy has undergone fundamental change since the end of W</w:t>
      </w:r>
      <w:r w:rsidR="00706726">
        <w:rPr>
          <w:rFonts w:ascii="Times New Roman" w:hAnsi="Times New Roman" w:cs="Times New Roman"/>
          <w:color w:val="000000" w:themeColor="text1"/>
          <w:sz w:val="24"/>
          <w:szCs w:val="24"/>
          <w:lang w:val="en-GB"/>
        </w:rPr>
        <w:t>WII</w:t>
      </w:r>
      <w:r w:rsidRPr="00C6153E">
        <w:rPr>
          <w:rFonts w:ascii="Times New Roman" w:hAnsi="Times New Roman" w:cs="Times New Roman"/>
          <w:color w:val="000000" w:themeColor="text1"/>
          <w:sz w:val="24"/>
          <w:szCs w:val="24"/>
          <w:lang w:val="en-GB"/>
        </w:rPr>
        <w:t>, as did the country’s political system; and the Spanish experience 1874-1998 demonstrates that domestic reforms alone can vanquish even seemingly inert patterns of fiscal dominance (</w:t>
      </w:r>
      <w:proofErr w:type="spellStart"/>
      <w:r w:rsidRPr="00C6153E">
        <w:rPr>
          <w:rFonts w:ascii="Times New Roman" w:hAnsi="Times New Roman" w:cs="Times New Roman"/>
          <w:color w:val="000000" w:themeColor="text1"/>
          <w:sz w:val="24"/>
          <w:szCs w:val="24"/>
          <w:lang w:val="en-GB"/>
        </w:rPr>
        <w:t>Sabaté</w:t>
      </w:r>
      <w:proofErr w:type="spellEnd"/>
      <w:r w:rsidRPr="00C6153E">
        <w:rPr>
          <w:rFonts w:ascii="Times New Roman" w:hAnsi="Times New Roman" w:cs="Times New Roman"/>
          <w:color w:val="000000" w:themeColor="text1"/>
          <w:sz w:val="24"/>
          <w:szCs w:val="24"/>
          <w:lang w:val="en-GB"/>
        </w:rPr>
        <w:t xml:space="preserve"> et al. 2015). Only future research on the more recent period will be </w:t>
      </w:r>
      <w:r w:rsidRPr="00462F98">
        <w:rPr>
          <w:rFonts w:ascii="Times New Roman" w:hAnsi="Times New Roman" w:cs="Times New Roman"/>
          <w:color w:val="000000" w:themeColor="text1"/>
          <w:sz w:val="24"/>
          <w:szCs w:val="24"/>
          <w:lang w:val="en-GB"/>
        </w:rPr>
        <w:t>able to elucidate whether the structural weaknesses identified in this paper for the period 1841-1939 were also present after W</w:t>
      </w:r>
      <w:r w:rsidR="00706726">
        <w:rPr>
          <w:rFonts w:ascii="Times New Roman" w:hAnsi="Times New Roman" w:cs="Times New Roman"/>
          <w:color w:val="000000" w:themeColor="text1"/>
          <w:sz w:val="24"/>
          <w:szCs w:val="24"/>
          <w:lang w:val="en-GB"/>
        </w:rPr>
        <w:t>WII</w:t>
      </w:r>
      <w:r w:rsidRPr="00462F98">
        <w:rPr>
          <w:rFonts w:ascii="Times New Roman" w:hAnsi="Times New Roman" w:cs="Times New Roman"/>
          <w:color w:val="000000" w:themeColor="text1"/>
          <w:sz w:val="24"/>
          <w:szCs w:val="24"/>
          <w:lang w:val="en-GB"/>
        </w:rPr>
        <w:t>. Such an analysis might well vindicate Hegel’s famous dictum that the only thing we can learn from history is that we cannot learn from history. In the meantime, we are well advised to not completely ignore the first century of modern Greek monetary history.</w:t>
      </w:r>
    </w:p>
    <w:p w:rsidR="00330EE2" w:rsidRDefault="00330EE2" w:rsidP="00602FEB">
      <w:pPr>
        <w:spacing w:after="0" w:line="350" w:lineRule="auto"/>
        <w:jc w:val="both"/>
        <w:rPr>
          <w:rFonts w:ascii="Times New Roman" w:hAnsi="Times New Roman" w:cs="Times New Roman"/>
          <w:b/>
          <w:color w:val="000000" w:themeColor="text1"/>
          <w:sz w:val="24"/>
          <w:szCs w:val="24"/>
          <w:lang w:val="en-GB"/>
        </w:rPr>
      </w:pPr>
    </w:p>
    <w:p w:rsidR="000D5422" w:rsidRDefault="000D5422" w:rsidP="00602FEB">
      <w:pPr>
        <w:spacing w:after="0" w:line="350" w:lineRule="auto"/>
        <w:jc w:val="both"/>
        <w:rPr>
          <w:rFonts w:ascii="Times New Roman" w:hAnsi="Times New Roman" w:cs="Times New Roman"/>
          <w:b/>
          <w:color w:val="000000" w:themeColor="text1"/>
          <w:sz w:val="24"/>
          <w:szCs w:val="24"/>
          <w:lang w:val="en-GB"/>
        </w:rPr>
      </w:pPr>
    </w:p>
    <w:p w:rsidR="000D5422" w:rsidRDefault="000D5422" w:rsidP="00602FEB">
      <w:pPr>
        <w:spacing w:after="0" w:line="350" w:lineRule="auto"/>
        <w:jc w:val="both"/>
        <w:rPr>
          <w:rFonts w:ascii="Times New Roman" w:hAnsi="Times New Roman" w:cs="Times New Roman"/>
          <w:b/>
          <w:color w:val="000000" w:themeColor="text1"/>
          <w:sz w:val="24"/>
          <w:szCs w:val="24"/>
          <w:lang w:val="en-GB"/>
        </w:rPr>
      </w:pPr>
    </w:p>
    <w:p w:rsidR="000D5422" w:rsidRDefault="000D5422" w:rsidP="000D5422">
      <w:pPr>
        <w:spacing w:after="0" w:line="240" w:lineRule="auto"/>
        <w:jc w:val="center"/>
        <w:rPr>
          <w:rFonts w:ascii="Times New Roman" w:hAnsi="Times New Roman" w:cs="Times New Roman"/>
          <w:b/>
          <w:sz w:val="24"/>
          <w:szCs w:val="24"/>
          <w:lang w:val="en-GB"/>
        </w:rPr>
      </w:pPr>
      <w:r w:rsidRPr="009902DA">
        <w:rPr>
          <w:rFonts w:ascii="Times New Roman" w:hAnsi="Times New Roman" w:cs="Times New Roman"/>
          <w:b/>
          <w:sz w:val="24"/>
          <w:szCs w:val="24"/>
          <w:lang w:val="en-GB"/>
        </w:rPr>
        <w:t>Bibliography</w:t>
      </w:r>
    </w:p>
    <w:p w:rsidR="000D5422" w:rsidRPr="009A6362" w:rsidRDefault="000D5422" w:rsidP="000D5422">
      <w:pPr>
        <w:spacing w:after="0" w:line="240" w:lineRule="auto"/>
        <w:jc w:val="center"/>
        <w:rPr>
          <w:rFonts w:ascii="Times New Roman" w:hAnsi="Times New Roman" w:cs="Times New Roman"/>
          <w:b/>
          <w:sz w:val="12"/>
          <w:szCs w:val="12"/>
          <w:lang w:val="en-GB"/>
        </w:rPr>
      </w:pPr>
    </w:p>
    <w:p w:rsidR="000D5422" w:rsidRPr="00B86EA4" w:rsidRDefault="000D5422" w:rsidP="000D5422">
      <w:pPr>
        <w:pStyle w:val="EndNoteBibliography"/>
        <w:spacing w:after="0"/>
        <w:ind w:left="720" w:hanging="720"/>
      </w:pPr>
      <w:bookmarkStart w:id="3" w:name="_ENREF_2"/>
      <w:r w:rsidRPr="00B86EA4">
        <w:t xml:space="preserve">Alogoskoufis, George. "The two faces of Janus: Institutions, policy regimes and macroeconomic performance in Greece." </w:t>
      </w:r>
      <w:r w:rsidRPr="00B86EA4">
        <w:rPr>
          <w:i/>
        </w:rPr>
        <w:t xml:space="preserve">Economic Policy </w:t>
      </w:r>
      <w:r w:rsidRPr="00B86EA4">
        <w:t>10 (1995): 147-92.</w:t>
      </w:r>
      <w:bookmarkEnd w:id="3"/>
    </w:p>
    <w:p w:rsidR="000D5422" w:rsidRPr="00B86EA4" w:rsidRDefault="000D5422" w:rsidP="000D5422">
      <w:pPr>
        <w:pStyle w:val="EndNoteBibliography"/>
        <w:spacing w:after="0"/>
        <w:ind w:left="720" w:hanging="720"/>
      </w:pPr>
      <w:bookmarkStart w:id="4" w:name="_ENREF_5"/>
      <w:r w:rsidRPr="00B86EA4">
        <w:t xml:space="preserve">Angelopoulos, A. </w:t>
      </w:r>
      <w:r w:rsidRPr="00B86EA4">
        <w:rPr>
          <w:i/>
        </w:rPr>
        <w:t>Income taxation in Greece (in Greek)</w:t>
      </w:r>
      <w:r w:rsidRPr="00B86EA4">
        <w:t>. Athens 1933.</w:t>
      </w:r>
      <w:bookmarkEnd w:id="4"/>
    </w:p>
    <w:p w:rsidR="000D5422" w:rsidRPr="00B86EA4" w:rsidRDefault="000D5422" w:rsidP="000D5422">
      <w:pPr>
        <w:pStyle w:val="EndNoteBibliography"/>
        <w:spacing w:after="0"/>
        <w:ind w:left="720" w:hanging="720"/>
      </w:pPr>
      <w:bookmarkStart w:id="5" w:name="_ENREF_6"/>
      <w:r w:rsidRPr="00B86EA4">
        <w:t xml:space="preserve">Aroni-Tsichli, Kaiti, and Lydia Tricha, eds. </w:t>
      </w:r>
      <w:r w:rsidRPr="00B12177">
        <w:rPr>
          <w:i/>
          <w:lang w:val="el-GR"/>
        </w:rPr>
        <w:t xml:space="preserve">Ο Χαρίλαος Τρικούπις και η εποχή τού. </w:t>
      </w:r>
      <w:r w:rsidRPr="00B86EA4">
        <w:rPr>
          <w:i/>
        </w:rPr>
        <w:t>Πολιτικές επιδιώξεις και κοινωνικές συνθήκες</w:t>
      </w:r>
      <w:r w:rsidRPr="00B86EA4">
        <w:t>. Athens, 2000.</w:t>
      </w:r>
      <w:bookmarkEnd w:id="5"/>
    </w:p>
    <w:p w:rsidR="000D5422" w:rsidRPr="00B86EA4" w:rsidRDefault="000D5422" w:rsidP="000D5422">
      <w:pPr>
        <w:pStyle w:val="EndNoteBibliography"/>
        <w:spacing w:after="0"/>
        <w:ind w:left="720" w:hanging="720"/>
      </w:pPr>
      <w:bookmarkStart w:id="6" w:name="_ENREF_7"/>
      <w:r w:rsidRPr="00B86EA4">
        <w:t xml:space="preserve">Austrian National Bank, Bank of Greece, Bulgarian National Bank, and National Bank of Romania. </w:t>
      </w:r>
      <w:r w:rsidRPr="00B86EA4">
        <w:rPr>
          <w:i/>
        </w:rPr>
        <w:t>South-Eastern European Monetary and Economic Statistics from the Nineteenth Century to World War II</w:t>
      </w:r>
      <w:r w:rsidRPr="00B86EA4">
        <w:t>. Vienna 2014.</w:t>
      </w:r>
      <w:bookmarkEnd w:id="6"/>
    </w:p>
    <w:p w:rsidR="000D5422" w:rsidRPr="003623BE" w:rsidRDefault="000D5422" w:rsidP="000D5422">
      <w:pPr>
        <w:pStyle w:val="EndNoteBibliography"/>
        <w:spacing w:after="0"/>
        <w:ind w:left="720" w:hanging="720"/>
        <w:rPr>
          <w:color w:val="000000" w:themeColor="text1"/>
        </w:rPr>
      </w:pPr>
      <w:bookmarkStart w:id="7" w:name="_ENREF_8"/>
      <w:r w:rsidRPr="003623BE">
        <w:rPr>
          <w:color w:val="000000" w:themeColor="text1"/>
        </w:rPr>
        <w:t xml:space="preserve">Avramov, Roumen, </w:t>
      </w:r>
      <w:bookmarkStart w:id="8" w:name="_ENREF_9"/>
      <w:bookmarkEnd w:id="7"/>
      <w:r w:rsidRPr="003623BE">
        <w:rPr>
          <w:color w:val="000000" w:themeColor="text1"/>
        </w:rPr>
        <w:t xml:space="preserve">"The Bulgarian National Bank in a historical perspective: Shaping an institution, searching for a monetary standard." In </w:t>
      </w:r>
      <w:r w:rsidRPr="003623BE">
        <w:rPr>
          <w:i/>
          <w:color w:val="000000" w:themeColor="text1"/>
        </w:rPr>
        <w:t>Monetary and Fiscal Policies in South-Eastern Europe: Historical and Comparative Perspectives</w:t>
      </w:r>
      <w:r w:rsidRPr="003623BE">
        <w:rPr>
          <w:color w:val="000000" w:themeColor="text1"/>
        </w:rPr>
        <w:t>, edited by R. Avramov and Pamuk, S., 59-76. Sofia: Bulgarian National Bank, 2006.</w:t>
      </w:r>
      <w:bookmarkEnd w:id="8"/>
    </w:p>
    <w:p w:rsidR="000D5422" w:rsidRPr="00B86EA4" w:rsidRDefault="000D5422" w:rsidP="000D5422">
      <w:pPr>
        <w:pStyle w:val="EndNoteBibliography"/>
        <w:spacing w:after="0"/>
        <w:ind w:left="720" w:hanging="720"/>
      </w:pPr>
      <w:bookmarkStart w:id="9" w:name="_ENREF_12"/>
      <w:r w:rsidRPr="00B86EA4">
        <w:t xml:space="preserve">Bordo, Michael D., and Finn E. Kydland. "The Gold Standard as a Rule: An Essay in Exploration." </w:t>
      </w:r>
      <w:r w:rsidRPr="00B86EA4">
        <w:rPr>
          <w:i/>
        </w:rPr>
        <w:t xml:space="preserve">Explorations in Economic History </w:t>
      </w:r>
      <w:r w:rsidRPr="00B86EA4">
        <w:t>32 (1995): 423-64.</w:t>
      </w:r>
      <w:bookmarkEnd w:id="9"/>
    </w:p>
    <w:p w:rsidR="000D5422" w:rsidRPr="00B86EA4" w:rsidRDefault="000D5422" w:rsidP="000D5422">
      <w:pPr>
        <w:pStyle w:val="EndNoteBibliography"/>
        <w:spacing w:after="0"/>
        <w:ind w:left="720" w:hanging="720"/>
      </w:pPr>
      <w:bookmarkStart w:id="10" w:name="_ENREF_13"/>
      <w:r w:rsidRPr="00B86EA4">
        <w:t xml:space="preserve">Bordo, Michael D., and Hugh Rockoff. "The Gold Standard as a 'Good Housekeeping Seal of Approval'." </w:t>
      </w:r>
      <w:r w:rsidRPr="00B86EA4">
        <w:rPr>
          <w:i/>
        </w:rPr>
        <w:t xml:space="preserve">Journal of Economic History </w:t>
      </w:r>
      <w:r w:rsidRPr="00B86EA4">
        <w:t>56 (1996): 389-428.</w:t>
      </w:r>
      <w:bookmarkEnd w:id="10"/>
    </w:p>
    <w:p w:rsidR="000D5422" w:rsidRPr="00B86EA4" w:rsidRDefault="000D5422" w:rsidP="000D5422">
      <w:pPr>
        <w:pStyle w:val="EndNoteBibliography"/>
        <w:spacing w:after="0"/>
        <w:ind w:left="720" w:hanging="720"/>
      </w:pPr>
      <w:bookmarkStart w:id="11" w:name="_ENREF_19"/>
      <w:r w:rsidRPr="00B86EA4">
        <w:t xml:space="preserve">Christodoulakis, Nicos. "Currency crisis and collapse in interwar Greece: predicament or policy failure?" </w:t>
      </w:r>
      <w:r w:rsidRPr="00B86EA4">
        <w:rPr>
          <w:i/>
        </w:rPr>
        <w:t xml:space="preserve">European Review of Economic History </w:t>
      </w:r>
      <w:r w:rsidRPr="00B86EA4">
        <w:t>17 (2013): 272-93.</w:t>
      </w:r>
      <w:bookmarkEnd w:id="11"/>
    </w:p>
    <w:p w:rsidR="000D5422" w:rsidRPr="00B86EA4" w:rsidRDefault="000D5422" w:rsidP="000D5422">
      <w:pPr>
        <w:pStyle w:val="EndNoteBibliography"/>
        <w:spacing w:after="0"/>
        <w:ind w:left="720" w:hanging="720"/>
      </w:pPr>
      <w:bookmarkStart w:id="12" w:name="_ENREF_21"/>
      <w:r w:rsidRPr="00B86EA4">
        <w:t xml:space="preserve">Clogg, Richard. </w:t>
      </w:r>
      <w:r w:rsidRPr="00B86EA4">
        <w:rPr>
          <w:i/>
        </w:rPr>
        <w:t>A Concise History of Greece</w:t>
      </w:r>
      <w:r w:rsidRPr="00B86EA4">
        <w:t>. Cambridge: Cambridge University Press, 2002.</w:t>
      </w:r>
      <w:bookmarkEnd w:id="12"/>
    </w:p>
    <w:p w:rsidR="000D5422" w:rsidRPr="00B86EA4" w:rsidRDefault="000D5422" w:rsidP="000D5422">
      <w:pPr>
        <w:pStyle w:val="EndNoteBibliography"/>
        <w:spacing w:after="0"/>
        <w:ind w:left="720" w:hanging="720"/>
      </w:pPr>
      <w:bookmarkStart w:id="13" w:name="_ENREF_22"/>
      <w:r w:rsidRPr="00B86EA4">
        <w:t xml:space="preserve">Conant, Charles A. </w:t>
      </w:r>
      <w:r w:rsidRPr="00B86EA4">
        <w:rPr>
          <w:i/>
        </w:rPr>
        <w:t>A history of modern banks of issue</w:t>
      </w:r>
      <w:r w:rsidRPr="00B86EA4">
        <w:t>. New York: G.P. Putnam's Sons, 1902.</w:t>
      </w:r>
      <w:bookmarkEnd w:id="13"/>
    </w:p>
    <w:p w:rsidR="000D5422" w:rsidRPr="00B86EA4" w:rsidRDefault="000D5422" w:rsidP="000D5422">
      <w:pPr>
        <w:pStyle w:val="EndNoteBibliography"/>
        <w:spacing w:after="0"/>
        <w:ind w:left="720" w:hanging="720"/>
      </w:pPr>
      <w:bookmarkStart w:id="14" w:name="_ENREF_23"/>
      <w:r w:rsidRPr="00B86EA4">
        <w:t xml:space="preserve">Daudin, Guillaume, Matthias Morys, and Kevin O'Rourke. "Globalization, 1870-1914." In </w:t>
      </w:r>
      <w:r w:rsidRPr="00B86EA4">
        <w:rPr>
          <w:i/>
        </w:rPr>
        <w:t>The Cambridge Economic History of Modern Europe. Volume 2: 1870 to the present</w:t>
      </w:r>
      <w:r w:rsidRPr="00B86EA4">
        <w:t>, edited by S. Broadberry and O'Rourke, K., 5-29, 2010.</w:t>
      </w:r>
      <w:bookmarkEnd w:id="14"/>
    </w:p>
    <w:p w:rsidR="000D5422" w:rsidRPr="00B86EA4" w:rsidRDefault="000D5422" w:rsidP="000D5422">
      <w:pPr>
        <w:pStyle w:val="EndNoteBibliography"/>
        <w:spacing w:after="0"/>
        <w:ind w:left="720" w:hanging="720"/>
      </w:pPr>
      <w:bookmarkStart w:id="15" w:name="_ENREF_24"/>
      <w:r w:rsidRPr="00B86EA4">
        <w:t xml:space="preserve">de Cecco, Marcello. "Central banking in Central and Eastern Europe. Lessons from the interwar years' experience." </w:t>
      </w:r>
      <w:r w:rsidRPr="00B86EA4">
        <w:rPr>
          <w:i/>
        </w:rPr>
        <w:t xml:space="preserve">Rivista di storia economica </w:t>
      </w:r>
      <w:r w:rsidRPr="00B86EA4">
        <w:t>13 (1997): 75-106.</w:t>
      </w:r>
      <w:bookmarkEnd w:id="15"/>
    </w:p>
    <w:p w:rsidR="000D5422" w:rsidRPr="00B86EA4" w:rsidRDefault="000D5422" w:rsidP="000D5422">
      <w:pPr>
        <w:pStyle w:val="EndNoteBibliography"/>
        <w:spacing w:after="0"/>
        <w:ind w:left="720" w:hanging="720"/>
      </w:pPr>
      <w:bookmarkStart w:id="16" w:name="_ENREF_25"/>
      <w:r w:rsidRPr="00B86EA4">
        <w:t xml:space="preserve">———. </w:t>
      </w:r>
      <w:r w:rsidRPr="00B86EA4">
        <w:rPr>
          <w:i/>
        </w:rPr>
        <w:t>Money and Empire: The International Gold Standard, 1890-1914</w:t>
      </w:r>
      <w:r w:rsidRPr="00B86EA4">
        <w:t>. Oxford: Blackwell, 1974.</w:t>
      </w:r>
      <w:bookmarkEnd w:id="16"/>
    </w:p>
    <w:p w:rsidR="000D5422" w:rsidRPr="00B554AF" w:rsidRDefault="000D5422" w:rsidP="000D5422">
      <w:pPr>
        <w:pStyle w:val="EndNoteBibliography"/>
        <w:spacing w:after="0"/>
        <w:ind w:left="720" w:hanging="720"/>
      </w:pPr>
      <w:bookmarkStart w:id="17" w:name="_ENREF_27"/>
      <w:r w:rsidRPr="00B554AF">
        <w:t xml:space="preserve">Dertilis, Yiorgos. </w:t>
      </w:r>
      <w:r w:rsidRPr="009870BA">
        <w:rPr>
          <w:i/>
        </w:rPr>
        <w:t>History of the Greek state 1830-1920. Volume A</w:t>
      </w:r>
      <w:r>
        <w:t xml:space="preserve"> </w:t>
      </w:r>
      <w:r w:rsidRPr="00B554AF">
        <w:rPr>
          <w:i/>
        </w:rPr>
        <w:t>(in Greek)</w:t>
      </w:r>
      <w:r>
        <w:t>. Athens 2010</w:t>
      </w:r>
      <w:r w:rsidRPr="00B554AF">
        <w:t>.</w:t>
      </w:r>
    </w:p>
    <w:p w:rsidR="000D5422" w:rsidRPr="003623BE" w:rsidRDefault="000D5422" w:rsidP="000D5422">
      <w:pPr>
        <w:pStyle w:val="EndNoteBibliography"/>
        <w:spacing w:after="0"/>
        <w:ind w:left="720" w:hanging="720"/>
        <w:rPr>
          <w:color w:val="000000" w:themeColor="text1"/>
        </w:rPr>
      </w:pPr>
      <w:r w:rsidRPr="003623BE">
        <w:rPr>
          <w:color w:val="000000" w:themeColor="text1"/>
        </w:rPr>
        <w:t xml:space="preserve">Dimitrova, Kalina, and Martin Ivanov. "Bulgaria: from 1879 to 1947." In </w:t>
      </w:r>
      <w:r w:rsidRPr="003623BE">
        <w:rPr>
          <w:i/>
          <w:color w:val="000000" w:themeColor="text1"/>
        </w:rPr>
        <w:t>South-Eastern European Monetary and Economic Statistics from the Nineteenth Century to World War II</w:t>
      </w:r>
      <w:r w:rsidRPr="003623BE">
        <w:rPr>
          <w:color w:val="000000" w:themeColor="text1"/>
        </w:rPr>
        <w:t>, 199-242. Vienna: Austrian National Bank, 2014.</w:t>
      </w:r>
      <w:bookmarkStart w:id="18" w:name="_ENREF_28"/>
      <w:bookmarkEnd w:id="17"/>
    </w:p>
    <w:p w:rsidR="000D5422" w:rsidRPr="00B86EA4" w:rsidRDefault="000D5422" w:rsidP="000D5422">
      <w:pPr>
        <w:pStyle w:val="EndNoteBibliography"/>
        <w:spacing w:after="0"/>
        <w:ind w:left="720" w:hanging="720"/>
      </w:pPr>
      <w:r w:rsidRPr="00B86EA4">
        <w:t xml:space="preserve">Dornbusch, Rudiger. "The European Monetary System, the dollar and the yen." In </w:t>
      </w:r>
      <w:r w:rsidRPr="00B86EA4">
        <w:rPr>
          <w:i/>
        </w:rPr>
        <w:t>The European Monetary System</w:t>
      </w:r>
      <w:r w:rsidRPr="00B86EA4">
        <w:t>, edited by F. Giavazzi, Micossi, S. and Miller, M.H., 23-41. Cambridge: Cambridge University Press, 1988.</w:t>
      </w:r>
      <w:bookmarkEnd w:id="18"/>
    </w:p>
    <w:p w:rsidR="000D5422" w:rsidRPr="00B86EA4" w:rsidRDefault="000D5422" w:rsidP="000D5422">
      <w:pPr>
        <w:pStyle w:val="EndNoteBibliography"/>
        <w:spacing w:after="0"/>
        <w:ind w:left="720" w:hanging="720"/>
      </w:pPr>
      <w:bookmarkStart w:id="19" w:name="_ENREF_29"/>
      <w:r w:rsidRPr="00B86EA4">
        <w:t xml:space="preserve">Dritsas, Margarita. "Monetary Modernisation in Greece: Bimetallism or the Gold Standard (1833-1920)." </w:t>
      </w:r>
      <w:r w:rsidRPr="00B86EA4">
        <w:rPr>
          <w:i/>
        </w:rPr>
        <w:t xml:space="preserve">Journal of European Economic History </w:t>
      </w:r>
      <w:r w:rsidRPr="00B86EA4">
        <w:t>28 (1999): 9-48.</w:t>
      </w:r>
      <w:bookmarkEnd w:id="19"/>
    </w:p>
    <w:p w:rsidR="000D5422" w:rsidRPr="00B86EA4" w:rsidRDefault="000D5422" w:rsidP="000D5422">
      <w:pPr>
        <w:pStyle w:val="EndNoteBibliography"/>
        <w:spacing w:after="0"/>
        <w:ind w:left="720" w:hanging="720"/>
      </w:pPr>
      <w:bookmarkStart w:id="20" w:name="_ENREF_30"/>
      <w:r w:rsidRPr="00B86EA4">
        <w:t xml:space="preserve">Eichengreen, Barry. </w:t>
      </w:r>
      <w:r w:rsidRPr="00B86EA4">
        <w:rPr>
          <w:i/>
        </w:rPr>
        <w:t>Globalizing Capital: A History of the International Monetary System</w:t>
      </w:r>
      <w:r w:rsidRPr="00B86EA4">
        <w:t>. Princeton: Princeton University Press, 1996.</w:t>
      </w:r>
      <w:bookmarkEnd w:id="20"/>
    </w:p>
    <w:p w:rsidR="000D5422" w:rsidRPr="00B86EA4" w:rsidRDefault="000D5422" w:rsidP="000D5422">
      <w:pPr>
        <w:pStyle w:val="EndNoteBibliography"/>
        <w:spacing w:after="0"/>
        <w:ind w:left="720" w:hanging="720"/>
      </w:pPr>
      <w:bookmarkStart w:id="21" w:name="_ENREF_35"/>
      <w:r w:rsidRPr="00B86EA4">
        <w:t xml:space="preserve">Ferguson, Niall, and Moritz Schularick. "The "thin film of gold": monetary rules and policy credibility." </w:t>
      </w:r>
      <w:r w:rsidRPr="00B86EA4">
        <w:rPr>
          <w:i/>
        </w:rPr>
        <w:t xml:space="preserve">European Review of Economic History </w:t>
      </w:r>
      <w:r w:rsidRPr="00B86EA4">
        <w:t>16 (2012): 384-407.</w:t>
      </w:r>
      <w:bookmarkEnd w:id="21"/>
    </w:p>
    <w:p w:rsidR="000D5422" w:rsidRPr="00B86EA4" w:rsidRDefault="000D5422" w:rsidP="000D5422">
      <w:pPr>
        <w:pStyle w:val="EndNoteBibliography"/>
        <w:spacing w:after="0"/>
        <w:ind w:left="720" w:hanging="720"/>
      </w:pPr>
      <w:bookmarkStart w:id="22" w:name="_ENREF_36"/>
      <w:r w:rsidRPr="00B86EA4">
        <w:t xml:space="preserve">Flandreau, Marc, Jacques Le Cacheux, and Frédéric Zumer. "Stability without a Pact? Lessons from the European Gold Standard, 1880-1914." </w:t>
      </w:r>
      <w:r w:rsidRPr="00B86EA4">
        <w:rPr>
          <w:i/>
        </w:rPr>
        <w:t xml:space="preserve">Economic Policy </w:t>
      </w:r>
      <w:r w:rsidRPr="00B86EA4">
        <w:t>13 (1998): 115-62.</w:t>
      </w:r>
      <w:bookmarkEnd w:id="22"/>
    </w:p>
    <w:p w:rsidR="000D5422" w:rsidRPr="00B86EA4" w:rsidRDefault="000D5422" w:rsidP="000D5422">
      <w:pPr>
        <w:pStyle w:val="EndNoteBibliography"/>
        <w:spacing w:after="0"/>
        <w:ind w:left="720" w:hanging="720"/>
      </w:pPr>
      <w:bookmarkStart w:id="23" w:name="_ENREF_38"/>
      <w:r w:rsidRPr="00B86EA4">
        <w:t xml:space="preserve">Flerianou, Aikaterini, ed. </w:t>
      </w:r>
      <w:r w:rsidRPr="00B86EA4">
        <w:rPr>
          <w:i/>
        </w:rPr>
        <w:t>Χαρίλαος Τρικούπης. Η ζοή και το έργο του</w:t>
      </w:r>
      <w:r w:rsidRPr="00B86EA4">
        <w:t>. Athens, 1999.</w:t>
      </w:r>
      <w:bookmarkEnd w:id="23"/>
    </w:p>
    <w:p w:rsidR="000D5422" w:rsidRPr="00B86EA4" w:rsidRDefault="000D5422" w:rsidP="000D5422">
      <w:pPr>
        <w:pStyle w:val="EndNoteBibliography"/>
        <w:spacing w:after="0"/>
        <w:ind w:left="720" w:hanging="720"/>
      </w:pPr>
      <w:bookmarkStart w:id="24" w:name="_ENREF_39"/>
      <w:r w:rsidRPr="00B86EA4">
        <w:t>Flores, Juan. "Public debt and foreign control in mid-19th century Latin America (mimeo). Paper presented at the workshop on "Politics and Sovereign Debt in Latin America in Historical Perspective", Sao Paulo School of Economics, 21-22 August 2017."  (2017).</w:t>
      </w:r>
      <w:bookmarkEnd w:id="24"/>
    </w:p>
    <w:p w:rsidR="000D5422" w:rsidRPr="00B86EA4" w:rsidRDefault="000D5422" w:rsidP="000D5422">
      <w:pPr>
        <w:pStyle w:val="EndNoteBibliography"/>
        <w:spacing w:after="0"/>
        <w:ind w:left="720" w:hanging="720"/>
      </w:pPr>
      <w:bookmarkStart w:id="25" w:name="_ENREF_40"/>
      <w:r w:rsidRPr="00B86EA4">
        <w:t xml:space="preserve">Flores, Juan, and Yann Decorzant. "Public borrowing in harsh times: The League of Nations loans revisited." </w:t>
      </w:r>
      <w:r w:rsidRPr="00B86EA4">
        <w:rPr>
          <w:i/>
        </w:rPr>
        <w:t xml:space="preserve">Economic History Review </w:t>
      </w:r>
      <w:r w:rsidRPr="00B86EA4">
        <w:t>69 (2016): 653-78.</w:t>
      </w:r>
      <w:bookmarkEnd w:id="25"/>
    </w:p>
    <w:p w:rsidR="000D5422" w:rsidRPr="00B86EA4" w:rsidRDefault="000D5422" w:rsidP="000D5422">
      <w:pPr>
        <w:pStyle w:val="EndNoteBibliography"/>
        <w:spacing w:after="0"/>
        <w:ind w:left="720" w:hanging="720"/>
      </w:pPr>
      <w:bookmarkStart w:id="26" w:name="_ENREF_41"/>
      <w:r w:rsidRPr="00B86EA4">
        <w:t xml:space="preserve">Fratianni, Michele, and Franco Spinelli. "Fiscal dominance and money growth in Italy: The long record." </w:t>
      </w:r>
      <w:r w:rsidRPr="00B86EA4">
        <w:rPr>
          <w:i/>
        </w:rPr>
        <w:t xml:space="preserve">Explorations in Economic History </w:t>
      </w:r>
      <w:r w:rsidRPr="00B86EA4">
        <w:t>38 (2001): 252-72.</w:t>
      </w:r>
      <w:bookmarkEnd w:id="26"/>
    </w:p>
    <w:p w:rsidR="000D5422" w:rsidRPr="00B86EA4" w:rsidRDefault="000D5422" w:rsidP="000D5422">
      <w:pPr>
        <w:pStyle w:val="EndNoteBibliography"/>
        <w:spacing w:after="0"/>
        <w:ind w:left="720" w:hanging="720"/>
      </w:pPr>
      <w:bookmarkStart w:id="27" w:name="_ENREF_44"/>
      <w:r w:rsidRPr="00B86EA4">
        <w:lastRenderedPageBreak/>
        <w:t xml:space="preserve">Gallarotti, Giulio M. </w:t>
      </w:r>
      <w:r w:rsidRPr="00B86EA4">
        <w:rPr>
          <w:i/>
        </w:rPr>
        <w:t>The Anatomy of an International Monetary Order: The Classical Gold Standard, 1880-1914</w:t>
      </w:r>
      <w:r w:rsidRPr="00B86EA4">
        <w:t>. Oxford: Oxford University Press, 1995.</w:t>
      </w:r>
      <w:bookmarkEnd w:id="27"/>
    </w:p>
    <w:p w:rsidR="000D5422" w:rsidRPr="00B86EA4" w:rsidRDefault="000D5422" w:rsidP="000D5422">
      <w:pPr>
        <w:pStyle w:val="EndNoteBibliography"/>
        <w:spacing w:after="0"/>
        <w:ind w:left="720" w:hanging="720"/>
      </w:pPr>
      <w:bookmarkStart w:id="28" w:name="_ENREF_45"/>
      <w:r w:rsidRPr="00B86EA4">
        <w:t xml:space="preserve">Gardikas-Katsiadakis, Helen. "Venizelos' advent in Greek politics, 1909-12." In </w:t>
      </w:r>
      <w:r w:rsidRPr="00B86EA4">
        <w:rPr>
          <w:i/>
        </w:rPr>
        <w:t>E</w:t>
      </w:r>
      <w:r>
        <w:rPr>
          <w:i/>
        </w:rPr>
        <w:t>l</w:t>
      </w:r>
      <w:r w:rsidRPr="00B86EA4">
        <w:rPr>
          <w:i/>
        </w:rPr>
        <w:t>eftherios Venizelos. The trials of statesmanship</w:t>
      </w:r>
      <w:r w:rsidRPr="00B86EA4">
        <w:t>, edited by P.M. Kitromilides, 87-114. Edinburgh: Edinburgh University Press, 2008.</w:t>
      </w:r>
      <w:bookmarkEnd w:id="28"/>
    </w:p>
    <w:p w:rsidR="000D5422" w:rsidRPr="003623BE" w:rsidRDefault="000D5422" w:rsidP="000D5422">
      <w:pPr>
        <w:pStyle w:val="EndNoteBibliography"/>
        <w:spacing w:after="0"/>
        <w:ind w:left="720" w:hanging="720"/>
        <w:rPr>
          <w:color w:val="000000" w:themeColor="text1"/>
        </w:rPr>
      </w:pPr>
      <w:bookmarkStart w:id="29" w:name="_ENREF_46"/>
      <w:r w:rsidRPr="003623BE">
        <w:rPr>
          <w:color w:val="000000" w:themeColor="text1"/>
        </w:rPr>
        <w:t xml:space="preserve">Gnjatovic, Dragana. "The introduction of the limping gold standard in the principality of Serbia." In </w:t>
      </w:r>
      <w:r w:rsidRPr="003623BE">
        <w:rPr>
          <w:i/>
          <w:color w:val="000000" w:themeColor="text1"/>
        </w:rPr>
        <w:t>Monetary and Fiscal Policies in South-Eastern Europe: Historical and Comparative Perspectives</w:t>
      </w:r>
      <w:r w:rsidRPr="003623BE">
        <w:rPr>
          <w:color w:val="000000" w:themeColor="text1"/>
        </w:rPr>
        <w:t>, edited by R. Avramov and Pamuk, S., 46-58. Sofia: Bulgarian National Bank, 2006.</w:t>
      </w:r>
      <w:bookmarkEnd w:id="29"/>
    </w:p>
    <w:p w:rsidR="000D5422" w:rsidRPr="00B86EA4" w:rsidRDefault="000D5422" w:rsidP="000D5422">
      <w:pPr>
        <w:pStyle w:val="EndNoteBibliography"/>
        <w:spacing w:after="0"/>
        <w:ind w:left="720" w:hanging="720"/>
      </w:pPr>
      <w:bookmarkStart w:id="30" w:name="_ENREF_47"/>
      <w:r w:rsidRPr="00B86EA4">
        <w:t xml:space="preserve">Gros, Daniel, and Niels Thygesen. </w:t>
      </w:r>
      <w:r w:rsidRPr="00B86EA4">
        <w:rPr>
          <w:i/>
        </w:rPr>
        <w:t>European Monetary Integration</w:t>
      </w:r>
      <w:r w:rsidRPr="00B86EA4">
        <w:t>. Harlow: Longman, 1998.</w:t>
      </w:r>
      <w:bookmarkEnd w:id="30"/>
    </w:p>
    <w:p w:rsidR="000D5422" w:rsidRPr="003623BE" w:rsidRDefault="000D5422" w:rsidP="000D5422">
      <w:pPr>
        <w:pStyle w:val="EndNoteBibliography"/>
        <w:spacing w:after="0"/>
        <w:ind w:left="720" w:hanging="720"/>
        <w:rPr>
          <w:color w:val="000000" w:themeColor="text1"/>
        </w:rPr>
      </w:pPr>
      <w:bookmarkStart w:id="31" w:name="_ENREF_49"/>
      <w:r w:rsidRPr="003623BE">
        <w:rPr>
          <w:color w:val="000000" w:themeColor="text1"/>
        </w:rPr>
        <w:t xml:space="preserve">Haupt, Ottomar. </w:t>
      </w:r>
      <w:r w:rsidRPr="003623BE">
        <w:rPr>
          <w:i/>
          <w:color w:val="000000" w:themeColor="text1"/>
        </w:rPr>
        <w:t>L’histoire monétaire de notre temps</w:t>
      </w:r>
      <w:r w:rsidRPr="003623BE">
        <w:rPr>
          <w:color w:val="000000" w:themeColor="text1"/>
        </w:rPr>
        <w:t>. Paris 1886.</w:t>
      </w:r>
      <w:bookmarkEnd w:id="31"/>
    </w:p>
    <w:p w:rsidR="000D5422" w:rsidRPr="003623BE" w:rsidRDefault="000D5422" w:rsidP="000D5422">
      <w:pPr>
        <w:pStyle w:val="EndNoteBibliography"/>
        <w:spacing w:after="0"/>
        <w:ind w:left="720" w:hanging="720"/>
        <w:rPr>
          <w:color w:val="000000" w:themeColor="text1"/>
        </w:rPr>
      </w:pPr>
      <w:bookmarkStart w:id="32" w:name="_ENREF_50"/>
      <w:r w:rsidRPr="003623BE">
        <w:rPr>
          <w:color w:val="000000" w:themeColor="text1"/>
        </w:rPr>
        <w:t xml:space="preserve">Hinic, Branko, Ljiljana Durdevic, and Milan Sojic. "Serbia/Yugoslavia: from 1884 to 1940." In </w:t>
      </w:r>
      <w:r w:rsidRPr="003623BE">
        <w:rPr>
          <w:i/>
          <w:color w:val="000000" w:themeColor="text1"/>
        </w:rPr>
        <w:t>South-Eastern European Monetary and Economic Statistics from the Nineteenth Century to World War II</w:t>
      </w:r>
      <w:r w:rsidRPr="003623BE">
        <w:rPr>
          <w:color w:val="000000" w:themeColor="text1"/>
        </w:rPr>
        <w:t xml:space="preserve">, 291-354. Vienna: Austrian National Bank, 2014. </w:t>
      </w:r>
      <w:bookmarkEnd w:id="32"/>
    </w:p>
    <w:p w:rsidR="000D5422" w:rsidRPr="00B86EA4" w:rsidRDefault="000D5422" w:rsidP="000D5422">
      <w:pPr>
        <w:pStyle w:val="EndNoteBibliography"/>
        <w:spacing w:after="0"/>
        <w:ind w:left="720" w:hanging="720"/>
      </w:pPr>
      <w:bookmarkStart w:id="33" w:name="_ENREF_51"/>
      <w:r w:rsidRPr="00B86EA4">
        <w:t xml:space="preserve">Joines, D H. "Deficit and money growth in the United States, 1872-1983." </w:t>
      </w:r>
      <w:r w:rsidRPr="00B86EA4">
        <w:rPr>
          <w:i/>
        </w:rPr>
        <w:t xml:space="preserve">Journal of Monetary Economics </w:t>
      </w:r>
      <w:r w:rsidRPr="00B86EA4">
        <w:t>16 (1985): 329-51.</w:t>
      </w:r>
      <w:bookmarkEnd w:id="33"/>
    </w:p>
    <w:p w:rsidR="000D5422" w:rsidRPr="00B86EA4" w:rsidRDefault="000D5422" w:rsidP="000D5422">
      <w:pPr>
        <w:pStyle w:val="EndNoteBibliography"/>
        <w:spacing w:after="0"/>
        <w:ind w:left="720" w:hanging="720"/>
      </w:pPr>
      <w:bookmarkStart w:id="34" w:name="_ENREF_52"/>
      <w:r w:rsidRPr="00B86EA4">
        <w:t xml:space="preserve">Kalyvas, Stathis N. </w:t>
      </w:r>
      <w:r w:rsidRPr="00B86EA4">
        <w:rPr>
          <w:i/>
        </w:rPr>
        <w:t>Modern Greece</w:t>
      </w:r>
      <w:r w:rsidRPr="00B86EA4">
        <w:t>. Oxford: Oxford University Press, 2015.</w:t>
      </w:r>
      <w:bookmarkEnd w:id="34"/>
    </w:p>
    <w:p w:rsidR="000D5422" w:rsidRPr="00B86EA4" w:rsidRDefault="000D5422" w:rsidP="000D5422">
      <w:pPr>
        <w:pStyle w:val="EndNoteBibliography"/>
        <w:spacing w:after="0"/>
        <w:ind w:left="720" w:hanging="720"/>
      </w:pPr>
      <w:bookmarkStart w:id="35" w:name="_ENREF_53"/>
      <w:r w:rsidRPr="00B86EA4">
        <w:t xml:space="preserve">Kiosseva, Ninel. </w:t>
      </w:r>
      <w:r w:rsidRPr="00B86EA4">
        <w:rPr>
          <w:i/>
        </w:rPr>
        <w:t>History of the monetary crises in Bulgaria, 1879-1912 (in Bulgarian)</w:t>
      </w:r>
      <w:r w:rsidRPr="00B86EA4">
        <w:t>. Sofia: Economic University Press, 2000.</w:t>
      </w:r>
      <w:bookmarkEnd w:id="35"/>
    </w:p>
    <w:p w:rsidR="000D5422" w:rsidRPr="00B86EA4" w:rsidRDefault="000D5422" w:rsidP="000D5422">
      <w:pPr>
        <w:pStyle w:val="EndNoteBibliography"/>
        <w:spacing w:after="0"/>
        <w:ind w:left="720" w:hanging="720"/>
      </w:pPr>
      <w:bookmarkStart w:id="36" w:name="_ENREF_54"/>
      <w:r w:rsidRPr="00B86EA4">
        <w:t xml:space="preserve">Kofas, Jon V. </w:t>
      </w:r>
      <w:r w:rsidRPr="00B86EA4">
        <w:rPr>
          <w:i/>
        </w:rPr>
        <w:t>Financial relations of Greece and the Great Powers, 1832-1864</w:t>
      </w:r>
      <w:r w:rsidRPr="00B86EA4">
        <w:t>. New York: Columbia University Press, 1981.</w:t>
      </w:r>
      <w:bookmarkEnd w:id="36"/>
    </w:p>
    <w:p w:rsidR="000D5422" w:rsidRPr="00B86EA4" w:rsidRDefault="000D5422" w:rsidP="000D5422">
      <w:pPr>
        <w:pStyle w:val="EndNoteBibliography"/>
        <w:spacing w:after="0"/>
        <w:ind w:left="720" w:hanging="720"/>
      </w:pPr>
      <w:bookmarkStart w:id="37" w:name="_ENREF_55"/>
      <w:r w:rsidRPr="00B86EA4">
        <w:t xml:space="preserve">Kopisidis, Michael. "Missed opportunity or inevitable failure? The search for industrialization in South-East Europe , 1870-1940." </w:t>
      </w:r>
      <w:r w:rsidRPr="00B86EA4">
        <w:rPr>
          <w:i/>
        </w:rPr>
        <w:t xml:space="preserve">EHES Working Paper #19 </w:t>
      </w:r>
      <w:r w:rsidRPr="00B86EA4">
        <w:t xml:space="preserve"> (2012).</w:t>
      </w:r>
      <w:bookmarkEnd w:id="37"/>
    </w:p>
    <w:p w:rsidR="000D5422" w:rsidRPr="00B12177" w:rsidRDefault="000D5422" w:rsidP="000D5422">
      <w:pPr>
        <w:pStyle w:val="EndNoteBibliography"/>
        <w:spacing w:after="0"/>
        <w:ind w:left="720" w:hanging="720"/>
        <w:rPr>
          <w:lang w:val="el-GR"/>
        </w:rPr>
      </w:pPr>
      <w:bookmarkStart w:id="38" w:name="_ENREF_56"/>
      <w:r w:rsidRPr="00B86EA4">
        <w:t xml:space="preserve">Kopsidis, Michael, and Martin Ivanov. "Industrialization and deindustrialization in Southeast Europe, 1870-2010." In </w:t>
      </w:r>
      <w:r w:rsidRPr="00B86EA4">
        <w:rPr>
          <w:i/>
        </w:rPr>
        <w:t>Industrialization in the global periphery, 1870-2010</w:t>
      </w:r>
      <w:r w:rsidRPr="00B86EA4">
        <w:t>, edited by J. Williamson and O'Rourke, K., 91-114. Oxford</w:t>
      </w:r>
      <w:r w:rsidRPr="00B12177">
        <w:rPr>
          <w:lang w:val="el-GR"/>
        </w:rPr>
        <w:t xml:space="preserve">: </w:t>
      </w:r>
      <w:r w:rsidRPr="00B86EA4">
        <w:t>Oxford</w:t>
      </w:r>
      <w:r w:rsidRPr="00B12177">
        <w:rPr>
          <w:lang w:val="el-GR"/>
        </w:rPr>
        <w:t xml:space="preserve"> </w:t>
      </w:r>
      <w:r w:rsidRPr="00B86EA4">
        <w:t>University</w:t>
      </w:r>
      <w:r w:rsidRPr="00B12177">
        <w:rPr>
          <w:lang w:val="el-GR"/>
        </w:rPr>
        <w:t xml:space="preserve"> </w:t>
      </w:r>
      <w:r w:rsidRPr="00B86EA4">
        <w:t>Press</w:t>
      </w:r>
      <w:r w:rsidRPr="00B12177">
        <w:rPr>
          <w:lang w:val="el-GR"/>
        </w:rPr>
        <w:t>, 2016.</w:t>
      </w:r>
      <w:bookmarkEnd w:id="38"/>
    </w:p>
    <w:p w:rsidR="000D5422" w:rsidRPr="00B12177" w:rsidRDefault="000D5422" w:rsidP="000D5422">
      <w:pPr>
        <w:pStyle w:val="EndNoteBibliography"/>
        <w:spacing w:after="0"/>
        <w:ind w:left="720" w:hanging="720"/>
        <w:rPr>
          <w:lang w:val="el-GR"/>
        </w:rPr>
      </w:pPr>
      <w:bookmarkStart w:id="39" w:name="_ENREF_57"/>
      <w:r w:rsidRPr="00B86EA4">
        <w:t>Kostis</w:t>
      </w:r>
      <w:r w:rsidRPr="00B12177">
        <w:rPr>
          <w:lang w:val="el-GR"/>
        </w:rPr>
        <w:t xml:space="preserve">, </w:t>
      </w:r>
      <w:r w:rsidRPr="00B86EA4">
        <w:t>Kostas</w:t>
      </w:r>
      <w:r w:rsidRPr="00B12177">
        <w:rPr>
          <w:lang w:val="el-GR"/>
        </w:rPr>
        <w:t xml:space="preserve">. </w:t>
      </w:r>
      <w:r w:rsidRPr="00B12177">
        <w:rPr>
          <w:i/>
          <w:lang w:val="el-GR"/>
        </w:rPr>
        <w:t>Η ιστορία της Εθνικής Τράπεζας της Ελλάδας. 1914-1940</w:t>
      </w:r>
      <w:r w:rsidRPr="00B12177">
        <w:rPr>
          <w:lang w:val="el-GR"/>
        </w:rPr>
        <w:t xml:space="preserve">: </w:t>
      </w:r>
      <w:r w:rsidRPr="00B86EA4">
        <w:t>Athens</w:t>
      </w:r>
      <w:r w:rsidRPr="00B12177">
        <w:rPr>
          <w:lang w:val="el-GR"/>
        </w:rPr>
        <w:t>, 2003.</w:t>
      </w:r>
      <w:bookmarkEnd w:id="39"/>
    </w:p>
    <w:p w:rsidR="000D5422" w:rsidRPr="00B86EA4" w:rsidRDefault="000D5422" w:rsidP="000D5422">
      <w:pPr>
        <w:pStyle w:val="EndNoteBibliography"/>
        <w:spacing w:after="0"/>
        <w:ind w:left="720" w:hanging="720"/>
      </w:pPr>
      <w:bookmarkStart w:id="40" w:name="_ENREF_58"/>
      <w:r w:rsidRPr="00B12177">
        <w:rPr>
          <w:lang w:val="el-GR"/>
        </w:rPr>
        <w:t xml:space="preserve">———. </w:t>
      </w:r>
      <w:r w:rsidRPr="00B12177">
        <w:rPr>
          <w:i/>
          <w:lang w:val="el-GR"/>
        </w:rPr>
        <w:t xml:space="preserve">Τα κακομαθημένα παιδιά της ιστορίας. Η διαμóρφωση του νεοελληνικού κράτους 18ος – 21ος αιωνας. </w:t>
      </w:r>
      <w:r w:rsidRPr="00B86EA4">
        <w:t>Athens, 2014.</w:t>
      </w:r>
      <w:bookmarkEnd w:id="40"/>
    </w:p>
    <w:p w:rsidR="000D5422" w:rsidRPr="00B86EA4" w:rsidRDefault="000D5422" w:rsidP="000D5422">
      <w:pPr>
        <w:pStyle w:val="EndNoteBibliography"/>
        <w:spacing w:after="0"/>
        <w:ind w:left="720" w:hanging="720"/>
      </w:pPr>
      <w:bookmarkStart w:id="41" w:name="_ENREF_59"/>
      <w:r w:rsidRPr="00B86EA4">
        <w:t xml:space="preserve">Lampe, John R., and Marvin R. Jackson. </w:t>
      </w:r>
      <w:r w:rsidRPr="00B86EA4">
        <w:rPr>
          <w:i/>
        </w:rPr>
        <w:t>Balkan economic history, 1550-1950. From imperial border lands to developing nations</w:t>
      </w:r>
      <w:r w:rsidRPr="00B86EA4">
        <w:t>. Bloomington: Indiana University Press, 1982.</w:t>
      </w:r>
      <w:bookmarkEnd w:id="41"/>
    </w:p>
    <w:p w:rsidR="000D5422" w:rsidRPr="00B86EA4" w:rsidRDefault="000D5422" w:rsidP="000D5422">
      <w:pPr>
        <w:pStyle w:val="EndNoteBibliography"/>
        <w:spacing w:after="0"/>
        <w:ind w:left="720" w:hanging="720"/>
      </w:pPr>
      <w:bookmarkStart w:id="42" w:name="_ENREF_60"/>
      <w:r w:rsidRPr="00B86EA4">
        <w:t xml:space="preserve">Lazaretou, Sophia. "The drachma, foreign creditors, and the international monetary system: tales of a currency during the 19th and the early 20th centuries." </w:t>
      </w:r>
      <w:r w:rsidRPr="00B86EA4">
        <w:rPr>
          <w:i/>
        </w:rPr>
        <w:t xml:space="preserve">Explorations in Economic History </w:t>
      </w:r>
      <w:r w:rsidRPr="00B86EA4">
        <w:t>42 (2005): 202-36.</w:t>
      </w:r>
      <w:bookmarkEnd w:id="42"/>
    </w:p>
    <w:p w:rsidR="000D5422" w:rsidRPr="00B86EA4" w:rsidRDefault="000D5422" w:rsidP="000D5422">
      <w:pPr>
        <w:pStyle w:val="EndNoteBibliography"/>
        <w:spacing w:after="0"/>
        <w:ind w:left="720" w:hanging="720"/>
      </w:pPr>
      <w:bookmarkStart w:id="43" w:name="_ENREF_61"/>
      <w:r w:rsidRPr="00B86EA4">
        <w:t xml:space="preserve">———. "The evolution of banking and central banking in modern Greece: a historical retrospect." </w:t>
      </w:r>
      <w:r w:rsidRPr="00B86EA4">
        <w:rPr>
          <w:i/>
        </w:rPr>
        <w:t xml:space="preserve">Bank of Greece Working Paper 86/2008 </w:t>
      </w:r>
      <w:r w:rsidRPr="00B86EA4">
        <w:t>14 (2015): 59-82.</w:t>
      </w:r>
      <w:bookmarkEnd w:id="43"/>
    </w:p>
    <w:p w:rsidR="000D5422" w:rsidRPr="003623BE" w:rsidRDefault="000D5422" w:rsidP="000D5422">
      <w:pPr>
        <w:pStyle w:val="EndNoteBibliography"/>
        <w:spacing w:after="0"/>
        <w:ind w:left="720" w:hanging="720"/>
        <w:rPr>
          <w:color w:val="000000" w:themeColor="text1"/>
        </w:rPr>
      </w:pPr>
      <w:bookmarkStart w:id="44" w:name="_ENREF_62"/>
      <w:r w:rsidRPr="00B86EA4">
        <w:t xml:space="preserve">———. </w:t>
      </w:r>
      <w:r w:rsidRPr="00B86EA4">
        <w:rPr>
          <w:i/>
        </w:rPr>
        <w:t>From debt default to recession: The 1898 International Financial Control in Greece (in Greek)</w:t>
      </w:r>
      <w:r w:rsidRPr="00B86EA4">
        <w:t xml:space="preserve">. </w:t>
      </w:r>
      <w:r w:rsidRPr="003623BE">
        <w:rPr>
          <w:color w:val="000000" w:themeColor="text1"/>
        </w:rPr>
        <w:t>Athens: Gutenberg, 2013.</w:t>
      </w:r>
      <w:bookmarkEnd w:id="44"/>
    </w:p>
    <w:p w:rsidR="000D5422" w:rsidRPr="003623BE" w:rsidRDefault="000D5422" w:rsidP="000D5422">
      <w:pPr>
        <w:pStyle w:val="EndNoteBibliography"/>
        <w:spacing w:after="0"/>
        <w:ind w:left="720" w:hanging="720"/>
        <w:rPr>
          <w:color w:val="000000" w:themeColor="text1"/>
        </w:rPr>
      </w:pPr>
      <w:bookmarkStart w:id="45" w:name="_ENREF_64"/>
      <w:r w:rsidRPr="003623BE">
        <w:rPr>
          <w:color w:val="000000" w:themeColor="text1"/>
        </w:rPr>
        <w:t xml:space="preserve">———. "Greece: from 1833 to 1949." In </w:t>
      </w:r>
      <w:r w:rsidRPr="003623BE">
        <w:rPr>
          <w:i/>
          <w:color w:val="000000" w:themeColor="text1"/>
        </w:rPr>
        <w:t>South-Eastern European Monetary and Economic Statistics from the Nineteenth Century to World War II</w:t>
      </w:r>
      <w:r w:rsidRPr="003623BE">
        <w:rPr>
          <w:color w:val="000000" w:themeColor="text1"/>
        </w:rPr>
        <w:t>, 101-70. Vienna: Austrian National Bank, 2014.</w:t>
      </w:r>
      <w:bookmarkEnd w:id="45"/>
    </w:p>
    <w:p w:rsidR="000D5422" w:rsidRPr="00B86EA4" w:rsidRDefault="000D5422" w:rsidP="000D5422">
      <w:pPr>
        <w:pStyle w:val="EndNoteBibliography"/>
        <w:spacing w:after="0"/>
        <w:ind w:left="720" w:hanging="720"/>
      </w:pPr>
      <w:bookmarkStart w:id="46" w:name="_ENREF_68"/>
      <w:r w:rsidRPr="00B86EA4">
        <w:t xml:space="preserve">Levandis, John A. </w:t>
      </w:r>
      <w:r w:rsidRPr="00B86EA4">
        <w:rPr>
          <w:i/>
        </w:rPr>
        <w:t>The Greek Foreign Debt and the Great Powers 1821-1898</w:t>
      </w:r>
      <w:r w:rsidRPr="00B86EA4">
        <w:t>. New York: Columbia University Press, 1944.</w:t>
      </w:r>
      <w:bookmarkEnd w:id="46"/>
    </w:p>
    <w:p w:rsidR="000D5422" w:rsidRPr="00B86EA4" w:rsidRDefault="000D5422" w:rsidP="000D5422">
      <w:pPr>
        <w:pStyle w:val="EndNoteBibliography"/>
        <w:spacing w:after="0"/>
        <w:ind w:left="720" w:hanging="720"/>
      </w:pPr>
      <w:bookmarkStart w:id="47" w:name="_ENREF_70"/>
      <w:r w:rsidRPr="00B86EA4">
        <w:t xml:space="preserve">Maurer, Noel, and Leticia Arroyo Abad. "Can Europe Run Greece? Lessons from U.S. Fiscal Receiverships in Latin America, 1904-31. Available at </w:t>
      </w:r>
      <w:r w:rsidRPr="00083C60">
        <w:rPr>
          <w:rStyle w:val="Hyperlink"/>
        </w:rPr>
        <w:t>https://papers.ssrn.com/</w:t>
      </w:r>
      <w:r w:rsidRPr="00B86EA4">
        <w:t>."  (2017).</w:t>
      </w:r>
      <w:bookmarkEnd w:id="47"/>
    </w:p>
    <w:p w:rsidR="000D5422" w:rsidRPr="00B86EA4" w:rsidRDefault="000D5422" w:rsidP="000D5422">
      <w:pPr>
        <w:pStyle w:val="EndNoteBibliography"/>
        <w:spacing w:after="0"/>
        <w:ind w:left="720" w:hanging="720"/>
      </w:pPr>
      <w:bookmarkStart w:id="48" w:name="_ENREF_71"/>
      <w:r w:rsidRPr="00B86EA4">
        <w:t xml:space="preserve">Mavrogordatos, George Th. </w:t>
      </w:r>
      <w:r w:rsidRPr="00B86EA4">
        <w:rPr>
          <w:i/>
        </w:rPr>
        <w:t>Stillborn republic. Social coalitions and party strategies in Greece, 1922-1936</w:t>
      </w:r>
      <w:r w:rsidRPr="00B86EA4">
        <w:t>. Berkeley: University of California Press, 1983.</w:t>
      </w:r>
      <w:bookmarkEnd w:id="48"/>
    </w:p>
    <w:p w:rsidR="000D5422" w:rsidRPr="00B86EA4" w:rsidRDefault="000D5422" w:rsidP="000D5422">
      <w:pPr>
        <w:pStyle w:val="EndNoteBibliography"/>
        <w:spacing w:after="0"/>
        <w:ind w:left="720" w:hanging="720"/>
      </w:pPr>
      <w:bookmarkStart w:id="49" w:name="_ENREF_73"/>
      <w:r w:rsidRPr="00B86EA4">
        <w:t xml:space="preserve">Meissner, Christopher M. "A New World Order: Explaining the International Diffusion of the Gold Standard, 1870-1913." </w:t>
      </w:r>
      <w:r w:rsidRPr="00B86EA4">
        <w:rPr>
          <w:i/>
        </w:rPr>
        <w:t xml:space="preserve">Journal of International Economics </w:t>
      </w:r>
      <w:r w:rsidRPr="00B86EA4">
        <w:t>66 (2005): 385-406.</w:t>
      </w:r>
      <w:bookmarkEnd w:id="49"/>
    </w:p>
    <w:p w:rsidR="000D5422" w:rsidRPr="00B86EA4" w:rsidRDefault="000D5422" w:rsidP="000D5422">
      <w:pPr>
        <w:pStyle w:val="EndNoteBibliography"/>
        <w:spacing w:after="0"/>
        <w:ind w:left="720" w:hanging="720"/>
      </w:pPr>
      <w:bookmarkStart w:id="50" w:name="_ENREF_75"/>
      <w:r w:rsidRPr="00B86EA4">
        <w:t xml:space="preserve">Mitchener, K.J., and M.D. Weidenmier. "Supersanctions and sovereign debt repayment." </w:t>
      </w:r>
      <w:r w:rsidRPr="00B86EA4">
        <w:rPr>
          <w:i/>
        </w:rPr>
        <w:t xml:space="preserve">Journal of International Money and Finance </w:t>
      </w:r>
      <w:r w:rsidRPr="00B86EA4">
        <w:t>29 (2010): 19-36.</w:t>
      </w:r>
      <w:bookmarkEnd w:id="50"/>
    </w:p>
    <w:p w:rsidR="000D5422" w:rsidRPr="00B86EA4" w:rsidRDefault="000D5422" w:rsidP="000D5422">
      <w:pPr>
        <w:pStyle w:val="EndNoteBibliography"/>
        <w:spacing w:after="0"/>
        <w:ind w:left="720" w:hanging="720"/>
      </w:pPr>
      <w:bookmarkStart w:id="51" w:name="_ENREF_76"/>
      <w:r w:rsidRPr="00B86EA4">
        <w:t xml:space="preserve">Morys, Matthias. "A century of monetary reform in South-East Europe: From political autonomy to the gold standard, 1815-1910." </w:t>
      </w:r>
      <w:r w:rsidRPr="00B86EA4">
        <w:rPr>
          <w:i/>
        </w:rPr>
        <w:t xml:space="preserve">Financial History Review </w:t>
      </w:r>
      <w:r w:rsidRPr="00B86EA4">
        <w:t>24 (2017): 3-21.</w:t>
      </w:r>
      <w:bookmarkEnd w:id="51"/>
    </w:p>
    <w:p w:rsidR="000D5422" w:rsidRPr="00B86EA4" w:rsidRDefault="000D5422" w:rsidP="000D5422">
      <w:pPr>
        <w:pStyle w:val="EndNoteBibliography"/>
        <w:spacing w:after="0"/>
        <w:ind w:left="720" w:hanging="720"/>
      </w:pPr>
      <w:bookmarkStart w:id="52" w:name="_ENREF_78"/>
      <w:r w:rsidRPr="00B86EA4">
        <w:lastRenderedPageBreak/>
        <w:t xml:space="preserve">———. "Discount rate policy under the Classical Gold Standard: Core versus Periphery, 1870s-1914." </w:t>
      </w:r>
      <w:r w:rsidRPr="00B86EA4">
        <w:rPr>
          <w:i/>
        </w:rPr>
        <w:t xml:space="preserve">Explorations in Economic History </w:t>
      </w:r>
      <w:r w:rsidRPr="00B86EA4">
        <w:t>50 (2013): 205-26.</w:t>
      </w:r>
      <w:bookmarkEnd w:id="52"/>
    </w:p>
    <w:p w:rsidR="000D5422" w:rsidRPr="00B86EA4" w:rsidRDefault="000D5422" w:rsidP="000D5422">
      <w:pPr>
        <w:pStyle w:val="EndNoteBibliography"/>
        <w:spacing w:after="0"/>
        <w:ind w:left="720" w:hanging="720"/>
      </w:pPr>
      <w:bookmarkStart w:id="53" w:name="_ENREF_79"/>
      <w:r w:rsidRPr="00B86EA4">
        <w:t xml:space="preserve">———. "South-Eastern European growth experience in European perspective, 19th and 20th centuries." In </w:t>
      </w:r>
      <w:r w:rsidRPr="00B86EA4">
        <w:rPr>
          <w:i/>
        </w:rPr>
        <w:t>Monetary and Fiscal Policies in South-Eastern Europe: Historical and Comparative Perspectives</w:t>
      </w:r>
      <w:r w:rsidRPr="00B86EA4">
        <w:t>, edited by R. Avramov and Pamuk, S., 23-44. Sofia: Bulgarian National Bank, 2006.</w:t>
      </w:r>
      <w:bookmarkEnd w:id="53"/>
    </w:p>
    <w:p w:rsidR="000D5422" w:rsidRPr="00B86EA4" w:rsidRDefault="000D5422" w:rsidP="000D5422">
      <w:pPr>
        <w:pStyle w:val="EndNoteBibliography"/>
        <w:spacing w:after="0"/>
        <w:ind w:left="720" w:hanging="720"/>
      </w:pPr>
      <w:bookmarkStart w:id="54" w:name="_ENREF_80"/>
      <w:r w:rsidRPr="00B86EA4">
        <w:t xml:space="preserve">———. "South-Eastern European Monetary History in a pan-European perspective, 1841-1939." In </w:t>
      </w:r>
      <w:r w:rsidRPr="00B86EA4">
        <w:rPr>
          <w:i/>
        </w:rPr>
        <w:t>South-Eastern European Monetary and Economic Statistics from the Nineteenth Century to World War I</w:t>
      </w:r>
      <w:r w:rsidRPr="00B86EA4">
        <w:t xml:space="preserve">, 25-53. Vienna: Austrian National Bank, </w:t>
      </w:r>
      <w:r>
        <w:t>2014.</w:t>
      </w:r>
      <w:bookmarkEnd w:id="54"/>
    </w:p>
    <w:p w:rsidR="000D5422" w:rsidRPr="00B86EA4" w:rsidRDefault="000D5422" w:rsidP="000D5422">
      <w:pPr>
        <w:pStyle w:val="EndNoteBibliography"/>
        <w:spacing w:after="0"/>
        <w:ind w:left="720" w:hanging="720"/>
      </w:pPr>
      <w:bookmarkStart w:id="55" w:name="_ENREF_81"/>
      <w:r w:rsidRPr="00B86EA4">
        <w:t xml:space="preserve">Morys, Matthias, and Martin Ivanov. "The emergence of a European region: Business cycles in South-East Europe from political independence to World War II." </w:t>
      </w:r>
      <w:r w:rsidRPr="00B86EA4">
        <w:rPr>
          <w:i/>
        </w:rPr>
        <w:t xml:space="preserve">European Review of Economic History </w:t>
      </w:r>
      <w:r w:rsidRPr="00B86EA4">
        <w:t>19 (2015): 382-411.</w:t>
      </w:r>
      <w:bookmarkEnd w:id="55"/>
    </w:p>
    <w:p w:rsidR="000D5422" w:rsidRPr="00B86EA4" w:rsidRDefault="000D5422" w:rsidP="000D5422">
      <w:pPr>
        <w:pStyle w:val="EndNoteBibliography"/>
        <w:spacing w:after="0"/>
        <w:ind w:left="720" w:hanging="720"/>
      </w:pPr>
      <w:bookmarkStart w:id="56" w:name="_ENREF_82"/>
      <w:r w:rsidRPr="00B86EA4">
        <w:t xml:space="preserve">Müller , Gernot. "Fiscal austerity and the multiplier in times of crisis." </w:t>
      </w:r>
      <w:r w:rsidRPr="00B86EA4">
        <w:rPr>
          <w:i/>
        </w:rPr>
        <w:t xml:space="preserve">German Economic Review </w:t>
      </w:r>
      <w:r w:rsidRPr="00B86EA4">
        <w:t>15 (2014): 243-58.</w:t>
      </w:r>
      <w:bookmarkEnd w:id="56"/>
    </w:p>
    <w:p w:rsidR="000D5422" w:rsidRPr="00B86EA4" w:rsidRDefault="000D5422" w:rsidP="000D5422">
      <w:pPr>
        <w:pStyle w:val="EndNoteBibliography"/>
        <w:spacing w:after="0"/>
        <w:ind w:left="720" w:hanging="720"/>
      </w:pPr>
      <w:bookmarkStart w:id="57" w:name="_ENREF_86"/>
      <w:r w:rsidRPr="00B86EA4">
        <w:t>Pepelasis Minoglou, Ioanna. "The Greek state and the international financial community, 1922-1932: demystifying the 'foreign factor'." PhD thesis London School of Economics, 1993.</w:t>
      </w:r>
      <w:bookmarkEnd w:id="57"/>
    </w:p>
    <w:p w:rsidR="000D5422" w:rsidRPr="00E51F1C" w:rsidRDefault="000D5422" w:rsidP="000D5422">
      <w:pPr>
        <w:pStyle w:val="EndNoteBibliography"/>
        <w:spacing w:after="0"/>
        <w:ind w:left="720" w:hanging="720"/>
        <w:rPr>
          <w:lang w:val="de-DE"/>
        </w:rPr>
      </w:pPr>
      <w:bookmarkStart w:id="58" w:name="_ENREF_87"/>
      <w:r w:rsidRPr="00B86EA4">
        <w:t xml:space="preserve">———. "Political factors shaping the role of foreign finance: The case of Greece, 1832-1932." In </w:t>
      </w:r>
      <w:r w:rsidRPr="00B86EA4">
        <w:rPr>
          <w:i/>
        </w:rPr>
        <w:t>The New Institutional Economics and Third World Development</w:t>
      </w:r>
      <w:r w:rsidRPr="00B86EA4">
        <w:t xml:space="preserve">, edited by J. Harriss, Hunter, J. and Lewis, C.M., 250-64. </w:t>
      </w:r>
      <w:r w:rsidRPr="00E51F1C">
        <w:rPr>
          <w:lang w:val="de-DE"/>
        </w:rPr>
        <w:t>London: Routledge, 1995.</w:t>
      </w:r>
      <w:bookmarkEnd w:id="58"/>
    </w:p>
    <w:p w:rsidR="000D5422" w:rsidRPr="0066626B" w:rsidRDefault="000D5422" w:rsidP="000D5422">
      <w:pPr>
        <w:pStyle w:val="EndNoteBibliography"/>
        <w:spacing w:after="0"/>
        <w:ind w:left="720" w:hanging="720"/>
      </w:pPr>
      <w:bookmarkStart w:id="59" w:name="_ENREF_88"/>
      <w:r w:rsidRPr="00E51F1C">
        <w:rPr>
          <w:lang w:val="de-DE"/>
        </w:rPr>
        <w:t xml:space="preserve">Psalidopoulos, Michalis, and Korinna Schönhärl. "Die griechische Staatsverschuldung in der zweiten Hälfte des 19. Jahrhunderts." In </w:t>
      </w:r>
      <w:r w:rsidRPr="00E51F1C">
        <w:rPr>
          <w:i/>
          <w:lang w:val="de-DE"/>
        </w:rPr>
        <w:t xml:space="preserve">Vom Wohl </w:t>
      </w:r>
      <w:r>
        <w:rPr>
          <w:i/>
          <w:lang w:val="de-DE"/>
        </w:rPr>
        <w:t>and Wehe der Staatsverschuldung</w:t>
      </w:r>
      <w:r w:rsidRPr="00E51F1C">
        <w:rPr>
          <w:lang w:val="de-DE"/>
        </w:rPr>
        <w:t xml:space="preserve">, edited by T. Beigel and Eckert, G., 131-64. </w:t>
      </w:r>
      <w:r w:rsidRPr="0066626B">
        <w:t>Münster: Aschendorff, 2013.</w:t>
      </w:r>
      <w:bookmarkEnd w:id="59"/>
    </w:p>
    <w:p w:rsidR="000D5422" w:rsidRPr="00B86EA4" w:rsidRDefault="000D5422" w:rsidP="000D5422">
      <w:pPr>
        <w:pStyle w:val="EndNoteBibliography"/>
        <w:spacing w:after="0"/>
        <w:ind w:left="720" w:hanging="720"/>
      </w:pPr>
      <w:bookmarkStart w:id="60" w:name="_ENREF_90"/>
      <w:r w:rsidRPr="0066626B">
        <w:t xml:space="preserve">Reinhart, Carmen M., and Christoph Trebesch. </w:t>
      </w:r>
      <w:r w:rsidRPr="00B86EA4">
        <w:t xml:space="preserve">"The pitfalls of external dependence." </w:t>
      </w:r>
      <w:r w:rsidRPr="00B86EA4">
        <w:rPr>
          <w:i/>
        </w:rPr>
        <w:t xml:space="preserve">Brookings Papers on Economic Activity </w:t>
      </w:r>
      <w:r w:rsidRPr="00B86EA4">
        <w:t xml:space="preserve"> (2015): 307-28.</w:t>
      </w:r>
      <w:bookmarkEnd w:id="60"/>
    </w:p>
    <w:p w:rsidR="000D5422" w:rsidRPr="00B554AF" w:rsidRDefault="000D5422" w:rsidP="000D5422">
      <w:pPr>
        <w:pStyle w:val="EndNoteBibliography"/>
        <w:spacing w:after="0"/>
        <w:ind w:left="720" w:hanging="720"/>
      </w:pPr>
      <w:bookmarkStart w:id="61" w:name="_ENREF_91"/>
      <w:r w:rsidRPr="00B554AF">
        <w:t xml:space="preserve">Rogoff, Kenneth. "The optimal degree of commitment to an intermediate monetary target." </w:t>
      </w:r>
      <w:r w:rsidRPr="00B554AF">
        <w:rPr>
          <w:i/>
        </w:rPr>
        <w:t xml:space="preserve">Quarterly Journal of Economics </w:t>
      </w:r>
      <w:r w:rsidRPr="00B554AF">
        <w:t>100 (1985): 1169-89.</w:t>
      </w:r>
    </w:p>
    <w:p w:rsidR="000D5422" w:rsidRPr="00B86EA4" w:rsidRDefault="000D5422" w:rsidP="000D5422">
      <w:pPr>
        <w:pStyle w:val="EndNoteBibliography"/>
        <w:spacing w:after="0"/>
        <w:ind w:left="720" w:hanging="720"/>
      </w:pPr>
      <w:r w:rsidRPr="00B86EA4">
        <w:t xml:space="preserve">Sabaté, Marcela, Regina Escario, and Maria Dolores Gadea. "Fighting fiscal dominance. The case of Spain, 1874-1998." </w:t>
      </w:r>
      <w:r w:rsidRPr="00B86EA4">
        <w:rPr>
          <w:i/>
        </w:rPr>
        <w:t xml:space="preserve">European Review of Economic History </w:t>
      </w:r>
      <w:r w:rsidRPr="00B86EA4">
        <w:t>19 (2015): 23-43.</w:t>
      </w:r>
      <w:bookmarkEnd w:id="61"/>
    </w:p>
    <w:p w:rsidR="000D5422" w:rsidRPr="00986BBB" w:rsidRDefault="000D5422" w:rsidP="000D5422">
      <w:pPr>
        <w:pStyle w:val="EndNoteBibliography"/>
        <w:spacing w:after="0"/>
        <w:ind w:left="720" w:hanging="720"/>
      </w:pPr>
      <w:bookmarkStart w:id="62" w:name="_ENREF_93"/>
      <w:r>
        <w:t xml:space="preserve">Schulze, Max-Stephan, and Michael Kopsidis. “Economic growth and sectoral developments. 1800-1914” In </w:t>
      </w:r>
      <w:r>
        <w:rPr>
          <w:i/>
        </w:rPr>
        <w:t>The Economic History of Central, East and South-East Europe. 1800 to the present day</w:t>
      </w:r>
      <w:r>
        <w:t>, edited by M. Morys. London: Routledge, 2020 (forthcoming).</w:t>
      </w:r>
    </w:p>
    <w:p w:rsidR="000D5422" w:rsidRPr="00B554AF" w:rsidRDefault="000D5422" w:rsidP="000D5422">
      <w:pPr>
        <w:pStyle w:val="EndNoteBibliography"/>
        <w:spacing w:after="0"/>
        <w:ind w:left="720" w:hanging="720"/>
      </w:pPr>
      <w:r w:rsidRPr="00B554AF">
        <w:t xml:space="preserve">Stassinopoulos, Yiorgos. "Economic thought and monetary policy in nineteenth-century Greece." In </w:t>
      </w:r>
      <w:r w:rsidRPr="00B554AF">
        <w:rPr>
          <w:i/>
        </w:rPr>
        <w:t>Economic thought and policy in less developed Europe. The nineteenth century</w:t>
      </w:r>
      <w:r w:rsidRPr="00B554AF">
        <w:t>, edited by M.E. Mata and Psalidopoulos, M., 172-86. London: Routledge, 2002.</w:t>
      </w:r>
    </w:p>
    <w:p w:rsidR="000D5422" w:rsidRPr="003623BE" w:rsidRDefault="000D5422" w:rsidP="000D5422">
      <w:pPr>
        <w:pStyle w:val="EndNoteBibliography"/>
        <w:spacing w:after="0"/>
        <w:ind w:left="720" w:hanging="720"/>
        <w:rPr>
          <w:color w:val="000000" w:themeColor="text1"/>
        </w:rPr>
      </w:pPr>
      <w:r w:rsidRPr="003623BE">
        <w:rPr>
          <w:color w:val="000000" w:themeColor="text1"/>
        </w:rPr>
        <w:t xml:space="preserve">Stoenescu, George Virgil, Adriana Aloman, Elisabeta Blejan, and Brindusa Costache. "Monetary policy in South-East Europe in the transition from bimetallism to the gold standard." In </w:t>
      </w:r>
      <w:r w:rsidRPr="003623BE">
        <w:rPr>
          <w:i/>
          <w:color w:val="000000" w:themeColor="text1"/>
        </w:rPr>
        <w:t>Conference proceedings of the 6th meeting of the South-East European Monetary History Network on 18th March 2011 in Bucharest</w:t>
      </w:r>
      <w:r w:rsidRPr="003623BE">
        <w:rPr>
          <w:color w:val="000000" w:themeColor="text1"/>
        </w:rPr>
        <w:t>, edited by National Bank of Romania, 170-94, 2011.</w:t>
      </w:r>
      <w:bookmarkEnd w:id="62"/>
    </w:p>
    <w:p w:rsidR="000D5422" w:rsidRPr="00B86EA4" w:rsidRDefault="000D5422" w:rsidP="000D5422">
      <w:pPr>
        <w:pStyle w:val="EndNoteBibliography"/>
        <w:spacing w:after="0"/>
        <w:ind w:left="720" w:hanging="720"/>
      </w:pPr>
      <w:bookmarkStart w:id="63" w:name="_ENREF_97"/>
      <w:r w:rsidRPr="00B86EA4">
        <w:t xml:space="preserve">Tooze, Adam, and Martin Ivanov. "Disciplining the 'black sheep of the Balkans': financial supervision and sovereignty in Bulgaria, 1902-1938." </w:t>
      </w:r>
      <w:r w:rsidRPr="00B86EA4">
        <w:rPr>
          <w:i/>
        </w:rPr>
        <w:t xml:space="preserve">Economic History Review </w:t>
      </w:r>
      <w:r w:rsidRPr="00B86EA4">
        <w:t>64 (2011): 30-51.</w:t>
      </w:r>
      <w:bookmarkEnd w:id="63"/>
    </w:p>
    <w:p w:rsidR="000D5422" w:rsidRPr="00B86EA4" w:rsidRDefault="000D5422" w:rsidP="000D5422">
      <w:pPr>
        <w:pStyle w:val="EndNoteBibliography"/>
        <w:spacing w:after="0"/>
        <w:ind w:left="720" w:hanging="720"/>
      </w:pPr>
      <w:bookmarkStart w:id="64" w:name="_ENREF_99"/>
      <w:r w:rsidRPr="00B86EA4">
        <w:t xml:space="preserve">Tuncer, Ali Coskun. </w:t>
      </w:r>
      <w:r w:rsidRPr="00B86EA4">
        <w:rPr>
          <w:i/>
        </w:rPr>
        <w:t>Sovereign debt and international financial control. The Middle East and the Balkans, 1870-1914</w:t>
      </w:r>
      <w:r w:rsidRPr="00B86EA4">
        <w:t>. Basingstoke: Palgrave Macmillan, 2015.</w:t>
      </w:r>
      <w:bookmarkEnd w:id="64"/>
    </w:p>
    <w:p w:rsidR="000D5422" w:rsidRPr="00B86EA4" w:rsidRDefault="000D5422" w:rsidP="000D5422">
      <w:pPr>
        <w:pStyle w:val="EndNoteBibliography"/>
        <w:spacing w:after="0"/>
        <w:ind w:left="720" w:hanging="720"/>
      </w:pPr>
      <w:bookmarkStart w:id="65" w:name="_ENREF_101"/>
      <w:r w:rsidRPr="00B86EA4">
        <w:t xml:space="preserve">Wickens, Michael. "A macroeconomic perspective on the Greek debt crisis." In </w:t>
      </w:r>
      <w:r w:rsidRPr="00B86EA4">
        <w:rPr>
          <w:i/>
        </w:rPr>
        <w:t>Political economy perspectives on the Greek crisis: Debt austerity and unemployment</w:t>
      </w:r>
      <w:r w:rsidRPr="00B86EA4">
        <w:t xml:space="preserve">, edited by I. Bournakis, Tsoukis, C., Christopoulos, D. and Palivos, T. London: </w:t>
      </w:r>
      <w:r>
        <w:t xml:space="preserve">Palgrave Macmillan, </w:t>
      </w:r>
      <w:r w:rsidRPr="00B86EA4">
        <w:t>2018.</w:t>
      </w:r>
      <w:bookmarkEnd w:id="65"/>
    </w:p>
    <w:p w:rsidR="000D5422" w:rsidRPr="003623BE" w:rsidRDefault="000D5422" w:rsidP="000D5422">
      <w:pPr>
        <w:pStyle w:val="EndNoteBibliography"/>
        <w:ind w:left="720" w:hanging="720"/>
        <w:rPr>
          <w:rFonts w:ascii="Times New Roman" w:hAnsi="Times New Roman" w:cs="Times New Roman"/>
          <w:b/>
          <w:color w:val="000000" w:themeColor="text1"/>
          <w:sz w:val="24"/>
          <w:szCs w:val="24"/>
        </w:rPr>
      </w:pPr>
      <w:bookmarkStart w:id="66" w:name="_ENREF_102"/>
      <w:r w:rsidRPr="003623BE">
        <w:rPr>
          <w:color w:val="000000" w:themeColor="text1"/>
        </w:rPr>
        <w:t xml:space="preserve">Wynne, William H. </w:t>
      </w:r>
      <w:r w:rsidRPr="003623BE">
        <w:rPr>
          <w:i/>
          <w:color w:val="000000" w:themeColor="text1"/>
        </w:rPr>
        <w:t xml:space="preserve">State insolvency and foreign bondholders. Volume 2. </w:t>
      </w:r>
      <w:r w:rsidRPr="003623BE">
        <w:rPr>
          <w:color w:val="000000" w:themeColor="text1"/>
        </w:rPr>
        <w:t>New Haven: Yale University Press, 1951.</w:t>
      </w:r>
      <w:bookmarkEnd w:id="66"/>
    </w:p>
    <w:p w:rsidR="000D5422" w:rsidRPr="00462F98" w:rsidRDefault="000D5422" w:rsidP="00602FEB">
      <w:pPr>
        <w:spacing w:after="0" w:line="350" w:lineRule="auto"/>
        <w:jc w:val="both"/>
        <w:rPr>
          <w:rFonts w:ascii="Times New Roman" w:hAnsi="Times New Roman" w:cs="Times New Roman"/>
          <w:b/>
          <w:color w:val="000000" w:themeColor="text1"/>
          <w:sz w:val="24"/>
          <w:szCs w:val="24"/>
          <w:lang w:val="en-GB"/>
        </w:rPr>
      </w:pPr>
    </w:p>
    <w:sectPr w:rsidR="000D5422" w:rsidRPr="00462F98" w:rsidSect="009D0A87">
      <w:headerReference w:type="default" r:id="rId9"/>
      <w:pgSz w:w="11906" w:h="16838"/>
      <w:pgMar w:top="130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3F" w:rsidRDefault="00E7713F" w:rsidP="00E3456D">
      <w:pPr>
        <w:spacing w:after="0" w:line="240" w:lineRule="auto"/>
      </w:pPr>
      <w:r>
        <w:separator/>
      </w:r>
    </w:p>
  </w:endnote>
  <w:endnote w:type="continuationSeparator" w:id="0">
    <w:p w:rsidR="00E7713F" w:rsidRDefault="00E7713F" w:rsidP="00E3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3F" w:rsidRDefault="00E7713F" w:rsidP="00E3456D">
      <w:pPr>
        <w:spacing w:after="0" w:line="240" w:lineRule="auto"/>
      </w:pPr>
      <w:r>
        <w:separator/>
      </w:r>
    </w:p>
  </w:footnote>
  <w:footnote w:type="continuationSeparator" w:id="0">
    <w:p w:rsidR="00E7713F" w:rsidRDefault="00E7713F" w:rsidP="00E3456D">
      <w:pPr>
        <w:spacing w:after="0" w:line="240" w:lineRule="auto"/>
      </w:pPr>
      <w:r>
        <w:continuationSeparator/>
      </w:r>
    </w:p>
  </w:footnote>
  <w:footnote w:id="1">
    <w:p w:rsidR="00F74C70" w:rsidRPr="00D24A9C" w:rsidRDefault="00F74C70" w:rsidP="007728A1">
      <w:pPr>
        <w:pStyle w:val="FootnoteText"/>
        <w:jc w:val="both"/>
        <w:rPr>
          <w:lang w:val="en-GB"/>
        </w:rPr>
      </w:pPr>
      <w:r>
        <w:rPr>
          <w:rStyle w:val="FootnoteReference"/>
        </w:rPr>
        <w:footnoteRef/>
      </w:r>
      <w:r w:rsidRPr="00D24A9C">
        <w:rPr>
          <w:lang w:val="en-GB"/>
        </w:rPr>
        <w:t xml:space="preserve"> </w:t>
      </w:r>
      <w:r w:rsidRPr="00D24A9C">
        <w:rPr>
          <w:rFonts w:ascii="Times New Roman" w:hAnsi="Times New Roman" w:cs="Times New Roman"/>
          <w:lang w:val="en-GB"/>
        </w:rPr>
        <w:t>Own calculations based on League of Nations Statistical Yearbook.</w:t>
      </w:r>
    </w:p>
  </w:footnote>
  <w:footnote w:id="2">
    <w:p w:rsidR="00F74C70" w:rsidRPr="009B6BB9" w:rsidRDefault="00F74C70">
      <w:pPr>
        <w:pStyle w:val="FootnoteText"/>
        <w:rPr>
          <w:lang w:val="en-GB"/>
        </w:rPr>
      </w:pPr>
      <w:r>
        <w:rPr>
          <w:rStyle w:val="FootnoteReference"/>
        </w:rPr>
        <w:footnoteRef/>
      </w:r>
      <w:r w:rsidRPr="0037616A">
        <w:rPr>
          <w:lang w:val="en-GB"/>
        </w:rPr>
        <w:t xml:space="preserve"> </w:t>
      </w:r>
      <w:r w:rsidRPr="0037616A">
        <w:rPr>
          <w:rFonts w:ascii="Times New Roman" w:hAnsi="Times New Roman" w:cs="Times New Roman"/>
          <w:lang w:val="en-GB"/>
        </w:rPr>
        <w:t>In the Romanian case, period two ends with the country joining the gold standard in 1890.</w:t>
      </w:r>
    </w:p>
  </w:footnote>
  <w:footnote w:id="3">
    <w:p w:rsidR="00302019" w:rsidRPr="00302019" w:rsidRDefault="00302019">
      <w:pPr>
        <w:pStyle w:val="FootnoteText"/>
        <w:rPr>
          <w:lang w:val="en-US"/>
        </w:rPr>
      </w:pPr>
      <w:r>
        <w:rPr>
          <w:rStyle w:val="FootnoteReference"/>
        </w:rPr>
        <w:footnoteRef/>
      </w:r>
      <w:r w:rsidRPr="00302019">
        <w:rPr>
          <w:lang w:val="en-US"/>
        </w:rPr>
        <w:t xml:space="preserve"> </w:t>
      </w:r>
      <w:r w:rsidRPr="00302019">
        <w:rPr>
          <w:rFonts w:ascii="Times New Roman" w:hAnsi="Times New Roman" w:cs="Times New Roman"/>
          <w:color w:val="000000" w:themeColor="text1"/>
          <w:lang w:val="en-GB"/>
        </w:rPr>
        <w:t>Detailed results are provided in an online appendix.</w:t>
      </w:r>
    </w:p>
  </w:footnote>
  <w:footnote w:id="4">
    <w:p w:rsidR="00617973" w:rsidRPr="00617973" w:rsidRDefault="00617973">
      <w:pPr>
        <w:pStyle w:val="FootnoteText"/>
        <w:rPr>
          <w:color w:val="000000" w:themeColor="text1"/>
          <w:lang w:val="en-GB"/>
        </w:rPr>
      </w:pPr>
      <w:r>
        <w:rPr>
          <w:rStyle w:val="FootnoteReference"/>
        </w:rPr>
        <w:footnoteRef/>
      </w:r>
      <w:r w:rsidRPr="0037616A">
        <w:rPr>
          <w:lang w:val="en-GB"/>
        </w:rPr>
        <w:t xml:space="preserve"> </w:t>
      </w:r>
      <w:r w:rsidRPr="0037616A">
        <w:rPr>
          <w:rFonts w:ascii="Times New Roman" w:hAnsi="Times New Roman" w:cs="Times New Roman"/>
          <w:color w:val="000000" w:themeColor="text1"/>
          <w:lang w:val="en-GB"/>
        </w:rPr>
        <w:t xml:space="preserve">Parliamentary debate held on 14th November 1883 (budget speech looking forward to 1884, the year of the gold standard legislation), quoted after the official records of the Greek parliament. </w:t>
      </w:r>
      <w:r w:rsidRPr="00302F53">
        <w:rPr>
          <w:rFonts w:ascii="Times New Roman" w:hAnsi="Times New Roman" w:cs="Times New Roman"/>
          <w:color w:val="000000" w:themeColor="text1"/>
          <w:lang w:val="el-GR"/>
        </w:rPr>
        <w:t>Εφημερίδα των Συζητήσεων της Βουλής, Περίοδος Θ</w:t>
      </w:r>
      <w:r w:rsidR="00302F53" w:rsidRPr="0037616A">
        <w:rPr>
          <w:rFonts w:ascii="Times New Roman" w:hAnsi="Times New Roman" w:cs="Times New Roman"/>
          <w:color w:val="000000" w:themeColor="text1"/>
          <w:lang w:val="el-GR"/>
        </w:rPr>
        <w:t>’</w:t>
      </w:r>
      <w:r w:rsidRPr="00302F53">
        <w:rPr>
          <w:rFonts w:ascii="Times New Roman" w:hAnsi="Times New Roman" w:cs="Times New Roman"/>
          <w:color w:val="000000" w:themeColor="text1"/>
          <w:lang w:val="el-GR"/>
        </w:rPr>
        <w:t>, Σύνοδος Β</w:t>
      </w:r>
      <w:r w:rsidR="00302F53" w:rsidRPr="0037616A">
        <w:rPr>
          <w:rFonts w:ascii="Times New Roman" w:hAnsi="Times New Roman" w:cs="Times New Roman"/>
          <w:color w:val="000000" w:themeColor="text1"/>
          <w:lang w:val="el-GR"/>
        </w:rPr>
        <w:t>’</w:t>
      </w:r>
      <w:r w:rsidRPr="00302F53">
        <w:rPr>
          <w:rFonts w:ascii="Times New Roman" w:hAnsi="Times New Roman" w:cs="Times New Roman"/>
          <w:color w:val="000000" w:themeColor="text1"/>
          <w:lang w:val="el-GR"/>
        </w:rPr>
        <w:t>, Συνεδρίασις 8 (σ. 26-31).</w:t>
      </w:r>
      <w:r w:rsidRPr="0037616A">
        <w:rPr>
          <w:rFonts w:ascii="Times New Roman" w:hAnsi="Times New Roman" w:cs="Times New Roman"/>
          <w:color w:val="000000" w:themeColor="text1"/>
          <w:lang w:val="el-GR"/>
        </w:rPr>
        <w:t xml:space="preserve"> </w:t>
      </w:r>
      <w:r w:rsidR="00A41BEE" w:rsidRPr="00302F53">
        <w:rPr>
          <w:rFonts w:ascii="Times New Roman" w:hAnsi="Times New Roman" w:cs="Times New Roman"/>
          <w:color w:val="000000" w:themeColor="text1"/>
          <w:lang w:val="en-GB"/>
        </w:rPr>
        <w:t>Other s</w:t>
      </w:r>
      <w:r w:rsidRPr="00302F53">
        <w:rPr>
          <w:rFonts w:ascii="Times New Roman" w:hAnsi="Times New Roman" w:cs="Times New Roman"/>
          <w:color w:val="000000" w:themeColor="text1"/>
          <w:lang w:val="en-GB"/>
        </w:rPr>
        <w:t>peeches giving good insight into Trikoupis’</w:t>
      </w:r>
      <w:r w:rsidR="00A41BEE" w:rsidRPr="00302F53">
        <w:rPr>
          <w:rFonts w:ascii="Times New Roman" w:hAnsi="Times New Roman" w:cs="Times New Roman"/>
          <w:color w:val="000000" w:themeColor="text1"/>
          <w:lang w:val="en-GB"/>
        </w:rPr>
        <w:t xml:space="preserve"> </w:t>
      </w:r>
      <w:r w:rsidRPr="00302F53">
        <w:rPr>
          <w:rFonts w:ascii="Times New Roman" w:hAnsi="Times New Roman" w:cs="Times New Roman"/>
          <w:color w:val="000000" w:themeColor="text1"/>
          <w:lang w:val="en-GB"/>
        </w:rPr>
        <w:t xml:space="preserve">reasoning behind gold standard membership were given </w:t>
      </w:r>
      <w:r w:rsidR="00A41BEE" w:rsidRPr="00302F53">
        <w:rPr>
          <w:rFonts w:ascii="Times New Roman" w:hAnsi="Times New Roman" w:cs="Times New Roman"/>
          <w:color w:val="000000" w:themeColor="text1"/>
          <w:lang w:val="en-GB"/>
        </w:rPr>
        <w:t xml:space="preserve">in parliament </w:t>
      </w:r>
      <w:r w:rsidRPr="00302F53">
        <w:rPr>
          <w:rFonts w:ascii="Times New Roman" w:hAnsi="Times New Roman" w:cs="Times New Roman"/>
          <w:color w:val="000000" w:themeColor="text1"/>
          <w:lang w:val="en-GB"/>
        </w:rPr>
        <w:t>on 12</w:t>
      </w:r>
      <w:r w:rsidRPr="00302F53">
        <w:rPr>
          <w:rFonts w:ascii="Times New Roman" w:hAnsi="Times New Roman" w:cs="Times New Roman"/>
          <w:color w:val="000000" w:themeColor="text1"/>
          <w:vertAlign w:val="superscript"/>
          <w:lang w:val="en-GB"/>
        </w:rPr>
        <w:t>th</w:t>
      </w:r>
      <w:r w:rsidRPr="00302F53">
        <w:rPr>
          <w:rFonts w:ascii="Times New Roman" w:hAnsi="Times New Roman" w:cs="Times New Roman"/>
          <w:color w:val="000000" w:themeColor="text1"/>
          <w:lang w:val="en-GB"/>
        </w:rPr>
        <w:t xml:space="preserve"> April 1880, </w:t>
      </w:r>
      <w:r w:rsidR="00A41BEE" w:rsidRPr="00302F53">
        <w:rPr>
          <w:rFonts w:ascii="Times New Roman" w:hAnsi="Times New Roman" w:cs="Times New Roman"/>
          <w:color w:val="000000" w:themeColor="text1"/>
          <w:lang w:val="en-GB"/>
        </w:rPr>
        <w:t>10</w:t>
      </w:r>
      <w:r w:rsidR="00A41BEE" w:rsidRPr="00302F53">
        <w:rPr>
          <w:rFonts w:ascii="Times New Roman" w:hAnsi="Times New Roman" w:cs="Times New Roman"/>
          <w:color w:val="000000" w:themeColor="text1"/>
          <w:vertAlign w:val="superscript"/>
          <w:lang w:val="en-GB"/>
        </w:rPr>
        <w:t>th</w:t>
      </w:r>
      <w:r w:rsidR="00A41BEE" w:rsidRPr="00302F53">
        <w:rPr>
          <w:rFonts w:ascii="Times New Roman" w:hAnsi="Times New Roman" w:cs="Times New Roman"/>
          <w:color w:val="000000" w:themeColor="text1"/>
          <w:lang w:val="en-GB"/>
        </w:rPr>
        <w:t xml:space="preserve"> February 1883 and 12</w:t>
      </w:r>
      <w:r w:rsidR="00A41BEE" w:rsidRPr="00302F53">
        <w:rPr>
          <w:rFonts w:ascii="Times New Roman" w:hAnsi="Times New Roman" w:cs="Times New Roman"/>
          <w:color w:val="000000" w:themeColor="text1"/>
          <w:vertAlign w:val="superscript"/>
          <w:lang w:val="en-GB"/>
        </w:rPr>
        <w:t>th</w:t>
      </w:r>
      <w:r w:rsidR="00A41BEE" w:rsidRPr="00302F53">
        <w:rPr>
          <w:rFonts w:ascii="Times New Roman" w:hAnsi="Times New Roman" w:cs="Times New Roman"/>
          <w:color w:val="000000" w:themeColor="text1"/>
          <w:lang w:val="en-GB"/>
        </w:rPr>
        <w:t xml:space="preserve"> November 1884.</w:t>
      </w:r>
    </w:p>
  </w:footnote>
  <w:footnote w:id="5">
    <w:p w:rsidR="00A53A9C" w:rsidRPr="0037616A" w:rsidRDefault="00A53A9C">
      <w:pPr>
        <w:pStyle w:val="FootnoteText"/>
        <w:rPr>
          <w:rFonts w:ascii="Times New Roman" w:hAnsi="Times New Roman" w:cs="Times New Roman"/>
          <w:color w:val="000000" w:themeColor="text1"/>
          <w:lang w:val="el-GR"/>
        </w:rPr>
      </w:pPr>
      <w:r>
        <w:rPr>
          <w:rStyle w:val="FootnoteReference"/>
        </w:rPr>
        <w:footnoteRef/>
      </w:r>
      <w:r w:rsidRPr="0037616A">
        <w:rPr>
          <w:lang w:val="en-GB"/>
        </w:rPr>
        <w:t xml:space="preserve"> </w:t>
      </w:r>
      <w:r w:rsidR="00B93EA3" w:rsidRPr="00302F53">
        <w:rPr>
          <w:rFonts w:ascii="Times New Roman" w:hAnsi="Times New Roman" w:cs="Times New Roman"/>
          <w:color w:val="000000" w:themeColor="text1"/>
          <w:lang w:val="en-GB"/>
        </w:rPr>
        <w:t>Parliamentary debate held on 1</w:t>
      </w:r>
      <w:r w:rsidR="00B93EA3" w:rsidRPr="00302F53">
        <w:rPr>
          <w:rFonts w:ascii="Times New Roman" w:hAnsi="Times New Roman" w:cs="Times New Roman"/>
          <w:color w:val="000000" w:themeColor="text1"/>
          <w:vertAlign w:val="superscript"/>
          <w:lang w:val="en-GB"/>
        </w:rPr>
        <w:t>st</w:t>
      </w:r>
      <w:r w:rsidR="00B93EA3" w:rsidRPr="00302F53">
        <w:rPr>
          <w:rFonts w:ascii="Times New Roman" w:hAnsi="Times New Roman" w:cs="Times New Roman"/>
          <w:color w:val="000000" w:themeColor="text1"/>
          <w:lang w:val="en-GB"/>
        </w:rPr>
        <w:t xml:space="preserve"> December 1893, quoted after the official records of the Greek parliament. </w:t>
      </w:r>
      <w:r w:rsidR="00B93EA3" w:rsidRPr="00302F53">
        <w:rPr>
          <w:rFonts w:ascii="Times New Roman" w:hAnsi="Times New Roman" w:cs="Times New Roman"/>
          <w:color w:val="000000" w:themeColor="text1"/>
          <w:lang w:val="el-GR"/>
        </w:rPr>
        <w:t>Εφημερίδα των Συζητήσεων της Βουλής, Περίοδος IΓ</w:t>
      </w:r>
      <w:r w:rsidR="00302F53" w:rsidRPr="0037616A">
        <w:rPr>
          <w:rFonts w:ascii="Times New Roman" w:hAnsi="Times New Roman" w:cs="Times New Roman"/>
          <w:color w:val="000000" w:themeColor="text1"/>
          <w:lang w:val="el-GR"/>
        </w:rPr>
        <w:t>’</w:t>
      </w:r>
      <w:r w:rsidR="00B93EA3" w:rsidRPr="00302F53">
        <w:rPr>
          <w:rFonts w:ascii="Times New Roman" w:hAnsi="Times New Roman" w:cs="Times New Roman"/>
          <w:color w:val="000000" w:themeColor="text1"/>
          <w:lang w:val="el-GR"/>
        </w:rPr>
        <w:t>, Σύνοδος Γ</w:t>
      </w:r>
      <w:r w:rsidR="00302F53" w:rsidRPr="0037616A">
        <w:rPr>
          <w:rFonts w:ascii="Times New Roman" w:hAnsi="Times New Roman" w:cs="Times New Roman"/>
          <w:color w:val="000000" w:themeColor="text1"/>
          <w:lang w:val="el-GR"/>
        </w:rPr>
        <w:t>’</w:t>
      </w:r>
      <w:r w:rsidR="00B93EA3" w:rsidRPr="00302F53">
        <w:rPr>
          <w:rFonts w:ascii="Times New Roman" w:hAnsi="Times New Roman" w:cs="Times New Roman"/>
          <w:color w:val="000000" w:themeColor="text1"/>
          <w:lang w:val="el-GR"/>
        </w:rPr>
        <w:t>, Συνεδρίασις 25 (σ. 350-352).</w:t>
      </w:r>
      <w:r w:rsidR="00B93EA3" w:rsidRPr="0037616A">
        <w:rPr>
          <w:rFonts w:ascii="Times New Roman" w:hAnsi="Times New Roman" w:cs="Times New Roman"/>
          <w:color w:val="000000" w:themeColor="text1"/>
          <w:lang w:val="el-GR"/>
        </w:rPr>
        <w:t xml:space="preserve"> </w:t>
      </w:r>
    </w:p>
  </w:footnote>
  <w:footnote w:id="6">
    <w:p w:rsidR="00454BF1" w:rsidRPr="0037616A" w:rsidRDefault="00454BF1">
      <w:pPr>
        <w:pStyle w:val="FootnoteText"/>
        <w:rPr>
          <w:rFonts w:ascii="Times New Roman" w:hAnsi="Times New Roman" w:cs="Times New Roman"/>
          <w:color w:val="FF0000"/>
          <w:lang w:val="el-GR"/>
        </w:rPr>
      </w:pPr>
      <w:r w:rsidRPr="00302F53">
        <w:rPr>
          <w:rStyle w:val="FootnoteReference"/>
          <w:rFonts w:ascii="Times New Roman" w:hAnsi="Times New Roman" w:cs="Times New Roman"/>
          <w:color w:val="000000" w:themeColor="text1"/>
        </w:rPr>
        <w:footnoteRef/>
      </w:r>
      <w:r w:rsidRPr="0037616A">
        <w:rPr>
          <w:rFonts w:ascii="Times New Roman" w:hAnsi="Times New Roman" w:cs="Times New Roman"/>
          <w:color w:val="000000" w:themeColor="text1"/>
          <w:lang w:val="en-GB"/>
        </w:rPr>
        <w:t xml:space="preserve"> </w:t>
      </w:r>
      <w:r w:rsidRPr="00302F53">
        <w:rPr>
          <w:rFonts w:ascii="Times New Roman" w:hAnsi="Times New Roman" w:cs="Times New Roman"/>
          <w:color w:val="000000" w:themeColor="text1"/>
          <w:lang w:val="en-GB"/>
        </w:rPr>
        <w:t>Parliamentary debates held on 20</w:t>
      </w:r>
      <w:r w:rsidRPr="00302F53">
        <w:rPr>
          <w:rFonts w:ascii="Times New Roman" w:hAnsi="Times New Roman" w:cs="Times New Roman"/>
          <w:color w:val="000000" w:themeColor="text1"/>
          <w:vertAlign w:val="superscript"/>
          <w:lang w:val="en-GB"/>
        </w:rPr>
        <w:t>th</w:t>
      </w:r>
      <w:r w:rsidRPr="00302F53">
        <w:rPr>
          <w:rFonts w:ascii="Times New Roman" w:hAnsi="Times New Roman" w:cs="Times New Roman"/>
          <w:color w:val="000000" w:themeColor="text1"/>
          <w:lang w:val="en-GB"/>
        </w:rPr>
        <w:t>, 21</w:t>
      </w:r>
      <w:r w:rsidRPr="00302F53">
        <w:rPr>
          <w:rFonts w:ascii="Times New Roman" w:hAnsi="Times New Roman" w:cs="Times New Roman"/>
          <w:color w:val="000000" w:themeColor="text1"/>
          <w:vertAlign w:val="superscript"/>
          <w:lang w:val="en-GB"/>
        </w:rPr>
        <w:t>st</w:t>
      </w:r>
      <w:r w:rsidRPr="00302F53">
        <w:rPr>
          <w:rFonts w:ascii="Times New Roman" w:hAnsi="Times New Roman" w:cs="Times New Roman"/>
          <w:color w:val="000000" w:themeColor="text1"/>
          <w:lang w:val="en-GB"/>
        </w:rPr>
        <w:t xml:space="preserve"> and 23</w:t>
      </w:r>
      <w:r w:rsidRPr="00302F53">
        <w:rPr>
          <w:rFonts w:ascii="Times New Roman" w:hAnsi="Times New Roman" w:cs="Times New Roman"/>
          <w:color w:val="000000" w:themeColor="text1"/>
          <w:vertAlign w:val="superscript"/>
          <w:lang w:val="en-GB"/>
        </w:rPr>
        <w:t>rd</w:t>
      </w:r>
      <w:r w:rsidRPr="00302F53">
        <w:rPr>
          <w:rFonts w:ascii="Times New Roman" w:hAnsi="Times New Roman" w:cs="Times New Roman"/>
          <w:color w:val="000000" w:themeColor="text1"/>
          <w:lang w:val="en-GB"/>
        </w:rPr>
        <w:t xml:space="preserve"> February 1898, quoted after the official records of the Greek parliament. </w:t>
      </w:r>
      <w:r w:rsidR="00A53A9C" w:rsidRPr="00302F53">
        <w:rPr>
          <w:rFonts w:ascii="Times New Roman" w:hAnsi="Times New Roman" w:cs="Times New Roman"/>
          <w:color w:val="000000" w:themeColor="text1"/>
          <w:lang w:val="el-GR"/>
        </w:rPr>
        <w:t xml:space="preserve">Εφημερίδα των Συζητήσεων της Βουλής, Περίοδος </w:t>
      </w:r>
      <w:r w:rsidR="00302F53" w:rsidRPr="00302F53">
        <w:rPr>
          <w:rFonts w:ascii="Times New Roman" w:hAnsi="Times New Roman" w:cs="Times New Roman"/>
          <w:color w:val="000000" w:themeColor="text1"/>
          <w:lang w:val="el-GR"/>
        </w:rPr>
        <w:t>ΙΔ’</w:t>
      </w:r>
      <w:r w:rsidR="00A53A9C" w:rsidRPr="00302F53">
        <w:rPr>
          <w:rFonts w:ascii="Times New Roman" w:hAnsi="Times New Roman" w:cs="Times New Roman"/>
          <w:color w:val="000000" w:themeColor="text1"/>
          <w:lang w:val="el-GR"/>
        </w:rPr>
        <w:t xml:space="preserve">, Σύνοδος </w:t>
      </w:r>
      <w:r w:rsidR="00302F53" w:rsidRPr="00302F53">
        <w:rPr>
          <w:rFonts w:ascii="Times New Roman" w:hAnsi="Times New Roman" w:cs="Times New Roman"/>
          <w:color w:val="000000" w:themeColor="text1"/>
          <w:lang w:val="el-GR"/>
        </w:rPr>
        <w:t>Γ’</w:t>
      </w:r>
      <w:r w:rsidR="00A53A9C" w:rsidRPr="00302F53">
        <w:rPr>
          <w:rFonts w:ascii="Times New Roman" w:hAnsi="Times New Roman" w:cs="Times New Roman"/>
          <w:color w:val="000000" w:themeColor="text1"/>
          <w:lang w:val="el-GR"/>
        </w:rPr>
        <w:t xml:space="preserve">, Συνεδρίασις 15 (σ. 147-153), Συνεδρίασις 16 (σ. 159-167), Συνεδρίασις 17 (σ. 177-188).  </w:t>
      </w:r>
    </w:p>
  </w:footnote>
  <w:footnote w:id="7">
    <w:p w:rsidR="00DD3F68" w:rsidRPr="00DD3F68" w:rsidRDefault="00DD3F68">
      <w:pPr>
        <w:pStyle w:val="FootnoteText"/>
        <w:rPr>
          <w:lang w:val="en-GB"/>
        </w:rPr>
      </w:pPr>
      <w:r>
        <w:rPr>
          <w:rStyle w:val="FootnoteReference"/>
        </w:rPr>
        <w:footnoteRef/>
      </w:r>
      <w:r w:rsidRPr="0037616A">
        <w:rPr>
          <w:lang w:val="en-GB"/>
        </w:rPr>
        <w:t xml:space="preserve"> Archive of the National Bank of Greece (Athens), N.B.G./H.A., X Loans, A‘ Public Loans, File 180: „Public Finance: Report prepared by the Committee of Experts, February 1927.“</w:t>
      </w:r>
    </w:p>
  </w:footnote>
  <w:footnote w:id="8">
    <w:p w:rsidR="00DD3F68" w:rsidRPr="00DD3F68" w:rsidRDefault="00DD3F68">
      <w:pPr>
        <w:pStyle w:val="FootnoteText"/>
        <w:rPr>
          <w:lang w:val="en-GB"/>
        </w:rPr>
      </w:pPr>
      <w:r>
        <w:rPr>
          <w:rStyle w:val="FootnoteReference"/>
        </w:rPr>
        <w:footnoteRef/>
      </w:r>
      <w:r w:rsidRPr="0037616A">
        <w:rPr>
          <w:lang w:val="en-GB"/>
        </w:rPr>
        <w:t xml:space="preserve"> </w:t>
      </w:r>
      <w:r w:rsidR="009652DB" w:rsidRPr="0037616A">
        <w:rPr>
          <w:lang w:val="en-GB"/>
        </w:rPr>
        <w:t>Bank of England Archive (London), OV80/1 (in particular the document titled „The conclusions and recommendations ofthe Greek Committee of Experts“ and the adjacent letter exchange).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34797"/>
      <w:docPartObj>
        <w:docPartGallery w:val="Page Numbers (Top of Page)"/>
        <w:docPartUnique/>
      </w:docPartObj>
    </w:sdtPr>
    <w:sdtEndPr>
      <w:rPr>
        <w:noProof/>
      </w:rPr>
    </w:sdtEndPr>
    <w:sdtContent>
      <w:p w:rsidR="00F74C70" w:rsidRDefault="00F74C70" w:rsidP="00E9092A">
        <w:pPr>
          <w:pStyle w:val="Header"/>
          <w:ind w:left="1080"/>
          <w:jc w:val="center"/>
        </w:pPr>
        <w:r>
          <w:fldChar w:fldCharType="begin"/>
        </w:r>
        <w:r>
          <w:instrText xml:space="preserve"> PAGE   \* MERGEFORMAT </w:instrText>
        </w:r>
        <w:r>
          <w:fldChar w:fldCharType="separate"/>
        </w:r>
        <w:r w:rsidR="00F50317">
          <w:rPr>
            <w:noProof/>
          </w:rPr>
          <w:t>29</w:t>
        </w:r>
        <w:r>
          <w:rPr>
            <w:noProof/>
          </w:rPr>
          <w:fldChar w:fldCharType="end"/>
        </w:r>
        <w:r>
          <w:rPr>
            <w:noProof/>
          </w:rPr>
          <w:t xml:space="preserve">  </w:t>
        </w:r>
      </w:p>
    </w:sdtContent>
  </w:sdt>
  <w:p w:rsidR="00F74C70" w:rsidRDefault="00F74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03EC"/>
    <w:multiLevelType w:val="multilevel"/>
    <w:tmpl w:val="2A0676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58642B"/>
    <w:multiLevelType w:val="hybridMultilevel"/>
    <w:tmpl w:val="832A6FF8"/>
    <w:lvl w:ilvl="0" w:tplc="0958F16C">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D3B66"/>
    <w:multiLevelType w:val="hybridMultilevel"/>
    <w:tmpl w:val="2AA2D894"/>
    <w:lvl w:ilvl="0" w:tplc="E494B19C">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77E7F"/>
    <w:multiLevelType w:val="hybridMultilevel"/>
    <w:tmpl w:val="34527C4C"/>
    <w:lvl w:ilvl="0" w:tplc="E9A2ADFE">
      <w:start w:val="1"/>
      <w:numFmt w:val="bullet"/>
      <w:lvlText w:val="•"/>
      <w:lvlJc w:val="left"/>
      <w:pPr>
        <w:tabs>
          <w:tab w:val="num" w:pos="720"/>
        </w:tabs>
        <w:ind w:left="720" w:hanging="360"/>
      </w:pPr>
      <w:rPr>
        <w:rFonts w:ascii="Arial" w:hAnsi="Arial" w:hint="default"/>
      </w:rPr>
    </w:lvl>
    <w:lvl w:ilvl="1" w:tplc="6EB80116" w:tentative="1">
      <w:start w:val="1"/>
      <w:numFmt w:val="bullet"/>
      <w:lvlText w:val="•"/>
      <w:lvlJc w:val="left"/>
      <w:pPr>
        <w:tabs>
          <w:tab w:val="num" w:pos="1440"/>
        </w:tabs>
        <w:ind w:left="1440" w:hanging="360"/>
      </w:pPr>
      <w:rPr>
        <w:rFonts w:ascii="Arial" w:hAnsi="Arial" w:hint="default"/>
      </w:rPr>
    </w:lvl>
    <w:lvl w:ilvl="2" w:tplc="25685A04" w:tentative="1">
      <w:start w:val="1"/>
      <w:numFmt w:val="bullet"/>
      <w:lvlText w:val="•"/>
      <w:lvlJc w:val="left"/>
      <w:pPr>
        <w:tabs>
          <w:tab w:val="num" w:pos="2160"/>
        </w:tabs>
        <w:ind w:left="2160" w:hanging="360"/>
      </w:pPr>
      <w:rPr>
        <w:rFonts w:ascii="Arial" w:hAnsi="Arial" w:hint="default"/>
      </w:rPr>
    </w:lvl>
    <w:lvl w:ilvl="3" w:tplc="BB0EB176" w:tentative="1">
      <w:start w:val="1"/>
      <w:numFmt w:val="bullet"/>
      <w:lvlText w:val="•"/>
      <w:lvlJc w:val="left"/>
      <w:pPr>
        <w:tabs>
          <w:tab w:val="num" w:pos="2880"/>
        </w:tabs>
        <w:ind w:left="2880" w:hanging="360"/>
      </w:pPr>
      <w:rPr>
        <w:rFonts w:ascii="Arial" w:hAnsi="Arial" w:hint="default"/>
      </w:rPr>
    </w:lvl>
    <w:lvl w:ilvl="4" w:tplc="A58C7962" w:tentative="1">
      <w:start w:val="1"/>
      <w:numFmt w:val="bullet"/>
      <w:lvlText w:val="•"/>
      <w:lvlJc w:val="left"/>
      <w:pPr>
        <w:tabs>
          <w:tab w:val="num" w:pos="3600"/>
        </w:tabs>
        <w:ind w:left="3600" w:hanging="360"/>
      </w:pPr>
      <w:rPr>
        <w:rFonts w:ascii="Arial" w:hAnsi="Arial" w:hint="default"/>
      </w:rPr>
    </w:lvl>
    <w:lvl w:ilvl="5" w:tplc="15E429BA" w:tentative="1">
      <w:start w:val="1"/>
      <w:numFmt w:val="bullet"/>
      <w:lvlText w:val="•"/>
      <w:lvlJc w:val="left"/>
      <w:pPr>
        <w:tabs>
          <w:tab w:val="num" w:pos="4320"/>
        </w:tabs>
        <w:ind w:left="4320" w:hanging="360"/>
      </w:pPr>
      <w:rPr>
        <w:rFonts w:ascii="Arial" w:hAnsi="Arial" w:hint="default"/>
      </w:rPr>
    </w:lvl>
    <w:lvl w:ilvl="6" w:tplc="3A1E077A" w:tentative="1">
      <w:start w:val="1"/>
      <w:numFmt w:val="bullet"/>
      <w:lvlText w:val="•"/>
      <w:lvlJc w:val="left"/>
      <w:pPr>
        <w:tabs>
          <w:tab w:val="num" w:pos="5040"/>
        </w:tabs>
        <w:ind w:left="5040" w:hanging="360"/>
      </w:pPr>
      <w:rPr>
        <w:rFonts w:ascii="Arial" w:hAnsi="Arial" w:hint="default"/>
      </w:rPr>
    </w:lvl>
    <w:lvl w:ilvl="7" w:tplc="249CF67A" w:tentative="1">
      <w:start w:val="1"/>
      <w:numFmt w:val="bullet"/>
      <w:lvlText w:val="•"/>
      <w:lvlJc w:val="left"/>
      <w:pPr>
        <w:tabs>
          <w:tab w:val="num" w:pos="5760"/>
        </w:tabs>
        <w:ind w:left="5760" w:hanging="360"/>
      </w:pPr>
      <w:rPr>
        <w:rFonts w:ascii="Arial" w:hAnsi="Arial" w:hint="default"/>
      </w:rPr>
    </w:lvl>
    <w:lvl w:ilvl="8" w:tplc="382EC1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2931CD"/>
    <w:multiLevelType w:val="hybridMultilevel"/>
    <w:tmpl w:val="C4F6C740"/>
    <w:lvl w:ilvl="0" w:tplc="74A0C036">
      <w:start w:val="1"/>
      <w:numFmt w:val="decimal"/>
      <w:lvlText w:val="(%1)"/>
      <w:lvlJc w:val="left"/>
      <w:pPr>
        <w:ind w:left="720" w:hanging="360"/>
      </w:pPr>
      <w:rPr>
        <w:rFonts w:hint="default"/>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36676D"/>
    <w:multiLevelType w:val="hybridMultilevel"/>
    <w:tmpl w:val="45BC8A2C"/>
    <w:lvl w:ilvl="0" w:tplc="D4E4ECF6">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4C3629"/>
    <w:multiLevelType w:val="hybridMultilevel"/>
    <w:tmpl w:val="E276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B3E08"/>
    <w:multiLevelType w:val="hybridMultilevel"/>
    <w:tmpl w:val="9952837E"/>
    <w:lvl w:ilvl="0" w:tplc="22B4A7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630C65"/>
    <w:multiLevelType w:val="hybridMultilevel"/>
    <w:tmpl w:val="6AA6C880"/>
    <w:lvl w:ilvl="0" w:tplc="BEEE2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B60CA0"/>
    <w:multiLevelType w:val="hybridMultilevel"/>
    <w:tmpl w:val="CF36DA04"/>
    <w:lvl w:ilvl="0" w:tplc="E1D4485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6"/>
  </w:num>
  <w:num w:numId="6">
    <w:abstractNumId w:val="9"/>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5th 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wdfaspxvfrtwept09p9fwdrfz2vp5e09xw&quot;&gt;SEE between Europ aspiration and econ reality-Saved-Saved-Saved-Saved&lt;record-ids&gt;&lt;item&gt;169&lt;/item&gt;&lt;/record-ids&gt;&lt;/item&gt;&lt;/Libraries&gt;"/>
  </w:docVars>
  <w:rsids>
    <w:rsidRoot w:val="00F50499"/>
    <w:rsid w:val="00005181"/>
    <w:rsid w:val="00011BB2"/>
    <w:rsid w:val="00013624"/>
    <w:rsid w:val="0001701B"/>
    <w:rsid w:val="0002456A"/>
    <w:rsid w:val="000339FE"/>
    <w:rsid w:val="0003590D"/>
    <w:rsid w:val="00036172"/>
    <w:rsid w:val="0003658A"/>
    <w:rsid w:val="00036909"/>
    <w:rsid w:val="00042751"/>
    <w:rsid w:val="00043BB6"/>
    <w:rsid w:val="00050CEC"/>
    <w:rsid w:val="00051534"/>
    <w:rsid w:val="00054313"/>
    <w:rsid w:val="00055C0F"/>
    <w:rsid w:val="0006120B"/>
    <w:rsid w:val="00063A89"/>
    <w:rsid w:val="000650B3"/>
    <w:rsid w:val="00073AB0"/>
    <w:rsid w:val="0007763D"/>
    <w:rsid w:val="00082723"/>
    <w:rsid w:val="00082D7B"/>
    <w:rsid w:val="0009342C"/>
    <w:rsid w:val="00093927"/>
    <w:rsid w:val="000975BC"/>
    <w:rsid w:val="000A77B6"/>
    <w:rsid w:val="000B708D"/>
    <w:rsid w:val="000C142F"/>
    <w:rsid w:val="000D158F"/>
    <w:rsid w:val="000D46A7"/>
    <w:rsid w:val="000D5422"/>
    <w:rsid w:val="000D57D5"/>
    <w:rsid w:val="000E1910"/>
    <w:rsid w:val="000E58B9"/>
    <w:rsid w:val="000E59C5"/>
    <w:rsid w:val="000E5F1A"/>
    <w:rsid w:val="000E61C0"/>
    <w:rsid w:val="000F06AD"/>
    <w:rsid w:val="000F7D4B"/>
    <w:rsid w:val="001113B2"/>
    <w:rsid w:val="00114B35"/>
    <w:rsid w:val="0011510F"/>
    <w:rsid w:val="00121B5A"/>
    <w:rsid w:val="0012615F"/>
    <w:rsid w:val="0013177E"/>
    <w:rsid w:val="0013347E"/>
    <w:rsid w:val="00133C40"/>
    <w:rsid w:val="00133D60"/>
    <w:rsid w:val="0013413D"/>
    <w:rsid w:val="00135737"/>
    <w:rsid w:val="00136F2F"/>
    <w:rsid w:val="00137D7F"/>
    <w:rsid w:val="00153DAA"/>
    <w:rsid w:val="00154A10"/>
    <w:rsid w:val="001570B4"/>
    <w:rsid w:val="001572A6"/>
    <w:rsid w:val="00160BBE"/>
    <w:rsid w:val="00161722"/>
    <w:rsid w:val="00161730"/>
    <w:rsid w:val="00162DFF"/>
    <w:rsid w:val="00167E26"/>
    <w:rsid w:val="00170122"/>
    <w:rsid w:val="00172226"/>
    <w:rsid w:val="001752CD"/>
    <w:rsid w:val="001779D6"/>
    <w:rsid w:val="001835BB"/>
    <w:rsid w:val="0018698F"/>
    <w:rsid w:val="001877AD"/>
    <w:rsid w:val="001964FB"/>
    <w:rsid w:val="001A2109"/>
    <w:rsid w:val="001A37CC"/>
    <w:rsid w:val="001B7DBC"/>
    <w:rsid w:val="001B7E2A"/>
    <w:rsid w:val="001C7FE9"/>
    <w:rsid w:val="001D596A"/>
    <w:rsid w:val="001D5FB8"/>
    <w:rsid w:val="001D672D"/>
    <w:rsid w:val="001E4CB8"/>
    <w:rsid w:val="001E714A"/>
    <w:rsid w:val="001E7EAB"/>
    <w:rsid w:val="001F598C"/>
    <w:rsid w:val="00204E37"/>
    <w:rsid w:val="00205943"/>
    <w:rsid w:val="0021268A"/>
    <w:rsid w:val="00216AFD"/>
    <w:rsid w:val="002226BB"/>
    <w:rsid w:val="002264B0"/>
    <w:rsid w:val="00230A9D"/>
    <w:rsid w:val="002423E9"/>
    <w:rsid w:val="0024760A"/>
    <w:rsid w:val="002519AF"/>
    <w:rsid w:val="00255241"/>
    <w:rsid w:val="00256564"/>
    <w:rsid w:val="00264013"/>
    <w:rsid w:val="00267447"/>
    <w:rsid w:val="00271176"/>
    <w:rsid w:val="00272CF6"/>
    <w:rsid w:val="002767BD"/>
    <w:rsid w:val="00283E77"/>
    <w:rsid w:val="002843CF"/>
    <w:rsid w:val="00284F26"/>
    <w:rsid w:val="00285D98"/>
    <w:rsid w:val="0028765C"/>
    <w:rsid w:val="002905EF"/>
    <w:rsid w:val="002909A5"/>
    <w:rsid w:val="00294C88"/>
    <w:rsid w:val="002962BB"/>
    <w:rsid w:val="002A19B9"/>
    <w:rsid w:val="002A1DC2"/>
    <w:rsid w:val="002A391E"/>
    <w:rsid w:val="002A4C6E"/>
    <w:rsid w:val="002A61A8"/>
    <w:rsid w:val="002B2225"/>
    <w:rsid w:val="002B4DAE"/>
    <w:rsid w:val="002B5EB5"/>
    <w:rsid w:val="002C0C16"/>
    <w:rsid w:val="002C0FA8"/>
    <w:rsid w:val="002C40DE"/>
    <w:rsid w:val="002C44EB"/>
    <w:rsid w:val="002C4E1F"/>
    <w:rsid w:val="002C58B5"/>
    <w:rsid w:val="002C6B20"/>
    <w:rsid w:val="002C7772"/>
    <w:rsid w:val="002C7BB0"/>
    <w:rsid w:val="002C7EE8"/>
    <w:rsid w:val="002D7122"/>
    <w:rsid w:val="002E090D"/>
    <w:rsid w:val="002F0454"/>
    <w:rsid w:val="002F1A80"/>
    <w:rsid w:val="002F2757"/>
    <w:rsid w:val="002F3552"/>
    <w:rsid w:val="002F397B"/>
    <w:rsid w:val="002F4A17"/>
    <w:rsid w:val="002F4DB5"/>
    <w:rsid w:val="002F5DF1"/>
    <w:rsid w:val="002F7CC0"/>
    <w:rsid w:val="0030060E"/>
    <w:rsid w:val="00302019"/>
    <w:rsid w:val="00302F53"/>
    <w:rsid w:val="0030313E"/>
    <w:rsid w:val="0031269E"/>
    <w:rsid w:val="00313A0A"/>
    <w:rsid w:val="00313E9D"/>
    <w:rsid w:val="00314E24"/>
    <w:rsid w:val="00314FA1"/>
    <w:rsid w:val="00316801"/>
    <w:rsid w:val="00317247"/>
    <w:rsid w:val="00327BE3"/>
    <w:rsid w:val="00330EE2"/>
    <w:rsid w:val="0033123D"/>
    <w:rsid w:val="00331C1B"/>
    <w:rsid w:val="00331D54"/>
    <w:rsid w:val="00334C69"/>
    <w:rsid w:val="00336102"/>
    <w:rsid w:val="00343476"/>
    <w:rsid w:val="003434C1"/>
    <w:rsid w:val="00345D1F"/>
    <w:rsid w:val="00345F9E"/>
    <w:rsid w:val="003471DF"/>
    <w:rsid w:val="0035116D"/>
    <w:rsid w:val="003576AB"/>
    <w:rsid w:val="0036022C"/>
    <w:rsid w:val="00364D18"/>
    <w:rsid w:val="00370A40"/>
    <w:rsid w:val="00374FA3"/>
    <w:rsid w:val="0037616A"/>
    <w:rsid w:val="003802FD"/>
    <w:rsid w:val="00383175"/>
    <w:rsid w:val="003842EF"/>
    <w:rsid w:val="00385201"/>
    <w:rsid w:val="003855B8"/>
    <w:rsid w:val="00385752"/>
    <w:rsid w:val="00385B58"/>
    <w:rsid w:val="00391D5B"/>
    <w:rsid w:val="00395389"/>
    <w:rsid w:val="00396425"/>
    <w:rsid w:val="003A1715"/>
    <w:rsid w:val="003B276C"/>
    <w:rsid w:val="003B2E1C"/>
    <w:rsid w:val="003B4E9F"/>
    <w:rsid w:val="003C0D87"/>
    <w:rsid w:val="003C0FDE"/>
    <w:rsid w:val="003C58D5"/>
    <w:rsid w:val="003C6384"/>
    <w:rsid w:val="003C6998"/>
    <w:rsid w:val="003D0FBF"/>
    <w:rsid w:val="003D67E9"/>
    <w:rsid w:val="003D74F5"/>
    <w:rsid w:val="003E2995"/>
    <w:rsid w:val="003E7139"/>
    <w:rsid w:val="003F11A2"/>
    <w:rsid w:val="003F4300"/>
    <w:rsid w:val="0040027D"/>
    <w:rsid w:val="00405633"/>
    <w:rsid w:val="00415E9A"/>
    <w:rsid w:val="00417734"/>
    <w:rsid w:val="00427F5C"/>
    <w:rsid w:val="00431336"/>
    <w:rsid w:val="00437375"/>
    <w:rsid w:val="004375F5"/>
    <w:rsid w:val="0044352D"/>
    <w:rsid w:val="0044695E"/>
    <w:rsid w:val="00447EFF"/>
    <w:rsid w:val="00454BF1"/>
    <w:rsid w:val="00462F98"/>
    <w:rsid w:val="0047070F"/>
    <w:rsid w:val="004707BC"/>
    <w:rsid w:val="004728F6"/>
    <w:rsid w:val="00473265"/>
    <w:rsid w:val="004778D4"/>
    <w:rsid w:val="00482957"/>
    <w:rsid w:val="004839CA"/>
    <w:rsid w:val="00483DC0"/>
    <w:rsid w:val="004840FC"/>
    <w:rsid w:val="00485FF1"/>
    <w:rsid w:val="00487296"/>
    <w:rsid w:val="004912B5"/>
    <w:rsid w:val="00492DAD"/>
    <w:rsid w:val="00493673"/>
    <w:rsid w:val="004937E6"/>
    <w:rsid w:val="004943F1"/>
    <w:rsid w:val="004A31FE"/>
    <w:rsid w:val="004A73F7"/>
    <w:rsid w:val="004A7888"/>
    <w:rsid w:val="004B0594"/>
    <w:rsid w:val="004B0DF1"/>
    <w:rsid w:val="004B35F8"/>
    <w:rsid w:val="004B3BDF"/>
    <w:rsid w:val="004B5E36"/>
    <w:rsid w:val="004C5094"/>
    <w:rsid w:val="004E2BEF"/>
    <w:rsid w:val="004E48B1"/>
    <w:rsid w:val="004E58BB"/>
    <w:rsid w:val="004F1EEF"/>
    <w:rsid w:val="004F6F57"/>
    <w:rsid w:val="00500D47"/>
    <w:rsid w:val="005030E8"/>
    <w:rsid w:val="005050D4"/>
    <w:rsid w:val="0050568A"/>
    <w:rsid w:val="00511572"/>
    <w:rsid w:val="00512670"/>
    <w:rsid w:val="00515659"/>
    <w:rsid w:val="005173FA"/>
    <w:rsid w:val="005243BC"/>
    <w:rsid w:val="00530C63"/>
    <w:rsid w:val="0053354A"/>
    <w:rsid w:val="005344D2"/>
    <w:rsid w:val="005377E6"/>
    <w:rsid w:val="00537E7C"/>
    <w:rsid w:val="00544E98"/>
    <w:rsid w:val="00546599"/>
    <w:rsid w:val="00547EA3"/>
    <w:rsid w:val="00550252"/>
    <w:rsid w:val="0055454D"/>
    <w:rsid w:val="00556F60"/>
    <w:rsid w:val="00563C4D"/>
    <w:rsid w:val="00564548"/>
    <w:rsid w:val="00564EBC"/>
    <w:rsid w:val="00565BEC"/>
    <w:rsid w:val="00566813"/>
    <w:rsid w:val="005671BD"/>
    <w:rsid w:val="00570392"/>
    <w:rsid w:val="00571A45"/>
    <w:rsid w:val="00571BB0"/>
    <w:rsid w:val="005750C1"/>
    <w:rsid w:val="00576704"/>
    <w:rsid w:val="00576BB7"/>
    <w:rsid w:val="005815CC"/>
    <w:rsid w:val="005827AF"/>
    <w:rsid w:val="00586390"/>
    <w:rsid w:val="0058709A"/>
    <w:rsid w:val="00587718"/>
    <w:rsid w:val="00587C0E"/>
    <w:rsid w:val="00597495"/>
    <w:rsid w:val="00597934"/>
    <w:rsid w:val="005A4417"/>
    <w:rsid w:val="005A4785"/>
    <w:rsid w:val="005A607A"/>
    <w:rsid w:val="005A6312"/>
    <w:rsid w:val="005B7201"/>
    <w:rsid w:val="005C1FE5"/>
    <w:rsid w:val="005C5D6D"/>
    <w:rsid w:val="005C6A44"/>
    <w:rsid w:val="005D0F4F"/>
    <w:rsid w:val="005D19A9"/>
    <w:rsid w:val="005D1DF7"/>
    <w:rsid w:val="005D34CF"/>
    <w:rsid w:val="005E3F90"/>
    <w:rsid w:val="005F3E91"/>
    <w:rsid w:val="005F4009"/>
    <w:rsid w:val="00600543"/>
    <w:rsid w:val="00601BA1"/>
    <w:rsid w:val="006027A7"/>
    <w:rsid w:val="00602FEB"/>
    <w:rsid w:val="00607DCA"/>
    <w:rsid w:val="00613EE9"/>
    <w:rsid w:val="00617412"/>
    <w:rsid w:val="006174AA"/>
    <w:rsid w:val="00617973"/>
    <w:rsid w:val="0062685A"/>
    <w:rsid w:val="006276D3"/>
    <w:rsid w:val="0063057F"/>
    <w:rsid w:val="006332E3"/>
    <w:rsid w:val="00635DF1"/>
    <w:rsid w:val="00642FB5"/>
    <w:rsid w:val="006448A1"/>
    <w:rsid w:val="00654938"/>
    <w:rsid w:val="00654D34"/>
    <w:rsid w:val="0066044A"/>
    <w:rsid w:val="006609D8"/>
    <w:rsid w:val="00662855"/>
    <w:rsid w:val="0066672F"/>
    <w:rsid w:val="006668DD"/>
    <w:rsid w:val="00670C42"/>
    <w:rsid w:val="00671F05"/>
    <w:rsid w:val="0067222E"/>
    <w:rsid w:val="006771D8"/>
    <w:rsid w:val="006802BE"/>
    <w:rsid w:val="00681980"/>
    <w:rsid w:val="0068429B"/>
    <w:rsid w:val="0068596E"/>
    <w:rsid w:val="0068707A"/>
    <w:rsid w:val="0069369D"/>
    <w:rsid w:val="00694495"/>
    <w:rsid w:val="00695A87"/>
    <w:rsid w:val="006A2D63"/>
    <w:rsid w:val="006A48FB"/>
    <w:rsid w:val="006A5471"/>
    <w:rsid w:val="006B0514"/>
    <w:rsid w:val="006C0E94"/>
    <w:rsid w:val="006C418E"/>
    <w:rsid w:val="006C727B"/>
    <w:rsid w:val="006D224C"/>
    <w:rsid w:val="006D7EC4"/>
    <w:rsid w:val="006E2E9E"/>
    <w:rsid w:val="006E62D5"/>
    <w:rsid w:val="006E6FED"/>
    <w:rsid w:val="006F6022"/>
    <w:rsid w:val="0070226B"/>
    <w:rsid w:val="00706726"/>
    <w:rsid w:val="00711D45"/>
    <w:rsid w:val="007169EC"/>
    <w:rsid w:val="00720940"/>
    <w:rsid w:val="0072288A"/>
    <w:rsid w:val="00723957"/>
    <w:rsid w:val="00726962"/>
    <w:rsid w:val="00727CBC"/>
    <w:rsid w:val="00731B4D"/>
    <w:rsid w:val="007335BC"/>
    <w:rsid w:val="00733929"/>
    <w:rsid w:val="007340A8"/>
    <w:rsid w:val="00743F64"/>
    <w:rsid w:val="00745443"/>
    <w:rsid w:val="00746614"/>
    <w:rsid w:val="00747E2A"/>
    <w:rsid w:val="00751386"/>
    <w:rsid w:val="00751DA4"/>
    <w:rsid w:val="00754E5E"/>
    <w:rsid w:val="0075720C"/>
    <w:rsid w:val="00760964"/>
    <w:rsid w:val="0076340C"/>
    <w:rsid w:val="00764129"/>
    <w:rsid w:val="0076535C"/>
    <w:rsid w:val="007728A1"/>
    <w:rsid w:val="00772F10"/>
    <w:rsid w:val="00773579"/>
    <w:rsid w:val="00774654"/>
    <w:rsid w:val="007775C7"/>
    <w:rsid w:val="00784820"/>
    <w:rsid w:val="007876DE"/>
    <w:rsid w:val="00787D39"/>
    <w:rsid w:val="00790D16"/>
    <w:rsid w:val="00793063"/>
    <w:rsid w:val="00794AA4"/>
    <w:rsid w:val="00797352"/>
    <w:rsid w:val="007A6B46"/>
    <w:rsid w:val="007B15A5"/>
    <w:rsid w:val="007B1EAC"/>
    <w:rsid w:val="007B671C"/>
    <w:rsid w:val="007B7B74"/>
    <w:rsid w:val="007C1EF9"/>
    <w:rsid w:val="007C2769"/>
    <w:rsid w:val="007C7708"/>
    <w:rsid w:val="007D22F5"/>
    <w:rsid w:val="007D2C98"/>
    <w:rsid w:val="007D3F62"/>
    <w:rsid w:val="007D56B4"/>
    <w:rsid w:val="007D60FF"/>
    <w:rsid w:val="007D7CC1"/>
    <w:rsid w:val="007E0382"/>
    <w:rsid w:val="007E3C03"/>
    <w:rsid w:val="007E7368"/>
    <w:rsid w:val="007F0237"/>
    <w:rsid w:val="007F4BE2"/>
    <w:rsid w:val="007F5154"/>
    <w:rsid w:val="0080082D"/>
    <w:rsid w:val="00803589"/>
    <w:rsid w:val="00803EF1"/>
    <w:rsid w:val="00812167"/>
    <w:rsid w:val="00815367"/>
    <w:rsid w:val="00816D9B"/>
    <w:rsid w:val="00825F5C"/>
    <w:rsid w:val="0082677B"/>
    <w:rsid w:val="00826CD8"/>
    <w:rsid w:val="00826E38"/>
    <w:rsid w:val="0083005C"/>
    <w:rsid w:val="008314A5"/>
    <w:rsid w:val="0083542A"/>
    <w:rsid w:val="00840E68"/>
    <w:rsid w:val="008475A2"/>
    <w:rsid w:val="00847877"/>
    <w:rsid w:val="0085098F"/>
    <w:rsid w:val="00850B0C"/>
    <w:rsid w:val="008530CF"/>
    <w:rsid w:val="00856073"/>
    <w:rsid w:val="0086250A"/>
    <w:rsid w:val="008669D7"/>
    <w:rsid w:val="00871F1D"/>
    <w:rsid w:val="008801AD"/>
    <w:rsid w:val="00881B27"/>
    <w:rsid w:val="00885D1B"/>
    <w:rsid w:val="00894DD4"/>
    <w:rsid w:val="008A152A"/>
    <w:rsid w:val="008A26BF"/>
    <w:rsid w:val="008A2D91"/>
    <w:rsid w:val="008C0233"/>
    <w:rsid w:val="008C1466"/>
    <w:rsid w:val="008C1B88"/>
    <w:rsid w:val="008C3221"/>
    <w:rsid w:val="008C72EE"/>
    <w:rsid w:val="008D191C"/>
    <w:rsid w:val="008D2DE4"/>
    <w:rsid w:val="008D713B"/>
    <w:rsid w:val="008E3D75"/>
    <w:rsid w:val="008E478F"/>
    <w:rsid w:val="008F3FC9"/>
    <w:rsid w:val="008F79F1"/>
    <w:rsid w:val="0090087B"/>
    <w:rsid w:val="00901133"/>
    <w:rsid w:val="00902458"/>
    <w:rsid w:val="009024F8"/>
    <w:rsid w:val="00910062"/>
    <w:rsid w:val="009129F5"/>
    <w:rsid w:val="00914A26"/>
    <w:rsid w:val="009172D3"/>
    <w:rsid w:val="009212E7"/>
    <w:rsid w:val="0092142A"/>
    <w:rsid w:val="0092691E"/>
    <w:rsid w:val="009321EE"/>
    <w:rsid w:val="009334E7"/>
    <w:rsid w:val="00937600"/>
    <w:rsid w:val="00937D61"/>
    <w:rsid w:val="00946040"/>
    <w:rsid w:val="0094763D"/>
    <w:rsid w:val="009513C8"/>
    <w:rsid w:val="009515FE"/>
    <w:rsid w:val="00953829"/>
    <w:rsid w:val="00953C68"/>
    <w:rsid w:val="00960BCF"/>
    <w:rsid w:val="0096417C"/>
    <w:rsid w:val="009652DB"/>
    <w:rsid w:val="00967B70"/>
    <w:rsid w:val="00973763"/>
    <w:rsid w:val="00973815"/>
    <w:rsid w:val="00974A8F"/>
    <w:rsid w:val="00977D92"/>
    <w:rsid w:val="0098038B"/>
    <w:rsid w:val="00980D93"/>
    <w:rsid w:val="00980EBF"/>
    <w:rsid w:val="00981AB2"/>
    <w:rsid w:val="00981E28"/>
    <w:rsid w:val="00984A4F"/>
    <w:rsid w:val="00984DBE"/>
    <w:rsid w:val="00985034"/>
    <w:rsid w:val="00996248"/>
    <w:rsid w:val="009964CA"/>
    <w:rsid w:val="00997A92"/>
    <w:rsid w:val="009A1623"/>
    <w:rsid w:val="009A1E2F"/>
    <w:rsid w:val="009A2E04"/>
    <w:rsid w:val="009A6921"/>
    <w:rsid w:val="009B0891"/>
    <w:rsid w:val="009B0D8C"/>
    <w:rsid w:val="009B4747"/>
    <w:rsid w:val="009B62C0"/>
    <w:rsid w:val="009B6BB9"/>
    <w:rsid w:val="009B6E5D"/>
    <w:rsid w:val="009C0792"/>
    <w:rsid w:val="009C51A7"/>
    <w:rsid w:val="009C722F"/>
    <w:rsid w:val="009D0A87"/>
    <w:rsid w:val="009D1A4D"/>
    <w:rsid w:val="009D3FFF"/>
    <w:rsid w:val="009D51FB"/>
    <w:rsid w:val="009E01F9"/>
    <w:rsid w:val="009E29E2"/>
    <w:rsid w:val="009E2FBD"/>
    <w:rsid w:val="009E303D"/>
    <w:rsid w:val="009F052F"/>
    <w:rsid w:val="009F07CA"/>
    <w:rsid w:val="009F416D"/>
    <w:rsid w:val="009F5E38"/>
    <w:rsid w:val="00A00136"/>
    <w:rsid w:val="00A00375"/>
    <w:rsid w:val="00A00BF7"/>
    <w:rsid w:val="00A03A65"/>
    <w:rsid w:val="00A06BA4"/>
    <w:rsid w:val="00A076C5"/>
    <w:rsid w:val="00A07E8D"/>
    <w:rsid w:val="00A10BD0"/>
    <w:rsid w:val="00A12FEA"/>
    <w:rsid w:val="00A150AD"/>
    <w:rsid w:val="00A20C6C"/>
    <w:rsid w:val="00A26556"/>
    <w:rsid w:val="00A30B49"/>
    <w:rsid w:val="00A32761"/>
    <w:rsid w:val="00A363F0"/>
    <w:rsid w:val="00A4144E"/>
    <w:rsid w:val="00A41BEE"/>
    <w:rsid w:val="00A42F0A"/>
    <w:rsid w:val="00A42F1B"/>
    <w:rsid w:val="00A444AC"/>
    <w:rsid w:val="00A45F1F"/>
    <w:rsid w:val="00A515B0"/>
    <w:rsid w:val="00A525C7"/>
    <w:rsid w:val="00A533EF"/>
    <w:rsid w:val="00A53A9C"/>
    <w:rsid w:val="00A57613"/>
    <w:rsid w:val="00A638B6"/>
    <w:rsid w:val="00A75C7B"/>
    <w:rsid w:val="00A76257"/>
    <w:rsid w:val="00A766E9"/>
    <w:rsid w:val="00A813EB"/>
    <w:rsid w:val="00A81C6C"/>
    <w:rsid w:val="00A908B5"/>
    <w:rsid w:val="00A95F30"/>
    <w:rsid w:val="00A96AA7"/>
    <w:rsid w:val="00AA04C8"/>
    <w:rsid w:val="00AA18B4"/>
    <w:rsid w:val="00AA2F1F"/>
    <w:rsid w:val="00AA3B96"/>
    <w:rsid w:val="00AA4597"/>
    <w:rsid w:val="00AA5816"/>
    <w:rsid w:val="00AA58EC"/>
    <w:rsid w:val="00AA6E55"/>
    <w:rsid w:val="00AB1C92"/>
    <w:rsid w:val="00AB3297"/>
    <w:rsid w:val="00AB3A6F"/>
    <w:rsid w:val="00AB3E48"/>
    <w:rsid w:val="00AB5046"/>
    <w:rsid w:val="00AB5B57"/>
    <w:rsid w:val="00AB631E"/>
    <w:rsid w:val="00AC035F"/>
    <w:rsid w:val="00AC6A13"/>
    <w:rsid w:val="00AD00B5"/>
    <w:rsid w:val="00AD520B"/>
    <w:rsid w:val="00AE42B6"/>
    <w:rsid w:val="00AE755A"/>
    <w:rsid w:val="00AF47F4"/>
    <w:rsid w:val="00AF4A82"/>
    <w:rsid w:val="00AF7C68"/>
    <w:rsid w:val="00B00168"/>
    <w:rsid w:val="00B0132C"/>
    <w:rsid w:val="00B05246"/>
    <w:rsid w:val="00B05D72"/>
    <w:rsid w:val="00B11588"/>
    <w:rsid w:val="00B118E7"/>
    <w:rsid w:val="00B13C92"/>
    <w:rsid w:val="00B140F4"/>
    <w:rsid w:val="00B159DD"/>
    <w:rsid w:val="00B169DA"/>
    <w:rsid w:val="00B20811"/>
    <w:rsid w:val="00B23F93"/>
    <w:rsid w:val="00B26D38"/>
    <w:rsid w:val="00B3206B"/>
    <w:rsid w:val="00B33925"/>
    <w:rsid w:val="00B34560"/>
    <w:rsid w:val="00B3498C"/>
    <w:rsid w:val="00B37191"/>
    <w:rsid w:val="00B419EF"/>
    <w:rsid w:val="00B421D7"/>
    <w:rsid w:val="00B43286"/>
    <w:rsid w:val="00B52128"/>
    <w:rsid w:val="00B559AA"/>
    <w:rsid w:val="00B57372"/>
    <w:rsid w:val="00B62ADC"/>
    <w:rsid w:val="00B62AF9"/>
    <w:rsid w:val="00B651AF"/>
    <w:rsid w:val="00B65C7A"/>
    <w:rsid w:val="00B66D8A"/>
    <w:rsid w:val="00B74432"/>
    <w:rsid w:val="00B7655C"/>
    <w:rsid w:val="00B76E39"/>
    <w:rsid w:val="00B8104A"/>
    <w:rsid w:val="00B83DBE"/>
    <w:rsid w:val="00B850B8"/>
    <w:rsid w:val="00B8515D"/>
    <w:rsid w:val="00B873E3"/>
    <w:rsid w:val="00B90135"/>
    <w:rsid w:val="00B903A9"/>
    <w:rsid w:val="00B93EA3"/>
    <w:rsid w:val="00B96567"/>
    <w:rsid w:val="00B974F6"/>
    <w:rsid w:val="00BA5496"/>
    <w:rsid w:val="00BA69B2"/>
    <w:rsid w:val="00BB331D"/>
    <w:rsid w:val="00BB6757"/>
    <w:rsid w:val="00BB7C75"/>
    <w:rsid w:val="00BC196E"/>
    <w:rsid w:val="00BC7F62"/>
    <w:rsid w:val="00BD1F1B"/>
    <w:rsid w:val="00BD7B29"/>
    <w:rsid w:val="00BE4274"/>
    <w:rsid w:val="00BF72AF"/>
    <w:rsid w:val="00C0309C"/>
    <w:rsid w:val="00C07034"/>
    <w:rsid w:val="00C10383"/>
    <w:rsid w:val="00C112F8"/>
    <w:rsid w:val="00C202CC"/>
    <w:rsid w:val="00C2191C"/>
    <w:rsid w:val="00C25BF3"/>
    <w:rsid w:val="00C26417"/>
    <w:rsid w:val="00C41515"/>
    <w:rsid w:val="00C42402"/>
    <w:rsid w:val="00C43B86"/>
    <w:rsid w:val="00C44166"/>
    <w:rsid w:val="00C46CE9"/>
    <w:rsid w:val="00C47FC8"/>
    <w:rsid w:val="00C5061B"/>
    <w:rsid w:val="00C52C21"/>
    <w:rsid w:val="00C5358A"/>
    <w:rsid w:val="00C54938"/>
    <w:rsid w:val="00C55AED"/>
    <w:rsid w:val="00C56AF3"/>
    <w:rsid w:val="00C601F3"/>
    <w:rsid w:val="00C6153E"/>
    <w:rsid w:val="00C6412E"/>
    <w:rsid w:val="00C66E67"/>
    <w:rsid w:val="00C71056"/>
    <w:rsid w:val="00C84627"/>
    <w:rsid w:val="00C85357"/>
    <w:rsid w:val="00C86C45"/>
    <w:rsid w:val="00C91C5F"/>
    <w:rsid w:val="00C9236E"/>
    <w:rsid w:val="00C92B08"/>
    <w:rsid w:val="00CA0416"/>
    <w:rsid w:val="00CA3AE6"/>
    <w:rsid w:val="00CA5913"/>
    <w:rsid w:val="00CA5EEC"/>
    <w:rsid w:val="00CA6716"/>
    <w:rsid w:val="00CB36ED"/>
    <w:rsid w:val="00CB624C"/>
    <w:rsid w:val="00CC7E80"/>
    <w:rsid w:val="00CD54D7"/>
    <w:rsid w:val="00CD5558"/>
    <w:rsid w:val="00CE7092"/>
    <w:rsid w:val="00CF2E96"/>
    <w:rsid w:val="00CF72A3"/>
    <w:rsid w:val="00D00E94"/>
    <w:rsid w:val="00D0167E"/>
    <w:rsid w:val="00D05EA9"/>
    <w:rsid w:val="00D060CB"/>
    <w:rsid w:val="00D06C91"/>
    <w:rsid w:val="00D17302"/>
    <w:rsid w:val="00D21729"/>
    <w:rsid w:val="00D23466"/>
    <w:rsid w:val="00D24A9C"/>
    <w:rsid w:val="00D33604"/>
    <w:rsid w:val="00D3435D"/>
    <w:rsid w:val="00D34709"/>
    <w:rsid w:val="00D35DD0"/>
    <w:rsid w:val="00D4627E"/>
    <w:rsid w:val="00D5156D"/>
    <w:rsid w:val="00D5499E"/>
    <w:rsid w:val="00D5582C"/>
    <w:rsid w:val="00D56838"/>
    <w:rsid w:val="00D56D4D"/>
    <w:rsid w:val="00D60806"/>
    <w:rsid w:val="00D62303"/>
    <w:rsid w:val="00D64CB2"/>
    <w:rsid w:val="00D66DF3"/>
    <w:rsid w:val="00D676A9"/>
    <w:rsid w:val="00D67A09"/>
    <w:rsid w:val="00D70787"/>
    <w:rsid w:val="00D725D0"/>
    <w:rsid w:val="00D7524B"/>
    <w:rsid w:val="00D75382"/>
    <w:rsid w:val="00D862B5"/>
    <w:rsid w:val="00D90E20"/>
    <w:rsid w:val="00D940AE"/>
    <w:rsid w:val="00D97CD9"/>
    <w:rsid w:val="00DA060A"/>
    <w:rsid w:val="00DA4070"/>
    <w:rsid w:val="00DB04A3"/>
    <w:rsid w:val="00DB0F7B"/>
    <w:rsid w:val="00DB1334"/>
    <w:rsid w:val="00DB610E"/>
    <w:rsid w:val="00DB65A8"/>
    <w:rsid w:val="00DC0B8A"/>
    <w:rsid w:val="00DC4C4A"/>
    <w:rsid w:val="00DC5BCE"/>
    <w:rsid w:val="00DC7EEF"/>
    <w:rsid w:val="00DD11FC"/>
    <w:rsid w:val="00DD2AEF"/>
    <w:rsid w:val="00DD3F68"/>
    <w:rsid w:val="00DE4D51"/>
    <w:rsid w:val="00DE5218"/>
    <w:rsid w:val="00DE687E"/>
    <w:rsid w:val="00DE7B85"/>
    <w:rsid w:val="00DF3A68"/>
    <w:rsid w:val="00DF54B8"/>
    <w:rsid w:val="00DF5F4A"/>
    <w:rsid w:val="00E01CBD"/>
    <w:rsid w:val="00E128FA"/>
    <w:rsid w:val="00E14E4A"/>
    <w:rsid w:val="00E21D46"/>
    <w:rsid w:val="00E259C8"/>
    <w:rsid w:val="00E2694A"/>
    <w:rsid w:val="00E30D13"/>
    <w:rsid w:val="00E319D0"/>
    <w:rsid w:val="00E31AAA"/>
    <w:rsid w:val="00E3456D"/>
    <w:rsid w:val="00E36393"/>
    <w:rsid w:val="00E43886"/>
    <w:rsid w:val="00E44708"/>
    <w:rsid w:val="00E53EED"/>
    <w:rsid w:val="00E57FC1"/>
    <w:rsid w:val="00E66594"/>
    <w:rsid w:val="00E669B1"/>
    <w:rsid w:val="00E718E2"/>
    <w:rsid w:val="00E759C6"/>
    <w:rsid w:val="00E7713F"/>
    <w:rsid w:val="00E80017"/>
    <w:rsid w:val="00E80775"/>
    <w:rsid w:val="00E8421D"/>
    <w:rsid w:val="00E84910"/>
    <w:rsid w:val="00E87C0B"/>
    <w:rsid w:val="00E9092A"/>
    <w:rsid w:val="00E91CA7"/>
    <w:rsid w:val="00E92035"/>
    <w:rsid w:val="00E9225E"/>
    <w:rsid w:val="00E92D21"/>
    <w:rsid w:val="00EA3DC1"/>
    <w:rsid w:val="00EA478F"/>
    <w:rsid w:val="00EA59C9"/>
    <w:rsid w:val="00EA652C"/>
    <w:rsid w:val="00EA7869"/>
    <w:rsid w:val="00EA7BAC"/>
    <w:rsid w:val="00EB0F67"/>
    <w:rsid w:val="00EB4CE8"/>
    <w:rsid w:val="00EB654A"/>
    <w:rsid w:val="00EB6E8F"/>
    <w:rsid w:val="00EC100A"/>
    <w:rsid w:val="00EC2CF2"/>
    <w:rsid w:val="00EC5118"/>
    <w:rsid w:val="00ED192B"/>
    <w:rsid w:val="00ED351A"/>
    <w:rsid w:val="00ED53A8"/>
    <w:rsid w:val="00ED576F"/>
    <w:rsid w:val="00ED66AF"/>
    <w:rsid w:val="00ED6762"/>
    <w:rsid w:val="00ED7167"/>
    <w:rsid w:val="00ED7CB5"/>
    <w:rsid w:val="00EE0BB8"/>
    <w:rsid w:val="00EE2F50"/>
    <w:rsid w:val="00EE3377"/>
    <w:rsid w:val="00EE3709"/>
    <w:rsid w:val="00EE5BF1"/>
    <w:rsid w:val="00EF0E83"/>
    <w:rsid w:val="00EF1FFB"/>
    <w:rsid w:val="00F04338"/>
    <w:rsid w:val="00F07186"/>
    <w:rsid w:val="00F13F96"/>
    <w:rsid w:val="00F241F2"/>
    <w:rsid w:val="00F266E2"/>
    <w:rsid w:val="00F3186C"/>
    <w:rsid w:val="00F343D4"/>
    <w:rsid w:val="00F349B1"/>
    <w:rsid w:val="00F34AB7"/>
    <w:rsid w:val="00F355B4"/>
    <w:rsid w:val="00F36C96"/>
    <w:rsid w:val="00F40B37"/>
    <w:rsid w:val="00F42013"/>
    <w:rsid w:val="00F428E6"/>
    <w:rsid w:val="00F47255"/>
    <w:rsid w:val="00F50317"/>
    <w:rsid w:val="00F50499"/>
    <w:rsid w:val="00F50D9E"/>
    <w:rsid w:val="00F52E04"/>
    <w:rsid w:val="00F54227"/>
    <w:rsid w:val="00F57AA0"/>
    <w:rsid w:val="00F60423"/>
    <w:rsid w:val="00F605BA"/>
    <w:rsid w:val="00F70A3F"/>
    <w:rsid w:val="00F70FBE"/>
    <w:rsid w:val="00F711DD"/>
    <w:rsid w:val="00F72D7E"/>
    <w:rsid w:val="00F74C70"/>
    <w:rsid w:val="00F74D36"/>
    <w:rsid w:val="00F74D94"/>
    <w:rsid w:val="00F83B2B"/>
    <w:rsid w:val="00F84027"/>
    <w:rsid w:val="00F8460A"/>
    <w:rsid w:val="00F8751D"/>
    <w:rsid w:val="00F91EFC"/>
    <w:rsid w:val="00F95A1C"/>
    <w:rsid w:val="00FA054E"/>
    <w:rsid w:val="00FA1059"/>
    <w:rsid w:val="00FA314E"/>
    <w:rsid w:val="00FA4D6F"/>
    <w:rsid w:val="00FA76ED"/>
    <w:rsid w:val="00FA7A43"/>
    <w:rsid w:val="00FB413E"/>
    <w:rsid w:val="00FC0267"/>
    <w:rsid w:val="00FC0B10"/>
    <w:rsid w:val="00FC1249"/>
    <w:rsid w:val="00FC4854"/>
    <w:rsid w:val="00FD1BF6"/>
    <w:rsid w:val="00FD1C1D"/>
    <w:rsid w:val="00FD5751"/>
    <w:rsid w:val="00FF6E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DC9CBB-EAA0-4723-BE67-B13ADAB1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EE9"/>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60A"/>
    <w:pPr>
      <w:ind w:left="720"/>
      <w:contextualSpacing/>
    </w:pPr>
    <w:rPr>
      <w:lang w:val="en-GB"/>
    </w:rPr>
  </w:style>
  <w:style w:type="character" w:styleId="Hyperlink">
    <w:name w:val="Hyperlink"/>
    <w:basedOn w:val="DefaultParagraphFont"/>
    <w:uiPriority w:val="99"/>
    <w:unhideWhenUsed/>
    <w:rsid w:val="00314FA1"/>
    <w:rPr>
      <w:color w:val="0000FF" w:themeColor="hyperlink"/>
      <w:u w:val="single"/>
    </w:rPr>
  </w:style>
  <w:style w:type="paragraph" w:styleId="HTMLPreformatted">
    <w:name w:val="HTML Preformatted"/>
    <w:basedOn w:val="Normal"/>
    <w:link w:val="HTMLPreformattedChar"/>
    <w:uiPriority w:val="99"/>
    <w:unhideWhenUsed/>
    <w:rsid w:val="00314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314FA1"/>
    <w:rPr>
      <w:rFonts w:ascii="Courier New" w:eastAsia="Times New Roman" w:hAnsi="Courier New" w:cs="Courier New"/>
      <w:sz w:val="20"/>
      <w:szCs w:val="20"/>
      <w:lang w:eastAsia="en-GB"/>
    </w:rPr>
  </w:style>
  <w:style w:type="character" w:styleId="Emphasis">
    <w:name w:val="Emphasis"/>
    <w:basedOn w:val="DefaultParagraphFont"/>
    <w:uiPriority w:val="20"/>
    <w:qFormat/>
    <w:rsid w:val="00314FA1"/>
    <w:rPr>
      <w:i/>
      <w:iCs/>
    </w:rPr>
  </w:style>
  <w:style w:type="paragraph" w:styleId="FootnoteText">
    <w:name w:val="footnote text"/>
    <w:basedOn w:val="Normal"/>
    <w:link w:val="FootnoteTextChar"/>
    <w:uiPriority w:val="99"/>
    <w:semiHidden/>
    <w:unhideWhenUsed/>
    <w:rsid w:val="00E34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456D"/>
    <w:rPr>
      <w:sz w:val="20"/>
      <w:szCs w:val="20"/>
      <w:lang w:val="de-DE"/>
    </w:rPr>
  </w:style>
  <w:style w:type="character" w:styleId="FootnoteReference">
    <w:name w:val="footnote reference"/>
    <w:basedOn w:val="DefaultParagraphFont"/>
    <w:uiPriority w:val="99"/>
    <w:semiHidden/>
    <w:unhideWhenUsed/>
    <w:rsid w:val="00E3456D"/>
    <w:rPr>
      <w:vertAlign w:val="superscript"/>
    </w:rPr>
  </w:style>
  <w:style w:type="paragraph" w:styleId="Header">
    <w:name w:val="header"/>
    <w:basedOn w:val="Normal"/>
    <w:link w:val="HeaderChar"/>
    <w:uiPriority w:val="99"/>
    <w:unhideWhenUsed/>
    <w:rsid w:val="002F3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552"/>
    <w:rPr>
      <w:lang w:val="de-DE"/>
    </w:rPr>
  </w:style>
  <w:style w:type="paragraph" w:styleId="Footer">
    <w:name w:val="footer"/>
    <w:basedOn w:val="Normal"/>
    <w:link w:val="FooterChar"/>
    <w:uiPriority w:val="99"/>
    <w:unhideWhenUsed/>
    <w:rsid w:val="002F3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552"/>
    <w:rPr>
      <w:lang w:val="de-DE"/>
    </w:rPr>
  </w:style>
  <w:style w:type="paragraph" w:styleId="BalloonText">
    <w:name w:val="Balloon Text"/>
    <w:basedOn w:val="Normal"/>
    <w:link w:val="BalloonTextChar"/>
    <w:uiPriority w:val="99"/>
    <w:semiHidden/>
    <w:unhideWhenUsed/>
    <w:rsid w:val="00CC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E80"/>
    <w:rPr>
      <w:rFonts w:ascii="Tahoma" w:hAnsi="Tahoma" w:cs="Tahoma"/>
      <w:sz w:val="16"/>
      <w:szCs w:val="16"/>
      <w:lang w:val="de-DE"/>
    </w:rPr>
  </w:style>
  <w:style w:type="paragraph" w:customStyle="1" w:styleId="EndNoteBibliographyTitle">
    <w:name w:val="EndNote Bibliography Title"/>
    <w:basedOn w:val="Normal"/>
    <w:link w:val="EndNoteBibliographyTitleChar"/>
    <w:rsid w:val="00330EE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0EE2"/>
    <w:rPr>
      <w:rFonts w:ascii="Calibri" w:hAnsi="Calibri" w:cs="Calibri"/>
      <w:noProof/>
      <w:lang w:val="en-US"/>
    </w:rPr>
  </w:style>
  <w:style w:type="paragraph" w:customStyle="1" w:styleId="EndNoteBibliography">
    <w:name w:val="EndNote Bibliography"/>
    <w:basedOn w:val="Normal"/>
    <w:link w:val="EndNoteBibliographyChar"/>
    <w:rsid w:val="00330EE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30EE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5606">
      <w:bodyDiv w:val="1"/>
      <w:marLeft w:val="0"/>
      <w:marRight w:val="0"/>
      <w:marTop w:val="0"/>
      <w:marBottom w:val="0"/>
      <w:divBdr>
        <w:top w:val="none" w:sz="0" w:space="0" w:color="auto"/>
        <w:left w:val="none" w:sz="0" w:space="0" w:color="auto"/>
        <w:bottom w:val="none" w:sz="0" w:space="0" w:color="auto"/>
        <w:right w:val="none" w:sz="0" w:space="0" w:color="auto"/>
      </w:divBdr>
    </w:div>
    <w:div w:id="325286448">
      <w:bodyDiv w:val="1"/>
      <w:marLeft w:val="0"/>
      <w:marRight w:val="0"/>
      <w:marTop w:val="0"/>
      <w:marBottom w:val="0"/>
      <w:divBdr>
        <w:top w:val="none" w:sz="0" w:space="0" w:color="auto"/>
        <w:left w:val="none" w:sz="0" w:space="0" w:color="auto"/>
        <w:bottom w:val="none" w:sz="0" w:space="0" w:color="auto"/>
        <w:right w:val="none" w:sz="0" w:space="0" w:color="auto"/>
      </w:divBdr>
    </w:div>
    <w:div w:id="599917756">
      <w:bodyDiv w:val="1"/>
      <w:marLeft w:val="0"/>
      <w:marRight w:val="0"/>
      <w:marTop w:val="0"/>
      <w:marBottom w:val="0"/>
      <w:divBdr>
        <w:top w:val="none" w:sz="0" w:space="0" w:color="auto"/>
        <w:left w:val="none" w:sz="0" w:space="0" w:color="auto"/>
        <w:bottom w:val="none" w:sz="0" w:space="0" w:color="auto"/>
        <w:right w:val="none" w:sz="0" w:space="0" w:color="auto"/>
      </w:divBdr>
    </w:div>
    <w:div w:id="713502152">
      <w:bodyDiv w:val="1"/>
      <w:marLeft w:val="0"/>
      <w:marRight w:val="0"/>
      <w:marTop w:val="0"/>
      <w:marBottom w:val="0"/>
      <w:divBdr>
        <w:top w:val="none" w:sz="0" w:space="0" w:color="auto"/>
        <w:left w:val="none" w:sz="0" w:space="0" w:color="auto"/>
        <w:bottom w:val="none" w:sz="0" w:space="0" w:color="auto"/>
        <w:right w:val="none" w:sz="0" w:space="0" w:color="auto"/>
      </w:divBdr>
    </w:div>
    <w:div w:id="746266664">
      <w:bodyDiv w:val="1"/>
      <w:marLeft w:val="0"/>
      <w:marRight w:val="0"/>
      <w:marTop w:val="0"/>
      <w:marBottom w:val="0"/>
      <w:divBdr>
        <w:top w:val="none" w:sz="0" w:space="0" w:color="auto"/>
        <w:left w:val="none" w:sz="0" w:space="0" w:color="auto"/>
        <w:bottom w:val="none" w:sz="0" w:space="0" w:color="auto"/>
        <w:right w:val="none" w:sz="0" w:space="0" w:color="auto"/>
      </w:divBdr>
      <w:divsChild>
        <w:div w:id="1448043048">
          <w:marLeft w:val="547"/>
          <w:marRight w:val="0"/>
          <w:marTop w:val="96"/>
          <w:marBottom w:val="0"/>
          <w:divBdr>
            <w:top w:val="none" w:sz="0" w:space="0" w:color="auto"/>
            <w:left w:val="none" w:sz="0" w:space="0" w:color="auto"/>
            <w:bottom w:val="none" w:sz="0" w:space="0" w:color="auto"/>
            <w:right w:val="none" w:sz="0" w:space="0" w:color="auto"/>
          </w:divBdr>
        </w:div>
      </w:divsChild>
    </w:div>
    <w:div w:id="1753575921">
      <w:bodyDiv w:val="1"/>
      <w:marLeft w:val="0"/>
      <w:marRight w:val="0"/>
      <w:marTop w:val="0"/>
      <w:marBottom w:val="0"/>
      <w:divBdr>
        <w:top w:val="none" w:sz="0" w:space="0" w:color="auto"/>
        <w:left w:val="none" w:sz="0" w:space="0" w:color="auto"/>
        <w:bottom w:val="none" w:sz="0" w:space="0" w:color="auto"/>
        <w:right w:val="none" w:sz="0" w:space="0" w:color="auto"/>
      </w:divBdr>
    </w:div>
    <w:div w:id="18626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morys@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921E-ECDE-4D4E-8A14-0EE9D4A7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11925</Words>
  <Characters>67975</Characters>
  <Application>Microsoft Office Word</Application>
  <DocSecurity>0</DocSecurity>
  <Lines>566</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York</Company>
  <LinksUpToDate>false</LinksUpToDate>
  <CharactersWithSpaces>79741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Morys</dc:creator>
  <cp:lastModifiedBy>Megan Rose</cp:lastModifiedBy>
  <cp:revision>2</cp:revision>
  <cp:lastPrinted>2020-03-01T19:40:00Z</cp:lastPrinted>
  <dcterms:created xsi:type="dcterms:W3CDTF">2020-04-07T08:58:00Z</dcterms:created>
  <dcterms:modified xsi:type="dcterms:W3CDTF">2020-04-07T08:58:00Z</dcterms:modified>
</cp:coreProperties>
</file>