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96A2AE" w14:textId="09F299D1" w:rsidR="00255333" w:rsidRDefault="00715B12">
      <w:pPr>
        <w:widowControl w:val="0"/>
        <w:rPr>
          <w:b/>
        </w:rPr>
      </w:pPr>
      <w:r>
        <w:rPr>
          <w:b/>
        </w:rPr>
        <w:t xml:space="preserve">A re-evaluation of manner of death </w:t>
      </w:r>
      <w:r w:rsidR="00BB6A8D">
        <w:rPr>
          <w:b/>
        </w:rPr>
        <w:t xml:space="preserve">following the Vesuvius eruption </w:t>
      </w:r>
      <w:r>
        <w:rPr>
          <w:b/>
        </w:rPr>
        <w:t xml:space="preserve">at </w:t>
      </w:r>
      <w:r w:rsidR="00BB6A8D">
        <w:rPr>
          <w:b/>
        </w:rPr>
        <w:t xml:space="preserve">the Roman town of </w:t>
      </w:r>
      <w:r>
        <w:rPr>
          <w:b/>
        </w:rPr>
        <w:t>Herculaneum.</w:t>
      </w:r>
    </w:p>
    <w:p w14:paraId="3FAFD355" w14:textId="3FC671A3" w:rsidR="00255333" w:rsidRDefault="00715B12">
      <w:pPr>
        <w:widowControl w:val="0"/>
        <w:pBdr>
          <w:top w:val="nil"/>
          <w:left w:val="nil"/>
          <w:bottom w:val="nil"/>
          <w:right w:val="nil"/>
          <w:between w:val="nil"/>
        </w:pBdr>
      </w:pPr>
      <w:r>
        <w:rPr>
          <w:b/>
          <w:i/>
        </w:rPr>
        <w:t>Keywords:</w:t>
      </w:r>
      <w:r>
        <w:t xml:space="preserve"> Herculaneum; Vesuvius; thermal diagenesis; </w:t>
      </w:r>
      <w:r w:rsidR="00BB6A8D">
        <w:t xml:space="preserve">bone; </w:t>
      </w:r>
      <w:r>
        <w:t>FTIR; collagen.</w:t>
      </w:r>
    </w:p>
    <w:p w14:paraId="574B315B" w14:textId="77777777" w:rsidR="00255333" w:rsidRDefault="00715B12">
      <w:pPr>
        <w:widowControl w:val="0"/>
        <w:pBdr>
          <w:top w:val="nil"/>
          <w:left w:val="nil"/>
          <w:bottom w:val="nil"/>
          <w:right w:val="nil"/>
          <w:between w:val="nil"/>
        </w:pBdr>
        <w:rPr>
          <w:b/>
        </w:rPr>
      </w:pPr>
      <w:r>
        <w:rPr>
          <w:b/>
        </w:rPr>
        <w:t>Abstract</w:t>
      </w:r>
    </w:p>
    <w:p w14:paraId="7AB142DA" w14:textId="3B03A651" w:rsidR="00255333" w:rsidRDefault="00C93435" w:rsidP="00C93435">
      <w:pPr>
        <w:widowControl w:val="0"/>
        <w:pBdr>
          <w:top w:val="nil"/>
          <w:left w:val="nil"/>
          <w:bottom w:val="nil"/>
          <w:right w:val="nil"/>
          <w:between w:val="nil"/>
        </w:pBdr>
      </w:pPr>
      <w:r>
        <w:t xml:space="preserve">Herculaneum is one of the most famous Roman settlements in the world. One of the details which remains unclear is the specific </w:t>
      </w:r>
      <w:proofErr w:type="gramStart"/>
      <w:r>
        <w:t>manner in which</w:t>
      </w:r>
      <w:proofErr w:type="gramEnd"/>
      <w:r>
        <w:t xml:space="preserve"> the victims died during the eruption. We</w:t>
      </w:r>
      <w:r w:rsidR="00E878FD">
        <w:t xml:space="preserve"> </w:t>
      </w:r>
      <w:r w:rsidR="00715B12">
        <w:t xml:space="preserve">address this issue here through the investigation of changes in bone apatite structure and collagen preservation using Fourier Transform Infrared Spectroscopy (FTIR) combined with collagen extraction (Craig et al., 2009). We suggest that the prolonged presence of soft tissue at the time of impact, as well as the stone chambers </w:t>
      </w:r>
      <w:r w:rsidR="00510EC8" w:rsidRPr="00510EC8">
        <w:t>in which the inhabitants of</w:t>
      </w:r>
      <w:r w:rsidR="00510EC8">
        <w:t xml:space="preserve"> Herculaneum had sought shelter</w:t>
      </w:r>
      <w:r w:rsidR="00715B12">
        <w:t>, acted as a thermal buffer and thus minimised the heat-induced degradation of organic and inorganic skeletal tissues.</w:t>
      </w:r>
    </w:p>
    <w:p w14:paraId="7D5E9A61" w14:textId="77777777" w:rsidR="00255333" w:rsidRDefault="00715B12">
      <w:pPr>
        <w:widowControl w:val="0"/>
        <w:pBdr>
          <w:top w:val="nil"/>
          <w:left w:val="nil"/>
          <w:bottom w:val="nil"/>
          <w:right w:val="nil"/>
          <w:between w:val="nil"/>
        </w:pBdr>
        <w:rPr>
          <w:u w:val="single"/>
        </w:rPr>
      </w:pPr>
      <w:r>
        <w:rPr>
          <w:b/>
          <w:u w:val="single"/>
        </w:rPr>
        <w:t>Introduction</w:t>
      </w:r>
    </w:p>
    <w:p w14:paraId="31557EBD" w14:textId="5DD41011" w:rsidR="00255333" w:rsidRDefault="00715B12">
      <w:pPr>
        <w:widowControl w:val="0"/>
        <w:pBdr>
          <w:top w:val="nil"/>
          <w:left w:val="nil"/>
          <w:bottom w:val="nil"/>
          <w:right w:val="nil"/>
          <w:between w:val="nil"/>
        </w:pBdr>
      </w:pPr>
      <w:r>
        <w:t xml:space="preserve">The eruption of Mount Vesuvius on August 24, AD 79 is one of the most iconic and well-documented naturally destructive events from our known archaeological past. The exceptional preservation and quantity of the archaeological material recovered from sites such as Pompeii, Herculaneum, </w:t>
      </w:r>
      <w:proofErr w:type="spellStart"/>
      <w:r>
        <w:t>Oplontis</w:t>
      </w:r>
      <w:proofErr w:type="spellEnd"/>
      <w:r>
        <w:t xml:space="preserve"> and </w:t>
      </w:r>
      <w:proofErr w:type="spellStart"/>
      <w:r>
        <w:t>Stabiae</w:t>
      </w:r>
      <w:proofErr w:type="spellEnd"/>
      <w:r>
        <w:t xml:space="preserve"> present a resonant picture of Roman life before the eruption. The skeletal assemblage uncovered on the former seafront of Herculaneum and within</w:t>
      </w:r>
      <w:r w:rsidR="00E878FD">
        <w:t xml:space="preserve"> ten of the</w:t>
      </w:r>
      <w:r>
        <w:t xml:space="preserve"> twelve </w:t>
      </w:r>
      <w:proofErr w:type="spellStart"/>
      <w:r>
        <w:rPr>
          <w:i/>
        </w:rPr>
        <w:t>fornici</w:t>
      </w:r>
      <w:proofErr w:type="spellEnd"/>
      <w:r>
        <w:rPr>
          <w:i/>
        </w:rPr>
        <w:t xml:space="preserve"> </w:t>
      </w:r>
      <w:r>
        <w:t>(stone arched chambers</w:t>
      </w:r>
      <w:r w:rsidR="00956FAC">
        <w:t xml:space="preserve">; </w:t>
      </w:r>
      <w:bookmarkStart w:id="0" w:name="_GoBack"/>
      <w:r w:rsidR="00956FAC">
        <w:t>Figure</w:t>
      </w:r>
      <w:bookmarkEnd w:id="0"/>
      <w:r w:rsidR="00956FAC">
        <w:t xml:space="preserve"> 1</w:t>
      </w:r>
      <w:r>
        <w:t>) offers a unique snapshot of the lives and deaths of the town’s inhabitants, and has catalysed debate over the nature and manner of their deaths following recent developments in bioarchaeological analysis (</w:t>
      </w:r>
      <w:proofErr w:type="spellStart"/>
      <w:r>
        <w:t>Mastrolorenzo</w:t>
      </w:r>
      <w:proofErr w:type="spellEnd"/>
      <w:r>
        <w:t xml:space="preserve"> </w:t>
      </w:r>
      <w:r>
        <w:rPr>
          <w:i/>
        </w:rPr>
        <w:t>et al.,</w:t>
      </w:r>
      <w:r>
        <w:t xml:space="preserve"> 2001; 2011; </w:t>
      </w:r>
      <w:proofErr w:type="spellStart"/>
      <w:r>
        <w:t>Petrone</w:t>
      </w:r>
      <w:proofErr w:type="spellEnd"/>
      <w:r>
        <w:t xml:space="preserve">, 2011; </w:t>
      </w:r>
      <w:proofErr w:type="spellStart"/>
      <w:r>
        <w:t>Fattore</w:t>
      </w:r>
      <w:proofErr w:type="spellEnd"/>
      <w:r>
        <w:rPr>
          <w:i/>
        </w:rPr>
        <w:t xml:space="preserve"> et al.</w:t>
      </w:r>
      <w:r>
        <w:t xml:space="preserve">, 2012; Schmidt </w:t>
      </w:r>
      <w:r>
        <w:rPr>
          <w:i/>
        </w:rPr>
        <w:t>et al.</w:t>
      </w:r>
      <w:r>
        <w:t>, 2015). The remains have also provided a unique opportunity to examine the lethal effects of pyroclastic surges from a still</w:t>
      </w:r>
      <w:r w:rsidR="007B51BC">
        <w:t>-</w:t>
      </w:r>
      <w:r>
        <w:t>active volcano in a densely inhabited landscape (</w:t>
      </w:r>
      <w:proofErr w:type="spellStart"/>
      <w:r>
        <w:t>Mastrolorenzo</w:t>
      </w:r>
      <w:proofErr w:type="spellEnd"/>
      <w:r>
        <w:t xml:space="preserve"> et al. 2010</w:t>
      </w:r>
      <w:r w:rsidR="0000454F">
        <w:t xml:space="preserve">, </w:t>
      </w:r>
      <w:proofErr w:type="spellStart"/>
      <w:r w:rsidR="0000454F">
        <w:t>Petrone</w:t>
      </w:r>
      <w:proofErr w:type="spellEnd"/>
      <w:r w:rsidR="0000454F">
        <w:t xml:space="preserve"> et al. 201</w:t>
      </w:r>
      <w:r w:rsidR="003E2348">
        <w:t>8</w:t>
      </w:r>
      <w:r>
        <w:t xml:space="preserve">). </w:t>
      </w:r>
    </w:p>
    <w:p w14:paraId="37EBEA1C" w14:textId="77777777" w:rsidR="00255333" w:rsidRDefault="00715B12">
      <w:pPr>
        <w:widowControl w:val="0"/>
        <w:pBdr>
          <w:top w:val="nil"/>
          <w:left w:val="nil"/>
          <w:bottom w:val="nil"/>
          <w:right w:val="nil"/>
          <w:between w:val="nil"/>
        </w:pBdr>
      </w:pPr>
      <w:r>
        <w:t xml:space="preserve">The intensity of thermal pyroclastic exposure to which the Herculaneum victims were subjected fundamentally influences our understanding of both the cause of death and the effects of such heat exposure on the nature of bone diagenesis and collagen degradation. This last point is significant as these changes may have an impact on a range of subsequent bioarchaeological analyses, particularly biomolecular (Collins </w:t>
      </w:r>
      <w:r>
        <w:rPr>
          <w:i/>
        </w:rPr>
        <w:t>et al</w:t>
      </w:r>
      <w:r>
        <w:t xml:space="preserve">., 2002; Smith </w:t>
      </w:r>
      <w:r>
        <w:rPr>
          <w:i/>
        </w:rPr>
        <w:t>et al</w:t>
      </w:r>
      <w:r>
        <w:t xml:space="preserve">., 2001). </w:t>
      </w:r>
    </w:p>
    <w:p w14:paraId="7080F8A7" w14:textId="77777777" w:rsidR="008C4335" w:rsidRDefault="008C4335">
      <w:pPr>
        <w:widowControl w:val="0"/>
        <w:pBdr>
          <w:top w:val="nil"/>
          <w:left w:val="nil"/>
          <w:bottom w:val="nil"/>
          <w:right w:val="nil"/>
          <w:between w:val="nil"/>
        </w:pBdr>
      </w:pPr>
      <w:r>
        <w:t xml:space="preserve">The aim of this study </w:t>
      </w:r>
      <w:r w:rsidR="00446E24">
        <w:t>is</w:t>
      </w:r>
      <w:r>
        <w:t xml:space="preserve"> to apply newly developed analytical methods to the bone recovered from the </w:t>
      </w:r>
      <w:proofErr w:type="spellStart"/>
      <w:r w:rsidRPr="00446E24">
        <w:rPr>
          <w:i/>
        </w:rPr>
        <w:t>fornici</w:t>
      </w:r>
      <w:proofErr w:type="spellEnd"/>
      <w:r>
        <w:t xml:space="preserve"> in order to describe the context of death. These methods have contributed to a more nuanced understanding of other cremation </w:t>
      </w:r>
      <w:proofErr w:type="gramStart"/>
      <w:r>
        <w:t>contexts, but</w:t>
      </w:r>
      <w:proofErr w:type="gramEnd"/>
      <w:r>
        <w:t xml:space="preserve"> </w:t>
      </w:r>
      <w:r w:rsidR="00446E24">
        <w:t>have never been applied</w:t>
      </w:r>
      <w:r>
        <w:t xml:space="preserve"> </w:t>
      </w:r>
      <w:r w:rsidR="00446E24">
        <w:t xml:space="preserve">here. The results could offer an unparalleled interpretation of the impact of this natural disaster on the human bodies of ancient </w:t>
      </w:r>
      <w:r w:rsidR="00E05100">
        <w:t>Roman</w:t>
      </w:r>
      <w:r w:rsidR="00D71942">
        <w:t>s</w:t>
      </w:r>
      <w:r w:rsidR="00446E24">
        <w:t>.</w:t>
      </w:r>
      <w:r>
        <w:t xml:space="preserve"> </w:t>
      </w:r>
    </w:p>
    <w:p w14:paraId="1ED01F9F" w14:textId="77777777" w:rsidR="00446E24" w:rsidRDefault="00446E24">
      <w:pPr>
        <w:widowControl w:val="0"/>
        <w:pBdr>
          <w:top w:val="nil"/>
          <w:left w:val="nil"/>
          <w:bottom w:val="nil"/>
          <w:right w:val="nil"/>
          <w:between w:val="nil"/>
        </w:pBdr>
        <w:rPr>
          <w:b/>
        </w:rPr>
      </w:pPr>
    </w:p>
    <w:p w14:paraId="3159E177" w14:textId="77777777" w:rsidR="00255333" w:rsidRDefault="00715B12">
      <w:pPr>
        <w:widowControl w:val="0"/>
        <w:pBdr>
          <w:top w:val="nil"/>
          <w:left w:val="nil"/>
          <w:bottom w:val="nil"/>
          <w:right w:val="nil"/>
          <w:between w:val="nil"/>
        </w:pBdr>
      </w:pPr>
      <w:r>
        <w:rPr>
          <w:b/>
        </w:rPr>
        <w:t>Background</w:t>
      </w:r>
    </w:p>
    <w:p w14:paraId="2B1C7FBA" w14:textId="44D38A54" w:rsidR="00755D0A" w:rsidRDefault="00755D0A" w:rsidP="00755D0A">
      <w:pPr>
        <w:rPr>
          <w:sz w:val="24"/>
          <w:szCs w:val="24"/>
          <w:lang w:val="en-US"/>
        </w:rPr>
      </w:pPr>
      <w:r w:rsidRPr="00254D97">
        <w:rPr>
          <w:color w:val="000000"/>
          <w:shd w:val="clear" w:color="auto" w:fill="FFFFFF"/>
          <w:lang w:val="en-US"/>
        </w:rPr>
        <w:t xml:space="preserve">The human skeletal sample recovered from excavations at Herculaneum represents a portion of a </w:t>
      </w:r>
      <w:r w:rsidR="007E0C22">
        <w:rPr>
          <w:color w:val="000000"/>
          <w:shd w:val="clear" w:color="auto" w:fill="FFFFFF"/>
          <w:lang w:val="en-US"/>
        </w:rPr>
        <w:t>‘</w:t>
      </w:r>
      <w:r w:rsidRPr="00254D97">
        <w:rPr>
          <w:color w:val="000000"/>
          <w:shd w:val="clear" w:color="auto" w:fill="FFFFFF"/>
          <w:lang w:val="en-US"/>
        </w:rPr>
        <w:t>living</w:t>
      </w:r>
      <w:r w:rsidR="007E0C22">
        <w:rPr>
          <w:color w:val="000000"/>
          <w:shd w:val="clear" w:color="auto" w:fill="FFFFFF"/>
          <w:lang w:val="en-US"/>
        </w:rPr>
        <w:t>’</w:t>
      </w:r>
      <w:r w:rsidRPr="00254D97">
        <w:rPr>
          <w:color w:val="000000"/>
          <w:shd w:val="clear" w:color="auto" w:fill="FFFFFF"/>
          <w:lang w:val="en-US"/>
        </w:rPr>
        <w:t xml:space="preserve"> population, who died trying to escape from the eruption of the Vesuvius volcano in AD 79. In </w:t>
      </w:r>
      <w:r w:rsidRPr="00254D97">
        <w:rPr>
          <w:color w:val="000000"/>
          <w:shd w:val="clear" w:color="auto" w:fill="FFFFFF"/>
          <w:lang w:val="en-US"/>
        </w:rPr>
        <w:lastRenderedPageBreak/>
        <w:t xml:space="preserve">total, 340 individuals have been excavated from the beach and from the adjacent </w:t>
      </w:r>
      <w:proofErr w:type="spellStart"/>
      <w:r w:rsidRPr="0058743A">
        <w:rPr>
          <w:i/>
          <w:iCs/>
          <w:color w:val="000000"/>
          <w:shd w:val="clear" w:color="auto" w:fill="FFFFFF"/>
          <w:lang w:val="en-US"/>
        </w:rPr>
        <w:t>fornici</w:t>
      </w:r>
      <w:proofErr w:type="spellEnd"/>
      <w:r w:rsidRPr="00254D97">
        <w:rPr>
          <w:color w:val="000000"/>
          <w:shd w:val="clear" w:color="auto" w:fill="FFFFFF"/>
          <w:lang w:val="en-US"/>
        </w:rPr>
        <w:t xml:space="preserve"> (</w:t>
      </w:r>
      <w:r w:rsidR="00F47A2A">
        <w:rPr>
          <w:color w:val="000000"/>
          <w:shd w:val="clear" w:color="auto" w:fill="FFFFFF"/>
          <w:lang w:val="en-US"/>
        </w:rPr>
        <w:t xml:space="preserve">waterfront </w:t>
      </w:r>
      <w:r w:rsidRPr="00254D97">
        <w:rPr>
          <w:color w:val="000000"/>
          <w:shd w:val="clear" w:color="auto" w:fill="FFFFFF"/>
          <w:lang w:val="en-US"/>
        </w:rPr>
        <w:t>boat chambers), where they sought shelter.</w:t>
      </w:r>
      <w:r w:rsidRPr="00254D97">
        <w:rPr>
          <w:sz w:val="24"/>
          <w:szCs w:val="24"/>
          <w:lang w:val="en-US"/>
        </w:rPr>
        <w:t xml:space="preserve"> </w:t>
      </w:r>
    </w:p>
    <w:p w14:paraId="026E91AF" w14:textId="7E4EDDCF" w:rsidR="007E0C22" w:rsidRDefault="007E0C22" w:rsidP="00755D0A">
      <w:pPr>
        <w:rPr>
          <w:lang w:val="en-US"/>
        </w:rPr>
      </w:pPr>
      <w:r w:rsidRPr="007E0C22">
        <w:rPr>
          <w:lang w:val="en-US"/>
        </w:rPr>
        <w:t>The</w:t>
      </w:r>
      <w:r>
        <w:rPr>
          <w:lang w:val="en-US"/>
        </w:rPr>
        <w:t xml:space="preserve"> </w:t>
      </w:r>
      <w:r w:rsidR="003C72DB">
        <w:rPr>
          <w:lang w:val="en-US"/>
        </w:rPr>
        <w:t>human remains</w:t>
      </w:r>
      <w:r>
        <w:rPr>
          <w:lang w:val="en-US"/>
        </w:rPr>
        <w:t xml:space="preserve"> from</w:t>
      </w:r>
      <w:r w:rsidRPr="007E0C22">
        <w:rPr>
          <w:lang w:val="en-US"/>
        </w:rPr>
        <w:t xml:space="preserve"> the </w:t>
      </w:r>
      <w:r>
        <w:rPr>
          <w:lang w:val="en-US"/>
        </w:rPr>
        <w:t>seafront</w:t>
      </w:r>
      <w:r w:rsidRPr="007E0C22">
        <w:rPr>
          <w:lang w:val="en-US"/>
        </w:rPr>
        <w:t xml:space="preserve"> </w:t>
      </w:r>
      <w:r w:rsidR="003C72DB">
        <w:rPr>
          <w:lang w:val="en-US"/>
        </w:rPr>
        <w:t>were</w:t>
      </w:r>
      <w:r w:rsidRPr="007E0C22">
        <w:rPr>
          <w:lang w:val="en-US"/>
        </w:rPr>
        <w:t xml:space="preserve"> recovered </w:t>
      </w:r>
      <w:r>
        <w:rPr>
          <w:lang w:val="en-US"/>
        </w:rPr>
        <w:t>during</w:t>
      </w:r>
      <w:r w:rsidRPr="007E0C22">
        <w:rPr>
          <w:lang w:val="en-US"/>
        </w:rPr>
        <w:t xml:space="preserve"> three main separate </w:t>
      </w:r>
      <w:r>
        <w:rPr>
          <w:lang w:val="en-US"/>
        </w:rPr>
        <w:t>phases</w:t>
      </w:r>
      <w:r w:rsidRPr="007E0C22">
        <w:rPr>
          <w:lang w:val="en-US"/>
        </w:rPr>
        <w:t xml:space="preserve">. </w:t>
      </w:r>
      <w:r>
        <w:rPr>
          <w:lang w:val="en-US"/>
        </w:rPr>
        <w:t>The f</w:t>
      </w:r>
      <w:r w:rsidRPr="007E0C22">
        <w:rPr>
          <w:lang w:val="en-US"/>
        </w:rPr>
        <w:t>irst</w:t>
      </w:r>
      <w:r>
        <w:rPr>
          <w:lang w:val="en-US"/>
        </w:rPr>
        <w:t xml:space="preserve"> </w:t>
      </w:r>
      <w:r w:rsidR="003C72DB">
        <w:rPr>
          <w:lang w:val="en-US"/>
        </w:rPr>
        <w:t xml:space="preserve">was </w:t>
      </w:r>
      <w:r>
        <w:rPr>
          <w:lang w:val="en-US"/>
        </w:rPr>
        <w:t>in M</w:t>
      </w:r>
      <w:r w:rsidRPr="007E0C22">
        <w:rPr>
          <w:lang w:val="en-US"/>
        </w:rPr>
        <w:t xml:space="preserve">ay 1980 </w:t>
      </w:r>
      <w:r>
        <w:rPr>
          <w:lang w:val="en-US"/>
        </w:rPr>
        <w:t xml:space="preserve">from the area surrounding </w:t>
      </w:r>
      <w:r w:rsidRPr="007E0C22">
        <w:rPr>
          <w:lang w:val="en-US"/>
        </w:rPr>
        <w:t>the central stair</w:t>
      </w:r>
      <w:r>
        <w:rPr>
          <w:lang w:val="en-US"/>
        </w:rPr>
        <w:t>s that link</w:t>
      </w:r>
      <w:r w:rsidRPr="007E0C22">
        <w:rPr>
          <w:lang w:val="en-US"/>
        </w:rPr>
        <w:t xml:space="preserve"> the city to the beach. </w:t>
      </w:r>
      <w:r>
        <w:rPr>
          <w:lang w:val="en-US"/>
        </w:rPr>
        <w:t>The second was a</w:t>
      </w:r>
      <w:r w:rsidRPr="007E0C22">
        <w:rPr>
          <w:lang w:val="en-US"/>
        </w:rPr>
        <w:t xml:space="preserve"> year and a half later</w:t>
      </w:r>
      <w:r>
        <w:rPr>
          <w:lang w:val="en-US"/>
        </w:rPr>
        <w:t xml:space="preserve"> where </w:t>
      </w:r>
      <w:r w:rsidRPr="007E0C22">
        <w:rPr>
          <w:lang w:val="en-US"/>
        </w:rPr>
        <w:t xml:space="preserve">more skeletons emerged from the southward </w:t>
      </w:r>
      <w:proofErr w:type="spellStart"/>
      <w:r w:rsidRPr="007E0C22">
        <w:rPr>
          <w:lang w:val="en-US"/>
        </w:rPr>
        <w:t>fornici</w:t>
      </w:r>
      <w:proofErr w:type="spellEnd"/>
      <w:r w:rsidRPr="007E0C22">
        <w:rPr>
          <w:lang w:val="en-US"/>
        </w:rPr>
        <w:t xml:space="preserve"> (3, 4, 5). During this phase, </w:t>
      </w:r>
      <w:r w:rsidR="003C72DB">
        <w:rPr>
          <w:lang w:val="en-US"/>
        </w:rPr>
        <w:t xml:space="preserve">which </w:t>
      </w:r>
      <w:r w:rsidRPr="007E0C22">
        <w:rPr>
          <w:lang w:val="en-US"/>
        </w:rPr>
        <w:t xml:space="preserve">ended in 1985, </w:t>
      </w:r>
      <w:r w:rsidR="003C72DB">
        <w:rPr>
          <w:lang w:val="en-US"/>
        </w:rPr>
        <w:t>around 150 individuals were recovered</w:t>
      </w:r>
      <w:r w:rsidRPr="007E0C22">
        <w:rPr>
          <w:lang w:val="en-US"/>
        </w:rPr>
        <w:t xml:space="preserve">. A second group of about 75 skeletons </w:t>
      </w:r>
      <w:r w:rsidR="003C72DB">
        <w:rPr>
          <w:lang w:val="en-US"/>
        </w:rPr>
        <w:t>was</w:t>
      </w:r>
      <w:r w:rsidRPr="007E0C22">
        <w:rPr>
          <w:lang w:val="en-US"/>
        </w:rPr>
        <w:t xml:space="preserve"> recovered between 1997 and 1999 from </w:t>
      </w:r>
      <w:proofErr w:type="spellStart"/>
      <w:r w:rsidRPr="007E0C22">
        <w:rPr>
          <w:lang w:val="en-US"/>
        </w:rPr>
        <w:t>fornici</w:t>
      </w:r>
      <w:proofErr w:type="spellEnd"/>
      <w:r w:rsidRPr="007E0C22">
        <w:rPr>
          <w:lang w:val="en-US"/>
        </w:rPr>
        <w:t xml:space="preserve"> 10, 12 and 5. </w:t>
      </w:r>
      <w:r w:rsidR="003C72DB">
        <w:rPr>
          <w:lang w:val="en-US"/>
        </w:rPr>
        <w:t>The third phase, which recovered a</w:t>
      </w:r>
      <w:r w:rsidRPr="007E0C22">
        <w:rPr>
          <w:lang w:val="en-US"/>
        </w:rPr>
        <w:t xml:space="preserve">bout 104 individuals, </w:t>
      </w:r>
      <w:r w:rsidR="003C72DB">
        <w:rPr>
          <w:lang w:val="en-US"/>
        </w:rPr>
        <w:t xml:space="preserve">occurred between </w:t>
      </w:r>
      <w:r w:rsidRPr="007E0C22">
        <w:rPr>
          <w:lang w:val="en-US"/>
        </w:rPr>
        <w:t xml:space="preserve">2008 and 2012 </w:t>
      </w:r>
      <w:r w:rsidR="003C72DB">
        <w:rPr>
          <w:lang w:val="en-US"/>
        </w:rPr>
        <w:t xml:space="preserve">and focused on </w:t>
      </w:r>
      <w:proofErr w:type="spellStart"/>
      <w:r w:rsidRPr="007E0C22">
        <w:rPr>
          <w:lang w:val="en-US"/>
        </w:rPr>
        <w:t>fornici</w:t>
      </w:r>
      <w:proofErr w:type="spellEnd"/>
      <w:r w:rsidRPr="007E0C22">
        <w:rPr>
          <w:lang w:val="en-US"/>
        </w:rPr>
        <w:t xml:space="preserve"> 7, 8, 9, 11 and from a niche of 10.</w:t>
      </w:r>
    </w:p>
    <w:p w14:paraId="75003298" w14:textId="35A9FCC8" w:rsidR="00237C62" w:rsidRPr="0058743A" w:rsidRDefault="00755D0A" w:rsidP="00F47A2A">
      <w:pPr>
        <w:rPr>
          <w:lang w:val="en-US"/>
        </w:rPr>
      </w:pPr>
      <w:r>
        <w:rPr>
          <w:lang w:val="en-US"/>
        </w:rPr>
        <w:t>The demographic estimates of the whole sample show</w:t>
      </w:r>
      <w:r w:rsidR="0058743A">
        <w:rPr>
          <w:lang w:val="en-US"/>
        </w:rPr>
        <w:t xml:space="preserve"> a</w:t>
      </w:r>
      <w:r>
        <w:rPr>
          <w:lang w:val="en-US"/>
        </w:rPr>
        <w:t xml:space="preserve"> slightly unbalanced sex ratio (M</w:t>
      </w:r>
      <w:r w:rsidR="00A33BC7">
        <w:rPr>
          <w:lang w:val="en-US"/>
        </w:rPr>
        <w:t>ales</w:t>
      </w:r>
      <w:r>
        <w:rPr>
          <w:lang w:val="en-US"/>
        </w:rPr>
        <w:t>/F</w:t>
      </w:r>
      <w:r w:rsidR="00A33BC7">
        <w:rPr>
          <w:lang w:val="en-US"/>
        </w:rPr>
        <w:t>emales</w:t>
      </w:r>
      <w:r>
        <w:rPr>
          <w:lang w:val="en-US"/>
        </w:rPr>
        <w:t>=1</w:t>
      </w:r>
      <w:r w:rsidR="0058743A">
        <w:rPr>
          <w:lang w:val="en-US"/>
        </w:rPr>
        <w:t>/</w:t>
      </w:r>
      <w:r>
        <w:rPr>
          <w:lang w:val="en-US"/>
        </w:rPr>
        <w:t>22) and age distribution, with a less than expected number of infants and children for an ancient</w:t>
      </w:r>
      <w:r w:rsidR="00F47A2A">
        <w:rPr>
          <w:lang w:val="en-US"/>
        </w:rPr>
        <w:t xml:space="preserve"> </w:t>
      </w:r>
      <w:r>
        <w:rPr>
          <w:lang w:val="en-US"/>
        </w:rPr>
        <w:t xml:space="preserve">population </w:t>
      </w:r>
      <w:r w:rsidR="00F47A2A" w:rsidRPr="00F47A2A">
        <w:rPr>
          <w:lang w:val="en-US"/>
        </w:rPr>
        <w:t>(</w:t>
      </w:r>
      <w:proofErr w:type="spellStart"/>
      <w:r w:rsidR="00237C62">
        <w:t>Fattore</w:t>
      </w:r>
      <w:proofErr w:type="spellEnd"/>
      <w:r w:rsidR="00237C62">
        <w:rPr>
          <w:i/>
        </w:rPr>
        <w:t xml:space="preserve"> et al.</w:t>
      </w:r>
      <w:r w:rsidR="00237C62">
        <w:t xml:space="preserve">, 2012). </w:t>
      </w:r>
      <w:r w:rsidR="00A33BC7">
        <w:t>T</w:t>
      </w:r>
      <w:r w:rsidR="00402E79">
        <w:t xml:space="preserve">his </w:t>
      </w:r>
      <w:r w:rsidR="0058743A">
        <w:t xml:space="preserve">could reflect the catastrophic nature of escaping </w:t>
      </w:r>
      <w:r w:rsidR="00402E79">
        <w:t>the eruption</w:t>
      </w:r>
      <w:r w:rsidR="00A33BC7">
        <w:t>, but we should also take into account t</w:t>
      </w:r>
      <w:r w:rsidR="00237C62">
        <w:t xml:space="preserve">he peculiar demographic dynamics of the city </w:t>
      </w:r>
      <w:r w:rsidR="00A33BC7">
        <w:t>as attested by</w:t>
      </w:r>
      <w:r w:rsidR="00237C62" w:rsidRPr="00237C62">
        <w:t xml:space="preserve"> </w:t>
      </w:r>
      <w:r w:rsidR="00A33BC7">
        <w:t xml:space="preserve">the </w:t>
      </w:r>
      <w:r w:rsidR="00237C62" w:rsidRPr="00237C62">
        <w:t xml:space="preserve">analysis of the </w:t>
      </w:r>
      <w:r w:rsidR="00237C62" w:rsidRPr="00B74005">
        <w:rPr>
          <w:i/>
          <w:iCs/>
        </w:rPr>
        <w:t>Album</w:t>
      </w:r>
      <w:r w:rsidR="00237C62">
        <w:rPr>
          <w:lang w:val="en-US"/>
        </w:rPr>
        <w:t xml:space="preserve">, an inscription in marble carrying a list of names of inhabitants of Herculaneum </w:t>
      </w:r>
      <w:r w:rsidR="00237C62" w:rsidRPr="007E3372">
        <w:t>(</w:t>
      </w:r>
      <w:r w:rsidR="00237C62" w:rsidRPr="00F47A2A">
        <w:rPr>
          <w:lang w:val="en-US"/>
        </w:rPr>
        <w:t xml:space="preserve">de </w:t>
      </w:r>
      <w:proofErr w:type="spellStart"/>
      <w:r w:rsidR="00237C62" w:rsidRPr="00F47A2A">
        <w:rPr>
          <w:lang w:val="en-US"/>
        </w:rPr>
        <w:t>Ligt</w:t>
      </w:r>
      <w:proofErr w:type="spellEnd"/>
      <w:r w:rsidR="00237C62" w:rsidRPr="00F47A2A">
        <w:rPr>
          <w:lang w:val="en-US"/>
        </w:rPr>
        <w:t xml:space="preserve"> and</w:t>
      </w:r>
      <w:r w:rsidR="00237C62">
        <w:rPr>
          <w:lang w:val="en-US"/>
        </w:rPr>
        <w:t xml:space="preserve"> </w:t>
      </w:r>
      <w:r w:rsidR="00237C62" w:rsidRPr="00F47A2A">
        <w:rPr>
          <w:lang w:val="en-US"/>
        </w:rPr>
        <w:t>Garnsey 2012)</w:t>
      </w:r>
      <w:r w:rsidR="00237C62">
        <w:rPr>
          <w:lang w:val="en-US"/>
        </w:rPr>
        <w:t xml:space="preserve">. </w:t>
      </w:r>
    </w:p>
    <w:p w14:paraId="55C28708" w14:textId="4A784C3A" w:rsidR="007B62D1" w:rsidRPr="0058743A" w:rsidRDefault="00755D0A" w:rsidP="00755D0A">
      <w:r w:rsidRPr="0058743A">
        <w:rPr>
          <w:color w:val="000000"/>
          <w:shd w:val="clear" w:color="auto" w:fill="FFFFFF"/>
          <w:lang w:val="en-US"/>
        </w:rPr>
        <w:t xml:space="preserve">The most interesting </w:t>
      </w:r>
      <w:r w:rsidR="0058743A">
        <w:rPr>
          <w:color w:val="000000"/>
          <w:shd w:val="clear" w:color="auto" w:fill="FFFFFF"/>
          <w:lang w:val="en-US"/>
        </w:rPr>
        <w:t xml:space="preserve">aspect of these distributions concerns the </w:t>
      </w:r>
      <w:r w:rsidRPr="0058743A">
        <w:rPr>
          <w:color w:val="000000"/>
          <w:shd w:val="clear" w:color="auto" w:fill="FFFFFF"/>
          <w:lang w:val="en-US"/>
        </w:rPr>
        <w:t xml:space="preserve">sex and age composition of the individuals found on the beach </w:t>
      </w:r>
      <w:r w:rsidR="0058743A">
        <w:rPr>
          <w:color w:val="000000"/>
          <w:shd w:val="clear" w:color="auto" w:fill="FFFFFF"/>
          <w:lang w:val="en-US"/>
        </w:rPr>
        <w:t>compared to those found</w:t>
      </w:r>
      <w:r w:rsidRPr="0058743A">
        <w:rPr>
          <w:color w:val="000000"/>
          <w:shd w:val="clear" w:color="auto" w:fill="FFFFFF"/>
          <w:lang w:val="en-US"/>
        </w:rPr>
        <w:t xml:space="preserve"> in the boat chambers</w:t>
      </w:r>
      <w:r w:rsidR="003C443E">
        <w:rPr>
          <w:color w:val="000000"/>
          <w:shd w:val="clear" w:color="auto" w:fill="FFFFFF"/>
          <w:lang w:val="en-US"/>
        </w:rPr>
        <w:t xml:space="preserve"> (Figure 2)</w:t>
      </w:r>
      <w:r w:rsidR="00715B12" w:rsidRPr="0058743A">
        <w:t xml:space="preserve">. Adult and young adult males died primarily (although not exclusively) on the exposed beach, whilst the demographic within the </w:t>
      </w:r>
      <w:proofErr w:type="spellStart"/>
      <w:r w:rsidR="00715B12" w:rsidRPr="0058743A">
        <w:rPr>
          <w:i/>
        </w:rPr>
        <w:t>fornic</w:t>
      </w:r>
      <w:r w:rsidR="00237C62" w:rsidRPr="0058743A">
        <w:rPr>
          <w:i/>
        </w:rPr>
        <w:t>i</w:t>
      </w:r>
      <w:proofErr w:type="spellEnd"/>
      <w:r w:rsidR="00CB72EF" w:rsidRPr="0058743A">
        <w:t>,</w:t>
      </w:r>
      <w:r w:rsidR="00B37302" w:rsidRPr="0058743A">
        <w:rPr>
          <w:i/>
        </w:rPr>
        <w:t xml:space="preserve"> </w:t>
      </w:r>
      <w:r w:rsidR="00B37302" w:rsidRPr="0058743A">
        <w:t xml:space="preserve">a series of equally sized vaulted chambers adjacent to the beach, </w:t>
      </w:r>
      <w:r w:rsidR="00715B12" w:rsidRPr="0058743A">
        <w:t>comprised mainly of adult females and juveniles/infants</w:t>
      </w:r>
      <w:r w:rsidR="007B62D1" w:rsidRPr="0058743A">
        <w:t xml:space="preserve">, most of them possibly related </w:t>
      </w:r>
      <w:r w:rsidR="00715B12" w:rsidRPr="0058743A">
        <w:t>(</w:t>
      </w:r>
      <w:proofErr w:type="spellStart"/>
      <w:r w:rsidR="00715B12" w:rsidRPr="0058743A">
        <w:t>Fattore</w:t>
      </w:r>
      <w:proofErr w:type="spellEnd"/>
      <w:r w:rsidR="00715B12" w:rsidRPr="0058743A">
        <w:rPr>
          <w:i/>
        </w:rPr>
        <w:t xml:space="preserve"> et al.</w:t>
      </w:r>
      <w:r w:rsidR="00715B12" w:rsidRPr="0058743A">
        <w:t>, 2012</w:t>
      </w:r>
      <w:r w:rsidR="00956FAC" w:rsidRPr="0058743A">
        <w:t xml:space="preserve">; Figures </w:t>
      </w:r>
      <w:r w:rsidR="003C443E">
        <w:t>3</w:t>
      </w:r>
      <w:r w:rsidR="00956FAC" w:rsidRPr="0058743A">
        <w:t xml:space="preserve"> and </w:t>
      </w:r>
      <w:r w:rsidR="003C443E">
        <w:t>4</w:t>
      </w:r>
      <w:r w:rsidR="00715B12" w:rsidRPr="0058743A">
        <w:t xml:space="preserve">). </w:t>
      </w:r>
      <w:r w:rsidR="007B62D1" w:rsidRPr="0058743A">
        <w:t xml:space="preserve">This evidence </w:t>
      </w:r>
      <w:r w:rsidR="00B74005">
        <w:t>gives</w:t>
      </w:r>
      <w:r w:rsidR="007B62D1" w:rsidRPr="0058743A">
        <w:t xml:space="preserve"> us a glimpse </w:t>
      </w:r>
      <w:r w:rsidR="00B74005">
        <w:t>into</w:t>
      </w:r>
      <w:r w:rsidR="007B62D1" w:rsidRPr="0058743A">
        <w:t xml:space="preserve"> how the Herculaneum </w:t>
      </w:r>
      <w:r w:rsidR="00B74005">
        <w:t>residents</w:t>
      </w:r>
      <w:r w:rsidR="007B62D1" w:rsidRPr="0058743A">
        <w:t xml:space="preserve"> were reacting to the catastrophe and socially organising their escape.</w:t>
      </w:r>
    </w:p>
    <w:p w14:paraId="602B6FBD" w14:textId="57458704" w:rsidR="00255333" w:rsidRDefault="007B62D1" w:rsidP="00B74005">
      <w:r>
        <w:t>Boat chambers and the beach</w:t>
      </w:r>
      <w:r w:rsidR="00715B12">
        <w:t xml:space="preserve"> provided very different environmental conditions when the pyroclastic flow hit. Individuals within the </w:t>
      </w:r>
      <w:proofErr w:type="spellStart"/>
      <w:r w:rsidR="00715B12">
        <w:rPr>
          <w:i/>
        </w:rPr>
        <w:t>fornici</w:t>
      </w:r>
      <w:proofErr w:type="spellEnd"/>
      <w:r w:rsidR="00715B12">
        <w:rPr>
          <w:i/>
        </w:rPr>
        <w:t xml:space="preserve"> </w:t>
      </w:r>
      <w:r w:rsidR="00715B12">
        <w:t xml:space="preserve">were far less exposed than those on the beach, and thus their manner of death may reflect these differences in conditions. </w:t>
      </w:r>
    </w:p>
    <w:p w14:paraId="7D6A99DF" w14:textId="77777777" w:rsidR="00255333" w:rsidRDefault="00715B12">
      <w:pPr>
        <w:widowControl w:val="0"/>
        <w:pBdr>
          <w:top w:val="nil"/>
          <w:left w:val="nil"/>
          <w:bottom w:val="nil"/>
          <w:right w:val="nil"/>
          <w:between w:val="nil"/>
        </w:pBdr>
      </w:pPr>
      <w:r>
        <w:t>Although death by volcanic activity can leave no trace on the body (</w:t>
      </w:r>
      <w:proofErr w:type="spellStart"/>
      <w:r>
        <w:t>Makoye</w:t>
      </w:r>
      <w:proofErr w:type="spellEnd"/>
      <w:r>
        <w:t xml:space="preserve"> </w:t>
      </w:r>
      <w:proofErr w:type="spellStart"/>
      <w:r>
        <w:t>Ng’Walali</w:t>
      </w:r>
      <w:proofErr w:type="spellEnd"/>
      <w:r>
        <w:t xml:space="preserve"> </w:t>
      </w:r>
      <w:r>
        <w:rPr>
          <w:i/>
        </w:rPr>
        <w:t>et al</w:t>
      </w:r>
      <w:r>
        <w:t xml:space="preserve">., 1999), through the forensic and histological investigation of the Herculaneum victims from both contexts, </w:t>
      </w:r>
      <w:proofErr w:type="spellStart"/>
      <w:r>
        <w:t>Mastrolorenzo</w:t>
      </w:r>
      <w:proofErr w:type="spellEnd"/>
      <w:r>
        <w:t xml:space="preserve"> </w:t>
      </w:r>
      <w:r>
        <w:rPr>
          <w:i/>
        </w:rPr>
        <w:t>et al.</w:t>
      </w:r>
      <w:r>
        <w:t xml:space="preserve"> (2001, </w:t>
      </w:r>
      <w:hyperlink w:anchor="_46r0co2">
        <w:r>
          <w:t>2010)</w:t>
        </w:r>
      </w:hyperlink>
      <w:r>
        <w:t xml:space="preserve"> and </w:t>
      </w:r>
      <w:hyperlink w:anchor="_3ygebqi">
        <w:proofErr w:type="spellStart"/>
        <w:r>
          <w:t>Petrone</w:t>
        </w:r>
        <w:proofErr w:type="spellEnd"/>
        <w:r>
          <w:t xml:space="preserve"> (2011</w:t>
        </w:r>
        <w:r w:rsidR="0000454F">
          <w:t>, 201</w:t>
        </w:r>
        <w:r w:rsidR="003E2348">
          <w:t>8</w:t>
        </w:r>
        <w:r>
          <w:t xml:space="preserve">) </w:t>
        </w:r>
      </w:hyperlink>
      <w:r>
        <w:t xml:space="preserve">present the cause of death as instantaneous, thermally-induced fulminant shock. Histological observations of the skeletons from the beach and those from </w:t>
      </w:r>
      <w:proofErr w:type="spellStart"/>
      <w:r>
        <w:t>Oplontis</w:t>
      </w:r>
      <w:proofErr w:type="spellEnd"/>
      <w:r>
        <w:t xml:space="preserve"> exhibit bone discolouration varying from black to grey-white; the presence of both linear and polygonal microcracking; dental enamel cracks; cranial fractures as a result of thermally-induced intracranial pressure (</w:t>
      </w:r>
      <w:proofErr w:type="spellStart"/>
      <w:r>
        <w:t>Mastrolorenzo</w:t>
      </w:r>
      <w:proofErr w:type="spellEnd"/>
      <w:r>
        <w:t xml:space="preserve"> </w:t>
      </w:r>
      <w:r>
        <w:rPr>
          <w:i/>
        </w:rPr>
        <w:t>et al.,</w:t>
      </w:r>
      <w:r>
        <w:t xml:space="preserve"> 2001), and incipient to high crystallisation of bone hydroxyapatite (</w:t>
      </w:r>
      <w:proofErr w:type="spellStart"/>
      <w:r>
        <w:t>Mastrolorenzo</w:t>
      </w:r>
      <w:proofErr w:type="spellEnd"/>
      <w:r>
        <w:t xml:space="preserve"> </w:t>
      </w:r>
      <w:r>
        <w:rPr>
          <w:i/>
        </w:rPr>
        <w:t>et al.,</w:t>
      </w:r>
      <w:r>
        <w:t xml:space="preserve"> 2010). The lack of detectable DNA in previous studies of victims found on the beach (</w:t>
      </w:r>
      <w:proofErr w:type="spellStart"/>
      <w:r>
        <w:t>Mastrolorenzo</w:t>
      </w:r>
      <w:proofErr w:type="spellEnd"/>
      <w:r>
        <w:t xml:space="preserve"> </w:t>
      </w:r>
      <w:r>
        <w:rPr>
          <w:i/>
        </w:rPr>
        <w:t>et al.,</w:t>
      </w:r>
      <w:r>
        <w:t xml:space="preserve"> 2010)</w:t>
      </w:r>
      <w:r w:rsidR="003C07AF">
        <w:t xml:space="preserve"> and proteins in those in the chambers (</w:t>
      </w:r>
      <w:proofErr w:type="spellStart"/>
      <w:r w:rsidR="003C07AF">
        <w:t>Petrone</w:t>
      </w:r>
      <w:proofErr w:type="spellEnd"/>
      <w:r w:rsidR="003C07AF">
        <w:t xml:space="preserve"> 201</w:t>
      </w:r>
      <w:r w:rsidR="003E2348">
        <w:t>8</w:t>
      </w:r>
      <w:r w:rsidR="003C07AF">
        <w:t>)</w:t>
      </w:r>
      <w:r>
        <w:t xml:space="preserve"> has also provided further impetus to support the hypothesis of exposure to high pyroclastic temperatures. </w:t>
      </w:r>
      <w:r w:rsidR="0040049E">
        <w:t>Further, it is also suggested that the lack of t</w:t>
      </w:r>
      <w:r>
        <w:t xml:space="preserve">he boxer position, or pugilistic attitude in many of the victims </w:t>
      </w:r>
      <w:r w:rsidR="0040049E">
        <w:t>also</w:t>
      </w:r>
      <w:r>
        <w:t xml:space="preserve"> denot</w:t>
      </w:r>
      <w:r w:rsidR="0040049E">
        <w:t>es</w:t>
      </w:r>
      <w:r>
        <w:t xml:space="preserve"> instant vaporisation of the soft tissues upon impact in the context of Herculaneum.</w:t>
      </w:r>
      <w:r w:rsidR="0000454F">
        <w:t xml:space="preserve"> </w:t>
      </w:r>
      <w:r>
        <w:t xml:space="preserve">Absorption of thermal energy by these tissues is believed have subsequently caused a rapid decrease in </w:t>
      </w:r>
      <w:proofErr w:type="spellStart"/>
      <w:r>
        <w:t>aerospheric</w:t>
      </w:r>
      <w:proofErr w:type="spellEnd"/>
      <w:r>
        <w:t xml:space="preserve"> temperature within the </w:t>
      </w:r>
      <w:proofErr w:type="spellStart"/>
      <w:r>
        <w:rPr>
          <w:i/>
        </w:rPr>
        <w:t>fornici</w:t>
      </w:r>
      <w:proofErr w:type="spellEnd"/>
      <w:r>
        <w:t xml:space="preserve">. </w:t>
      </w:r>
    </w:p>
    <w:p w14:paraId="7D9DF5A5" w14:textId="21D20186" w:rsidR="00255333" w:rsidRDefault="00715B12">
      <w:pPr>
        <w:widowControl w:val="0"/>
        <w:pBdr>
          <w:top w:val="nil"/>
          <w:left w:val="nil"/>
          <w:bottom w:val="nil"/>
          <w:right w:val="nil"/>
          <w:between w:val="nil"/>
        </w:pBdr>
      </w:pPr>
      <w:r>
        <w:t xml:space="preserve">Others, however, such as </w:t>
      </w:r>
      <w:proofErr w:type="spellStart"/>
      <w:r>
        <w:t>Capasso</w:t>
      </w:r>
      <w:proofErr w:type="spellEnd"/>
      <w:r>
        <w:t xml:space="preserve"> (2000) predict a lower surge temperature (350-400°C) and a manner of death concordant with the gradual dehydration and contraction of the victims’ muscles </w:t>
      </w:r>
      <w:r>
        <w:lastRenderedPageBreak/>
        <w:t>and internal organs. Observations of brown not blackened bone, and the apparent lack of significant cracking in the long bones and cranial elements suggests minimal exposure to direct heat</w:t>
      </w:r>
      <w:r w:rsidR="00956FAC">
        <w:t xml:space="preserve"> (Figure </w:t>
      </w:r>
      <w:r w:rsidR="003C443E">
        <w:t>3</w:t>
      </w:r>
      <w:r w:rsidR="00956FAC">
        <w:t>)</w:t>
      </w:r>
      <w:r>
        <w:t xml:space="preserve">. Recent reanalysis of skeletal morphology by Schmidt </w:t>
      </w:r>
      <w:r>
        <w:rPr>
          <w:i/>
        </w:rPr>
        <w:t>et al.</w:t>
      </w:r>
      <w:r>
        <w:t xml:space="preserve"> (2015) supports this conclusion; explicitly attributing the lack of fractures and discolouration to the presence of soft tissue. Indeed, they present examples of cranial staining, believed to demonstrate the pooling of soft tissue during decomposition. Cranial fractures are inferred to be the result of impact with debris brought into the </w:t>
      </w:r>
      <w:proofErr w:type="spellStart"/>
      <w:r>
        <w:rPr>
          <w:i/>
        </w:rPr>
        <w:t>fornici</w:t>
      </w:r>
      <w:proofErr w:type="spellEnd"/>
      <w:r>
        <w:t>, and the presence of the pugilistic attitude may be attributed to soft tissue contraction and shortening</w:t>
      </w:r>
      <w:r w:rsidR="005A2808">
        <w:t xml:space="preserve"> – although this should be read with caution since there is little evidence to suggest that the fatal surge carried such debris along with it</w:t>
      </w:r>
      <w:r>
        <w:t xml:space="preserve">. </w:t>
      </w:r>
      <w:r w:rsidR="005A2808">
        <w:t>Nonetheless</w:t>
      </w:r>
      <w:r>
        <w:t xml:space="preserve">, the inferred presence or absence of soft tissue plays a key role in the assessment of the manner of death. Evidence from other (non-skeletal) material at Herculaneum also </w:t>
      </w:r>
      <w:r w:rsidR="005A2808">
        <w:t>argues for a</w:t>
      </w:r>
      <w:r>
        <w:t xml:space="preserve"> lower temperature</w:t>
      </w:r>
      <w:r w:rsidR="005A2808">
        <w:t xml:space="preserve"> overall</w:t>
      </w:r>
      <w:r>
        <w:t xml:space="preserve"> (e.g. </w:t>
      </w:r>
      <w:proofErr w:type="spellStart"/>
      <w:r>
        <w:t>Caricchi</w:t>
      </w:r>
      <w:proofErr w:type="spellEnd"/>
      <w:r>
        <w:t xml:space="preserve"> </w:t>
      </w:r>
      <w:r>
        <w:rPr>
          <w:i/>
        </w:rPr>
        <w:t>et al</w:t>
      </w:r>
      <w:r>
        <w:t>., 2014).</w:t>
      </w:r>
    </w:p>
    <w:p w14:paraId="2FE5C20A" w14:textId="77777777" w:rsidR="00255333" w:rsidRDefault="00715B12">
      <w:pPr>
        <w:widowControl w:val="0"/>
        <w:pBdr>
          <w:top w:val="nil"/>
          <w:left w:val="nil"/>
          <w:bottom w:val="nil"/>
          <w:right w:val="nil"/>
          <w:between w:val="nil"/>
        </w:pBdr>
      </w:pPr>
      <w:r>
        <w:rPr>
          <w:b/>
        </w:rPr>
        <w:t>Recent advances in the study of burned bone</w:t>
      </w:r>
    </w:p>
    <w:p w14:paraId="1C51C04B" w14:textId="77777777" w:rsidR="00255333" w:rsidRDefault="00715B12">
      <w:pPr>
        <w:widowControl w:val="0"/>
        <w:pBdr>
          <w:top w:val="nil"/>
          <w:left w:val="nil"/>
          <w:bottom w:val="nil"/>
          <w:right w:val="nil"/>
          <w:between w:val="nil"/>
        </w:pBdr>
      </w:pPr>
      <w:r>
        <w:t xml:space="preserve">Despite their magnitude and often widespread damage, the study of the forensic and </w:t>
      </w:r>
      <w:proofErr w:type="spellStart"/>
      <w:r>
        <w:t>taphonomic</w:t>
      </w:r>
      <w:proofErr w:type="spellEnd"/>
      <w:r>
        <w:t xml:space="preserve"> effects of volcanic eruptions on the human body is notably absent in academic literature. </w:t>
      </w:r>
      <w:r w:rsidR="00294860">
        <w:t>Nonetheless</w:t>
      </w:r>
      <w:r>
        <w:t xml:space="preserve">, there has been recent growing interest in the analysis of burned and cremated human remains (see for example, Thompson, 2015a). This interest has largely focused on the development and refinement of new methodologies, particularly with regards to the analysis of bone microstructure. By using a range of analytical methods and imaging modalities, studies such as </w:t>
      </w:r>
      <w:proofErr w:type="spellStart"/>
      <w:r>
        <w:t>Boschin</w:t>
      </w:r>
      <w:proofErr w:type="spellEnd"/>
      <w:r>
        <w:t xml:space="preserve"> </w:t>
      </w:r>
      <w:r>
        <w:rPr>
          <w:i/>
        </w:rPr>
        <w:t>et al.</w:t>
      </w:r>
      <w:r>
        <w:t xml:space="preserve"> (2015), </w:t>
      </w:r>
      <w:proofErr w:type="spellStart"/>
      <w:r>
        <w:t>Cascant</w:t>
      </w:r>
      <w:proofErr w:type="spellEnd"/>
      <w:r>
        <w:t xml:space="preserve"> </w:t>
      </w:r>
      <w:r>
        <w:rPr>
          <w:i/>
        </w:rPr>
        <w:t>et al</w:t>
      </w:r>
      <w:r>
        <w:t>. (2017), Ellingham</w:t>
      </w:r>
      <w:r>
        <w:rPr>
          <w:i/>
        </w:rPr>
        <w:t xml:space="preserve"> et al. </w:t>
      </w:r>
      <w:r>
        <w:t xml:space="preserve">(2015; 2016) and Thompson (2015a; 2015b) have demonstrated that subtle and complex changes occur within the bone structure as a result of thermal exposure. Crucially, it has been argued that these changes can be correlated with specific burning </w:t>
      </w:r>
      <w:proofErr w:type="gramStart"/>
      <w:r>
        <w:t>conditions, and</w:t>
      </w:r>
      <w:proofErr w:type="gramEnd"/>
      <w:r>
        <w:t xml:space="preserve"> allow for contextual interpretation of the event itself.</w:t>
      </w:r>
    </w:p>
    <w:p w14:paraId="074ABBBD" w14:textId="124F5FAC" w:rsidR="00255333" w:rsidRDefault="00715B12">
      <w:pPr>
        <w:widowControl w:val="0"/>
        <w:pBdr>
          <w:top w:val="nil"/>
          <w:left w:val="nil"/>
          <w:bottom w:val="nil"/>
          <w:right w:val="nil"/>
          <w:between w:val="nil"/>
        </w:pBdr>
      </w:pPr>
      <w:proofErr w:type="gramStart"/>
      <w:r>
        <w:t>With this in mind, attempts</w:t>
      </w:r>
      <w:proofErr w:type="gramEnd"/>
      <w:r>
        <w:t xml:space="preserve"> have been increasingly made to offer refined interpretations of funerary behaviour from cremated human remains (</w:t>
      </w:r>
      <w:r w:rsidR="00E878FD">
        <w:t>Gonçalves</w:t>
      </w:r>
      <w:r>
        <w:t xml:space="preserve"> and Pires, 2015; Thompson, 2015a). A recent study of Roman soldiers along the Northern Frontier (Thompson</w:t>
      </w:r>
      <w:r>
        <w:rPr>
          <w:i/>
        </w:rPr>
        <w:t xml:space="preserve"> et al.,</w:t>
      </w:r>
      <w:r>
        <w:t xml:space="preserve"> 2016) demonstrates the potential to infer features of individual identity through the combined analysis of microscopic heat-induced changes in cremated bone, and pyre artefacts. Squires (2015) undertook a similar approach to Anglo-Saxon remains from the United Kingdom noting that “it is equally likely that the time and resources expended on the cremation process were just as significant... [as those invested in creating the grave good assemblages]” (2015; 168). </w:t>
      </w:r>
      <w:proofErr w:type="spellStart"/>
      <w:r>
        <w:t>Piga</w:t>
      </w:r>
      <w:proofErr w:type="spellEnd"/>
      <w:r>
        <w:t xml:space="preserve"> </w:t>
      </w:r>
      <w:r>
        <w:rPr>
          <w:i/>
        </w:rPr>
        <w:t>et al.</w:t>
      </w:r>
      <w:r>
        <w:t xml:space="preserve"> (2016) combine results from the analysis of bone microstructural changes with standard osteological assessment to identify the incomplete cremation of a pregnant female from a Phoenician-Punic site in Sardinia, Italy. This was in part possible due to the identification of the physical condition of the body at the time of burning (fleshed/</w:t>
      </w:r>
      <w:proofErr w:type="spellStart"/>
      <w:r>
        <w:t>defleshed</w:t>
      </w:r>
      <w:proofErr w:type="spellEnd"/>
      <w:r>
        <w:t>) in tandem with recent work in this area (Keough</w:t>
      </w:r>
      <w:r>
        <w:rPr>
          <w:i/>
        </w:rPr>
        <w:t xml:space="preserve"> et al.</w:t>
      </w:r>
      <w:r>
        <w:t>, 2015); allowing for a more nuanced interpretation of the pre-burning condition of human remains.</w:t>
      </w:r>
    </w:p>
    <w:p w14:paraId="591107DE" w14:textId="77777777" w:rsidR="00255333" w:rsidRDefault="00715B12">
      <w:pPr>
        <w:widowControl w:val="0"/>
        <w:pBdr>
          <w:top w:val="nil"/>
          <w:left w:val="nil"/>
          <w:bottom w:val="nil"/>
          <w:right w:val="nil"/>
          <w:between w:val="nil"/>
        </w:pBdr>
      </w:pPr>
      <w:proofErr w:type="gramStart"/>
      <w:r>
        <w:t>Thus</w:t>
      </w:r>
      <w:proofErr w:type="gramEnd"/>
      <w:r>
        <w:t xml:space="preserve"> recent methodological and conceptual developments which have been applied in other archaeological contexts around the world (Thompson, 2015b) suggest that it is now possible to examine the burned remains from Herculaneum from a perspective not previously accessible.</w:t>
      </w:r>
    </w:p>
    <w:p w14:paraId="7D67B10D" w14:textId="77777777" w:rsidR="00255333" w:rsidRDefault="00715B12">
      <w:pPr>
        <w:widowControl w:val="0"/>
        <w:pBdr>
          <w:top w:val="nil"/>
          <w:left w:val="nil"/>
          <w:bottom w:val="nil"/>
          <w:right w:val="nil"/>
          <w:between w:val="nil"/>
        </w:pBdr>
      </w:pPr>
      <w:r>
        <w:rPr>
          <w:b/>
        </w:rPr>
        <w:t>Collagen quality and thermal diagenesis</w:t>
      </w:r>
    </w:p>
    <w:p w14:paraId="0E004506" w14:textId="77777777" w:rsidR="00255333" w:rsidRDefault="00715B12">
      <w:pPr>
        <w:widowControl w:val="0"/>
        <w:pBdr>
          <w:top w:val="nil"/>
          <w:left w:val="nil"/>
          <w:bottom w:val="nil"/>
          <w:right w:val="nil"/>
          <w:between w:val="nil"/>
        </w:pBdr>
      </w:pPr>
      <w:r>
        <w:t xml:space="preserve">In fresh, unaltered mammalian bone, collagen represents approximately 22% total weight (van </w:t>
      </w:r>
      <w:proofErr w:type="spellStart"/>
      <w:r>
        <w:lastRenderedPageBreak/>
        <w:t>Klinken</w:t>
      </w:r>
      <w:proofErr w:type="spellEnd"/>
      <w:r>
        <w:t>, 1999). Diagenetic pressures such as heat, acidity, microbial attack and hydrology can cause collagen to be lost (</w:t>
      </w:r>
      <w:proofErr w:type="spellStart"/>
      <w:r>
        <w:t>Jans</w:t>
      </w:r>
      <w:proofErr w:type="spellEnd"/>
      <w:r>
        <w:t xml:space="preserve"> </w:t>
      </w:r>
      <w:r>
        <w:rPr>
          <w:i/>
        </w:rPr>
        <w:t xml:space="preserve">et al., </w:t>
      </w:r>
      <w:r>
        <w:t xml:space="preserve">2004; Carter and Tibbett, 2008; Milner </w:t>
      </w:r>
      <w:r>
        <w:rPr>
          <w:i/>
        </w:rPr>
        <w:t xml:space="preserve">et al., </w:t>
      </w:r>
      <w:r>
        <w:t xml:space="preserve">2011), and is a pervading concern in bioarchaeological studies. However, investigation suggests that collagen is remarkably robust. Sequencing of type I collagen from specimens dating to the both the Middle Pleistocene (c.780-125 Ka) and the Lower Pleistocene (c.1.5 million years ago) present compelling evidence for its longevity and survival (Buckley and Collins, 2011).  It is also generally accepted that even in cases of low total abundance (yield), the structural and chemical integrity of collagen remains largely intact. </w:t>
      </w:r>
      <w:proofErr w:type="spellStart"/>
      <w:r>
        <w:t>Dobberstein</w:t>
      </w:r>
      <w:proofErr w:type="spellEnd"/>
      <w:r>
        <w:t xml:space="preserve"> </w:t>
      </w:r>
      <w:r>
        <w:rPr>
          <w:i/>
        </w:rPr>
        <w:t>et al.</w:t>
      </w:r>
      <w:r>
        <w:t xml:space="preserve"> (2009) suggest that 99% of total collagen is lost before disruption to the amino acid, isotopic, and elemental (C:N) structure occurs, and this 1% threshold is widely used in isotopic studies as one of several key criteria</w:t>
      </w:r>
      <w:r>
        <w:rPr>
          <w:sz w:val="21"/>
          <w:szCs w:val="21"/>
          <w:highlight w:val="white"/>
        </w:rPr>
        <w:t xml:space="preserve"> </w:t>
      </w:r>
      <w:r>
        <w:t xml:space="preserve">with which collagen quality is determined (DeNiro, 1985; Ambrose, 1990; van </w:t>
      </w:r>
      <w:proofErr w:type="spellStart"/>
      <w:r>
        <w:t>Klinken</w:t>
      </w:r>
      <w:proofErr w:type="spellEnd"/>
      <w:r>
        <w:t>, 1999).</w:t>
      </w:r>
    </w:p>
    <w:p w14:paraId="3B64B00D" w14:textId="77777777" w:rsidR="00255333" w:rsidRDefault="00715B12">
      <w:pPr>
        <w:widowControl w:val="0"/>
        <w:pBdr>
          <w:top w:val="nil"/>
          <w:left w:val="nil"/>
          <w:bottom w:val="nil"/>
          <w:right w:val="nil"/>
          <w:between w:val="nil"/>
        </w:pBdr>
      </w:pPr>
      <w:r>
        <w:t xml:space="preserve">As with bioapatite, the study of </w:t>
      </w:r>
      <w:proofErr w:type="gramStart"/>
      <w:r>
        <w:t>thermally-induced</w:t>
      </w:r>
      <w:proofErr w:type="gramEnd"/>
      <w:r>
        <w:t xml:space="preserve"> collagen diagenesis has become increasingly pervasive throughout archaeology and the greater scientific disciplines within the last several decades. It is now widely believed that the structural relationship between the two tissues plays a mutually advantageous role, although scholarly opinion differs with regards to which tissue (if either) is more greatly responsible for maintaining overall integrity. Some argue that collagen protects bioapatite from thermal degradation by acting as a ‘thermal shield’; reducing porosity and thus the overall mineral surface area exposed to the environment (Person </w:t>
      </w:r>
      <w:r>
        <w:rPr>
          <w:i/>
        </w:rPr>
        <w:t xml:space="preserve">et al., </w:t>
      </w:r>
      <w:r>
        <w:t xml:space="preserve">1996; </w:t>
      </w:r>
      <w:proofErr w:type="spellStart"/>
      <w:r>
        <w:t>Trueman</w:t>
      </w:r>
      <w:proofErr w:type="spellEnd"/>
      <w:r>
        <w:t xml:space="preserve"> </w:t>
      </w:r>
      <w:r>
        <w:rPr>
          <w:i/>
        </w:rPr>
        <w:t>et al.,</w:t>
      </w:r>
      <w:r>
        <w:t xml:space="preserve"> 2008; </w:t>
      </w:r>
      <w:proofErr w:type="spellStart"/>
      <w:r>
        <w:t>Lebon</w:t>
      </w:r>
      <w:proofErr w:type="spellEnd"/>
      <w:r>
        <w:t xml:space="preserve"> </w:t>
      </w:r>
      <w:r>
        <w:rPr>
          <w:i/>
        </w:rPr>
        <w:t>et al.,</w:t>
      </w:r>
      <w:r>
        <w:t xml:space="preserve"> 2010</w:t>
      </w:r>
      <w:r w:rsidR="00377D0F">
        <w:t xml:space="preserve">; Thompson </w:t>
      </w:r>
      <w:r w:rsidR="00377D0F">
        <w:rPr>
          <w:i/>
        </w:rPr>
        <w:t>et al.</w:t>
      </w:r>
      <w:r w:rsidR="00377D0F">
        <w:t>, 2013</w:t>
      </w:r>
      <w:r>
        <w:t>). Others propose that the mineral phase offers collagen protection from diagenetic alteration, and can act as fracture centres which, when split by thermal energy, expose the collagen to diagenesis (</w:t>
      </w:r>
      <w:proofErr w:type="spellStart"/>
      <w:r>
        <w:t>Etok</w:t>
      </w:r>
      <w:proofErr w:type="spellEnd"/>
      <w:r>
        <w:t xml:space="preserve"> </w:t>
      </w:r>
      <w:r>
        <w:rPr>
          <w:i/>
        </w:rPr>
        <w:t xml:space="preserve">et al., </w:t>
      </w:r>
      <w:r>
        <w:t xml:space="preserve">2007). In the context of boiling during which temperatures remain relatively low (≤100°C), Koon </w:t>
      </w:r>
      <w:r>
        <w:rPr>
          <w:i/>
        </w:rPr>
        <w:t xml:space="preserve">et al. </w:t>
      </w:r>
      <w:r>
        <w:t xml:space="preserve">(2010) and Bosch </w:t>
      </w:r>
      <w:r>
        <w:rPr>
          <w:i/>
        </w:rPr>
        <w:t xml:space="preserve">et al. </w:t>
      </w:r>
      <w:r>
        <w:t xml:space="preserve">(2011) believe that although the morphology of the collagen fibrils can be thermally altered, the association with hydroxyapatite has a stabilizing effect until temperatures reach ≥500°C (at which point collagen gelatinises). </w:t>
      </w:r>
    </w:p>
    <w:p w14:paraId="20C2B765" w14:textId="77777777" w:rsidR="00255333" w:rsidRDefault="00715B12">
      <w:pPr>
        <w:widowControl w:val="0"/>
        <w:pBdr>
          <w:top w:val="nil"/>
          <w:left w:val="nil"/>
          <w:bottom w:val="nil"/>
          <w:right w:val="nil"/>
          <w:between w:val="nil"/>
        </w:pBdr>
      </w:pPr>
      <w:r>
        <w:t>It is likely that there exists a relatively symbiotic dependency between bone collagen and bioapatite (</w:t>
      </w:r>
      <w:proofErr w:type="spellStart"/>
      <w:r>
        <w:t>Dobberstein</w:t>
      </w:r>
      <w:proofErr w:type="spellEnd"/>
      <w:r>
        <w:t xml:space="preserve"> </w:t>
      </w:r>
      <w:r>
        <w:rPr>
          <w:i/>
        </w:rPr>
        <w:t>et al.,</w:t>
      </w:r>
      <w:r>
        <w:t xml:space="preserve"> 2009). The nature of which is not of immediate concern to this analysis other than to note that it has been shown to occur at both the macro- and microscopic levels (</w:t>
      </w:r>
      <w:proofErr w:type="spellStart"/>
      <w:r>
        <w:t>Vassalo</w:t>
      </w:r>
      <w:proofErr w:type="spellEnd"/>
      <w:r>
        <w:t xml:space="preserve"> et al., 2017). Importantly, Koon </w:t>
      </w:r>
      <w:r>
        <w:rPr>
          <w:i/>
        </w:rPr>
        <w:t xml:space="preserve">et al. </w:t>
      </w:r>
      <w:r>
        <w:t xml:space="preserve">(2010) propose that collagen exhibits an ‘all or nothing’ mechanism, and that, regardless of its association with hydroxyapatite, collagen in mammalian bone will not undergo significant thermally-induced diagenetic alteration until exposed to sufficiently high temperatures (300°C - 500°C (Holden </w:t>
      </w:r>
      <w:r>
        <w:rPr>
          <w:i/>
        </w:rPr>
        <w:t xml:space="preserve">et al., </w:t>
      </w:r>
      <w:r>
        <w:t xml:space="preserve">1995; Munro </w:t>
      </w:r>
      <w:r>
        <w:rPr>
          <w:i/>
        </w:rPr>
        <w:t xml:space="preserve">et al., </w:t>
      </w:r>
      <w:r>
        <w:t>2004;</w:t>
      </w:r>
      <w:r>
        <w:rPr>
          <w:i/>
        </w:rPr>
        <w:t xml:space="preserve"> </w:t>
      </w:r>
      <w:proofErr w:type="spellStart"/>
      <w:r>
        <w:t>Etok</w:t>
      </w:r>
      <w:proofErr w:type="spellEnd"/>
      <w:r>
        <w:t xml:space="preserve"> </w:t>
      </w:r>
      <w:r>
        <w:rPr>
          <w:i/>
        </w:rPr>
        <w:t>et al.</w:t>
      </w:r>
      <w:r>
        <w:t xml:space="preserve">, 2007; Koon </w:t>
      </w:r>
      <w:r>
        <w:rPr>
          <w:i/>
        </w:rPr>
        <w:t>et al.,</w:t>
      </w:r>
      <w:r>
        <w:t xml:space="preserve"> 2010)). </w:t>
      </w:r>
    </w:p>
    <w:p w14:paraId="69025AE8" w14:textId="77777777" w:rsidR="00255333" w:rsidRDefault="00255333">
      <w:pPr>
        <w:widowControl w:val="0"/>
        <w:pBdr>
          <w:top w:val="nil"/>
          <w:left w:val="nil"/>
          <w:bottom w:val="nil"/>
          <w:right w:val="nil"/>
          <w:between w:val="nil"/>
        </w:pBdr>
        <w:rPr>
          <w:b/>
          <w:u w:val="single"/>
        </w:rPr>
      </w:pPr>
    </w:p>
    <w:p w14:paraId="1A665F7C" w14:textId="77777777" w:rsidR="00255333" w:rsidRDefault="00715B12">
      <w:pPr>
        <w:widowControl w:val="0"/>
        <w:pBdr>
          <w:top w:val="nil"/>
          <w:left w:val="nil"/>
          <w:bottom w:val="nil"/>
          <w:right w:val="nil"/>
          <w:between w:val="nil"/>
        </w:pBdr>
      </w:pPr>
      <w:r>
        <w:rPr>
          <w:b/>
          <w:u w:val="single"/>
        </w:rPr>
        <w:t>Materials and Methods</w:t>
      </w:r>
    </w:p>
    <w:p w14:paraId="6469CC6B" w14:textId="77777777" w:rsidR="00255333" w:rsidRDefault="00715B12">
      <w:pPr>
        <w:widowControl w:val="0"/>
        <w:pBdr>
          <w:top w:val="nil"/>
          <w:left w:val="nil"/>
          <w:bottom w:val="nil"/>
          <w:right w:val="nil"/>
          <w:between w:val="nil"/>
        </w:pBdr>
      </w:pPr>
      <w:r>
        <w:t xml:space="preserve">Rib sections from 152 of the Herculaneum individuals were selected from six of the 12 </w:t>
      </w:r>
      <w:proofErr w:type="spellStart"/>
      <w:r>
        <w:rPr>
          <w:i/>
        </w:rPr>
        <w:t>fornici</w:t>
      </w:r>
      <w:proofErr w:type="spellEnd"/>
      <w:r>
        <w:t xml:space="preserve"> and prepared for collagen extraction using a modified </w:t>
      </w:r>
      <w:proofErr w:type="spellStart"/>
      <w:r>
        <w:t>Longin</w:t>
      </w:r>
      <w:proofErr w:type="spellEnd"/>
      <w:r>
        <w:t xml:space="preserve"> method (see Craig </w:t>
      </w:r>
      <w:r>
        <w:rPr>
          <w:i/>
        </w:rPr>
        <w:t xml:space="preserve">et al., </w:t>
      </w:r>
      <w:r>
        <w:t xml:space="preserve">2009). For comparative analysis, ribs were obtained from four individuals from the Imperial Roman necropolis at Velia (2nd Century), where previous analysis of collagen has already been carried out (Craig et al. 2009). The Velia samples were from formal fully articulated burials with no evidence of exposure to heat. Several </w:t>
      </w:r>
      <w:proofErr w:type="gramStart"/>
      <w:r>
        <w:t>fauna</w:t>
      </w:r>
      <w:proofErr w:type="gramEnd"/>
      <w:r>
        <w:t xml:space="preserve">, including dogs and ovicaprids were discovered within the </w:t>
      </w:r>
      <w:proofErr w:type="spellStart"/>
      <w:r>
        <w:rPr>
          <w:i/>
        </w:rPr>
        <w:t>fornici</w:t>
      </w:r>
      <w:proofErr w:type="spellEnd"/>
      <w:r>
        <w:t>, and used here for further comparison.</w:t>
      </w:r>
    </w:p>
    <w:p w14:paraId="49D423CD" w14:textId="77777777" w:rsidR="00255333" w:rsidRDefault="00715B12">
      <w:pPr>
        <w:widowControl w:val="0"/>
        <w:pBdr>
          <w:top w:val="nil"/>
          <w:left w:val="nil"/>
          <w:bottom w:val="nil"/>
          <w:right w:val="nil"/>
          <w:between w:val="nil"/>
        </w:pBdr>
      </w:pPr>
      <w:r>
        <w:lastRenderedPageBreak/>
        <w:t xml:space="preserve">In brief, samples were cleaned using a sterile scalpel and crushed to pieces of approximately 2-5mm in length. 60mg was weighed into a vial and demineralised in 0.6M HCl, gelatinised and lyophilized. Extracted collagen was weighed and percentage weight calculated for each sample. Collagen yield is commonly expressed as a percentage of the bone’s overall mass. Full details of the method can be seen in Martyn </w:t>
      </w:r>
      <w:r>
        <w:rPr>
          <w:i/>
        </w:rPr>
        <w:t>et al</w:t>
      </w:r>
      <w:r>
        <w:t>. (2018). Remaining cleaned bone samples were crushed into a granular powder using a pestle and mortar for analysis by Fourier Transform Infrared Spectroscopy - Attenuated Total Reflectance (FTIR-ATR; see Thompson</w:t>
      </w:r>
      <w:r>
        <w:rPr>
          <w:i/>
        </w:rPr>
        <w:t xml:space="preserve"> et al., </w:t>
      </w:r>
      <w:r>
        <w:t xml:space="preserve">2013; 2016 for a detailed protocol). The scans were performed using a Nicolet 5700 FTIR Spectrometer controlled by OMNIC 7.3 software. Before each bone sample was analysed the </w:t>
      </w:r>
      <w:proofErr w:type="gramStart"/>
      <w:r>
        <w:t>diamond</w:t>
      </w:r>
      <w:proofErr w:type="gramEnd"/>
      <w:r>
        <w:t xml:space="preserve"> stage was cleaned with propanol and background spectra were collected. Three replicate measurements were taken for each sample and mean averages were used in subsequent analysis.  The spectra were then recorded between 2000 cm</w:t>
      </w:r>
      <w:r>
        <w:rPr>
          <w:vertAlign w:val="superscript"/>
        </w:rPr>
        <w:t>-1</w:t>
      </w:r>
      <w:r>
        <w:t xml:space="preserve"> and 400 cm</w:t>
      </w:r>
      <w:r>
        <w:rPr>
          <w:vertAlign w:val="superscript"/>
        </w:rPr>
        <w:t>-1</w:t>
      </w:r>
      <w:r>
        <w:t>, at a resolution of 4 cm</w:t>
      </w:r>
      <w:r>
        <w:rPr>
          <w:vertAlign w:val="superscript"/>
        </w:rPr>
        <w:t>-1</w:t>
      </w:r>
      <w:r>
        <w:t xml:space="preserve">. The following crystallinity measures proposed by Thompson </w:t>
      </w:r>
      <w:r>
        <w:rPr>
          <w:i/>
        </w:rPr>
        <w:t>et al.</w:t>
      </w:r>
      <w:r>
        <w:t xml:space="preserve"> (2013) were used in this study:</w:t>
      </w:r>
    </w:p>
    <w:p w14:paraId="6A6E3DC5" w14:textId="03371CCE" w:rsidR="00255333" w:rsidRDefault="004F132B">
      <w:pPr>
        <w:widowControl w:val="0"/>
        <w:pBdr>
          <w:top w:val="nil"/>
          <w:left w:val="nil"/>
          <w:bottom w:val="nil"/>
          <w:right w:val="nil"/>
          <w:between w:val="nil"/>
        </w:pBdr>
        <w:ind w:left="720"/>
      </w:pPr>
      <w:r>
        <w:t>Crystallinity Index (CI)</w:t>
      </w:r>
      <w:r w:rsidR="00715B12">
        <w:t xml:space="preserve"> = (565 cm</w:t>
      </w:r>
      <w:r w:rsidR="00715B12">
        <w:rPr>
          <w:vertAlign w:val="superscript"/>
        </w:rPr>
        <w:t>-1</w:t>
      </w:r>
      <w:r w:rsidR="00715B12">
        <w:t xml:space="preserve"> + 605 cm</w:t>
      </w:r>
      <w:r w:rsidR="00715B12">
        <w:rPr>
          <w:vertAlign w:val="superscript"/>
        </w:rPr>
        <w:t>-1</w:t>
      </w:r>
      <w:r w:rsidR="00715B12">
        <w:t>) / 595 cm</w:t>
      </w:r>
      <w:r w:rsidR="00715B12">
        <w:rPr>
          <w:vertAlign w:val="superscript"/>
        </w:rPr>
        <w:t>-1</w:t>
      </w:r>
      <w:r w:rsidR="00715B12">
        <w:br/>
        <w:t>C</w:t>
      </w:r>
      <w:r>
        <w:t xml:space="preserve">arbon </w:t>
      </w:r>
      <w:r w:rsidR="00715B12">
        <w:t>/</w:t>
      </w:r>
      <w:r w:rsidR="00F7250D">
        <w:t xml:space="preserve"> </w:t>
      </w:r>
      <w:r w:rsidR="00715B12">
        <w:t>P</w:t>
      </w:r>
      <w:r>
        <w:t>hosphate ratio (C/P)</w:t>
      </w:r>
      <w:r w:rsidR="00715B12">
        <w:t xml:space="preserve"> = 1415 cm</w:t>
      </w:r>
      <w:r w:rsidR="00715B12">
        <w:rPr>
          <w:vertAlign w:val="superscript"/>
        </w:rPr>
        <w:t>-1</w:t>
      </w:r>
      <w:r w:rsidR="00715B12">
        <w:t xml:space="preserve"> / 1035 cm</w:t>
      </w:r>
      <w:r w:rsidR="00715B12">
        <w:rPr>
          <w:vertAlign w:val="superscript"/>
        </w:rPr>
        <w:t>-1</w:t>
      </w:r>
      <w:r w:rsidR="00715B12">
        <w:br/>
      </w:r>
      <w:r w:rsidR="00F7250D">
        <w:t>Carbonate / Phosphate ratio (</w:t>
      </w:r>
      <w:r w:rsidR="00715B12">
        <w:t>CO/P</w:t>
      </w:r>
      <w:r w:rsidR="00F7250D">
        <w:t>)</w:t>
      </w:r>
      <w:r w:rsidR="00715B12">
        <w:t xml:space="preserve"> = 1650 cm</w:t>
      </w:r>
      <w:r w:rsidR="00715B12">
        <w:rPr>
          <w:vertAlign w:val="superscript"/>
        </w:rPr>
        <w:t>-1</w:t>
      </w:r>
      <w:r w:rsidR="00715B12">
        <w:t xml:space="preserve"> / 1035 cm</w:t>
      </w:r>
      <w:r w:rsidR="00715B12">
        <w:rPr>
          <w:vertAlign w:val="superscript"/>
        </w:rPr>
        <w:t>-1</w:t>
      </w:r>
      <w:r w:rsidR="00715B12">
        <w:br/>
      </w:r>
      <w:r w:rsidR="00F7250D">
        <w:t>Carbonate / Carbonate ratio (</w:t>
      </w:r>
      <w:r w:rsidR="00715B12">
        <w:t>CO/CO3</w:t>
      </w:r>
      <w:r w:rsidR="00F7250D">
        <w:t>)</w:t>
      </w:r>
      <w:r w:rsidR="00715B12">
        <w:t xml:space="preserve"> = 1650 cm</w:t>
      </w:r>
      <w:r w:rsidR="00715B12">
        <w:rPr>
          <w:vertAlign w:val="superscript"/>
        </w:rPr>
        <w:t>-1</w:t>
      </w:r>
      <w:r w:rsidR="00715B12">
        <w:t xml:space="preserve"> / 1415 cm</w:t>
      </w:r>
      <w:r w:rsidR="00715B12">
        <w:rPr>
          <w:vertAlign w:val="superscript"/>
        </w:rPr>
        <w:t>-1</w:t>
      </w:r>
      <w:r w:rsidR="00715B12">
        <w:br/>
      </w:r>
      <w:r w:rsidR="00F7250D">
        <w:t>Carbonate / Phosphate ratio (</w:t>
      </w:r>
      <w:r w:rsidR="00715B12">
        <w:t>CO3/P</w:t>
      </w:r>
      <w:r w:rsidR="00F7250D">
        <w:t>)</w:t>
      </w:r>
      <w:r w:rsidR="00715B12">
        <w:t xml:space="preserve"> = 900 cm</w:t>
      </w:r>
      <w:r w:rsidR="00715B12">
        <w:rPr>
          <w:vertAlign w:val="superscript"/>
        </w:rPr>
        <w:t>-1</w:t>
      </w:r>
      <w:r w:rsidR="00715B12">
        <w:t xml:space="preserve"> / 1035 cm</w:t>
      </w:r>
      <w:r w:rsidR="00715B12">
        <w:rPr>
          <w:vertAlign w:val="superscript"/>
        </w:rPr>
        <w:t>-1</w:t>
      </w:r>
      <w:r w:rsidR="00715B12">
        <w:br/>
        <w:t>Phosphate High Temperature (PHT) = 625 cm</w:t>
      </w:r>
      <w:r w:rsidR="00715B12">
        <w:rPr>
          <w:vertAlign w:val="superscript"/>
        </w:rPr>
        <w:t>-1</w:t>
      </w:r>
      <w:r w:rsidR="00715B12">
        <w:t>/610 cm</w:t>
      </w:r>
      <w:r w:rsidR="00715B12">
        <w:rPr>
          <w:vertAlign w:val="superscript"/>
        </w:rPr>
        <w:t>-1</w:t>
      </w:r>
      <w:r w:rsidR="00715B12">
        <w:br/>
        <w:t>Line width = the full width at half maximum of the phosphate peak at 1035 cm</w:t>
      </w:r>
      <w:r w:rsidR="00715B12">
        <w:rPr>
          <w:vertAlign w:val="superscript"/>
        </w:rPr>
        <w:t>-1</w:t>
      </w:r>
    </w:p>
    <w:p w14:paraId="2244A7A7" w14:textId="77777777" w:rsidR="00255333" w:rsidRDefault="00715B12">
      <w:pPr>
        <w:widowControl w:val="0"/>
        <w:pBdr>
          <w:top w:val="nil"/>
          <w:left w:val="nil"/>
          <w:bottom w:val="nil"/>
          <w:right w:val="nil"/>
          <w:between w:val="nil"/>
        </w:pBdr>
      </w:pPr>
      <w:r>
        <w:t xml:space="preserve">As has been noted previously (Thompson </w:t>
      </w:r>
      <w:r>
        <w:rPr>
          <w:i/>
        </w:rPr>
        <w:t>et al</w:t>
      </w:r>
      <w:r>
        <w:t>., 2013; 2016) the numbers in these measures relate to positions on the FTIR spectra and the ratios themselves examine different aspects of heat-induced change as influenced by burning conditions. Therefore, use of all seven indices allows for the analysis of a range of possible burning intensities:  C/P, CO/CO3, CO3/P, CO/P and line-width best describe low temperature burning; CI and line-width work best for describing middle intensity, and; PHT and C/P high intensity burning events.</w:t>
      </w:r>
    </w:p>
    <w:p w14:paraId="3EE07986" w14:textId="77777777" w:rsidR="00255333" w:rsidRDefault="00255333">
      <w:pPr>
        <w:widowControl w:val="0"/>
        <w:pBdr>
          <w:top w:val="nil"/>
          <w:left w:val="nil"/>
          <w:bottom w:val="nil"/>
          <w:right w:val="nil"/>
          <w:between w:val="nil"/>
        </w:pBdr>
        <w:rPr>
          <w:b/>
          <w:u w:val="single"/>
        </w:rPr>
      </w:pPr>
    </w:p>
    <w:p w14:paraId="44A2EAF0" w14:textId="77777777" w:rsidR="00255333" w:rsidRDefault="00715B12">
      <w:pPr>
        <w:widowControl w:val="0"/>
        <w:pBdr>
          <w:top w:val="nil"/>
          <w:left w:val="nil"/>
          <w:bottom w:val="nil"/>
          <w:right w:val="nil"/>
          <w:between w:val="nil"/>
        </w:pBdr>
      </w:pPr>
      <w:r>
        <w:rPr>
          <w:b/>
          <w:u w:val="single"/>
        </w:rPr>
        <w:t>Results</w:t>
      </w:r>
    </w:p>
    <w:p w14:paraId="391BCA30" w14:textId="77777777" w:rsidR="00255333" w:rsidRDefault="00715B12">
      <w:pPr>
        <w:widowControl w:val="0"/>
        <w:pBdr>
          <w:top w:val="nil"/>
          <w:left w:val="nil"/>
          <w:bottom w:val="nil"/>
          <w:right w:val="nil"/>
          <w:between w:val="nil"/>
        </w:pBdr>
        <w:rPr>
          <w:b/>
        </w:rPr>
      </w:pPr>
      <w:r>
        <w:rPr>
          <w:b/>
        </w:rPr>
        <w:t>Collagen Yield</w:t>
      </w:r>
    </w:p>
    <w:p w14:paraId="7A285479" w14:textId="77777777" w:rsidR="00255333" w:rsidRDefault="00715B12">
      <w:pPr>
        <w:widowControl w:val="0"/>
        <w:pBdr>
          <w:top w:val="nil"/>
          <w:left w:val="nil"/>
          <w:bottom w:val="nil"/>
          <w:right w:val="nil"/>
          <w:between w:val="nil"/>
        </w:pBdr>
        <w:rPr>
          <w:strike/>
          <w:color w:val="512DA8"/>
        </w:rPr>
      </w:pPr>
      <w:r>
        <w:t xml:space="preserve">Of the 152 individuals analysed, only twelve (8%) exhibit percentage collagen yields which fall below the 1% threshold indicative of structural and chemical deterioration (DeNiro, 1985; Ambrose, 1990; van </w:t>
      </w:r>
      <w:proofErr w:type="spellStart"/>
      <w:r>
        <w:t>Klinken</w:t>
      </w:r>
      <w:proofErr w:type="spellEnd"/>
      <w:r>
        <w:t xml:space="preserve">, 1999; </w:t>
      </w:r>
      <w:proofErr w:type="spellStart"/>
      <w:r>
        <w:t>Dobberstein</w:t>
      </w:r>
      <w:proofErr w:type="spellEnd"/>
      <w:r>
        <w:t xml:space="preserve"> </w:t>
      </w:r>
      <w:r>
        <w:rPr>
          <w:i/>
        </w:rPr>
        <w:t xml:space="preserve">et al., </w:t>
      </w:r>
      <w:r>
        <w:t xml:space="preserve">2009). Of these 12 individuals, 7 are identified as infant or juvenile. 10 were deposited in </w:t>
      </w:r>
      <w:proofErr w:type="spellStart"/>
      <w:r>
        <w:rPr>
          <w:i/>
        </w:rPr>
        <w:t>fornice</w:t>
      </w:r>
      <w:proofErr w:type="spellEnd"/>
      <w:r>
        <w:rPr>
          <w:i/>
        </w:rPr>
        <w:t xml:space="preserve"> </w:t>
      </w:r>
      <w:r>
        <w:t xml:space="preserve">9 and 2 in </w:t>
      </w:r>
      <w:proofErr w:type="spellStart"/>
      <w:r>
        <w:rPr>
          <w:i/>
        </w:rPr>
        <w:t>fornice</w:t>
      </w:r>
      <w:proofErr w:type="spellEnd"/>
      <w:r>
        <w:rPr>
          <w:i/>
        </w:rPr>
        <w:t xml:space="preserve"> </w:t>
      </w:r>
      <w:r>
        <w:t xml:space="preserve">8. Table 1 presents the average collagen yields of the individuals in the six </w:t>
      </w:r>
      <w:proofErr w:type="spellStart"/>
      <w:r>
        <w:t>fornici</w:t>
      </w:r>
      <w:proofErr w:type="spellEnd"/>
      <w:r>
        <w:t xml:space="preserve"> studied.</w:t>
      </w:r>
    </w:p>
    <w:p w14:paraId="1751641C" w14:textId="2F3953F1" w:rsidR="00255333" w:rsidRDefault="002D791B" w:rsidP="005A2808">
      <w:pPr>
        <w:widowControl w:val="0"/>
        <w:pBdr>
          <w:top w:val="nil"/>
          <w:left w:val="nil"/>
          <w:bottom w:val="nil"/>
          <w:right w:val="nil"/>
          <w:between w:val="nil"/>
        </w:pBdr>
      </w:pPr>
      <w:r>
        <w:t xml:space="preserve">A </w:t>
      </w:r>
      <w:r w:rsidR="00715B12">
        <w:t xml:space="preserve">2-sided independent </w:t>
      </w:r>
      <w:proofErr w:type="spellStart"/>
      <w:r w:rsidR="00715B12">
        <w:t>Kruskall</w:t>
      </w:r>
      <w:proofErr w:type="spellEnd"/>
      <w:r w:rsidR="00715B12">
        <w:t xml:space="preserve">-Wallis test </w:t>
      </w:r>
      <w:r>
        <w:t>was applied to all 152 samples to</w:t>
      </w:r>
      <w:r w:rsidR="00715B12">
        <w:t xml:space="preserve"> identify statistical significance between percentage collagen yield and </w:t>
      </w:r>
      <w:proofErr w:type="spellStart"/>
      <w:r w:rsidR="00715B12">
        <w:rPr>
          <w:i/>
        </w:rPr>
        <w:t>fornici</w:t>
      </w:r>
      <w:proofErr w:type="spellEnd"/>
      <w:r>
        <w:t xml:space="preserve">. </w:t>
      </w:r>
      <w:r w:rsidR="00715B12">
        <w:t xml:space="preserve">The test showed that </w:t>
      </w:r>
      <w:r>
        <w:t xml:space="preserve">the distribution in collagen yields is </w:t>
      </w:r>
      <w:r w:rsidR="00715B12">
        <w:t>significantly</w:t>
      </w:r>
      <w:r>
        <w:t xml:space="preserve"> different between the chambers</w:t>
      </w:r>
      <w:r>
        <w:rPr>
          <w:i/>
        </w:rPr>
        <w:t xml:space="preserve"> </w:t>
      </w:r>
      <w:r w:rsidR="00715B12">
        <w:t xml:space="preserve">(H= 56.157, P= 0.000; Table 1). The highest average percentage yield is exhibited by the individuals from </w:t>
      </w:r>
      <w:proofErr w:type="spellStart"/>
      <w:r w:rsidR="00715B12">
        <w:rPr>
          <w:i/>
        </w:rPr>
        <w:t>fornice</w:t>
      </w:r>
      <w:proofErr w:type="spellEnd"/>
      <w:r w:rsidR="00715B12">
        <w:rPr>
          <w:i/>
        </w:rPr>
        <w:t xml:space="preserve"> </w:t>
      </w:r>
      <w:r w:rsidR="00715B12">
        <w:t>10 (average yield = 13.3%, mean rank 103.11) which also sheltered the greatest number of victims (43)</w:t>
      </w:r>
      <w:r w:rsidR="00420D9E">
        <w:t xml:space="preserve"> and had the highest estimated total body mass, based on the numbers of infants, juveniles, men and women </w:t>
      </w:r>
      <w:r w:rsidR="00420D9E">
        <w:lastRenderedPageBreak/>
        <w:t>present (Fig 1)</w:t>
      </w:r>
      <w:r w:rsidR="00715B12">
        <w:t xml:space="preserve">. The lowest average percentage yield is exhibited by </w:t>
      </w:r>
      <w:proofErr w:type="spellStart"/>
      <w:r w:rsidR="00715B12">
        <w:rPr>
          <w:i/>
        </w:rPr>
        <w:t>fornice</w:t>
      </w:r>
      <w:proofErr w:type="spellEnd"/>
      <w:r w:rsidR="00715B12">
        <w:rPr>
          <w:i/>
        </w:rPr>
        <w:t xml:space="preserve"> </w:t>
      </w:r>
      <w:r w:rsidR="00715B12">
        <w:t>7 (average yield = 3.8%; mean rank = 40.68) which correlates with the lowest population of victims</w:t>
      </w:r>
      <w:r w:rsidR="00420D9E">
        <w:t xml:space="preserve"> and the lowest total body mass</w:t>
      </w:r>
      <w:r w:rsidR="00715B12">
        <w:t xml:space="preserve">. This trend is visible across the </w:t>
      </w:r>
      <w:proofErr w:type="spellStart"/>
      <w:r w:rsidR="00715B12">
        <w:rPr>
          <w:i/>
        </w:rPr>
        <w:t>fornici</w:t>
      </w:r>
      <w:proofErr w:type="spellEnd"/>
      <w:r w:rsidR="00715B12">
        <w:rPr>
          <w:i/>
        </w:rPr>
        <w:t xml:space="preserve"> </w:t>
      </w:r>
      <w:r w:rsidR="00715B12">
        <w:t xml:space="preserve">populations, seeing a decrease in average percentage yield as the total population within each </w:t>
      </w:r>
      <w:proofErr w:type="spellStart"/>
      <w:r w:rsidR="00715B12">
        <w:rPr>
          <w:i/>
        </w:rPr>
        <w:t>fornice</w:t>
      </w:r>
      <w:proofErr w:type="spellEnd"/>
      <w:r w:rsidR="00715B12">
        <w:rPr>
          <w:i/>
        </w:rPr>
        <w:t xml:space="preserve"> </w:t>
      </w:r>
      <w:r w:rsidR="00715B12">
        <w:t xml:space="preserve">also decrease (Table 1; Figure </w:t>
      </w:r>
      <w:r w:rsidR="003C443E">
        <w:t>5</w:t>
      </w:r>
      <w:r w:rsidR="00715B12">
        <w:t xml:space="preserve">). An exception to this trend is presented in </w:t>
      </w:r>
      <w:proofErr w:type="spellStart"/>
      <w:r w:rsidR="00715B12">
        <w:rPr>
          <w:i/>
        </w:rPr>
        <w:t>fornice</w:t>
      </w:r>
      <w:proofErr w:type="spellEnd"/>
      <w:r w:rsidR="00715B12">
        <w:rPr>
          <w:i/>
        </w:rPr>
        <w:t xml:space="preserve"> </w:t>
      </w:r>
      <w:r w:rsidR="00715B12">
        <w:t>9 which exhibits the second largest population (37) but fifth lowest average (average yield = 4.1%; mean rank = 39.58).</w:t>
      </w:r>
    </w:p>
    <w:p w14:paraId="6373A37E" w14:textId="77777777" w:rsidR="00255333" w:rsidRDefault="00715B12">
      <w:pPr>
        <w:widowControl w:val="0"/>
        <w:pBdr>
          <w:top w:val="nil"/>
          <w:left w:val="nil"/>
          <w:bottom w:val="nil"/>
          <w:right w:val="nil"/>
          <w:between w:val="nil"/>
        </w:pBdr>
      </w:pPr>
      <w:r>
        <w:t>In addition, δ</w:t>
      </w:r>
      <w:r>
        <w:rPr>
          <w:vertAlign w:val="superscript"/>
        </w:rPr>
        <w:t>13</w:t>
      </w:r>
      <w:r>
        <w:t>C and δ</w:t>
      </w:r>
      <w:r>
        <w:rPr>
          <w:vertAlign w:val="superscript"/>
        </w:rPr>
        <w:t>15</w:t>
      </w:r>
      <w:r>
        <w:t xml:space="preserve">N data obtained for 81 of the 152 samples were checked for C:N ratios which fall within the acceptable </w:t>
      </w:r>
      <w:proofErr w:type="gramStart"/>
      <w:r>
        <w:t>ranges</w:t>
      </w:r>
      <w:proofErr w:type="gramEnd"/>
      <w:r>
        <w:t xml:space="preserve"> indicative of diagenetically unaltered collagen. These ranges are 2.9-3.6 and 3.1-3.5 as proposed by DeNiro (1985) and van </w:t>
      </w:r>
      <w:proofErr w:type="spellStart"/>
      <w:r>
        <w:t>Klinken</w:t>
      </w:r>
      <w:proofErr w:type="spellEnd"/>
      <w:r>
        <w:t xml:space="preserve"> (1999), respectively. All samples fall within these ranges, suggesting that their structure and chemical quality are not compromised by diagenetic interference.</w:t>
      </w:r>
    </w:p>
    <w:p w14:paraId="6654099D" w14:textId="77777777" w:rsidR="00255333" w:rsidRDefault="00715B12">
      <w:pPr>
        <w:widowControl w:val="0"/>
        <w:pBdr>
          <w:top w:val="nil"/>
          <w:left w:val="nil"/>
          <w:bottom w:val="nil"/>
          <w:right w:val="nil"/>
          <w:between w:val="nil"/>
        </w:pBdr>
        <w:rPr>
          <w:b/>
        </w:rPr>
      </w:pPr>
      <w:r>
        <w:rPr>
          <w:b/>
        </w:rPr>
        <w:t>Crystalline Structure</w:t>
      </w:r>
    </w:p>
    <w:p w14:paraId="4101BB01" w14:textId="1057DC5A" w:rsidR="00255333" w:rsidRDefault="00715B12">
      <w:pPr>
        <w:widowControl w:val="0"/>
      </w:pPr>
      <w:r>
        <w:t xml:space="preserve">Figure </w:t>
      </w:r>
      <w:r w:rsidR="003C443E">
        <w:t>6</w:t>
      </w:r>
      <w:r w:rsidR="00956FAC">
        <w:t xml:space="preserve"> </w:t>
      </w:r>
      <w:r>
        <w:t>presents the combined CI and C/P data which is an effective way of highlighting burning intensity. Comparative baseline C/P and CI values for bones exposed to low, medium and high intensity burning are presented, collected in accordance with the same methodology (see Thompson et al., 2016 for method and summary data).</w:t>
      </w:r>
    </w:p>
    <w:p w14:paraId="5599F880" w14:textId="3004344B" w:rsidR="00255333" w:rsidRDefault="00715B12">
      <w:pPr>
        <w:widowControl w:val="0"/>
        <w:pBdr>
          <w:top w:val="nil"/>
          <w:left w:val="nil"/>
          <w:bottom w:val="nil"/>
          <w:right w:val="nil"/>
          <w:between w:val="nil"/>
        </w:pBdr>
        <w:rPr>
          <w:shd w:val="clear" w:color="auto" w:fill="FF9900"/>
        </w:rPr>
      </w:pPr>
      <w:r>
        <w:t xml:space="preserve">Crystallinity </w:t>
      </w:r>
      <w:r w:rsidR="00B37302">
        <w:t>i</w:t>
      </w:r>
      <w:r>
        <w:t>ndex</w:t>
      </w:r>
      <w:r w:rsidR="00B37302">
        <w:t xml:space="preserve"> (CI)</w:t>
      </w:r>
      <w:r>
        <w:t xml:space="preserve"> values ranged between 2.30 and 4.33 which corresponds with low Intensity burning events. This range has been verified through calibration with controlled experimental studies, but also other work on archaeological remains (Figure </w:t>
      </w:r>
      <w:r w:rsidR="003C443E">
        <w:t>6</w:t>
      </w:r>
      <w:r>
        <w:t>). The other crystallinity measures also support this temperature range, with the C/P and CI values coinciding with those exhibited by the Low Intensity experimental samples</w:t>
      </w:r>
      <w:r w:rsidR="004E40B0">
        <w:t xml:space="preserve"> (see Supplementary Data)</w:t>
      </w:r>
      <w:r>
        <w:t>.</w:t>
      </w:r>
    </w:p>
    <w:p w14:paraId="214A36E2" w14:textId="77777777" w:rsidR="00255333" w:rsidRDefault="00715B12">
      <w:pPr>
        <w:widowControl w:val="0"/>
        <w:pBdr>
          <w:top w:val="nil"/>
          <w:left w:val="nil"/>
          <w:bottom w:val="nil"/>
          <w:right w:val="nil"/>
          <w:between w:val="nil"/>
        </w:pBdr>
      </w:pPr>
      <w:r>
        <w:rPr>
          <w:b/>
          <w:u w:val="single"/>
        </w:rPr>
        <w:t>Discussion</w:t>
      </w:r>
    </w:p>
    <w:p w14:paraId="37283C77" w14:textId="428D1303" w:rsidR="00255333" w:rsidRDefault="00715B12">
      <w:pPr>
        <w:widowControl w:val="0"/>
        <w:pBdr>
          <w:top w:val="nil"/>
          <w:left w:val="nil"/>
          <w:bottom w:val="nil"/>
          <w:right w:val="nil"/>
          <w:between w:val="nil"/>
        </w:pBdr>
      </w:pPr>
      <w:r>
        <w:t xml:space="preserve">Overall, good collagen preservation and crystallinity values which fall within the range indicative of no to </w:t>
      </w:r>
      <w:proofErr w:type="gramStart"/>
      <w:r>
        <w:t>low-intensity</w:t>
      </w:r>
      <w:proofErr w:type="gramEnd"/>
      <w:r>
        <w:t xml:space="preserve"> burning events, suggest that the Herculaneum victims </w:t>
      </w:r>
      <w:r w:rsidR="00DB658F">
        <w:t xml:space="preserve">within the </w:t>
      </w:r>
      <w:proofErr w:type="spellStart"/>
      <w:r w:rsidR="00DB658F" w:rsidRPr="00DB658F">
        <w:rPr>
          <w:i/>
        </w:rPr>
        <w:t>fornici</w:t>
      </w:r>
      <w:proofErr w:type="spellEnd"/>
      <w:r w:rsidR="00DB658F">
        <w:t xml:space="preserve"> </w:t>
      </w:r>
      <w:r>
        <w:t xml:space="preserve">were not exposed to significantly high temperatures at time of death. This means that either estimates for the flow temperature are too high, or that other mechanisms </w:t>
      </w:r>
      <w:r w:rsidR="005D29CD">
        <w:t>had an effect</w:t>
      </w:r>
      <w:r>
        <w:t xml:space="preserve"> in buffering the victims’ skeletons from exposure to the full thermal energy of the pyroclastic surge. Several paleomagnetic analyses undertaken at Herculaneum and contemporaneous sites estimate the temperature of the pyroclastic event to have been c.</w:t>
      </w:r>
      <w:r w:rsidR="00E83098">
        <w:t xml:space="preserve"> </w:t>
      </w:r>
      <w:r>
        <w:t xml:space="preserve">350°C-400°C (Kent </w:t>
      </w:r>
      <w:r>
        <w:rPr>
          <w:i/>
        </w:rPr>
        <w:t>et al.</w:t>
      </w:r>
      <w:r>
        <w:t xml:space="preserve">, 1981; </w:t>
      </w:r>
      <w:proofErr w:type="spellStart"/>
      <w:r>
        <w:t>Capasso</w:t>
      </w:r>
      <w:proofErr w:type="spellEnd"/>
      <w:r>
        <w:t xml:space="preserve">, 2000; </w:t>
      </w:r>
      <w:proofErr w:type="spellStart"/>
      <w:r>
        <w:t>Zanella</w:t>
      </w:r>
      <w:proofErr w:type="spellEnd"/>
      <w:r>
        <w:t xml:space="preserve"> </w:t>
      </w:r>
      <w:r>
        <w:rPr>
          <w:i/>
        </w:rPr>
        <w:t>et al.</w:t>
      </w:r>
      <w:r>
        <w:t xml:space="preserve">, 2000; </w:t>
      </w:r>
      <w:proofErr w:type="spellStart"/>
      <w:r>
        <w:t>Cioni</w:t>
      </w:r>
      <w:proofErr w:type="spellEnd"/>
      <w:r>
        <w:t xml:space="preserve"> </w:t>
      </w:r>
      <w:r>
        <w:rPr>
          <w:i/>
        </w:rPr>
        <w:t xml:space="preserve">et al., </w:t>
      </w:r>
      <w:r>
        <w:t>2004)</w:t>
      </w:r>
      <w:r w:rsidR="001E6C29">
        <w:t xml:space="preserve">, although </w:t>
      </w:r>
      <w:proofErr w:type="spellStart"/>
      <w:r w:rsidR="001E6C29">
        <w:t>Mastrolorenzo</w:t>
      </w:r>
      <w:proofErr w:type="spellEnd"/>
      <w:r w:rsidR="001E6C29">
        <w:t xml:space="preserve"> et al</w:t>
      </w:r>
      <w:r>
        <w:t>.</w:t>
      </w:r>
      <w:r w:rsidR="001E6C29">
        <w:t xml:space="preserve"> calculated 480°C just outside the chambers (2001).</w:t>
      </w:r>
      <w:r>
        <w:t xml:space="preserve"> Others, such as </w:t>
      </w:r>
      <w:proofErr w:type="spellStart"/>
      <w:r>
        <w:t>Caricchi</w:t>
      </w:r>
      <w:proofErr w:type="spellEnd"/>
      <w:r>
        <w:t xml:space="preserve"> </w:t>
      </w:r>
      <w:r>
        <w:rPr>
          <w:i/>
        </w:rPr>
        <w:t>et al.</w:t>
      </w:r>
      <w:r>
        <w:t xml:space="preserve"> (2014) and Leone </w:t>
      </w:r>
      <w:r>
        <w:rPr>
          <w:i/>
        </w:rPr>
        <w:t xml:space="preserve">et al. </w:t>
      </w:r>
      <w:r>
        <w:t xml:space="preserve">(2016) have undertaken work investigating the exposure of mortars, plasters and wood to the pyroclastic temperatures at different parts of the site. Their estimates (240°C -370°C) are concordant with previous work and may suggest an even lower exposure temperature, </w:t>
      </w:r>
      <w:proofErr w:type="gramStart"/>
      <w:r>
        <w:t>assuming that</w:t>
      </w:r>
      <w:proofErr w:type="gramEnd"/>
      <w:r>
        <w:t xml:space="preserve"> these temperatures could indeed apply to the beach and </w:t>
      </w:r>
      <w:proofErr w:type="spellStart"/>
      <w:r>
        <w:rPr>
          <w:i/>
        </w:rPr>
        <w:t>fornici</w:t>
      </w:r>
      <w:proofErr w:type="spellEnd"/>
      <w:r>
        <w:t xml:space="preserve"> areas, as well as within the town itself. Recent additional work by Giordano </w:t>
      </w:r>
      <w:r w:rsidR="00CB72EF" w:rsidRPr="00785D5D">
        <w:rPr>
          <w:i/>
        </w:rPr>
        <w:t>et al</w:t>
      </w:r>
      <w:r>
        <w:t xml:space="preserve">. (2018) examined the influence of building structure on the temperatures of the pyroclastic </w:t>
      </w:r>
      <w:proofErr w:type="gramStart"/>
      <w:r>
        <w:t>flows, and</w:t>
      </w:r>
      <w:proofErr w:type="gramEnd"/>
      <w:r>
        <w:t xml:space="preserve"> concluded that internal thermal disequilibrium was apparent</w:t>
      </w:r>
      <w:r w:rsidR="005D29CD">
        <w:t>. This means</w:t>
      </w:r>
      <w:r>
        <w:t xml:space="preserve"> that temperatures could be 100°C lower whe</w:t>
      </w:r>
      <w:r w:rsidR="005D29CD">
        <w:t>n</w:t>
      </w:r>
      <w:r>
        <w:t xml:space="preserve"> </w:t>
      </w:r>
      <w:r w:rsidR="00B554AC">
        <w:t xml:space="preserve">walls or </w:t>
      </w:r>
      <w:r>
        <w:t xml:space="preserve">building material was mixed up </w:t>
      </w:r>
      <w:r w:rsidR="005D29CD">
        <w:t xml:space="preserve">in </w:t>
      </w:r>
      <w:r>
        <w:t>the flow</w:t>
      </w:r>
      <w:r w:rsidR="005D29CD">
        <w:t>,</w:t>
      </w:r>
      <w:r>
        <w:t xml:space="preserve"> when compared to locations where there was no </w:t>
      </w:r>
      <w:r w:rsidR="00B554AC">
        <w:t>presence</w:t>
      </w:r>
      <w:r>
        <w:t xml:space="preserve"> of </w:t>
      </w:r>
      <w:r w:rsidR="00B554AC">
        <w:t>building</w:t>
      </w:r>
      <w:r>
        <w:t xml:space="preserve"> material. Regardless, in either situation the highest temperature noted was 440°C (</w:t>
      </w:r>
      <w:proofErr w:type="spellStart"/>
      <w:r>
        <w:t>Giordana</w:t>
      </w:r>
      <w:proofErr w:type="spellEnd"/>
      <w:r>
        <w:t xml:space="preserve"> </w:t>
      </w:r>
      <w:r>
        <w:rPr>
          <w:i/>
        </w:rPr>
        <w:t>et al</w:t>
      </w:r>
      <w:r>
        <w:t>., 2018).</w:t>
      </w:r>
      <w:r w:rsidR="00135C98">
        <w:t xml:space="preserve"> </w:t>
      </w:r>
    </w:p>
    <w:p w14:paraId="1DA47C32" w14:textId="391F385A" w:rsidR="00255333" w:rsidRDefault="00715B12">
      <w:pPr>
        <w:widowControl w:val="0"/>
        <w:pBdr>
          <w:top w:val="nil"/>
          <w:left w:val="nil"/>
          <w:bottom w:val="nil"/>
          <w:right w:val="nil"/>
          <w:between w:val="nil"/>
        </w:pBdr>
      </w:pPr>
      <w:r>
        <w:lastRenderedPageBreak/>
        <w:t xml:space="preserve">As such, an alternative explanation for why the victims at Herculaneum were exposed to temperatures significantly lower than the pyroclastic movement must be explored. Drawing upon various lines of evidence, one suggestion is the presence of soft tissue at the time of, and following, impact. The data show correlation between greater collagen and apatite preservation, and the number of individuals within each </w:t>
      </w:r>
      <w:proofErr w:type="spellStart"/>
      <w:r>
        <w:rPr>
          <w:i/>
        </w:rPr>
        <w:t>fornice</w:t>
      </w:r>
      <w:proofErr w:type="spellEnd"/>
      <w:r>
        <w:t>. This suggests that density played an important role in the preservation of these substrates. In accordance with the Flory-</w:t>
      </w:r>
      <w:proofErr w:type="spellStart"/>
      <w:r>
        <w:t>Rehner</w:t>
      </w:r>
      <w:proofErr w:type="spellEnd"/>
      <w:r>
        <w:t xml:space="preserve"> theory, van der </w:t>
      </w:r>
      <w:proofErr w:type="spellStart"/>
      <w:r>
        <w:t>Sman</w:t>
      </w:r>
      <w:proofErr w:type="spellEnd"/>
      <w:r>
        <w:t xml:space="preserve"> (2007) proposes that a higher density of soft tissue holds the potential for greater thermal protection of bone. When tissue is heated, a temperature gradient is formed due to a delay in the transfer of energy from the exposed outer surface to the inner portions. Indeed, if the period of exposure is sufficiently short, such internal temperatures may not be experienced at all. At Herculaneum, the heating of the cadaver</w:t>
      </w:r>
      <w:r w:rsidR="00B03C3B">
        <w:t>s</w:t>
      </w:r>
      <w:r>
        <w:t xml:space="preserve"> through pyroclastic exposure is likely to have caused the outer tissues (dermis, muscles, tendons) to swell. The movement of water into the central portion of the cadaver (i.e. the thoracic area; interfaces with long bones in extremities; the pelvic region) may have served to bake the skeleton as opposed to burn it.</w:t>
      </w:r>
    </w:p>
    <w:p w14:paraId="4A3D5145" w14:textId="1C4992ED" w:rsidR="00255333" w:rsidRDefault="00715B12">
      <w:pPr>
        <w:widowControl w:val="0"/>
        <w:pBdr>
          <w:top w:val="nil"/>
          <w:left w:val="nil"/>
          <w:bottom w:val="nil"/>
          <w:right w:val="nil"/>
          <w:between w:val="nil"/>
        </w:pBdr>
      </w:pPr>
      <w:r>
        <w:t xml:space="preserve">Such a theory is supported </w:t>
      </w:r>
      <w:r w:rsidR="00B554AC">
        <w:t xml:space="preserve">in a small way </w:t>
      </w:r>
      <w:r>
        <w:t xml:space="preserve">by the </w:t>
      </w:r>
      <w:r w:rsidR="00B554AC">
        <w:t xml:space="preserve">occasional </w:t>
      </w:r>
      <w:r>
        <w:t xml:space="preserve">presence of the pugilistic attitude in </w:t>
      </w:r>
      <w:r w:rsidR="00B554AC">
        <w:t>some individuals</w:t>
      </w:r>
      <w:r>
        <w:t>; a position which is caused by dehydration and contraction of the muscles and other soft tissues of the body (</w:t>
      </w:r>
      <w:proofErr w:type="spellStart"/>
      <w:r>
        <w:t>Bohnert</w:t>
      </w:r>
      <w:proofErr w:type="spellEnd"/>
      <w:r>
        <w:t xml:space="preserve"> </w:t>
      </w:r>
      <w:r>
        <w:rPr>
          <w:i/>
        </w:rPr>
        <w:t xml:space="preserve">et al., </w:t>
      </w:r>
      <w:r>
        <w:t xml:space="preserve">1998; Keough </w:t>
      </w:r>
      <w:r>
        <w:rPr>
          <w:i/>
        </w:rPr>
        <w:t>et al.,</w:t>
      </w:r>
      <w:r>
        <w:t xml:space="preserve"> 2015; </w:t>
      </w:r>
      <w:proofErr w:type="spellStart"/>
      <w:r>
        <w:t>Ubelaker</w:t>
      </w:r>
      <w:proofErr w:type="spellEnd"/>
      <w:r>
        <w:t>, 2015)</w:t>
      </w:r>
      <w:r w:rsidR="00B554AC">
        <w:t xml:space="preserve"> and thus suggests that not all victims vaporised</w:t>
      </w:r>
      <w:r>
        <w:t>. These results are particularly interesting considering similar studies on bones from other small enclosed chambers show considerable variation in collagen levels and high levels of crystallisation,</w:t>
      </w:r>
      <w:r w:rsidR="00785D5D">
        <w:t xml:space="preserve"> </w:t>
      </w:r>
      <w:r>
        <w:t>and</w:t>
      </w:r>
      <w:r w:rsidR="00B03C3B">
        <w:t xml:space="preserve"> thus</w:t>
      </w:r>
      <w:r>
        <w:t xml:space="preserve"> seem greatly influenced by local environmental conditions (</w:t>
      </w:r>
      <w:proofErr w:type="spellStart"/>
      <w:r>
        <w:t>Salesse</w:t>
      </w:r>
      <w:proofErr w:type="spellEnd"/>
      <w:r>
        <w:t xml:space="preserve"> </w:t>
      </w:r>
      <w:r>
        <w:rPr>
          <w:i/>
        </w:rPr>
        <w:t>et al</w:t>
      </w:r>
      <w:r>
        <w:t>., 2014). It has been argued previously that once burned, bones display limited subsequent diagenetic change (</w:t>
      </w:r>
      <w:proofErr w:type="spellStart"/>
      <w:r>
        <w:t>Snoeck</w:t>
      </w:r>
      <w:proofErr w:type="spellEnd"/>
      <w:r>
        <w:t xml:space="preserve"> </w:t>
      </w:r>
      <w:r>
        <w:rPr>
          <w:i/>
        </w:rPr>
        <w:t>et al</w:t>
      </w:r>
      <w:r>
        <w:t xml:space="preserve">., 2014). Correlation between collagen yield/CI and </w:t>
      </w:r>
      <w:proofErr w:type="spellStart"/>
      <w:r>
        <w:rPr>
          <w:i/>
        </w:rPr>
        <w:t>fornice</w:t>
      </w:r>
      <w:proofErr w:type="spellEnd"/>
      <w:r>
        <w:rPr>
          <w:i/>
        </w:rPr>
        <w:t xml:space="preserve"> </w:t>
      </w:r>
      <w:r>
        <w:t>population sizes</w:t>
      </w:r>
      <w:r w:rsidR="00B37302">
        <w:t>/total</w:t>
      </w:r>
      <w:r w:rsidR="00785D5D">
        <w:t xml:space="preserve"> </w:t>
      </w:r>
      <w:r w:rsidR="00B37302">
        <w:t>body mass</w:t>
      </w:r>
      <w:r>
        <w:t xml:space="preserve"> may thus demonstrate this relationship between density and tissue thermal buffering. Controlled cremation studies show that it takes between 40 minutes and two hours at temperatures in excess of 650°C (average 800-1,000°C) to fully destroy cadaveric soft tissue (</w:t>
      </w:r>
      <w:proofErr w:type="spellStart"/>
      <w:r>
        <w:t>Bohnert</w:t>
      </w:r>
      <w:proofErr w:type="spellEnd"/>
      <w:r>
        <w:t xml:space="preserve"> </w:t>
      </w:r>
      <w:r>
        <w:rPr>
          <w:i/>
        </w:rPr>
        <w:t xml:space="preserve">et al., </w:t>
      </w:r>
      <w:r>
        <w:t xml:space="preserve">1998; Gerling </w:t>
      </w:r>
      <w:r>
        <w:rPr>
          <w:i/>
        </w:rPr>
        <w:t xml:space="preserve">et al., </w:t>
      </w:r>
      <w:r>
        <w:t xml:space="preserve">2001; </w:t>
      </w:r>
      <w:proofErr w:type="spellStart"/>
      <w:r>
        <w:t>Schwark</w:t>
      </w:r>
      <w:proofErr w:type="spellEnd"/>
      <w:r>
        <w:t xml:space="preserve"> </w:t>
      </w:r>
      <w:r>
        <w:rPr>
          <w:i/>
        </w:rPr>
        <w:t>et al.,</w:t>
      </w:r>
      <w:r>
        <w:t xml:space="preserve"> 2011). Even when subjected to temperatures in excess of 1,000°C, human tissue will not simply vaporise, as proposed by </w:t>
      </w:r>
      <w:proofErr w:type="spellStart"/>
      <w:r>
        <w:t>Mastrolorenzo</w:t>
      </w:r>
      <w:proofErr w:type="spellEnd"/>
      <w:r>
        <w:t xml:space="preserve"> </w:t>
      </w:r>
      <w:r>
        <w:rPr>
          <w:i/>
        </w:rPr>
        <w:t>et al.,</w:t>
      </w:r>
      <w:r>
        <w:t xml:space="preserve"> (2001;2010) and </w:t>
      </w:r>
      <w:proofErr w:type="spellStart"/>
      <w:r>
        <w:t>Petrone</w:t>
      </w:r>
      <w:proofErr w:type="spellEnd"/>
      <w:r>
        <w:t xml:space="preserve"> (2011</w:t>
      </w:r>
      <w:r w:rsidR="00785D5D">
        <w:t>;</w:t>
      </w:r>
      <w:r w:rsidR="003C07AF">
        <w:t xml:space="preserve"> 201</w:t>
      </w:r>
      <w:r w:rsidR="00785D5D">
        <w:t>8</w:t>
      </w:r>
      <w:r>
        <w:t xml:space="preserve">). Evidence suggests that it is often the case with fire victims that the side or portion of the body upon which they lie during burning remains relatively less degraded that areas undergoing direct exposure (Gerling </w:t>
      </w:r>
      <w:r>
        <w:rPr>
          <w:i/>
        </w:rPr>
        <w:t>et al.,</w:t>
      </w:r>
      <w:r>
        <w:t xml:space="preserve"> 2001). Contrary to </w:t>
      </w:r>
      <w:proofErr w:type="gramStart"/>
      <w:r>
        <w:t>the majority of</w:t>
      </w:r>
      <w:proofErr w:type="gramEnd"/>
      <w:r>
        <w:t xml:space="preserve"> experimental investigations which burn single cadavers at a time, the Herculaneum victims died together in close proximity, with victims’ bodies overlapping in some cases.</w:t>
      </w:r>
    </w:p>
    <w:p w14:paraId="2D63AC5E" w14:textId="7DC19B80" w:rsidR="00255333" w:rsidRDefault="00715B12">
      <w:pPr>
        <w:widowControl w:val="0"/>
        <w:pBdr>
          <w:top w:val="nil"/>
          <w:left w:val="nil"/>
          <w:bottom w:val="nil"/>
          <w:right w:val="nil"/>
          <w:between w:val="nil"/>
        </w:pBdr>
      </w:pPr>
      <w:r>
        <w:t xml:space="preserve">According to Gerling </w:t>
      </w:r>
      <w:r>
        <w:rPr>
          <w:i/>
        </w:rPr>
        <w:t>et al.</w:t>
      </w:r>
      <w:r>
        <w:t xml:space="preserve">’s (2001) theory, </w:t>
      </w:r>
      <w:r w:rsidR="00B03C3B">
        <w:t xml:space="preserve">the Herculaneum </w:t>
      </w:r>
      <w:r>
        <w:t xml:space="preserve">individuals would have been even less susceptible to soft-tissue damage than those observed in controlled experiments. </w:t>
      </w:r>
      <w:proofErr w:type="gramStart"/>
      <w:r>
        <w:t>Indeed</w:t>
      </w:r>
      <w:proofErr w:type="gramEnd"/>
      <w:r>
        <w:t xml:space="preserve"> the very nature of the thermal energy differs between the two. When exposed to fire organic matter acts as fuel. This is further exacerbated by clothing which can cause a ‘wick’ effect (</w:t>
      </w:r>
      <w:proofErr w:type="spellStart"/>
      <w:r>
        <w:t>DeHaan</w:t>
      </w:r>
      <w:proofErr w:type="spellEnd"/>
      <w:r>
        <w:t xml:space="preserve"> and </w:t>
      </w:r>
      <w:proofErr w:type="spellStart"/>
      <w:r>
        <w:t>Nurbakhsh</w:t>
      </w:r>
      <w:proofErr w:type="spellEnd"/>
      <w:r>
        <w:t>, 2001; Christensen</w:t>
      </w:r>
      <w:r>
        <w:rPr>
          <w:i/>
        </w:rPr>
        <w:t>,</w:t>
      </w:r>
      <w:r>
        <w:t xml:space="preserve"> 2002) and often accelerates the burning process. Pyroclastic surges create radiant heat which does not utilise fuel. It is generally accepted that bodies exposed to radiant heat will exhibit significantly slower consumption of soft tissue compared with bodies subjected to fire (</w:t>
      </w:r>
      <w:proofErr w:type="spellStart"/>
      <w:r>
        <w:t>Bohnert</w:t>
      </w:r>
      <w:proofErr w:type="spellEnd"/>
      <w:r>
        <w:t xml:space="preserve"> </w:t>
      </w:r>
      <w:r>
        <w:rPr>
          <w:i/>
        </w:rPr>
        <w:t>et al.,</w:t>
      </w:r>
      <w:r>
        <w:t xml:space="preserve"> 1998; Christensen, 2002). This would be compounded by the intact walls of the </w:t>
      </w:r>
      <w:proofErr w:type="spellStart"/>
      <w:r>
        <w:rPr>
          <w:i/>
        </w:rPr>
        <w:t>fornici</w:t>
      </w:r>
      <w:proofErr w:type="spellEnd"/>
      <w:r>
        <w:t xml:space="preserve"> which, as </w:t>
      </w:r>
      <w:proofErr w:type="spellStart"/>
      <w:r>
        <w:t>Giordana</w:t>
      </w:r>
      <w:proofErr w:type="spellEnd"/>
      <w:r>
        <w:t xml:space="preserve"> </w:t>
      </w:r>
      <w:r>
        <w:rPr>
          <w:i/>
        </w:rPr>
        <w:t xml:space="preserve">et </w:t>
      </w:r>
      <w:proofErr w:type="spellStart"/>
      <w:r>
        <w:rPr>
          <w:i/>
        </w:rPr>
        <w:t>al</w:t>
      </w:r>
      <w:r w:rsidR="007C3FDD">
        <w:t>’s</w:t>
      </w:r>
      <w:proofErr w:type="spellEnd"/>
      <w:r w:rsidR="007C3FDD">
        <w:t xml:space="preserve"> (2018) work shows, </w:t>
      </w:r>
      <w:r>
        <w:t xml:space="preserve">would have slowed the process of thermal equilibrium with the external environment. Experimental work by Carroll and Smith (2018) </w:t>
      </w:r>
      <w:r w:rsidR="008D6B58">
        <w:t xml:space="preserve">also </w:t>
      </w:r>
      <w:r>
        <w:t>suggest</w:t>
      </w:r>
      <w:r w:rsidR="008D6B58">
        <w:t>s</w:t>
      </w:r>
      <w:r>
        <w:t xml:space="preserve"> that bodies burning within enclosed spaces exhibit less significant heat-induced changes </w:t>
      </w:r>
      <w:r>
        <w:lastRenderedPageBreak/>
        <w:t xml:space="preserve">compared to those from pyre contexts. Further, analysis by Ellingham </w:t>
      </w:r>
      <w:r>
        <w:rPr>
          <w:i/>
        </w:rPr>
        <w:t>et al.</w:t>
      </w:r>
      <w:r>
        <w:t xml:space="preserve"> (2016) explicitly highlights the significant ‘buffering’ effect soft tissue can have on heat-induced changes to bone crystallinity at temperatures below 300°C, and ‘fuelling’ effect (i.e. accelerating combustion) above 800°C. </w:t>
      </w:r>
    </w:p>
    <w:p w14:paraId="63D865FE" w14:textId="1BBDFCC7" w:rsidR="00255333" w:rsidRDefault="00715B12">
      <w:pPr>
        <w:widowControl w:val="0"/>
        <w:pBdr>
          <w:top w:val="nil"/>
          <w:left w:val="nil"/>
          <w:bottom w:val="nil"/>
          <w:right w:val="nil"/>
          <w:between w:val="nil"/>
        </w:pBdr>
      </w:pPr>
      <w:r>
        <w:t xml:space="preserve">When interpreting crystallinity </w:t>
      </w:r>
      <w:proofErr w:type="gramStart"/>
      <w:r>
        <w:t>values</w:t>
      </w:r>
      <w:proofErr w:type="gramEnd"/>
      <w:r>
        <w:t xml:space="preserve"> it is important to note that the relationship between the CI and burning intensity is not linear. The increase in CI, for example, is slow until around 500°C is reached at which point it increases rapidly. In some </w:t>
      </w:r>
      <w:proofErr w:type="gramStart"/>
      <w:r>
        <w:t>cases</w:t>
      </w:r>
      <w:proofErr w:type="gramEnd"/>
      <w:r>
        <w:t xml:space="preserve"> it has been argued that increases in CI due to low intensity burning are actually the result of normal diagenesis and decomposition. Interestingly, the nearby site of Velia which suffered no such</w:t>
      </w:r>
      <w:r w:rsidR="007C3FDD">
        <w:t xml:space="preserve"> thermal</w:t>
      </w:r>
      <w:r>
        <w:t xml:space="preserve"> incident but contains contemporaneous interred individuals, exhibits comparable values resulting from natural diagenesis</w:t>
      </w:r>
      <w:r w:rsidR="00E83098">
        <w:t xml:space="preserve"> (Fig</w:t>
      </w:r>
      <w:r w:rsidR="00F40C56">
        <w:t>ure</w:t>
      </w:r>
      <w:r w:rsidR="00E83098">
        <w:t xml:space="preserve"> </w:t>
      </w:r>
      <w:r w:rsidR="003C443E">
        <w:t>6</w:t>
      </w:r>
      <w:r w:rsidR="00E83098">
        <w:t>)</w:t>
      </w:r>
      <w:r>
        <w:t xml:space="preserve">. However, due to the detailed contextual information we have for this disaster, the known history of the site, and the presence of other heat-induced changes identified through osteological analysis, it is apparent that in this instance, the observed changes can be confidently attributed to low-intensity heat exposure, rather than natural diagenesis. As has been noted above, subsequent diagenetic change to </w:t>
      </w:r>
      <w:proofErr w:type="gramStart"/>
      <w:r>
        <w:t>these heat</w:t>
      </w:r>
      <w:proofErr w:type="gramEnd"/>
      <w:r>
        <w:t xml:space="preserve"> altered bones is unlikely.  </w:t>
      </w:r>
    </w:p>
    <w:p w14:paraId="7FCDA4ED" w14:textId="77777777" w:rsidR="007C3FDD" w:rsidRDefault="007C3FDD">
      <w:pPr>
        <w:widowControl w:val="0"/>
        <w:pBdr>
          <w:top w:val="nil"/>
          <w:left w:val="nil"/>
          <w:bottom w:val="nil"/>
          <w:right w:val="nil"/>
          <w:between w:val="nil"/>
        </w:pBdr>
      </w:pPr>
    </w:p>
    <w:p w14:paraId="0F3D0845" w14:textId="77777777" w:rsidR="007C3FDD" w:rsidRPr="007C3FDD" w:rsidRDefault="007C3FDD">
      <w:pPr>
        <w:widowControl w:val="0"/>
        <w:pBdr>
          <w:top w:val="nil"/>
          <w:left w:val="nil"/>
          <w:bottom w:val="nil"/>
          <w:right w:val="nil"/>
          <w:between w:val="nil"/>
        </w:pBdr>
        <w:rPr>
          <w:b/>
        </w:rPr>
      </w:pPr>
      <w:r w:rsidRPr="007C3FDD">
        <w:rPr>
          <w:b/>
        </w:rPr>
        <w:t>Conclusions</w:t>
      </w:r>
    </w:p>
    <w:p w14:paraId="3372EF65" w14:textId="0C1BAB37" w:rsidR="00255333" w:rsidRDefault="007C3FDD">
      <w:pPr>
        <w:widowControl w:val="0"/>
        <w:pBdr>
          <w:top w:val="nil"/>
          <w:left w:val="nil"/>
          <w:bottom w:val="nil"/>
          <w:right w:val="nil"/>
          <w:between w:val="nil"/>
        </w:pBdr>
      </w:pPr>
      <w:r>
        <w:t>Consideration of this new data combined with a synthesis of results from studies which have examined the building and artefactual material of</w:t>
      </w:r>
      <w:r w:rsidR="00785D5D">
        <w:t xml:space="preserve"> </w:t>
      </w:r>
      <w:r w:rsidR="00B03C3B">
        <w:t>Herculaneum</w:t>
      </w:r>
      <w:r w:rsidR="00715B12">
        <w:t>,</w:t>
      </w:r>
      <w:r>
        <w:t xml:space="preserve"> suggests that</w:t>
      </w:r>
      <w:r w:rsidR="00715B12">
        <w:t xml:space="preserve"> it is unlikely that the theory of instantaneous soft tissue vaporisation and displacement with ash, as proposed by </w:t>
      </w:r>
      <w:proofErr w:type="spellStart"/>
      <w:r w:rsidR="00715B12">
        <w:t>Mastrolorenzo</w:t>
      </w:r>
      <w:proofErr w:type="spellEnd"/>
      <w:r w:rsidR="00715B12">
        <w:t xml:space="preserve"> </w:t>
      </w:r>
      <w:r w:rsidR="00715B12">
        <w:rPr>
          <w:i/>
        </w:rPr>
        <w:t xml:space="preserve">et al. </w:t>
      </w:r>
      <w:r w:rsidR="00715B12">
        <w:t xml:space="preserve">(2001; 2010) and </w:t>
      </w:r>
      <w:proofErr w:type="spellStart"/>
      <w:r w:rsidR="00715B12">
        <w:t>Petrone</w:t>
      </w:r>
      <w:proofErr w:type="spellEnd"/>
      <w:r w:rsidR="00715B12">
        <w:t xml:space="preserve"> (2011</w:t>
      </w:r>
      <w:r w:rsidR="003C07AF">
        <w:t>, 201</w:t>
      </w:r>
      <w:r w:rsidR="003E2348">
        <w:t>8</w:t>
      </w:r>
      <w:r w:rsidR="00715B12">
        <w:t xml:space="preserve">), would have been possible under the conditions within the </w:t>
      </w:r>
      <w:proofErr w:type="spellStart"/>
      <w:r w:rsidR="00715B12">
        <w:rPr>
          <w:i/>
        </w:rPr>
        <w:t>fornici</w:t>
      </w:r>
      <w:proofErr w:type="spellEnd"/>
      <w:r w:rsidR="00715B12">
        <w:t xml:space="preserve">. Based on the data presented </w:t>
      </w:r>
      <w:r w:rsidR="00B03C3B">
        <w:t>as well as</w:t>
      </w:r>
      <w:r w:rsidR="00715B12">
        <w:t xml:space="preserve"> macro and microscopic osteological observations by Schmidt </w:t>
      </w:r>
      <w:r w:rsidR="00715B12">
        <w:rPr>
          <w:i/>
        </w:rPr>
        <w:t>et al.</w:t>
      </w:r>
      <w:r w:rsidR="00715B12">
        <w:t xml:space="preserve"> (2015), we propose that the population density of each </w:t>
      </w:r>
      <w:proofErr w:type="spellStart"/>
      <w:r w:rsidR="00715B12">
        <w:rPr>
          <w:i/>
        </w:rPr>
        <w:t>fornice</w:t>
      </w:r>
      <w:proofErr w:type="spellEnd"/>
      <w:r w:rsidR="00715B12">
        <w:rPr>
          <w:i/>
        </w:rPr>
        <w:t xml:space="preserve"> </w:t>
      </w:r>
      <w:r w:rsidR="00715B12">
        <w:t xml:space="preserve">directly affected collagen preservation through variability in </w:t>
      </w:r>
      <w:proofErr w:type="gramStart"/>
      <w:r w:rsidR="00715B12">
        <w:t>soft-tissue</w:t>
      </w:r>
      <w:proofErr w:type="gramEnd"/>
      <w:r w:rsidR="00715B12">
        <w:t xml:space="preserve"> ‘buffering’. </w:t>
      </w:r>
      <w:r w:rsidR="00F40C56">
        <w:t>T</w:t>
      </w:r>
      <w:r w:rsidR="00715B12">
        <w:t xml:space="preserve">he </w:t>
      </w:r>
      <w:proofErr w:type="gramStart"/>
      <w:r w:rsidR="00715B12">
        <w:t>manner in which</w:t>
      </w:r>
      <w:proofErr w:type="gramEnd"/>
      <w:r w:rsidR="00715B12">
        <w:t xml:space="preserve"> the victims of Vesuvius died at Herculaneum is tragic when approached from any perspective, but we conclude here that instant vaporisation</w:t>
      </w:r>
      <w:r w:rsidR="00F40C56">
        <w:t xml:space="preserve"> within the </w:t>
      </w:r>
      <w:proofErr w:type="spellStart"/>
      <w:r w:rsidR="00F40C56" w:rsidRPr="00457D71">
        <w:rPr>
          <w:i/>
        </w:rPr>
        <w:t>fornici</w:t>
      </w:r>
      <w:proofErr w:type="spellEnd"/>
      <w:r w:rsidR="00715B12">
        <w:t xml:space="preserve"> is not concordant with the observed biochemical and osteological evidence presently available to the field.</w:t>
      </w:r>
      <w:r w:rsidR="00F40C56" w:rsidRPr="00F40C56">
        <w:t xml:space="preserve"> </w:t>
      </w:r>
      <w:r w:rsidR="00F40C56">
        <w:t>Although the victims recovered on the beach were not part of our study sample, we suggest that instant vaporisation did not occur there either for some of the same reasons.</w:t>
      </w:r>
    </w:p>
    <w:p w14:paraId="5B56D599" w14:textId="21927A7D" w:rsidR="00255333" w:rsidRPr="00977F58" w:rsidRDefault="00715B12">
      <w:pPr>
        <w:widowControl w:val="0"/>
        <w:pBdr>
          <w:top w:val="nil"/>
          <w:left w:val="nil"/>
          <w:bottom w:val="nil"/>
          <w:right w:val="nil"/>
          <w:between w:val="nil"/>
        </w:pBdr>
      </w:pPr>
      <w:r>
        <w:t>The results presented here underline the importance of conducting</w:t>
      </w:r>
      <w:r w:rsidR="00B03C3B">
        <w:t xml:space="preserve"> specific</w:t>
      </w:r>
      <w:r>
        <w:t xml:space="preserve"> </w:t>
      </w:r>
      <w:r w:rsidR="00B03C3B">
        <w:t xml:space="preserve">FTIR and diagenetic </w:t>
      </w:r>
      <w:r>
        <w:t xml:space="preserve">analyses on material from contexts which have experienced events involving significant heat. Archaeological sites need to be assessed on an individual basis </w:t>
      </w:r>
      <w:proofErr w:type="gramStart"/>
      <w:r>
        <w:t>taking into account</w:t>
      </w:r>
      <w:proofErr w:type="gramEnd"/>
      <w:r>
        <w:t xml:space="preserve"> the unique characteristics of the heating event. This is especially true if we consider the importance of building integrity and enclosed spaces on the temperature experienced by the victims (Carroll and Smith, 2018; </w:t>
      </w:r>
      <w:proofErr w:type="spellStart"/>
      <w:r>
        <w:t>Giordana</w:t>
      </w:r>
      <w:proofErr w:type="spellEnd"/>
      <w:r>
        <w:t xml:space="preserve"> </w:t>
      </w:r>
      <w:r>
        <w:rPr>
          <w:i/>
        </w:rPr>
        <w:t>et al</w:t>
      </w:r>
      <w:r>
        <w:t>., 2018). Other work at Herculaneum has demonstrated that good preservation of non-collagen organic material is also possible (Rowan, 2017), thus highlighting that organic residues can survive extremely challenging environments and analysis of these can allow for significant reinterpretations of past events.</w:t>
      </w:r>
    </w:p>
    <w:p w14:paraId="2D4D3B9B" w14:textId="77777777" w:rsidR="007C3FDD" w:rsidRDefault="007C3FDD">
      <w:pPr>
        <w:rPr>
          <w:b/>
          <w:u w:val="single"/>
        </w:rPr>
      </w:pPr>
      <w:r>
        <w:rPr>
          <w:b/>
          <w:u w:val="single"/>
        </w:rPr>
        <w:br w:type="page"/>
      </w:r>
    </w:p>
    <w:p w14:paraId="06F467CD" w14:textId="77777777" w:rsidR="00255333" w:rsidRDefault="00715B12">
      <w:pPr>
        <w:widowControl w:val="0"/>
        <w:pBdr>
          <w:top w:val="nil"/>
          <w:left w:val="nil"/>
          <w:bottom w:val="nil"/>
          <w:right w:val="nil"/>
          <w:between w:val="nil"/>
        </w:pBdr>
      </w:pPr>
      <w:r>
        <w:rPr>
          <w:b/>
          <w:u w:val="single"/>
        </w:rPr>
        <w:lastRenderedPageBreak/>
        <w:t>References:</w:t>
      </w:r>
    </w:p>
    <w:p w14:paraId="693EE9AE" w14:textId="77777777" w:rsidR="00255333" w:rsidRDefault="00715B12">
      <w:pPr>
        <w:widowControl w:val="0"/>
        <w:pBdr>
          <w:top w:val="nil"/>
          <w:left w:val="nil"/>
          <w:bottom w:val="nil"/>
          <w:right w:val="nil"/>
          <w:between w:val="nil"/>
        </w:pBdr>
        <w:spacing w:after="0" w:line="240" w:lineRule="auto"/>
      </w:pPr>
      <w:bookmarkStart w:id="1" w:name="_30j0zll" w:colFirst="0" w:colLast="0"/>
      <w:bookmarkEnd w:id="1"/>
      <w:proofErr w:type="spellStart"/>
      <w:r>
        <w:t>Bohnert</w:t>
      </w:r>
      <w:proofErr w:type="spellEnd"/>
      <w:r>
        <w:t xml:space="preserve">, M., </w:t>
      </w:r>
      <w:proofErr w:type="spellStart"/>
      <w:r>
        <w:t>Rost</w:t>
      </w:r>
      <w:proofErr w:type="spellEnd"/>
      <w:r>
        <w:t xml:space="preserve">, T. and Pollack, S. (1998) The degree of destruction of human bodies in relation to the duration of fire. </w:t>
      </w:r>
      <w:r>
        <w:rPr>
          <w:i/>
        </w:rPr>
        <w:t xml:space="preserve">Forensic Science International, </w:t>
      </w:r>
      <w:r>
        <w:t>95: 11-21.</w:t>
      </w:r>
    </w:p>
    <w:p w14:paraId="2D97999F" w14:textId="77777777" w:rsidR="00255333" w:rsidRDefault="00255333">
      <w:pPr>
        <w:widowControl w:val="0"/>
        <w:pBdr>
          <w:top w:val="nil"/>
          <w:left w:val="nil"/>
          <w:bottom w:val="nil"/>
          <w:right w:val="nil"/>
          <w:between w:val="nil"/>
        </w:pBdr>
        <w:spacing w:after="0" w:line="240" w:lineRule="auto"/>
      </w:pPr>
      <w:bookmarkStart w:id="2" w:name="_1fob9te" w:colFirst="0" w:colLast="0"/>
      <w:bookmarkEnd w:id="2"/>
    </w:p>
    <w:p w14:paraId="2BED2156" w14:textId="77777777" w:rsidR="00255333" w:rsidRDefault="00715B12">
      <w:pPr>
        <w:widowControl w:val="0"/>
        <w:pBdr>
          <w:top w:val="nil"/>
          <w:left w:val="nil"/>
          <w:bottom w:val="nil"/>
          <w:right w:val="nil"/>
          <w:between w:val="nil"/>
        </w:pBdr>
        <w:spacing w:after="0" w:line="240" w:lineRule="auto"/>
      </w:pPr>
      <w:bookmarkStart w:id="3" w:name="_3znysh7" w:colFirst="0" w:colLast="0"/>
      <w:bookmarkEnd w:id="3"/>
      <w:proofErr w:type="spellStart"/>
      <w:r w:rsidRPr="00457D71">
        <w:rPr>
          <w:lang w:val="en-US"/>
        </w:rPr>
        <w:t>Boschin</w:t>
      </w:r>
      <w:proofErr w:type="spellEnd"/>
      <w:r w:rsidRPr="00457D71">
        <w:rPr>
          <w:lang w:val="en-US"/>
        </w:rPr>
        <w:t xml:space="preserve">, F., </w:t>
      </w:r>
      <w:proofErr w:type="spellStart"/>
      <w:r w:rsidRPr="00457D71">
        <w:rPr>
          <w:lang w:val="en-US"/>
        </w:rPr>
        <w:t>Zanolli</w:t>
      </w:r>
      <w:proofErr w:type="spellEnd"/>
      <w:r w:rsidRPr="00457D71">
        <w:rPr>
          <w:lang w:val="en-US"/>
        </w:rPr>
        <w:t xml:space="preserve">, C., </w:t>
      </w:r>
      <w:proofErr w:type="spellStart"/>
      <w:r w:rsidRPr="00457D71">
        <w:rPr>
          <w:lang w:val="en-US"/>
        </w:rPr>
        <w:t>Bernardini</w:t>
      </w:r>
      <w:proofErr w:type="spellEnd"/>
      <w:r w:rsidRPr="00457D71">
        <w:rPr>
          <w:lang w:val="en-US"/>
        </w:rPr>
        <w:t xml:space="preserve">, F., </w:t>
      </w:r>
      <w:proofErr w:type="spellStart"/>
      <w:r w:rsidRPr="00457D71">
        <w:rPr>
          <w:lang w:val="en-US"/>
        </w:rPr>
        <w:t>Princivalle</w:t>
      </w:r>
      <w:proofErr w:type="spellEnd"/>
      <w:r w:rsidRPr="00457D71">
        <w:rPr>
          <w:lang w:val="en-US"/>
        </w:rPr>
        <w:t xml:space="preserve">, F. and </w:t>
      </w:r>
      <w:proofErr w:type="spellStart"/>
      <w:r w:rsidRPr="00457D71">
        <w:rPr>
          <w:lang w:val="en-US"/>
        </w:rPr>
        <w:t>Tuniz</w:t>
      </w:r>
      <w:proofErr w:type="spellEnd"/>
      <w:r w:rsidRPr="00457D71">
        <w:rPr>
          <w:lang w:val="en-US"/>
        </w:rPr>
        <w:t xml:space="preserve">, C. </w:t>
      </w:r>
      <w:r w:rsidR="00E878FD" w:rsidRPr="00457D71">
        <w:rPr>
          <w:lang w:val="en-US"/>
        </w:rPr>
        <w:t>(</w:t>
      </w:r>
      <w:r w:rsidRPr="00457D71">
        <w:rPr>
          <w:lang w:val="en-US"/>
        </w:rPr>
        <w:t>2015</w:t>
      </w:r>
      <w:r w:rsidR="00E878FD" w:rsidRPr="00457D71">
        <w:rPr>
          <w:lang w:val="en-US"/>
        </w:rPr>
        <w:t>)</w:t>
      </w:r>
      <w:r w:rsidRPr="00457D71">
        <w:rPr>
          <w:lang w:val="en-US"/>
        </w:rPr>
        <w:t xml:space="preserve">. </w:t>
      </w:r>
      <w:r>
        <w:t xml:space="preserve">A Look from the Inside: </w:t>
      </w:r>
      <w:proofErr w:type="spellStart"/>
      <w:r>
        <w:t>MicroCT</w:t>
      </w:r>
      <w:proofErr w:type="spellEnd"/>
      <w:r>
        <w:t xml:space="preserve"> Analysis of Burned Bones. </w:t>
      </w:r>
      <w:r w:rsidRPr="00785D5D">
        <w:rPr>
          <w:i/>
        </w:rPr>
        <w:t>Ethnobiology Letters</w:t>
      </w:r>
      <w:r>
        <w:t xml:space="preserve"> 6: 258-266.</w:t>
      </w:r>
    </w:p>
    <w:p w14:paraId="4324990A" w14:textId="77777777" w:rsidR="00255333" w:rsidRDefault="00255333">
      <w:pPr>
        <w:widowControl w:val="0"/>
        <w:pBdr>
          <w:top w:val="nil"/>
          <w:left w:val="nil"/>
          <w:bottom w:val="nil"/>
          <w:right w:val="nil"/>
          <w:between w:val="nil"/>
        </w:pBdr>
        <w:spacing w:after="0" w:line="240" w:lineRule="auto"/>
      </w:pPr>
      <w:bookmarkStart w:id="4" w:name="_2et92p0" w:colFirst="0" w:colLast="0"/>
      <w:bookmarkEnd w:id="4"/>
    </w:p>
    <w:p w14:paraId="6E0FE255" w14:textId="77777777" w:rsidR="00255333" w:rsidRDefault="00715B12">
      <w:pPr>
        <w:widowControl w:val="0"/>
        <w:pBdr>
          <w:top w:val="nil"/>
          <w:left w:val="nil"/>
          <w:bottom w:val="nil"/>
          <w:right w:val="nil"/>
          <w:between w:val="nil"/>
        </w:pBdr>
      </w:pPr>
      <w:bookmarkStart w:id="5" w:name="_tyjcwt" w:colFirst="0" w:colLast="0"/>
      <w:bookmarkEnd w:id="5"/>
      <w:r>
        <w:t>Brown, T. and Brown, K. (2011) Biomolecular Archaeology: an introduction. Chichester: Wiley-Blackwell.</w:t>
      </w:r>
    </w:p>
    <w:p w14:paraId="726ABE94" w14:textId="77777777" w:rsidR="00255333" w:rsidRDefault="00715B12">
      <w:pPr>
        <w:widowControl w:val="0"/>
        <w:pBdr>
          <w:top w:val="nil"/>
          <w:left w:val="nil"/>
          <w:bottom w:val="nil"/>
          <w:right w:val="nil"/>
          <w:between w:val="nil"/>
        </w:pBdr>
      </w:pPr>
      <w:bookmarkStart w:id="6" w:name="_3dy6vkm" w:colFirst="0" w:colLast="0"/>
      <w:bookmarkEnd w:id="6"/>
      <w:proofErr w:type="spellStart"/>
      <w:r>
        <w:t>Capasso</w:t>
      </w:r>
      <w:proofErr w:type="spellEnd"/>
      <w:r>
        <w:t xml:space="preserve">, L. (2000) "Herculaneum victims of the volcanic eruptions of Vesuvius in 79 AD." </w:t>
      </w:r>
      <w:r w:rsidRPr="00785D5D">
        <w:rPr>
          <w:i/>
        </w:rPr>
        <w:t>The Lancet</w:t>
      </w:r>
      <w:r>
        <w:t xml:space="preserve"> 356(9238): 1344-1346.</w:t>
      </w:r>
    </w:p>
    <w:p w14:paraId="041E1C98" w14:textId="77777777" w:rsidR="00255333" w:rsidRDefault="00715B12">
      <w:pPr>
        <w:widowControl w:val="0"/>
        <w:pBdr>
          <w:top w:val="nil"/>
          <w:left w:val="nil"/>
          <w:bottom w:val="nil"/>
          <w:right w:val="nil"/>
          <w:between w:val="nil"/>
        </w:pBdr>
      </w:pPr>
      <w:bookmarkStart w:id="7" w:name="_mo8dznahy7yk" w:colFirst="0" w:colLast="0"/>
      <w:bookmarkEnd w:id="7"/>
      <w:proofErr w:type="spellStart"/>
      <w:r>
        <w:t>Caricchi</w:t>
      </w:r>
      <w:proofErr w:type="spellEnd"/>
      <w:r>
        <w:t xml:space="preserve">, C., </w:t>
      </w:r>
      <w:proofErr w:type="spellStart"/>
      <w:r>
        <w:t>Vona</w:t>
      </w:r>
      <w:proofErr w:type="spellEnd"/>
      <w:r>
        <w:t xml:space="preserve">, A., </w:t>
      </w:r>
      <w:proofErr w:type="spellStart"/>
      <w:r>
        <w:t>Corrado</w:t>
      </w:r>
      <w:proofErr w:type="spellEnd"/>
      <w:r>
        <w:t xml:space="preserve">, S., Giordano, G. and Romano, C. (2014) 79 AD Vesuvius PDC deposits’ temperatures inferred from optical analysis on woods charred in-situ in the </w:t>
      </w:r>
      <w:r>
        <w:rPr>
          <w:i/>
        </w:rPr>
        <w:t xml:space="preserve">Villa </w:t>
      </w:r>
      <w:proofErr w:type="spellStart"/>
      <w:r>
        <w:rPr>
          <w:i/>
        </w:rPr>
        <w:t>dei</w:t>
      </w:r>
      <w:proofErr w:type="spellEnd"/>
      <w:r>
        <w:rPr>
          <w:i/>
        </w:rPr>
        <w:t xml:space="preserve"> </w:t>
      </w:r>
      <w:proofErr w:type="spellStart"/>
      <w:r>
        <w:rPr>
          <w:i/>
        </w:rPr>
        <w:t>Papiri</w:t>
      </w:r>
      <w:proofErr w:type="spellEnd"/>
      <w:r>
        <w:rPr>
          <w:i/>
        </w:rPr>
        <w:t xml:space="preserve"> </w:t>
      </w:r>
      <w:r>
        <w:t xml:space="preserve">at Herculaneum (Italy). </w:t>
      </w:r>
      <w:r>
        <w:rPr>
          <w:i/>
        </w:rPr>
        <w:t>Journal of Volcanology and Geothermal Research</w:t>
      </w:r>
      <w:r>
        <w:t>, 289: 14-25.</w:t>
      </w:r>
    </w:p>
    <w:p w14:paraId="123BAB31" w14:textId="77777777" w:rsidR="00255333" w:rsidRDefault="00715B12">
      <w:pPr>
        <w:widowControl w:val="0"/>
        <w:pBdr>
          <w:top w:val="nil"/>
          <w:left w:val="nil"/>
          <w:bottom w:val="nil"/>
          <w:right w:val="nil"/>
          <w:between w:val="nil"/>
        </w:pBdr>
      </w:pPr>
      <w:bookmarkStart w:id="8" w:name="_hfbihrcqnku1" w:colFirst="0" w:colLast="0"/>
      <w:bookmarkEnd w:id="8"/>
      <w:r>
        <w:t xml:space="preserve">Carroll, E.L. and Smith, M. (2018) Burning questions: Investigations using field experimentation of different patterns of change to bone in accidental vs deliberate burning scenarios. </w:t>
      </w:r>
      <w:r>
        <w:rPr>
          <w:i/>
        </w:rPr>
        <w:t>Journal of Archaeological Science: Reports</w:t>
      </w:r>
      <w:r>
        <w:t xml:space="preserve"> doi.org/10.1016/j.jasrep.2018.02.001.</w:t>
      </w:r>
    </w:p>
    <w:p w14:paraId="16234494" w14:textId="77777777" w:rsidR="00255333" w:rsidRDefault="00715B12">
      <w:pPr>
        <w:widowControl w:val="0"/>
        <w:pBdr>
          <w:top w:val="nil"/>
          <w:left w:val="nil"/>
          <w:bottom w:val="nil"/>
          <w:right w:val="nil"/>
          <w:between w:val="nil"/>
        </w:pBdr>
      </w:pPr>
      <w:bookmarkStart w:id="9" w:name="_pcwrjhywdxjo" w:colFirst="0" w:colLast="0"/>
      <w:bookmarkEnd w:id="9"/>
      <w:r>
        <w:t xml:space="preserve">Carter, D. and Tibbett, M. (2008) ‘Cadaver decomposition and soil: processes’ in Tibbett, M. and Carter, D. (eds) Soil analysis in forensic taphonomy: chemical and biological effects of buried human </w:t>
      </w:r>
      <w:proofErr w:type="gramStart"/>
      <w:r>
        <w:t>remains</w:t>
      </w:r>
      <w:proofErr w:type="gramEnd"/>
      <w:r>
        <w:t>. United States: CRC Press. Pp. 29-52.</w:t>
      </w:r>
    </w:p>
    <w:p w14:paraId="620AAA12" w14:textId="77777777" w:rsidR="00255333" w:rsidRDefault="00715B12">
      <w:pPr>
        <w:widowControl w:val="0"/>
        <w:pBdr>
          <w:top w:val="nil"/>
          <w:left w:val="nil"/>
          <w:bottom w:val="nil"/>
          <w:right w:val="nil"/>
          <w:between w:val="nil"/>
        </w:pBdr>
      </w:pPr>
      <w:bookmarkStart w:id="10" w:name="_9rn4a3iji1x0" w:colFirst="0" w:colLast="0"/>
      <w:bookmarkEnd w:id="10"/>
      <w:proofErr w:type="spellStart"/>
      <w:r>
        <w:t>Cascant</w:t>
      </w:r>
      <w:proofErr w:type="spellEnd"/>
      <w:r>
        <w:t xml:space="preserve">, M.M., Rubio, S., </w:t>
      </w:r>
      <w:proofErr w:type="spellStart"/>
      <w:r>
        <w:t>Gallello</w:t>
      </w:r>
      <w:proofErr w:type="spellEnd"/>
      <w:r>
        <w:t xml:space="preserve">, G., Pastor, A., Garrigues, S. and de la Guardia, M. (2017) Burned bones forensic investigations employing near infrared spectroscopy. </w:t>
      </w:r>
      <w:r>
        <w:rPr>
          <w:i/>
        </w:rPr>
        <w:t>Vibrational Spectroscopy</w:t>
      </w:r>
      <w:r>
        <w:t xml:space="preserve"> 90: 21-30.</w:t>
      </w:r>
    </w:p>
    <w:p w14:paraId="4E2B593E" w14:textId="77777777" w:rsidR="00255333" w:rsidRDefault="00715B12">
      <w:pPr>
        <w:widowControl w:val="0"/>
        <w:pBdr>
          <w:top w:val="nil"/>
          <w:left w:val="nil"/>
          <w:bottom w:val="nil"/>
          <w:right w:val="nil"/>
          <w:between w:val="nil"/>
        </w:pBdr>
      </w:pPr>
      <w:bookmarkStart w:id="11" w:name="_1t3h5sf" w:colFirst="0" w:colLast="0"/>
      <w:bookmarkEnd w:id="11"/>
      <w:r>
        <w:t xml:space="preserve">Christensen, A. (2002) Experiments in the combustibility of the human body. </w:t>
      </w:r>
      <w:r>
        <w:rPr>
          <w:i/>
        </w:rPr>
        <w:t xml:space="preserve">Journal of Forensic Science, </w:t>
      </w:r>
      <w:r>
        <w:t>47: 466-470.</w:t>
      </w:r>
    </w:p>
    <w:p w14:paraId="700B7E28" w14:textId="77777777" w:rsidR="00255333" w:rsidRDefault="00715B12">
      <w:pPr>
        <w:widowControl w:val="0"/>
        <w:pBdr>
          <w:top w:val="nil"/>
          <w:left w:val="nil"/>
          <w:bottom w:val="nil"/>
          <w:right w:val="nil"/>
          <w:between w:val="nil"/>
        </w:pBdr>
      </w:pPr>
      <w:bookmarkStart w:id="12" w:name="_4d34og8" w:colFirst="0" w:colLast="0"/>
      <w:bookmarkEnd w:id="12"/>
      <w:proofErr w:type="spellStart"/>
      <w:r>
        <w:t>Cioni</w:t>
      </w:r>
      <w:proofErr w:type="spellEnd"/>
      <w:r>
        <w:t xml:space="preserve">, R., </w:t>
      </w:r>
      <w:proofErr w:type="spellStart"/>
      <w:r>
        <w:t>Gurioli</w:t>
      </w:r>
      <w:proofErr w:type="spellEnd"/>
      <w:r>
        <w:t xml:space="preserve">, L., Lanza, R. and </w:t>
      </w:r>
      <w:proofErr w:type="spellStart"/>
      <w:r>
        <w:t>Zanella</w:t>
      </w:r>
      <w:proofErr w:type="spellEnd"/>
      <w:r>
        <w:t xml:space="preserve">, E. (2004) Temperatures of the A.D. 79 pyroclastic density current deposits (Vesuvius, Italy). </w:t>
      </w:r>
      <w:r>
        <w:rPr>
          <w:i/>
        </w:rPr>
        <w:t>Journal of Geophysical Research,</w:t>
      </w:r>
      <w:r>
        <w:t xml:space="preserve"> 109: B02207.</w:t>
      </w:r>
    </w:p>
    <w:p w14:paraId="03F3AE2F" w14:textId="77777777" w:rsidR="00255333" w:rsidRDefault="00715B12">
      <w:pPr>
        <w:widowControl w:val="0"/>
        <w:pBdr>
          <w:top w:val="nil"/>
          <w:left w:val="nil"/>
          <w:bottom w:val="nil"/>
          <w:right w:val="nil"/>
          <w:between w:val="nil"/>
        </w:pBdr>
        <w:spacing w:after="0" w:line="240" w:lineRule="auto"/>
      </w:pPr>
      <w:bookmarkStart w:id="13" w:name="_2s8eyo1" w:colFirst="0" w:colLast="0"/>
      <w:bookmarkEnd w:id="13"/>
      <w:r>
        <w:t xml:space="preserve">Collins, M., Nielsen-Marsh, C., Hiller, J., Smith, C. and Roberts, J. (2002) The survival of organic matter in bone: a review. </w:t>
      </w:r>
      <w:r>
        <w:rPr>
          <w:i/>
        </w:rPr>
        <w:t xml:space="preserve">Archaeometry, </w:t>
      </w:r>
      <w:r>
        <w:t>44: 383-394.</w:t>
      </w:r>
    </w:p>
    <w:p w14:paraId="366DF90C" w14:textId="77777777" w:rsidR="00255333" w:rsidRDefault="00255333">
      <w:pPr>
        <w:widowControl w:val="0"/>
        <w:pBdr>
          <w:top w:val="nil"/>
          <w:left w:val="nil"/>
          <w:bottom w:val="nil"/>
          <w:right w:val="nil"/>
          <w:between w:val="nil"/>
        </w:pBdr>
        <w:spacing w:after="0" w:line="240" w:lineRule="auto"/>
      </w:pPr>
      <w:bookmarkStart w:id="14" w:name="_17dp8vu" w:colFirst="0" w:colLast="0"/>
      <w:bookmarkEnd w:id="14"/>
    </w:p>
    <w:p w14:paraId="33F80F23" w14:textId="77777777" w:rsidR="00255333" w:rsidRDefault="00715B12">
      <w:pPr>
        <w:widowControl w:val="0"/>
        <w:pBdr>
          <w:top w:val="nil"/>
          <w:left w:val="nil"/>
          <w:bottom w:val="nil"/>
          <w:right w:val="nil"/>
          <w:between w:val="nil"/>
        </w:pBdr>
        <w:spacing w:after="0" w:line="240" w:lineRule="auto"/>
      </w:pPr>
      <w:bookmarkStart w:id="15" w:name="_3rdcrjn" w:colFirst="0" w:colLast="0"/>
      <w:bookmarkEnd w:id="15"/>
      <w:r>
        <w:t xml:space="preserve">Craig, O., </w:t>
      </w:r>
      <w:proofErr w:type="spellStart"/>
      <w:r>
        <w:t>Biazzo</w:t>
      </w:r>
      <w:proofErr w:type="spellEnd"/>
      <w:r>
        <w:t>, M. O’Connell, T., Garnsey, P., Martinez-</w:t>
      </w:r>
      <w:proofErr w:type="spellStart"/>
      <w:r>
        <w:t>Labarga</w:t>
      </w:r>
      <w:proofErr w:type="spellEnd"/>
      <w:r>
        <w:t xml:space="preserve">, C., </w:t>
      </w:r>
      <w:proofErr w:type="spellStart"/>
      <w:r>
        <w:t>Lelli</w:t>
      </w:r>
      <w:proofErr w:type="spellEnd"/>
      <w:r>
        <w:t xml:space="preserve">, R., </w:t>
      </w:r>
      <w:proofErr w:type="spellStart"/>
      <w:r>
        <w:t>Salvadei</w:t>
      </w:r>
      <w:proofErr w:type="spellEnd"/>
      <w:r>
        <w:t xml:space="preserve">, L., Tartaglia, G., Nava, A., Reno, L., </w:t>
      </w:r>
      <w:proofErr w:type="spellStart"/>
      <w:r>
        <w:t>Fiammenghi</w:t>
      </w:r>
      <w:proofErr w:type="spellEnd"/>
      <w:r>
        <w:t xml:space="preserve">, A., Rickards, O. and </w:t>
      </w:r>
      <w:proofErr w:type="spellStart"/>
      <w:r>
        <w:t>Bondioli</w:t>
      </w:r>
      <w:proofErr w:type="spellEnd"/>
      <w:r>
        <w:t xml:space="preserve">, L. (2009) Stable isotopic evidence for diet at the Imperial Roman coastal site of Velia (1st and 2nd centuries AD) in southern Italy. </w:t>
      </w:r>
      <w:r w:rsidRPr="00785D5D">
        <w:rPr>
          <w:i/>
        </w:rPr>
        <w:t>American Journal of Physical Anthropology</w:t>
      </w:r>
      <w:r>
        <w:t>, 139: 572-583.</w:t>
      </w:r>
    </w:p>
    <w:p w14:paraId="4E697A05" w14:textId="77777777" w:rsidR="00255333" w:rsidRDefault="00255333">
      <w:pPr>
        <w:widowControl w:val="0"/>
        <w:pBdr>
          <w:top w:val="nil"/>
          <w:left w:val="nil"/>
          <w:bottom w:val="nil"/>
          <w:right w:val="nil"/>
          <w:between w:val="nil"/>
        </w:pBdr>
        <w:spacing w:after="0" w:line="240" w:lineRule="auto"/>
      </w:pPr>
      <w:bookmarkStart w:id="16" w:name="_k6mef918f78c" w:colFirst="0" w:colLast="0"/>
      <w:bookmarkEnd w:id="16"/>
    </w:p>
    <w:p w14:paraId="3F7AF685" w14:textId="794E9227" w:rsidR="00255333" w:rsidRDefault="00715B12">
      <w:pPr>
        <w:widowControl w:val="0"/>
        <w:pBdr>
          <w:top w:val="nil"/>
          <w:left w:val="nil"/>
          <w:bottom w:val="nil"/>
          <w:right w:val="nil"/>
          <w:between w:val="nil"/>
        </w:pBdr>
        <w:spacing w:after="0" w:line="240" w:lineRule="auto"/>
      </w:pPr>
      <w:bookmarkStart w:id="17" w:name="_hnsw0k8r99bb" w:colFirst="0" w:colLast="0"/>
      <w:bookmarkEnd w:id="17"/>
      <w:proofErr w:type="spellStart"/>
      <w:r>
        <w:t>DeHaan</w:t>
      </w:r>
      <w:proofErr w:type="spellEnd"/>
      <w:r>
        <w:t xml:space="preserve">, J. and </w:t>
      </w:r>
      <w:proofErr w:type="spellStart"/>
      <w:r>
        <w:t>Nurbakhash</w:t>
      </w:r>
      <w:proofErr w:type="spellEnd"/>
      <w:r>
        <w:t xml:space="preserve">, S. (2001) Sustained combustion of an animal carcass and its implications for the consumption of human bodies in fires. </w:t>
      </w:r>
      <w:r>
        <w:rPr>
          <w:i/>
        </w:rPr>
        <w:t xml:space="preserve">Journal of Forensic Sciences, </w:t>
      </w:r>
      <w:r>
        <w:t>46: 1076-1081.</w:t>
      </w:r>
    </w:p>
    <w:p w14:paraId="5649E225" w14:textId="6B758892" w:rsidR="00F47A2A" w:rsidRDefault="00F47A2A">
      <w:pPr>
        <w:widowControl w:val="0"/>
        <w:pBdr>
          <w:top w:val="nil"/>
          <w:left w:val="nil"/>
          <w:bottom w:val="nil"/>
          <w:right w:val="nil"/>
          <w:between w:val="nil"/>
        </w:pBdr>
        <w:spacing w:after="0" w:line="240" w:lineRule="auto"/>
      </w:pPr>
    </w:p>
    <w:p w14:paraId="3CE0EEFF" w14:textId="6FD6CF0B" w:rsidR="00F47A2A" w:rsidRDefault="009952C6" w:rsidP="00F47A2A">
      <w:hyperlink r:id="rId8" w:history="1">
        <w:r w:rsidR="00F47A2A" w:rsidRPr="007E3372">
          <w:t xml:space="preserve">de </w:t>
        </w:r>
        <w:proofErr w:type="spellStart"/>
        <w:r w:rsidR="00F47A2A" w:rsidRPr="007E3372">
          <w:t>Ligt</w:t>
        </w:r>
        <w:proofErr w:type="spellEnd"/>
      </w:hyperlink>
      <w:r w:rsidR="00F47A2A">
        <w:t xml:space="preserve">, L. and </w:t>
      </w:r>
      <w:r w:rsidR="00F47A2A" w:rsidRPr="00F47A2A">
        <w:t>Garnsey</w:t>
      </w:r>
      <w:r w:rsidR="00F47A2A">
        <w:t>, P. (2012)</w:t>
      </w:r>
      <w:r w:rsidR="00F47A2A" w:rsidRPr="007E3372">
        <w:t xml:space="preserve"> </w:t>
      </w:r>
      <w:r w:rsidR="00F47A2A">
        <w:t xml:space="preserve">The Album of Herculaneum and a model of the town’s demography. </w:t>
      </w:r>
      <w:r w:rsidR="00F47A2A" w:rsidRPr="00457D71">
        <w:rPr>
          <w:i/>
          <w:iCs/>
        </w:rPr>
        <w:t>Journal of Roman Archaeology</w:t>
      </w:r>
      <w:r w:rsidR="00F47A2A">
        <w:rPr>
          <w:i/>
          <w:iCs/>
        </w:rPr>
        <w:t xml:space="preserve">, </w:t>
      </w:r>
      <w:r w:rsidR="00F47A2A" w:rsidRPr="00457D71">
        <w:t>25</w:t>
      </w:r>
      <w:r w:rsidR="00F47A2A">
        <w:t xml:space="preserve">: </w:t>
      </w:r>
      <w:r w:rsidR="00F47A2A" w:rsidRPr="00457D71">
        <w:t>69-94</w:t>
      </w:r>
      <w:r w:rsidR="00F47A2A">
        <w:t>.</w:t>
      </w:r>
    </w:p>
    <w:p w14:paraId="17052ECB" w14:textId="77777777" w:rsidR="00F47A2A" w:rsidRDefault="00F47A2A">
      <w:pPr>
        <w:widowControl w:val="0"/>
        <w:pBdr>
          <w:top w:val="nil"/>
          <w:left w:val="nil"/>
          <w:bottom w:val="nil"/>
          <w:right w:val="nil"/>
          <w:between w:val="nil"/>
        </w:pBdr>
        <w:spacing w:after="0" w:line="240" w:lineRule="auto"/>
      </w:pPr>
    </w:p>
    <w:p w14:paraId="6B502AF3" w14:textId="77777777" w:rsidR="00255333" w:rsidRDefault="00255333">
      <w:pPr>
        <w:widowControl w:val="0"/>
        <w:pBdr>
          <w:top w:val="nil"/>
          <w:left w:val="nil"/>
          <w:bottom w:val="nil"/>
          <w:right w:val="nil"/>
          <w:between w:val="nil"/>
        </w:pBdr>
        <w:spacing w:after="0" w:line="240" w:lineRule="auto"/>
      </w:pPr>
      <w:bookmarkStart w:id="18" w:name="_26in1rg" w:colFirst="0" w:colLast="0"/>
      <w:bookmarkEnd w:id="18"/>
    </w:p>
    <w:p w14:paraId="7D8C95EC" w14:textId="77777777" w:rsidR="00255333" w:rsidRDefault="00715B12">
      <w:pPr>
        <w:widowControl w:val="0"/>
        <w:pBdr>
          <w:top w:val="nil"/>
          <w:left w:val="nil"/>
          <w:bottom w:val="nil"/>
          <w:right w:val="nil"/>
          <w:between w:val="nil"/>
        </w:pBdr>
        <w:spacing w:after="0" w:line="240" w:lineRule="auto"/>
      </w:pPr>
      <w:bookmarkStart w:id="19" w:name="_lnxbz9" w:colFirst="0" w:colLast="0"/>
      <w:bookmarkEnd w:id="19"/>
      <w:r>
        <w:t xml:space="preserve">DeNiro, M. (1985) </w:t>
      </w:r>
      <w:proofErr w:type="spellStart"/>
      <w:r>
        <w:t>Postmortem</w:t>
      </w:r>
      <w:proofErr w:type="spellEnd"/>
      <w:r>
        <w:t xml:space="preserve"> preservation and alteration of in vivo bone collagen isotope</w:t>
      </w:r>
    </w:p>
    <w:p w14:paraId="1560836F" w14:textId="77777777" w:rsidR="00255333" w:rsidRDefault="00715B12">
      <w:pPr>
        <w:widowControl w:val="0"/>
        <w:pBdr>
          <w:top w:val="nil"/>
          <w:left w:val="nil"/>
          <w:bottom w:val="nil"/>
          <w:right w:val="nil"/>
          <w:between w:val="nil"/>
        </w:pBdr>
        <w:spacing w:after="0" w:line="240" w:lineRule="auto"/>
      </w:pPr>
      <w:bookmarkStart w:id="20" w:name="_35nkun2" w:colFirst="0" w:colLast="0"/>
      <w:bookmarkEnd w:id="20"/>
      <w:r>
        <w:t xml:space="preserve">ratios in relation to palaeodietary reconstruction. </w:t>
      </w:r>
      <w:r w:rsidRPr="00785D5D">
        <w:rPr>
          <w:i/>
        </w:rPr>
        <w:t>Nature</w:t>
      </w:r>
      <w:r>
        <w:t>, 317: 806-809.</w:t>
      </w:r>
    </w:p>
    <w:p w14:paraId="329F072D" w14:textId="77777777" w:rsidR="00E878FD" w:rsidRDefault="00E878FD">
      <w:pPr>
        <w:widowControl w:val="0"/>
        <w:pBdr>
          <w:top w:val="nil"/>
          <w:left w:val="nil"/>
          <w:bottom w:val="nil"/>
          <w:right w:val="nil"/>
          <w:between w:val="nil"/>
        </w:pBdr>
        <w:spacing w:after="0" w:line="240" w:lineRule="auto"/>
      </w:pPr>
    </w:p>
    <w:p w14:paraId="19E318A0" w14:textId="77777777" w:rsidR="00255333" w:rsidRDefault="00715B12">
      <w:pPr>
        <w:widowControl w:val="0"/>
        <w:pBdr>
          <w:top w:val="nil"/>
          <w:left w:val="nil"/>
          <w:bottom w:val="nil"/>
          <w:right w:val="nil"/>
          <w:between w:val="nil"/>
        </w:pBdr>
        <w:spacing w:after="0" w:line="240" w:lineRule="auto"/>
      </w:pPr>
      <w:bookmarkStart w:id="21" w:name="_1ksv4uv" w:colFirst="0" w:colLast="0"/>
      <w:bookmarkEnd w:id="21"/>
      <w:r>
        <w:t xml:space="preserve">Ellingham, S.T.D., Thompson, T.J.U and Islam, M. (2015) Thermogravimetric analysis of property changes and weight loss in incinerated bone. </w:t>
      </w:r>
      <w:proofErr w:type="spellStart"/>
      <w:r>
        <w:t>Palaeogeography</w:t>
      </w:r>
      <w:proofErr w:type="spellEnd"/>
      <w:r>
        <w:t xml:space="preserve">, </w:t>
      </w:r>
      <w:proofErr w:type="spellStart"/>
      <w:r>
        <w:t>Palaeoclimatology</w:t>
      </w:r>
      <w:proofErr w:type="spellEnd"/>
      <w:r>
        <w:t xml:space="preserve">, </w:t>
      </w:r>
      <w:proofErr w:type="spellStart"/>
      <w:r>
        <w:t>Palaeoecology</w:t>
      </w:r>
      <w:proofErr w:type="spellEnd"/>
      <w:r>
        <w:t xml:space="preserve"> 438: 239-244.</w:t>
      </w:r>
    </w:p>
    <w:p w14:paraId="38346C58" w14:textId="77777777" w:rsidR="00255333" w:rsidRDefault="00255333">
      <w:pPr>
        <w:widowControl w:val="0"/>
        <w:pBdr>
          <w:top w:val="nil"/>
          <w:left w:val="nil"/>
          <w:bottom w:val="nil"/>
          <w:right w:val="nil"/>
          <w:between w:val="nil"/>
        </w:pBdr>
        <w:spacing w:after="0" w:line="240" w:lineRule="auto"/>
      </w:pPr>
      <w:bookmarkStart w:id="22" w:name="_44sinio" w:colFirst="0" w:colLast="0"/>
      <w:bookmarkEnd w:id="22"/>
    </w:p>
    <w:p w14:paraId="4E2D4AFA" w14:textId="77777777" w:rsidR="00255333" w:rsidRDefault="00715B12">
      <w:pPr>
        <w:widowControl w:val="0"/>
        <w:pBdr>
          <w:top w:val="nil"/>
          <w:left w:val="nil"/>
          <w:bottom w:val="nil"/>
          <w:right w:val="nil"/>
          <w:between w:val="nil"/>
        </w:pBdr>
        <w:spacing w:after="0" w:line="240" w:lineRule="auto"/>
      </w:pPr>
      <w:bookmarkStart w:id="23" w:name="_2jxsxqh" w:colFirst="0" w:colLast="0"/>
      <w:bookmarkEnd w:id="23"/>
      <w:r>
        <w:t xml:space="preserve">Ellingham, S.T.D., Thompson, T.J.U., and Islam, M. (2016) The effect of soft tissue on temperature estimation from burnt bone using Fourier Transform Infrared Spectroscopy. </w:t>
      </w:r>
      <w:r w:rsidRPr="00785D5D">
        <w:rPr>
          <w:i/>
        </w:rPr>
        <w:t>Journal of Forensic Sciences</w:t>
      </w:r>
      <w:r>
        <w:t xml:space="preserve"> 61: 153 – 159.</w:t>
      </w:r>
    </w:p>
    <w:p w14:paraId="3AA23EF3" w14:textId="77777777" w:rsidR="00255333" w:rsidRDefault="00255333">
      <w:pPr>
        <w:widowControl w:val="0"/>
        <w:pBdr>
          <w:top w:val="nil"/>
          <w:left w:val="nil"/>
          <w:bottom w:val="nil"/>
          <w:right w:val="nil"/>
          <w:between w:val="nil"/>
        </w:pBdr>
        <w:spacing w:after="0" w:line="240" w:lineRule="auto"/>
      </w:pPr>
      <w:bookmarkStart w:id="24" w:name="_z337ya" w:colFirst="0" w:colLast="0"/>
      <w:bookmarkEnd w:id="24"/>
    </w:p>
    <w:p w14:paraId="7D55B9DA" w14:textId="77777777" w:rsidR="00255333" w:rsidRDefault="00715B12">
      <w:pPr>
        <w:widowControl w:val="0"/>
        <w:pBdr>
          <w:top w:val="nil"/>
          <w:left w:val="nil"/>
          <w:bottom w:val="nil"/>
          <w:right w:val="nil"/>
          <w:between w:val="nil"/>
        </w:pBdr>
        <w:spacing w:after="0" w:line="240" w:lineRule="auto"/>
      </w:pPr>
      <w:bookmarkStart w:id="25" w:name="_3j2qqm3" w:colFirst="0" w:colLast="0"/>
      <w:bookmarkEnd w:id="25"/>
      <w:proofErr w:type="spellStart"/>
      <w:r>
        <w:t>Etok</w:t>
      </w:r>
      <w:proofErr w:type="spellEnd"/>
      <w:r>
        <w:t xml:space="preserve">, S., </w:t>
      </w:r>
      <w:proofErr w:type="spellStart"/>
      <w:r>
        <w:t>Valsami</w:t>
      </w:r>
      <w:proofErr w:type="spellEnd"/>
      <w:r>
        <w:t xml:space="preserve">-Jones, E., </w:t>
      </w:r>
      <w:proofErr w:type="spellStart"/>
      <w:r>
        <w:t>Wess</w:t>
      </w:r>
      <w:proofErr w:type="spellEnd"/>
      <w:r>
        <w:t xml:space="preserve">, T., Hiller, J., Maxwell, C., Rogers, K., Manning, D., White, M., Lopez-Capel, E., Collins, M., Buckley, M., </w:t>
      </w:r>
      <w:proofErr w:type="spellStart"/>
      <w:r>
        <w:t>Penkman</w:t>
      </w:r>
      <w:proofErr w:type="spellEnd"/>
      <w:r>
        <w:t xml:space="preserve">, K. and Woodgate, S. (2007) Structural and chemical changes of thermally treated bone apatite. </w:t>
      </w:r>
      <w:r>
        <w:rPr>
          <w:i/>
        </w:rPr>
        <w:t xml:space="preserve">Journal of Materials Science, </w:t>
      </w:r>
      <w:r>
        <w:t>42: 9807-9816.</w:t>
      </w:r>
    </w:p>
    <w:p w14:paraId="5CC7EEA2" w14:textId="77777777" w:rsidR="00255333" w:rsidRDefault="00255333">
      <w:pPr>
        <w:widowControl w:val="0"/>
        <w:pBdr>
          <w:top w:val="nil"/>
          <w:left w:val="nil"/>
          <w:bottom w:val="nil"/>
          <w:right w:val="nil"/>
          <w:between w:val="nil"/>
        </w:pBdr>
        <w:spacing w:after="0" w:line="240" w:lineRule="auto"/>
      </w:pPr>
      <w:bookmarkStart w:id="26" w:name="_1y810tw" w:colFirst="0" w:colLast="0"/>
      <w:bookmarkEnd w:id="26"/>
    </w:p>
    <w:p w14:paraId="7D1AA23A" w14:textId="77777777" w:rsidR="00255333" w:rsidRDefault="00715B12">
      <w:pPr>
        <w:widowControl w:val="0"/>
        <w:pBdr>
          <w:top w:val="nil"/>
          <w:left w:val="nil"/>
          <w:bottom w:val="nil"/>
          <w:right w:val="nil"/>
          <w:between w:val="nil"/>
        </w:pBdr>
        <w:spacing w:after="0" w:line="240" w:lineRule="auto"/>
      </w:pPr>
      <w:bookmarkStart w:id="27" w:name="_4i7ojhp" w:colFirst="0" w:colLast="0"/>
      <w:bookmarkEnd w:id="27"/>
      <w:proofErr w:type="spellStart"/>
      <w:r>
        <w:t>Fattore</w:t>
      </w:r>
      <w:proofErr w:type="spellEnd"/>
      <w:r>
        <w:t xml:space="preserve">, L., </w:t>
      </w:r>
      <w:proofErr w:type="spellStart"/>
      <w:r>
        <w:t>Bondioli</w:t>
      </w:r>
      <w:proofErr w:type="spellEnd"/>
      <w:r>
        <w:t xml:space="preserve">, L., Garnsey, P., Rossi, P. and </w:t>
      </w:r>
      <w:proofErr w:type="spellStart"/>
      <w:r>
        <w:t>Sperduti</w:t>
      </w:r>
      <w:proofErr w:type="spellEnd"/>
      <w:r>
        <w:t xml:space="preserve">, A. (2012). The human skeletal remains from Herculaneum: New evidence from the excavation of </w:t>
      </w:r>
      <w:proofErr w:type="spellStart"/>
      <w:r>
        <w:t>fornici</w:t>
      </w:r>
      <w:proofErr w:type="spellEnd"/>
      <w:r>
        <w:t xml:space="preserve"> 7, 8, 9, 10 and 11. </w:t>
      </w:r>
      <w:r>
        <w:rPr>
          <w:u w:val="single"/>
        </w:rPr>
        <w:t>Poster presented at the AAPA 81st Annual Meeting</w:t>
      </w:r>
      <w:r>
        <w:t xml:space="preserve">. Portland, Oregon. 11-14 </w:t>
      </w:r>
      <w:proofErr w:type="spellStart"/>
      <w:r>
        <w:t>aprile</w:t>
      </w:r>
      <w:proofErr w:type="spellEnd"/>
      <w:r>
        <w:t xml:space="preserve"> 2012.</w:t>
      </w:r>
    </w:p>
    <w:p w14:paraId="01CE8210" w14:textId="77777777" w:rsidR="00255333" w:rsidRDefault="00255333">
      <w:pPr>
        <w:widowControl w:val="0"/>
        <w:pBdr>
          <w:top w:val="nil"/>
          <w:left w:val="nil"/>
          <w:bottom w:val="nil"/>
          <w:right w:val="nil"/>
          <w:between w:val="nil"/>
        </w:pBdr>
        <w:spacing w:after="0" w:line="240" w:lineRule="auto"/>
      </w:pPr>
      <w:bookmarkStart w:id="28" w:name="_2xcytpi" w:colFirst="0" w:colLast="0"/>
      <w:bookmarkEnd w:id="28"/>
    </w:p>
    <w:p w14:paraId="6A603E02" w14:textId="77777777" w:rsidR="00255333" w:rsidRDefault="00715B12">
      <w:pPr>
        <w:widowControl w:val="0"/>
        <w:pBdr>
          <w:top w:val="nil"/>
          <w:left w:val="nil"/>
          <w:bottom w:val="nil"/>
          <w:right w:val="nil"/>
          <w:between w:val="nil"/>
        </w:pBdr>
        <w:spacing w:after="0" w:line="240" w:lineRule="auto"/>
      </w:pPr>
      <w:bookmarkStart w:id="29" w:name="_1ci93xb" w:colFirst="0" w:colLast="0"/>
      <w:bookmarkEnd w:id="29"/>
      <w:r>
        <w:t xml:space="preserve">Gerling, I., Meissner, C., Reiter, A. and </w:t>
      </w:r>
      <w:proofErr w:type="spellStart"/>
      <w:r>
        <w:t>Oehmichen</w:t>
      </w:r>
      <w:proofErr w:type="spellEnd"/>
      <w:r>
        <w:t xml:space="preserve">, M. (2001) Death from thermal effects and burns. </w:t>
      </w:r>
      <w:r>
        <w:rPr>
          <w:i/>
        </w:rPr>
        <w:t xml:space="preserve">Forensic Science International, </w:t>
      </w:r>
      <w:r>
        <w:t>115: 33-41.</w:t>
      </w:r>
    </w:p>
    <w:p w14:paraId="0937B44A" w14:textId="77777777" w:rsidR="00255333" w:rsidRDefault="00255333">
      <w:pPr>
        <w:widowControl w:val="0"/>
        <w:pBdr>
          <w:top w:val="nil"/>
          <w:left w:val="nil"/>
          <w:bottom w:val="nil"/>
          <w:right w:val="nil"/>
          <w:between w:val="nil"/>
        </w:pBdr>
        <w:spacing w:after="0" w:line="240" w:lineRule="auto"/>
      </w:pPr>
      <w:bookmarkStart w:id="30" w:name="_swbrf6jjroam" w:colFirst="0" w:colLast="0"/>
      <w:bookmarkEnd w:id="30"/>
    </w:p>
    <w:p w14:paraId="390C3208" w14:textId="77777777" w:rsidR="00255333" w:rsidRDefault="00715B12">
      <w:pPr>
        <w:widowControl w:val="0"/>
        <w:pBdr>
          <w:top w:val="nil"/>
          <w:left w:val="nil"/>
          <w:bottom w:val="nil"/>
          <w:right w:val="nil"/>
          <w:between w:val="nil"/>
        </w:pBdr>
        <w:spacing w:after="0" w:line="240" w:lineRule="auto"/>
      </w:pPr>
      <w:bookmarkStart w:id="31" w:name="_f2wfeadxbz2m" w:colFirst="0" w:colLast="0"/>
      <w:bookmarkEnd w:id="31"/>
      <w:r>
        <w:t xml:space="preserve">Giordano, G., </w:t>
      </w:r>
      <w:proofErr w:type="spellStart"/>
      <w:r>
        <w:t>Zanella</w:t>
      </w:r>
      <w:proofErr w:type="spellEnd"/>
      <w:r>
        <w:t xml:space="preserve">, E., </w:t>
      </w:r>
      <w:proofErr w:type="spellStart"/>
      <w:r>
        <w:t>Trolese</w:t>
      </w:r>
      <w:proofErr w:type="spellEnd"/>
      <w:r>
        <w:t xml:space="preserve">, M., </w:t>
      </w:r>
      <w:proofErr w:type="spellStart"/>
      <w:r>
        <w:t>Baffioni</w:t>
      </w:r>
      <w:proofErr w:type="spellEnd"/>
      <w:r>
        <w:t xml:space="preserve">, C., </w:t>
      </w:r>
      <w:proofErr w:type="spellStart"/>
      <w:r>
        <w:t>Vona</w:t>
      </w:r>
      <w:proofErr w:type="spellEnd"/>
      <w:r>
        <w:t xml:space="preserve">, A., </w:t>
      </w:r>
      <w:proofErr w:type="spellStart"/>
      <w:r>
        <w:t>Caricchi</w:t>
      </w:r>
      <w:proofErr w:type="spellEnd"/>
      <w:r>
        <w:t xml:space="preserve">, C., De Benedetti, A.A., </w:t>
      </w:r>
      <w:proofErr w:type="spellStart"/>
      <w:r>
        <w:t>Corrado</w:t>
      </w:r>
      <w:proofErr w:type="spellEnd"/>
      <w:r>
        <w:t xml:space="preserve">, S., Romano, C., Sulpizio, R. and </w:t>
      </w:r>
      <w:proofErr w:type="spellStart"/>
      <w:r>
        <w:t>Geshi</w:t>
      </w:r>
      <w:proofErr w:type="spellEnd"/>
      <w:r>
        <w:t xml:space="preserve">, N. (2018) Thermal interactions of the AD79 Vesuvius pyroclastic density currents and their deposits at Villa </w:t>
      </w:r>
      <w:proofErr w:type="spellStart"/>
      <w:r>
        <w:t>dei</w:t>
      </w:r>
      <w:proofErr w:type="spellEnd"/>
      <w:r>
        <w:t xml:space="preserve"> </w:t>
      </w:r>
      <w:proofErr w:type="spellStart"/>
      <w:r>
        <w:t>Papiri</w:t>
      </w:r>
      <w:proofErr w:type="spellEnd"/>
      <w:r>
        <w:t xml:space="preserve"> (Herculaneum archaeological site, Italy). </w:t>
      </w:r>
      <w:r>
        <w:rPr>
          <w:i/>
        </w:rPr>
        <w:t>Earth and Planetary Science Letters</w:t>
      </w:r>
      <w:r>
        <w:t xml:space="preserve"> 490: 180-192.</w:t>
      </w:r>
    </w:p>
    <w:p w14:paraId="23E82AC2" w14:textId="77777777" w:rsidR="00255333" w:rsidRDefault="00255333">
      <w:pPr>
        <w:widowControl w:val="0"/>
        <w:pBdr>
          <w:top w:val="nil"/>
          <w:left w:val="nil"/>
          <w:bottom w:val="nil"/>
          <w:right w:val="nil"/>
          <w:between w:val="nil"/>
        </w:pBdr>
        <w:spacing w:after="0" w:line="240" w:lineRule="auto"/>
      </w:pPr>
      <w:bookmarkStart w:id="32" w:name="_28l9niffhasc" w:colFirst="0" w:colLast="0"/>
      <w:bookmarkEnd w:id="32"/>
    </w:p>
    <w:p w14:paraId="1CBD23C1" w14:textId="77777777" w:rsidR="00255333" w:rsidRDefault="00715B12">
      <w:pPr>
        <w:widowControl w:val="0"/>
        <w:pBdr>
          <w:top w:val="nil"/>
          <w:left w:val="nil"/>
          <w:bottom w:val="nil"/>
          <w:right w:val="nil"/>
          <w:between w:val="nil"/>
        </w:pBdr>
        <w:spacing w:after="0" w:line="240" w:lineRule="auto"/>
      </w:pPr>
      <w:bookmarkStart w:id="33" w:name="_2bn6wsx" w:colFirst="0" w:colLast="0"/>
      <w:bookmarkEnd w:id="33"/>
      <w:r>
        <w:t xml:space="preserve">Gonçalves, D. and Pires, A.E. 2015. Cremation under fire: a review of bioarchaeological approaches from 1995 to 2015. </w:t>
      </w:r>
      <w:r w:rsidRPr="00785D5D">
        <w:rPr>
          <w:i/>
        </w:rPr>
        <w:t>Archaeological and Anthropological Science</w:t>
      </w:r>
      <w:r>
        <w:t xml:space="preserve"> DOI 10.1007/s12520-016-0333-0</w:t>
      </w:r>
    </w:p>
    <w:p w14:paraId="1F115D56" w14:textId="77777777" w:rsidR="00255333" w:rsidRDefault="00255333">
      <w:pPr>
        <w:widowControl w:val="0"/>
        <w:pBdr>
          <w:top w:val="nil"/>
          <w:left w:val="nil"/>
          <w:bottom w:val="nil"/>
          <w:right w:val="nil"/>
          <w:between w:val="nil"/>
        </w:pBdr>
        <w:spacing w:after="0" w:line="240" w:lineRule="auto"/>
      </w:pPr>
      <w:bookmarkStart w:id="34" w:name="_qsh70q" w:colFirst="0" w:colLast="0"/>
      <w:bookmarkEnd w:id="34"/>
    </w:p>
    <w:p w14:paraId="783664E3" w14:textId="77777777" w:rsidR="00255333" w:rsidRDefault="00715B12">
      <w:pPr>
        <w:widowControl w:val="0"/>
        <w:pBdr>
          <w:top w:val="nil"/>
          <w:left w:val="nil"/>
          <w:bottom w:val="nil"/>
          <w:right w:val="nil"/>
          <w:between w:val="nil"/>
        </w:pBdr>
        <w:spacing w:after="0" w:line="240" w:lineRule="auto"/>
      </w:pPr>
      <w:bookmarkStart w:id="35" w:name="_3as4poj" w:colFirst="0" w:colLast="0"/>
      <w:bookmarkEnd w:id="35"/>
      <w:r>
        <w:t xml:space="preserve">Holden, J., </w:t>
      </w:r>
      <w:proofErr w:type="spellStart"/>
      <w:r>
        <w:t>Phakey</w:t>
      </w:r>
      <w:proofErr w:type="spellEnd"/>
      <w:r>
        <w:t xml:space="preserve">, P. and Clement, J. (1995) Scanning electron microscope observations of heat-treated human bone. </w:t>
      </w:r>
      <w:r>
        <w:rPr>
          <w:i/>
        </w:rPr>
        <w:t xml:space="preserve">Forensic Science International, </w:t>
      </w:r>
      <w:r>
        <w:t>74: 29-45.</w:t>
      </w:r>
    </w:p>
    <w:p w14:paraId="59C93E97" w14:textId="77777777" w:rsidR="00255333" w:rsidRDefault="00255333">
      <w:pPr>
        <w:widowControl w:val="0"/>
        <w:pBdr>
          <w:top w:val="nil"/>
          <w:left w:val="nil"/>
          <w:bottom w:val="nil"/>
          <w:right w:val="nil"/>
          <w:between w:val="nil"/>
        </w:pBdr>
        <w:spacing w:after="0" w:line="240" w:lineRule="auto"/>
      </w:pPr>
      <w:bookmarkStart w:id="36" w:name="_1pxezwc" w:colFirst="0" w:colLast="0"/>
      <w:bookmarkEnd w:id="36"/>
    </w:p>
    <w:p w14:paraId="187316E0" w14:textId="77777777" w:rsidR="00255333" w:rsidRDefault="00715B12">
      <w:pPr>
        <w:widowControl w:val="0"/>
        <w:pBdr>
          <w:top w:val="nil"/>
          <w:left w:val="nil"/>
          <w:bottom w:val="nil"/>
          <w:right w:val="nil"/>
          <w:between w:val="nil"/>
        </w:pBdr>
        <w:spacing w:after="0" w:line="240" w:lineRule="auto"/>
      </w:pPr>
      <w:bookmarkStart w:id="37" w:name="_49x2ik5" w:colFirst="0" w:colLast="0"/>
      <w:bookmarkEnd w:id="37"/>
      <w:proofErr w:type="spellStart"/>
      <w:r>
        <w:t>Jans</w:t>
      </w:r>
      <w:proofErr w:type="spellEnd"/>
      <w:r>
        <w:t xml:space="preserve">, M., Nielson-Marsh, C., Smith, C., Collins, M. and Kars, D. (2004) Characterisation of microbial attack on archaeological bone. </w:t>
      </w:r>
      <w:r>
        <w:rPr>
          <w:i/>
        </w:rPr>
        <w:t xml:space="preserve">Journal of Archaeological Science, </w:t>
      </w:r>
      <w:r>
        <w:t>31: 87-95.</w:t>
      </w:r>
    </w:p>
    <w:p w14:paraId="1241580F" w14:textId="77777777" w:rsidR="00255333" w:rsidRDefault="00255333">
      <w:pPr>
        <w:widowControl w:val="0"/>
        <w:pBdr>
          <w:top w:val="nil"/>
          <w:left w:val="nil"/>
          <w:bottom w:val="nil"/>
          <w:right w:val="nil"/>
          <w:between w:val="nil"/>
        </w:pBdr>
        <w:spacing w:after="0" w:line="240" w:lineRule="auto"/>
      </w:pPr>
      <w:bookmarkStart w:id="38" w:name="_2p2csry" w:colFirst="0" w:colLast="0"/>
      <w:bookmarkEnd w:id="38"/>
    </w:p>
    <w:p w14:paraId="6FDBF244" w14:textId="77777777" w:rsidR="00255333" w:rsidRDefault="00715B12">
      <w:pPr>
        <w:widowControl w:val="0"/>
        <w:pBdr>
          <w:top w:val="nil"/>
          <w:left w:val="nil"/>
          <w:bottom w:val="nil"/>
          <w:right w:val="nil"/>
          <w:between w:val="nil"/>
        </w:pBdr>
        <w:spacing w:after="0" w:line="240" w:lineRule="auto"/>
      </w:pPr>
      <w:bookmarkStart w:id="39" w:name="_147n2zr" w:colFirst="0" w:colLast="0"/>
      <w:bookmarkEnd w:id="39"/>
      <w:r>
        <w:t xml:space="preserve">Kent, D., Ninkovich, D., </w:t>
      </w:r>
      <w:proofErr w:type="spellStart"/>
      <w:r>
        <w:t>Pescatore</w:t>
      </w:r>
      <w:proofErr w:type="spellEnd"/>
      <w:r>
        <w:t xml:space="preserve">, T. and Sparks, S. (1981) Palaeomagnetic determination of emplacement temperature of Vesuvius AD 79 pyroclastic deposits. </w:t>
      </w:r>
      <w:r>
        <w:rPr>
          <w:i/>
        </w:rPr>
        <w:t xml:space="preserve">Nature, </w:t>
      </w:r>
      <w:r>
        <w:t>290: 393-396.</w:t>
      </w:r>
    </w:p>
    <w:p w14:paraId="63EA0B18" w14:textId="77777777" w:rsidR="00255333" w:rsidRDefault="00255333">
      <w:pPr>
        <w:widowControl w:val="0"/>
        <w:pBdr>
          <w:top w:val="nil"/>
          <w:left w:val="nil"/>
          <w:bottom w:val="nil"/>
          <w:right w:val="nil"/>
          <w:between w:val="nil"/>
        </w:pBdr>
        <w:spacing w:after="0" w:line="240" w:lineRule="auto"/>
      </w:pPr>
      <w:bookmarkStart w:id="40" w:name="_3o7alnk" w:colFirst="0" w:colLast="0"/>
      <w:bookmarkEnd w:id="40"/>
    </w:p>
    <w:p w14:paraId="24B8833E" w14:textId="77777777" w:rsidR="00255333" w:rsidRDefault="00715B12">
      <w:pPr>
        <w:widowControl w:val="0"/>
        <w:pBdr>
          <w:top w:val="nil"/>
          <w:left w:val="nil"/>
          <w:bottom w:val="nil"/>
          <w:right w:val="nil"/>
          <w:between w:val="nil"/>
        </w:pBdr>
        <w:spacing w:after="0" w:line="240" w:lineRule="auto"/>
      </w:pPr>
      <w:bookmarkStart w:id="41" w:name="_23ckvvd" w:colFirst="0" w:colLast="0"/>
      <w:bookmarkEnd w:id="41"/>
      <w:r>
        <w:t xml:space="preserve">Keough, N., </w:t>
      </w:r>
      <w:proofErr w:type="spellStart"/>
      <w:r>
        <w:t>L’Abbé</w:t>
      </w:r>
      <w:proofErr w:type="spellEnd"/>
      <w:r>
        <w:t xml:space="preserve">, E.N., Steyn, M. and Pretorius, S. 2015. Assessment of skeletal changes after post-mortem exposure to fire as an indicator of decomposition stage. </w:t>
      </w:r>
      <w:r>
        <w:rPr>
          <w:i/>
        </w:rPr>
        <w:t xml:space="preserve">Forensic Science International, </w:t>
      </w:r>
      <w:r>
        <w:t>246: 17-24.</w:t>
      </w:r>
    </w:p>
    <w:p w14:paraId="558FAE19" w14:textId="77777777" w:rsidR="00255333" w:rsidRDefault="00255333">
      <w:pPr>
        <w:widowControl w:val="0"/>
        <w:pBdr>
          <w:top w:val="nil"/>
          <w:left w:val="nil"/>
          <w:bottom w:val="nil"/>
          <w:right w:val="nil"/>
          <w:between w:val="nil"/>
        </w:pBdr>
        <w:spacing w:after="0" w:line="240" w:lineRule="auto"/>
      </w:pPr>
      <w:bookmarkStart w:id="42" w:name="_ihv636" w:colFirst="0" w:colLast="0"/>
      <w:bookmarkEnd w:id="42"/>
    </w:p>
    <w:p w14:paraId="0416E75A" w14:textId="77777777" w:rsidR="00255333" w:rsidRDefault="00715B12">
      <w:pPr>
        <w:widowControl w:val="0"/>
        <w:pBdr>
          <w:top w:val="nil"/>
          <w:left w:val="nil"/>
          <w:bottom w:val="nil"/>
          <w:right w:val="nil"/>
          <w:between w:val="nil"/>
        </w:pBdr>
        <w:spacing w:after="0" w:line="240" w:lineRule="auto"/>
      </w:pPr>
      <w:bookmarkStart w:id="43" w:name="_32hioqz" w:colFirst="0" w:colLast="0"/>
      <w:bookmarkEnd w:id="43"/>
      <w:r>
        <w:t xml:space="preserve">Koon, H., </w:t>
      </w:r>
      <w:proofErr w:type="spellStart"/>
      <w:r>
        <w:t>Loreille</w:t>
      </w:r>
      <w:proofErr w:type="spellEnd"/>
      <w:r>
        <w:t xml:space="preserve">, O., Covington, A., Christensen, A., Parsons, T. and Collins, M. (2009) Diagnosing post-mortem treatments which inhibit DNA amplification from US MIAs buried at the Punchbowl. </w:t>
      </w:r>
      <w:r>
        <w:rPr>
          <w:i/>
        </w:rPr>
        <w:t>Forensic Science International,</w:t>
      </w:r>
      <w:r>
        <w:t xml:space="preserve"> 178: 171-177.</w:t>
      </w:r>
    </w:p>
    <w:p w14:paraId="7DB61B3E" w14:textId="77777777" w:rsidR="00255333" w:rsidRDefault="00255333">
      <w:pPr>
        <w:widowControl w:val="0"/>
        <w:pBdr>
          <w:top w:val="nil"/>
          <w:left w:val="nil"/>
          <w:bottom w:val="nil"/>
          <w:right w:val="nil"/>
          <w:between w:val="nil"/>
        </w:pBdr>
        <w:spacing w:after="0" w:line="240" w:lineRule="auto"/>
      </w:pPr>
      <w:bookmarkStart w:id="44" w:name="_1hmsyys" w:colFirst="0" w:colLast="0"/>
      <w:bookmarkEnd w:id="44"/>
    </w:p>
    <w:p w14:paraId="4E401887" w14:textId="77777777" w:rsidR="00255333" w:rsidRDefault="00715B12">
      <w:pPr>
        <w:widowControl w:val="0"/>
        <w:pBdr>
          <w:top w:val="nil"/>
          <w:left w:val="nil"/>
          <w:bottom w:val="nil"/>
          <w:right w:val="nil"/>
          <w:between w:val="nil"/>
        </w:pBdr>
        <w:spacing w:after="0" w:line="240" w:lineRule="auto"/>
      </w:pPr>
      <w:bookmarkStart w:id="45" w:name="_seg8hp7sjwbz" w:colFirst="0" w:colLast="0"/>
      <w:bookmarkEnd w:id="45"/>
      <w:proofErr w:type="spellStart"/>
      <w:r>
        <w:t>Lebon</w:t>
      </w:r>
      <w:proofErr w:type="spellEnd"/>
      <w:r>
        <w:t xml:space="preserve">, M., </w:t>
      </w:r>
      <w:proofErr w:type="spellStart"/>
      <w:r>
        <w:t>Reiche</w:t>
      </w:r>
      <w:proofErr w:type="spellEnd"/>
      <w:r>
        <w:t xml:space="preserve">, I., </w:t>
      </w:r>
      <w:proofErr w:type="spellStart"/>
      <w:r>
        <w:t>Bahain</w:t>
      </w:r>
      <w:proofErr w:type="spellEnd"/>
      <w:r>
        <w:t xml:space="preserve">, J., </w:t>
      </w:r>
      <w:proofErr w:type="spellStart"/>
      <w:r>
        <w:t>Chadefaux</w:t>
      </w:r>
      <w:proofErr w:type="spellEnd"/>
      <w:r>
        <w:t xml:space="preserve">, C., </w:t>
      </w:r>
      <w:proofErr w:type="spellStart"/>
      <w:r>
        <w:t>Moigne</w:t>
      </w:r>
      <w:proofErr w:type="spellEnd"/>
      <w:r>
        <w:t xml:space="preserve">, A., Fröhlich, F., </w:t>
      </w:r>
      <w:proofErr w:type="spellStart"/>
      <w:r>
        <w:t>Sémah</w:t>
      </w:r>
      <w:proofErr w:type="spellEnd"/>
      <w:r>
        <w:t xml:space="preserve">, F., </w:t>
      </w:r>
      <w:proofErr w:type="spellStart"/>
      <w:r>
        <w:t>Schwarcz</w:t>
      </w:r>
      <w:proofErr w:type="spellEnd"/>
      <w:r>
        <w:t xml:space="preserve">, H. and </w:t>
      </w:r>
      <w:proofErr w:type="spellStart"/>
      <w:r>
        <w:t>Falguères</w:t>
      </w:r>
      <w:proofErr w:type="spellEnd"/>
      <w:r>
        <w:t xml:space="preserve">, C. (2010) New parameters for the characterization of diagenetic alterations and heat-induced changes of fossil bone mineral using </w:t>
      </w:r>
      <w:proofErr w:type="spellStart"/>
      <w:r>
        <w:t>fourier</w:t>
      </w:r>
      <w:proofErr w:type="spellEnd"/>
      <w:r>
        <w:t xml:space="preserve"> transform infrared spectrometry. </w:t>
      </w:r>
      <w:r>
        <w:rPr>
          <w:i/>
        </w:rPr>
        <w:t xml:space="preserve">Journal of </w:t>
      </w:r>
      <w:r>
        <w:rPr>
          <w:i/>
        </w:rPr>
        <w:lastRenderedPageBreak/>
        <w:t xml:space="preserve">Archaeological Science, </w:t>
      </w:r>
      <w:r>
        <w:t>37: 2265-2276.</w:t>
      </w:r>
    </w:p>
    <w:p w14:paraId="0BF9C864" w14:textId="77777777" w:rsidR="00255333" w:rsidRDefault="00255333">
      <w:pPr>
        <w:widowControl w:val="0"/>
        <w:pBdr>
          <w:top w:val="nil"/>
          <w:left w:val="nil"/>
          <w:bottom w:val="nil"/>
          <w:right w:val="nil"/>
          <w:between w:val="nil"/>
        </w:pBdr>
        <w:spacing w:after="0" w:line="240" w:lineRule="auto"/>
      </w:pPr>
      <w:bookmarkStart w:id="46" w:name="_50o5pur769b9" w:colFirst="0" w:colLast="0"/>
      <w:bookmarkEnd w:id="46"/>
    </w:p>
    <w:p w14:paraId="08895389" w14:textId="77777777" w:rsidR="00255333" w:rsidRDefault="00715B12">
      <w:pPr>
        <w:widowControl w:val="0"/>
        <w:pBdr>
          <w:top w:val="nil"/>
          <w:left w:val="nil"/>
          <w:bottom w:val="nil"/>
          <w:right w:val="nil"/>
          <w:between w:val="nil"/>
        </w:pBdr>
        <w:spacing w:after="0" w:line="240" w:lineRule="auto"/>
      </w:pPr>
      <w:bookmarkStart w:id="47" w:name="_41mghml" w:colFirst="0" w:colLast="0"/>
      <w:bookmarkEnd w:id="47"/>
      <w:r>
        <w:t xml:space="preserve">Leone, G., De Vita, A., Magnani, A. and Rossi, C. (2016) Thermal and petrographic characterization of Herculaneum wall plasters. </w:t>
      </w:r>
      <w:r>
        <w:rPr>
          <w:i/>
        </w:rPr>
        <w:t>Archaeometry,</w:t>
      </w:r>
      <w:r>
        <w:t xml:space="preserve"> doi.org/10.1111/arcm.12275.</w:t>
      </w:r>
    </w:p>
    <w:p w14:paraId="175672E2" w14:textId="77777777" w:rsidR="00255333" w:rsidRDefault="00255333">
      <w:pPr>
        <w:widowControl w:val="0"/>
        <w:pBdr>
          <w:top w:val="nil"/>
          <w:left w:val="nil"/>
          <w:bottom w:val="nil"/>
          <w:right w:val="nil"/>
          <w:between w:val="nil"/>
        </w:pBdr>
        <w:spacing w:after="0" w:line="240" w:lineRule="auto"/>
      </w:pPr>
      <w:bookmarkStart w:id="48" w:name="_2grqrue" w:colFirst="0" w:colLast="0"/>
      <w:bookmarkEnd w:id="48"/>
    </w:p>
    <w:p w14:paraId="6A81FFD9" w14:textId="77777777" w:rsidR="00255333" w:rsidRDefault="00715B12">
      <w:pPr>
        <w:widowControl w:val="0"/>
        <w:pBdr>
          <w:top w:val="nil"/>
          <w:left w:val="nil"/>
          <w:bottom w:val="nil"/>
          <w:right w:val="nil"/>
          <w:between w:val="nil"/>
        </w:pBdr>
        <w:spacing w:after="0" w:line="240" w:lineRule="auto"/>
      </w:pPr>
      <w:bookmarkStart w:id="49" w:name="_wcsvpc6zfmmo" w:colFirst="0" w:colLast="0"/>
      <w:bookmarkEnd w:id="49"/>
      <w:proofErr w:type="spellStart"/>
      <w:r>
        <w:t>Makoye</w:t>
      </w:r>
      <w:proofErr w:type="spellEnd"/>
      <w:r>
        <w:t xml:space="preserve"> </w:t>
      </w:r>
      <w:proofErr w:type="spellStart"/>
      <w:r>
        <w:t>Ng’Walali</w:t>
      </w:r>
      <w:proofErr w:type="spellEnd"/>
      <w:r>
        <w:t xml:space="preserve">, P., </w:t>
      </w:r>
      <w:proofErr w:type="spellStart"/>
      <w:r>
        <w:t>Koreeda</w:t>
      </w:r>
      <w:proofErr w:type="spellEnd"/>
      <w:r>
        <w:t xml:space="preserve">, A., </w:t>
      </w:r>
      <w:proofErr w:type="spellStart"/>
      <w:r>
        <w:t>Kibayashi</w:t>
      </w:r>
      <w:proofErr w:type="spellEnd"/>
      <w:r>
        <w:t xml:space="preserve">, K. and </w:t>
      </w:r>
      <w:proofErr w:type="spellStart"/>
      <w:r>
        <w:t>Tsunenari</w:t>
      </w:r>
      <w:proofErr w:type="spellEnd"/>
      <w:r>
        <w:t xml:space="preserve">, S. (1999) Fatalities by inhalation of volcanic gas at Mt. </w:t>
      </w:r>
      <w:proofErr w:type="spellStart"/>
      <w:r>
        <w:t>Aso</w:t>
      </w:r>
      <w:proofErr w:type="spellEnd"/>
      <w:r>
        <w:t xml:space="preserve"> crater in Kumamoto, Japan. </w:t>
      </w:r>
      <w:r>
        <w:rPr>
          <w:i/>
        </w:rPr>
        <w:t>Legal Medicine</w:t>
      </w:r>
      <w:r>
        <w:t>, 1: 180-4.</w:t>
      </w:r>
    </w:p>
    <w:p w14:paraId="18410712" w14:textId="77777777" w:rsidR="00255333" w:rsidRDefault="00255333">
      <w:pPr>
        <w:widowControl w:val="0"/>
        <w:pBdr>
          <w:top w:val="nil"/>
          <w:left w:val="nil"/>
          <w:bottom w:val="nil"/>
          <w:right w:val="nil"/>
          <w:between w:val="nil"/>
        </w:pBdr>
        <w:spacing w:after="0" w:line="240" w:lineRule="auto"/>
      </w:pPr>
      <w:bookmarkStart w:id="50" w:name="_b5uwmn34neak" w:colFirst="0" w:colLast="0"/>
      <w:bookmarkEnd w:id="50"/>
    </w:p>
    <w:p w14:paraId="11B8EBD9" w14:textId="77777777" w:rsidR="00255333" w:rsidRDefault="00715B12">
      <w:pPr>
        <w:widowControl w:val="0"/>
        <w:pBdr>
          <w:top w:val="nil"/>
          <w:left w:val="nil"/>
          <w:bottom w:val="nil"/>
          <w:right w:val="nil"/>
          <w:between w:val="nil"/>
        </w:pBdr>
        <w:spacing w:after="0" w:line="240" w:lineRule="auto"/>
      </w:pPr>
      <w:bookmarkStart w:id="51" w:name="_vx1227" w:colFirst="0" w:colLast="0"/>
      <w:bookmarkEnd w:id="51"/>
      <w:r>
        <w:t xml:space="preserve">Martí, J. and Ernst, G. eds. (2005) </w:t>
      </w:r>
      <w:r>
        <w:rPr>
          <w:i/>
        </w:rPr>
        <w:t>Volcanoes and the Environment.</w:t>
      </w:r>
      <w:r>
        <w:t xml:space="preserve"> Cambridge: University Press.</w:t>
      </w:r>
    </w:p>
    <w:p w14:paraId="7E3CA10C" w14:textId="77777777" w:rsidR="00255333" w:rsidRDefault="00255333">
      <w:pPr>
        <w:widowControl w:val="0"/>
        <w:pBdr>
          <w:top w:val="nil"/>
          <w:left w:val="nil"/>
          <w:bottom w:val="nil"/>
          <w:right w:val="nil"/>
          <w:between w:val="nil"/>
        </w:pBdr>
        <w:spacing w:after="0" w:line="240" w:lineRule="auto"/>
      </w:pPr>
      <w:bookmarkStart w:id="52" w:name="_3fwokq0" w:colFirst="0" w:colLast="0"/>
      <w:bookmarkEnd w:id="52"/>
    </w:p>
    <w:p w14:paraId="76FB328E" w14:textId="77777777" w:rsidR="00255333" w:rsidRDefault="00715B12">
      <w:pPr>
        <w:widowControl w:val="0"/>
        <w:pBdr>
          <w:top w:val="nil"/>
          <w:left w:val="nil"/>
          <w:bottom w:val="nil"/>
          <w:right w:val="nil"/>
          <w:between w:val="nil"/>
        </w:pBdr>
        <w:spacing w:after="0" w:line="240" w:lineRule="auto"/>
      </w:pPr>
      <w:bookmarkStart w:id="53" w:name="_5z2dczfbymji" w:colFirst="0" w:colLast="0"/>
      <w:bookmarkEnd w:id="53"/>
      <w:r>
        <w:t xml:space="preserve">Martyn, R.E.V., Garnsey, P., </w:t>
      </w:r>
      <w:proofErr w:type="spellStart"/>
      <w:r>
        <w:t>Fattore</w:t>
      </w:r>
      <w:proofErr w:type="spellEnd"/>
      <w:r>
        <w:t xml:space="preserve">, L., </w:t>
      </w:r>
      <w:proofErr w:type="spellStart"/>
      <w:r>
        <w:t>Petrone</w:t>
      </w:r>
      <w:proofErr w:type="spellEnd"/>
      <w:r>
        <w:t xml:space="preserve">, P., </w:t>
      </w:r>
      <w:proofErr w:type="spellStart"/>
      <w:r>
        <w:t>Sperduti</w:t>
      </w:r>
      <w:proofErr w:type="spellEnd"/>
      <w:r>
        <w:t xml:space="preserve">, A., </w:t>
      </w:r>
      <w:proofErr w:type="spellStart"/>
      <w:r>
        <w:t>Bondioli</w:t>
      </w:r>
      <w:proofErr w:type="spellEnd"/>
      <w:r>
        <w:t xml:space="preserve">, L. and Craig, O.E. (2018) Capturing Roman dietary variability in the catastrophic death assemblage at Herculaneum. </w:t>
      </w:r>
      <w:r>
        <w:rPr>
          <w:i/>
        </w:rPr>
        <w:t>Journal of Archaeological Science: Reports</w:t>
      </w:r>
      <w:r>
        <w:t xml:space="preserve"> 19: 1012-1029.</w:t>
      </w:r>
    </w:p>
    <w:p w14:paraId="1DCF72B1" w14:textId="77777777" w:rsidR="00255333" w:rsidRDefault="00255333">
      <w:pPr>
        <w:widowControl w:val="0"/>
        <w:pBdr>
          <w:top w:val="nil"/>
          <w:left w:val="nil"/>
          <w:bottom w:val="nil"/>
          <w:right w:val="nil"/>
          <w:between w:val="nil"/>
        </w:pBdr>
        <w:spacing w:after="0" w:line="240" w:lineRule="auto"/>
      </w:pPr>
      <w:bookmarkStart w:id="54" w:name="_o65lrr143mi3" w:colFirst="0" w:colLast="0"/>
      <w:bookmarkEnd w:id="54"/>
    </w:p>
    <w:p w14:paraId="3A6FA294" w14:textId="77777777" w:rsidR="00255333" w:rsidRDefault="00715B12">
      <w:pPr>
        <w:widowControl w:val="0"/>
        <w:pBdr>
          <w:top w:val="nil"/>
          <w:left w:val="nil"/>
          <w:bottom w:val="nil"/>
          <w:right w:val="nil"/>
          <w:between w:val="nil"/>
        </w:pBdr>
        <w:spacing w:after="0" w:line="240" w:lineRule="auto"/>
      </w:pPr>
      <w:bookmarkStart w:id="55" w:name="_az3hy5b7m1pg" w:colFirst="0" w:colLast="0"/>
      <w:bookmarkEnd w:id="55"/>
      <w:proofErr w:type="spellStart"/>
      <w:r>
        <w:t>Mastrolorenzo</w:t>
      </w:r>
      <w:proofErr w:type="spellEnd"/>
      <w:r>
        <w:t xml:space="preserve">, G., </w:t>
      </w:r>
      <w:proofErr w:type="spellStart"/>
      <w:r>
        <w:t>Petrone</w:t>
      </w:r>
      <w:proofErr w:type="spellEnd"/>
      <w:r>
        <w:t xml:space="preserve">, P., Pagano, M., </w:t>
      </w:r>
      <w:proofErr w:type="spellStart"/>
      <w:r>
        <w:t>Incoronato</w:t>
      </w:r>
      <w:proofErr w:type="spellEnd"/>
      <w:r>
        <w:t xml:space="preserve">, A., Baxter, P., </w:t>
      </w:r>
      <w:proofErr w:type="spellStart"/>
      <w:r>
        <w:t>Canzanella</w:t>
      </w:r>
      <w:proofErr w:type="spellEnd"/>
      <w:r>
        <w:t xml:space="preserve">, A. and </w:t>
      </w:r>
      <w:proofErr w:type="spellStart"/>
      <w:r>
        <w:t>Fattore</w:t>
      </w:r>
      <w:proofErr w:type="spellEnd"/>
      <w:r>
        <w:t xml:space="preserve">, L. (2001) "Herculaneum victims of Vesuvius in AD 79." </w:t>
      </w:r>
      <w:r>
        <w:rPr>
          <w:i/>
        </w:rPr>
        <w:t>Nature</w:t>
      </w:r>
      <w:r>
        <w:t xml:space="preserve"> </w:t>
      </w:r>
      <w:r>
        <w:rPr>
          <w:b/>
        </w:rPr>
        <w:t>410</w:t>
      </w:r>
      <w:r>
        <w:t>: 769-770.</w:t>
      </w:r>
    </w:p>
    <w:p w14:paraId="67BCDD08" w14:textId="77777777" w:rsidR="00255333" w:rsidRDefault="00255333">
      <w:pPr>
        <w:widowControl w:val="0"/>
        <w:pBdr>
          <w:top w:val="nil"/>
          <w:left w:val="nil"/>
          <w:bottom w:val="nil"/>
          <w:right w:val="nil"/>
          <w:between w:val="nil"/>
        </w:pBdr>
        <w:spacing w:after="0" w:line="240" w:lineRule="auto"/>
      </w:pPr>
      <w:bookmarkStart w:id="56" w:name="_1v1yuxt" w:colFirst="0" w:colLast="0"/>
      <w:bookmarkEnd w:id="56"/>
    </w:p>
    <w:p w14:paraId="537870DE" w14:textId="77777777" w:rsidR="00255333" w:rsidRDefault="00715B12">
      <w:pPr>
        <w:widowControl w:val="0"/>
        <w:pBdr>
          <w:top w:val="nil"/>
          <w:left w:val="nil"/>
          <w:bottom w:val="nil"/>
          <w:right w:val="nil"/>
          <w:between w:val="nil"/>
        </w:pBdr>
        <w:spacing w:after="0" w:line="240" w:lineRule="auto"/>
      </w:pPr>
      <w:bookmarkStart w:id="57" w:name="_4f1mdlm" w:colFirst="0" w:colLast="0"/>
      <w:bookmarkEnd w:id="57"/>
      <w:proofErr w:type="spellStart"/>
      <w:r>
        <w:t>Mastrolorenzo</w:t>
      </w:r>
      <w:proofErr w:type="spellEnd"/>
      <w:r>
        <w:t xml:space="preserve">, G., </w:t>
      </w:r>
      <w:proofErr w:type="spellStart"/>
      <w:r>
        <w:t>Petrone</w:t>
      </w:r>
      <w:proofErr w:type="spellEnd"/>
      <w:r>
        <w:t xml:space="preserve">, P., </w:t>
      </w:r>
      <w:proofErr w:type="spellStart"/>
      <w:r>
        <w:t>Pappalardo</w:t>
      </w:r>
      <w:proofErr w:type="spellEnd"/>
      <w:r>
        <w:t xml:space="preserve">, L. and Guarino, F. (2010) "Lethal Impact at Periphery of Pyroclastic Surges: Evidences at Pompeii." </w:t>
      </w:r>
      <w:proofErr w:type="spellStart"/>
      <w:r>
        <w:rPr>
          <w:i/>
        </w:rPr>
        <w:t>PLoS</w:t>
      </w:r>
      <w:proofErr w:type="spellEnd"/>
      <w:r>
        <w:rPr>
          <w:i/>
        </w:rPr>
        <w:t xml:space="preserve"> One</w:t>
      </w:r>
      <w:r>
        <w:t xml:space="preserve"> </w:t>
      </w:r>
      <w:r>
        <w:rPr>
          <w:b/>
        </w:rPr>
        <w:t>5</w:t>
      </w:r>
      <w:r>
        <w:t>(6): e11127.</w:t>
      </w:r>
    </w:p>
    <w:p w14:paraId="4E8EE33E" w14:textId="77777777" w:rsidR="00255333" w:rsidRDefault="00255333">
      <w:pPr>
        <w:widowControl w:val="0"/>
        <w:pBdr>
          <w:top w:val="nil"/>
          <w:left w:val="nil"/>
          <w:bottom w:val="nil"/>
          <w:right w:val="nil"/>
          <w:between w:val="nil"/>
        </w:pBdr>
        <w:spacing w:after="0" w:line="240" w:lineRule="auto"/>
      </w:pPr>
      <w:bookmarkStart w:id="58" w:name="_2u6wntf" w:colFirst="0" w:colLast="0"/>
      <w:bookmarkEnd w:id="58"/>
    </w:p>
    <w:p w14:paraId="5AB09F42" w14:textId="77777777" w:rsidR="00255333" w:rsidRDefault="00715B12">
      <w:pPr>
        <w:widowControl w:val="0"/>
        <w:pBdr>
          <w:top w:val="nil"/>
          <w:left w:val="nil"/>
          <w:bottom w:val="nil"/>
          <w:right w:val="nil"/>
          <w:between w:val="nil"/>
        </w:pBdr>
        <w:spacing w:after="0" w:line="240" w:lineRule="auto"/>
      </w:pPr>
      <w:bookmarkStart w:id="59" w:name="_19c6y18" w:colFirst="0" w:colLast="0"/>
      <w:bookmarkEnd w:id="59"/>
      <w:r>
        <w:t xml:space="preserve">Milner, N., </w:t>
      </w:r>
      <w:proofErr w:type="spellStart"/>
      <w:r>
        <w:t>Conneller</w:t>
      </w:r>
      <w:proofErr w:type="spellEnd"/>
      <w:r>
        <w:t xml:space="preserve">, C., Elliot, B., Koon, H., </w:t>
      </w:r>
      <w:proofErr w:type="spellStart"/>
      <w:r>
        <w:t>Panter</w:t>
      </w:r>
      <w:proofErr w:type="spellEnd"/>
      <w:r>
        <w:t xml:space="preserve">, I., </w:t>
      </w:r>
      <w:proofErr w:type="spellStart"/>
      <w:r>
        <w:t>Penkman</w:t>
      </w:r>
      <w:proofErr w:type="spellEnd"/>
      <w:r>
        <w:t xml:space="preserve">, K., Taylor, B. and Taylor, M. (2011) From rags to riches: organic deterioration at Star </w:t>
      </w:r>
      <w:proofErr w:type="spellStart"/>
      <w:r>
        <w:t>Carr</w:t>
      </w:r>
      <w:proofErr w:type="spellEnd"/>
      <w:r>
        <w:t xml:space="preserve">. </w:t>
      </w:r>
      <w:r>
        <w:rPr>
          <w:i/>
        </w:rPr>
        <w:t>Journal of Archaeological Science,</w:t>
      </w:r>
      <w:r>
        <w:t xml:space="preserve"> 38: 2818-2832.</w:t>
      </w:r>
    </w:p>
    <w:p w14:paraId="44DA89BB" w14:textId="77777777" w:rsidR="00255333" w:rsidRDefault="00255333">
      <w:pPr>
        <w:widowControl w:val="0"/>
        <w:pBdr>
          <w:top w:val="nil"/>
          <w:left w:val="nil"/>
          <w:bottom w:val="nil"/>
          <w:right w:val="nil"/>
          <w:between w:val="nil"/>
        </w:pBdr>
        <w:spacing w:after="0" w:line="240" w:lineRule="auto"/>
      </w:pPr>
      <w:bookmarkStart w:id="60" w:name="_gvesdje5lae4" w:colFirst="0" w:colLast="0"/>
      <w:bookmarkEnd w:id="60"/>
    </w:p>
    <w:p w14:paraId="0EE2B436" w14:textId="77777777" w:rsidR="00255333" w:rsidRDefault="00715B12">
      <w:pPr>
        <w:widowControl w:val="0"/>
        <w:pBdr>
          <w:top w:val="nil"/>
          <w:left w:val="nil"/>
          <w:bottom w:val="nil"/>
          <w:right w:val="nil"/>
          <w:between w:val="nil"/>
        </w:pBdr>
        <w:spacing w:after="0" w:line="240" w:lineRule="auto"/>
      </w:pPr>
      <w:bookmarkStart w:id="61" w:name="_3tbugp1" w:colFirst="0" w:colLast="0"/>
      <w:bookmarkEnd w:id="61"/>
      <w:r>
        <w:t xml:space="preserve">Munro, L., </w:t>
      </w:r>
      <w:proofErr w:type="spellStart"/>
      <w:r>
        <w:t>Longstaffe</w:t>
      </w:r>
      <w:proofErr w:type="spellEnd"/>
      <w:r>
        <w:t xml:space="preserve">, F. and White, C. (2007) Burning and boiling of modern deer bone: effects on crystallinity and oxygen isotope composition of bioapatite phosphate. </w:t>
      </w:r>
      <w:proofErr w:type="spellStart"/>
      <w:r>
        <w:rPr>
          <w:i/>
        </w:rPr>
        <w:t>Palaeogeography</w:t>
      </w:r>
      <w:proofErr w:type="spellEnd"/>
      <w:r>
        <w:rPr>
          <w:i/>
        </w:rPr>
        <w:t xml:space="preserve">, </w:t>
      </w:r>
      <w:proofErr w:type="spellStart"/>
      <w:r>
        <w:rPr>
          <w:i/>
        </w:rPr>
        <w:t>Palaeoclimatology</w:t>
      </w:r>
      <w:proofErr w:type="spellEnd"/>
      <w:r>
        <w:rPr>
          <w:i/>
        </w:rPr>
        <w:t xml:space="preserve">, </w:t>
      </w:r>
      <w:proofErr w:type="spellStart"/>
      <w:r>
        <w:rPr>
          <w:i/>
        </w:rPr>
        <w:t>Palaeoecology</w:t>
      </w:r>
      <w:proofErr w:type="spellEnd"/>
      <w:r>
        <w:rPr>
          <w:i/>
        </w:rPr>
        <w:t xml:space="preserve">, </w:t>
      </w:r>
      <w:r>
        <w:t>249: 90-102.</w:t>
      </w:r>
    </w:p>
    <w:p w14:paraId="2A2836F6" w14:textId="77777777" w:rsidR="00255333" w:rsidRDefault="00255333">
      <w:pPr>
        <w:widowControl w:val="0"/>
        <w:pBdr>
          <w:top w:val="nil"/>
          <w:left w:val="nil"/>
          <w:bottom w:val="nil"/>
          <w:right w:val="nil"/>
          <w:between w:val="nil"/>
        </w:pBdr>
        <w:spacing w:after="0" w:line="240" w:lineRule="auto"/>
      </w:pPr>
      <w:bookmarkStart w:id="62" w:name="_28h4qwu" w:colFirst="0" w:colLast="0"/>
      <w:bookmarkEnd w:id="62"/>
    </w:p>
    <w:p w14:paraId="63D14FCF" w14:textId="77777777" w:rsidR="00255333" w:rsidRDefault="00715B12">
      <w:pPr>
        <w:widowControl w:val="0"/>
        <w:pBdr>
          <w:top w:val="nil"/>
          <w:left w:val="nil"/>
          <w:bottom w:val="nil"/>
          <w:right w:val="nil"/>
          <w:between w:val="nil"/>
        </w:pBdr>
        <w:spacing w:after="0" w:line="240" w:lineRule="auto"/>
      </w:pPr>
      <w:bookmarkStart w:id="63" w:name="_nmf14n" w:colFirst="0" w:colLast="0"/>
      <w:bookmarkEnd w:id="63"/>
      <w:r>
        <w:t xml:space="preserve">Person, A., </w:t>
      </w:r>
      <w:proofErr w:type="spellStart"/>
      <w:r>
        <w:t>Bocherens</w:t>
      </w:r>
      <w:proofErr w:type="spellEnd"/>
      <w:r>
        <w:t xml:space="preserve">, H., </w:t>
      </w:r>
      <w:proofErr w:type="spellStart"/>
      <w:r>
        <w:t>Mariotti</w:t>
      </w:r>
      <w:proofErr w:type="spellEnd"/>
      <w:r>
        <w:t xml:space="preserve">, A. and Renard, M. (1996) Diagenetic evolution and experimental heating of bone phosphate. </w:t>
      </w:r>
      <w:proofErr w:type="spellStart"/>
      <w:r>
        <w:rPr>
          <w:i/>
        </w:rPr>
        <w:t>Palaeogeography</w:t>
      </w:r>
      <w:proofErr w:type="spellEnd"/>
      <w:r>
        <w:rPr>
          <w:i/>
        </w:rPr>
        <w:t xml:space="preserve">, </w:t>
      </w:r>
      <w:proofErr w:type="spellStart"/>
      <w:r>
        <w:rPr>
          <w:i/>
        </w:rPr>
        <w:t>Palaeoclimatology</w:t>
      </w:r>
      <w:proofErr w:type="spellEnd"/>
      <w:r>
        <w:rPr>
          <w:i/>
        </w:rPr>
        <w:t xml:space="preserve">, </w:t>
      </w:r>
      <w:proofErr w:type="spellStart"/>
      <w:r>
        <w:rPr>
          <w:i/>
        </w:rPr>
        <w:t>Palaeoecology</w:t>
      </w:r>
      <w:proofErr w:type="spellEnd"/>
      <w:r>
        <w:rPr>
          <w:i/>
        </w:rPr>
        <w:t xml:space="preserve">, </w:t>
      </w:r>
      <w:r>
        <w:t>126: 135-149.</w:t>
      </w:r>
    </w:p>
    <w:p w14:paraId="6FEFAD3C" w14:textId="77777777" w:rsidR="00255333" w:rsidRDefault="00255333">
      <w:pPr>
        <w:widowControl w:val="0"/>
        <w:pBdr>
          <w:top w:val="nil"/>
          <w:left w:val="nil"/>
          <w:bottom w:val="nil"/>
          <w:right w:val="nil"/>
          <w:between w:val="nil"/>
        </w:pBdr>
        <w:spacing w:after="0" w:line="240" w:lineRule="auto"/>
      </w:pPr>
      <w:bookmarkStart w:id="64" w:name="_37m2jsg" w:colFirst="0" w:colLast="0"/>
      <w:bookmarkEnd w:id="64"/>
    </w:p>
    <w:p w14:paraId="58D5CC5C" w14:textId="282F3D0D" w:rsidR="00255333" w:rsidRPr="00785D5D" w:rsidRDefault="00715B12">
      <w:pPr>
        <w:widowControl w:val="0"/>
        <w:pBdr>
          <w:top w:val="nil"/>
          <w:left w:val="nil"/>
          <w:bottom w:val="nil"/>
          <w:right w:val="nil"/>
          <w:between w:val="nil"/>
        </w:pBdr>
        <w:spacing w:after="0" w:line="240" w:lineRule="auto"/>
        <w:rPr>
          <w:lang w:val="it-IT"/>
        </w:rPr>
      </w:pPr>
      <w:bookmarkStart w:id="65" w:name="_1mrcu09" w:colFirst="0" w:colLast="0"/>
      <w:bookmarkEnd w:id="65"/>
      <w:proofErr w:type="spellStart"/>
      <w:r>
        <w:t>Petrone</w:t>
      </w:r>
      <w:proofErr w:type="spellEnd"/>
      <w:r>
        <w:t xml:space="preserve">, P. P. (2011) "Human corpses as time capsules: new perspectives in the study of past mass disasters." </w:t>
      </w:r>
      <w:r w:rsidR="00E878FD" w:rsidRPr="00457D71">
        <w:rPr>
          <w:i/>
          <w:lang w:val="it-IT"/>
        </w:rPr>
        <w:t>Journal of Anthropological Science</w:t>
      </w:r>
      <w:r w:rsidR="00E878FD" w:rsidRPr="00457D71">
        <w:rPr>
          <w:lang w:val="it-IT"/>
        </w:rPr>
        <w:t xml:space="preserve"> </w:t>
      </w:r>
      <w:r w:rsidRPr="00785D5D">
        <w:rPr>
          <w:b/>
          <w:lang w:val="it-IT"/>
        </w:rPr>
        <w:t>89</w:t>
      </w:r>
      <w:r w:rsidRPr="00785D5D">
        <w:rPr>
          <w:lang w:val="it-IT"/>
        </w:rPr>
        <w:t>: 3-6.</w:t>
      </w:r>
    </w:p>
    <w:p w14:paraId="1D0DBF1D" w14:textId="77777777" w:rsidR="00E83098" w:rsidRPr="00785D5D" w:rsidRDefault="00E83098">
      <w:pPr>
        <w:widowControl w:val="0"/>
        <w:pBdr>
          <w:top w:val="nil"/>
          <w:left w:val="nil"/>
          <w:bottom w:val="nil"/>
          <w:right w:val="nil"/>
          <w:between w:val="nil"/>
        </w:pBdr>
        <w:spacing w:after="0" w:line="240" w:lineRule="auto"/>
        <w:rPr>
          <w:lang w:val="it-IT"/>
        </w:rPr>
      </w:pPr>
    </w:p>
    <w:p w14:paraId="33697F45" w14:textId="77777777" w:rsidR="00830502" w:rsidRPr="00785D5D" w:rsidRDefault="00E83098" w:rsidP="00785D5D">
      <w:pPr>
        <w:shd w:val="clear" w:color="auto" w:fill="FFFFFF"/>
        <w:spacing w:after="0" w:line="240" w:lineRule="auto"/>
        <w:rPr>
          <w:rFonts w:ascii="Helvetica" w:eastAsia="Times New Roman" w:hAnsi="Helvetica" w:cs="Helvetica"/>
          <w:color w:val="606060"/>
          <w:sz w:val="20"/>
          <w:szCs w:val="20"/>
        </w:rPr>
      </w:pPr>
      <w:r w:rsidRPr="00785D5D">
        <w:rPr>
          <w:lang w:val="it-IT"/>
        </w:rPr>
        <w:t>Petrone, P., Pucci, P., Vergara, A., Amoresano, A., Birolo, L., Pane, F.,</w:t>
      </w:r>
      <w:r w:rsidRPr="00785D5D">
        <w:rPr>
          <w:rFonts w:ascii="Helvetica" w:eastAsia="Times New Roman" w:hAnsi="Helvetica" w:cs="Helvetica"/>
          <w:color w:val="606060"/>
          <w:sz w:val="20"/>
          <w:szCs w:val="20"/>
          <w:lang w:val="it-IT"/>
        </w:rPr>
        <w:t xml:space="preserve"> Sirano,</w:t>
      </w:r>
      <w:r w:rsidR="0046730B" w:rsidRPr="00785D5D">
        <w:rPr>
          <w:rFonts w:ascii="Helvetica" w:eastAsia="Times New Roman" w:hAnsi="Helvetica" w:cs="Helvetica"/>
          <w:color w:val="606060"/>
          <w:sz w:val="20"/>
          <w:szCs w:val="20"/>
          <w:lang w:val="it-IT"/>
        </w:rPr>
        <w:t xml:space="preserve"> F., Massiomo, N., Bucelli, C. </w:t>
      </w:r>
      <w:r w:rsidRPr="00785D5D">
        <w:rPr>
          <w:lang w:val="it-IT"/>
        </w:rPr>
        <w:t xml:space="preserve">and Graziano, V. (2018). </w:t>
      </w:r>
      <w:r>
        <w:t xml:space="preserve">A hypothesis of sudden body fluid vaporization in the 79 AD victims of Vesuvius. </w:t>
      </w:r>
      <w:proofErr w:type="spellStart"/>
      <w:r w:rsidRPr="0046730B">
        <w:rPr>
          <w:i/>
          <w:iCs/>
        </w:rPr>
        <w:t>PloS</w:t>
      </w:r>
      <w:proofErr w:type="spellEnd"/>
      <w:r w:rsidRPr="0046730B">
        <w:rPr>
          <w:i/>
          <w:iCs/>
        </w:rPr>
        <w:t xml:space="preserve"> One</w:t>
      </w:r>
      <w:r>
        <w:t xml:space="preserve">, </w:t>
      </w:r>
      <w:r w:rsidR="00CB72EF" w:rsidRPr="00785D5D">
        <w:rPr>
          <w:b/>
          <w:i/>
          <w:iCs/>
        </w:rPr>
        <w:t>13</w:t>
      </w:r>
      <w:r w:rsidR="00CB72EF" w:rsidRPr="00785D5D">
        <w:rPr>
          <w:b/>
        </w:rPr>
        <w:t>(9)</w:t>
      </w:r>
      <w:r>
        <w:t>, e0203210.</w:t>
      </w:r>
    </w:p>
    <w:p w14:paraId="71445BB2" w14:textId="77777777" w:rsidR="00255333" w:rsidRDefault="00255333">
      <w:pPr>
        <w:widowControl w:val="0"/>
        <w:pBdr>
          <w:top w:val="nil"/>
          <w:left w:val="nil"/>
          <w:bottom w:val="nil"/>
          <w:right w:val="nil"/>
          <w:between w:val="nil"/>
        </w:pBdr>
        <w:spacing w:after="0" w:line="240" w:lineRule="auto"/>
      </w:pPr>
      <w:bookmarkStart w:id="66" w:name="_46r0co2" w:colFirst="0" w:colLast="0"/>
      <w:bookmarkEnd w:id="66"/>
    </w:p>
    <w:p w14:paraId="667EAF80" w14:textId="77777777" w:rsidR="00255333" w:rsidRDefault="00715B12">
      <w:pPr>
        <w:widowControl w:val="0"/>
        <w:pBdr>
          <w:top w:val="nil"/>
          <w:left w:val="nil"/>
          <w:bottom w:val="nil"/>
          <w:right w:val="nil"/>
          <w:between w:val="nil"/>
        </w:pBdr>
        <w:spacing w:line="240" w:lineRule="auto"/>
      </w:pPr>
      <w:bookmarkStart w:id="67" w:name="_wrbjl6ilo6jl" w:colFirst="0" w:colLast="0"/>
      <w:bookmarkEnd w:id="67"/>
      <w:proofErr w:type="spellStart"/>
      <w:r>
        <w:t>Piga</w:t>
      </w:r>
      <w:proofErr w:type="spellEnd"/>
      <w:r>
        <w:t xml:space="preserve">, G., </w:t>
      </w:r>
      <w:proofErr w:type="spellStart"/>
      <w:r>
        <w:t>Guirguis</w:t>
      </w:r>
      <w:proofErr w:type="spellEnd"/>
      <w:r>
        <w:t xml:space="preserve">, M., Thompson, T.J.U., Isidro, A., Enzo, S., and </w:t>
      </w:r>
      <w:proofErr w:type="spellStart"/>
      <w:r>
        <w:t>Malgosa</w:t>
      </w:r>
      <w:proofErr w:type="spellEnd"/>
      <w:r>
        <w:t xml:space="preserve">, A. (2016) A case of semi-combusted pregnant female in the Phoenician-Punic necropolis of Monte </w:t>
      </w:r>
      <w:proofErr w:type="spellStart"/>
      <w:r>
        <w:t>Sirai</w:t>
      </w:r>
      <w:proofErr w:type="spellEnd"/>
      <w:r>
        <w:t xml:space="preserve"> (</w:t>
      </w:r>
      <w:proofErr w:type="spellStart"/>
      <w:r>
        <w:t>Carbonia</w:t>
      </w:r>
      <w:proofErr w:type="spellEnd"/>
      <w:r>
        <w:t xml:space="preserve">, Sardinia, Italy). </w:t>
      </w:r>
      <w:r>
        <w:rPr>
          <w:i/>
        </w:rPr>
        <w:t>Homo – Journal of Comparative Human Biology</w:t>
      </w:r>
      <w:r>
        <w:t>,67: 50-64.</w:t>
      </w:r>
    </w:p>
    <w:p w14:paraId="251FBAD0" w14:textId="77777777" w:rsidR="00255333" w:rsidRDefault="00715B12">
      <w:pPr>
        <w:widowControl w:val="0"/>
        <w:pBdr>
          <w:top w:val="nil"/>
          <w:left w:val="nil"/>
          <w:bottom w:val="nil"/>
          <w:right w:val="nil"/>
          <w:between w:val="nil"/>
        </w:pBdr>
        <w:spacing w:line="240" w:lineRule="auto"/>
      </w:pPr>
      <w:bookmarkStart w:id="68" w:name="_nhmoaishnrzt" w:colFirst="0" w:colLast="0"/>
      <w:bookmarkEnd w:id="68"/>
      <w:r>
        <w:t xml:space="preserve">Rowan, E. (2017) Bioarchaeological preservation and non-elite diet in the Bay of Naples: an analysis of the food remains from the Cardo V sewer at the Roman site of Herculaneum. </w:t>
      </w:r>
      <w:r>
        <w:rPr>
          <w:i/>
        </w:rPr>
        <w:t>Environmental Archaeology</w:t>
      </w:r>
      <w:r>
        <w:t xml:space="preserve"> 22: 318-336.</w:t>
      </w:r>
    </w:p>
    <w:p w14:paraId="4D4E73F6" w14:textId="77777777" w:rsidR="00255333" w:rsidRDefault="00715B12">
      <w:pPr>
        <w:widowControl w:val="0"/>
        <w:pBdr>
          <w:top w:val="nil"/>
          <w:left w:val="nil"/>
          <w:bottom w:val="nil"/>
          <w:right w:val="nil"/>
          <w:between w:val="nil"/>
        </w:pBdr>
        <w:spacing w:line="240" w:lineRule="auto"/>
      </w:pPr>
      <w:bookmarkStart w:id="69" w:name="_6lmtzbr0nyh4" w:colFirst="0" w:colLast="0"/>
      <w:bookmarkEnd w:id="69"/>
      <w:proofErr w:type="spellStart"/>
      <w:r>
        <w:t>Salesse</w:t>
      </w:r>
      <w:proofErr w:type="spellEnd"/>
      <w:r>
        <w:t xml:space="preserve">, K., Dufour, E., </w:t>
      </w:r>
      <w:proofErr w:type="spellStart"/>
      <w:r>
        <w:t>Lebon</w:t>
      </w:r>
      <w:proofErr w:type="spellEnd"/>
      <w:r>
        <w:t xml:space="preserve">, M., Wurster, C., </w:t>
      </w:r>
      <w:proofErr w:type="spellStart"/>
      <w:r>
        <w:t>Castex</w:t>
      </w:r>
      <w:proofErr w:type="spellEnd"/>
      <w:r>
        <w:t xml:space="preserve">, D., </w:t>
      </w:r>
      <w:proofErr w:type="spellStart"/>
      <w:r>
        <w:t>Bruzek</w:t>
      </w:r>
      <w:proofErr w:type="spellEnd"/>
      <w:r>
        <w:t xml:space="preserve">, J. and </w:t>
      </w:r>
      <w:proofErr w:type="spellStart"/>
      <w:r>
        <w:t>Zazzo</w:t>
      </w:r>
      <w:proofErr w:type="spellEnd"/>
      <w:r>
        <w:t xml:space="preserve">, A. (2014) Variability of bone preservation in a confined environment: The case of the catacomb of </w:t>
      </w:r>
      <w:proofErr w:type="spellStart"/>
      <w:r>
        <w:t>Sts</w:t>
      </w:r>
      <w:proofErr w:type="spellEnd"/>
      <w:r>
        <w:t xml:space="preserve"> Peter and Marcellinus (Rome, Italy). </w:t>
      </w:r>
      <w:proofErr w:type="spellStart"/>
      <w:r>
        <w:rPr>
          <w:i/>
        </w:rPr>
        <w:t>Palaeogeography</w:t>
      </w:r>
      <w:proofErr w:type="spellEnd"/>
      <w:r>
        <w:rPr>
          <w:i/>
        </w:rPr>
        <w:t xml:space="preserve">, </w:t>
      </w:r>
      <w:proofErr w:type="spellStart"/>
      <w:r>
        <w:rPr>
          <w:i/>
        </w:rPr>
        <w:t>Palaeoclimatology</w:t>
      </w:r>
      <w:proofErr w:type="spellEnd"/>
      <w:r>
        <w:rPr>
          <w:i/>
        </w:rPr>
        <w:t xml:space="preserve">, </w:t>
      </w:r>
      <w:proofErr w:type="spellStart"/>
      <w:r>
        <w:rPr>
          <w:i/>
        </w:rPr>
        <w:t>Palaeoecology</w:t>
      </w:r>
      <w:proofErr w:type="spellEnd"/>
      <w:r>
        <w:t>, 416: 43-54.</w:t>
      </w:r>
    </w:p>
    <w:p w14:paraId="55C37943" w14:textId="77777777" w:rsidR="00255333" w:rsidRDefault="00715B12">
      <w:pPr>
        <w:widowControl w:val="0"/>
        <w:pBdr>
          <w:top w:val="nil"/>
          <w:left w:val="nil"/>
          <w:bottom w:val="nil"/>
          <w:right w:val="nil"/>
          <w:between w:val="nil"/>
        </w:pBdr>
        <w:spacing w:line="240" w:lineRule="auto"/>
      </w:pPr>
      <w:bookmarkStart w:id="70" w:name="_1vnujw50y0py" w:colFirst="0" w:colLast="0"/>
      <w:bookmarkEnd w:id="70"/>
      <w:r>
        <w:t xml:space="preserve">Schmidt, C., Oakley, E., </w:t>
      </w:r>
      <w:proofErr w:type="spellStart"/>
      <w:r>
        <w:t>D’Anastasio</w:t>
      </w:r>
      <w:proofErr w:type="spellEnd"/>
      <w:r>
        <w:t xml:space="preserve">, R., Brower, R., Remy, A. and </w:t>
      </w:r>
      <w:proofErr w:type="spellStart"/>
      <w:r>
        <w:t>Viciano</w:t>
      </w:r>
      <w:proofErr w:type="spellEnd"/>
      <w:r>
        <w:t xml:space="preserve">, J. (2015) ‘Herculaneum’ in Schmidt, C. and Symes, S. (eds) </w:t>
      </w:r>
      <w:r>
        <w:rPr>
          <w:i/>
        </w:rPr>
        <w:t>The Analysis of Burned Human Remains.</w:t>
      </w:r>
      <w:r>
        <w:t xml:space="preserve"> United States: Academic </w:t>
      </w:r>
      <w:r>
        <w:lastRenderedPageBreak/>
        <w:t>Press.</w:t>
      </w:r>
    </w:p>
    <w:p w14:paraId="470FD176" w14:textId="77777777" w:rsidR="00255333" w:rsidRDefault="00715B12">
      <w:pPr>
        <w:widowControl w:val="0"/>
        <w:pBdr>
          <w:top w:val="nil"/>
          <w:left w:val="nil"/>
          <w:bottom w:val="nil"/>
          <w:right w:val="nil"/>
          <w:between w:val="nil"/>
        </w:pBdr>
        <w:spacing w:line="240" w:lineRule="auto"/>
      </w:pPr>
      <w:bookmarkStart w:id="71" w:name="_ysj3klsom4el" w:colFirst="0" w:colLast="0"/>
      <w:bookmarkEnd w:id="71"/>
      <w:r>
        <w:t xml:space="preserve">Schmidt, C. and Symes, S. </w:t>
      </w:r>
      <w:r>
        <w:rPr>
          <w:i/>
        </w:rPr>
        <w:t>eds.</w:t>
      </w:r>
      <w:r>
        <w:t xml:space="preserve"> (2015) </w:t>
      </w:r>
      <w:r>
        <w:rPr>
          <w:i/>
        </w:rPr>
        <w:t>The Analysis of Burned Human Remains.</w:t>
      </w:r>
      <w:r>
        <w:t xml:space="preserve"> United States: Academic Press.</w:t>
      </w:r>
    </w:p>
    <w:p w14:paraId="44E378B4" w14:textId="77777777" w:rsidR="00255333" w:rsidRDefault="00715B12">
      <w:pPr>
        <w:widowControl w:val="0"/>
        <w:pBdr>
          <w:top w:val="nil"/>
          <w:left w:val="nil"/>
          <w:bottom w:val="nil"/>
          <w:right w:val="nil"/>
          <w:between w:val="nil"/>
        </w:pBdr>
        <w:spacing w:line="240" w:lineRule="auto"/>
      </w:pPr>
      <w:bookmarkStart w:id="72" w:name="_o7rj25c3ah38" w:colFirst="0" w:colLast="0"/>
      <w:bookmarkEnd w:id="72"/>
      <w:proofErr w:type="spellStart"/>
      <w:r>
        <w:t>Schwark</w:t>
      </w:r>
      <w:proofErr w:type="spellEnd"/>
      <w:r>
        <w:t xml:space="preserve">, T., Heinrich, A., </w:t>
      </w:r>
      <w:proofErr w:type="spellStart"/>
      <w:r>
        <w:t>Preuße-Prange</w:t>
      </w:r>
      <w:proofErr w:type="spellEnd"/>
      <w:r>
        <w:t xml:space="preserve">, A. and </w:t>
      </w:r>
      <w:proofErr w:type="spellStart"/>
      <w:r>
        <w:t>Wurmb-Schwark</w:t>
      </w:r>
      <w:proofErr w:type="spellEnd"/>
      <w:r>
        <w:t xml:space="preserve">, N. (2011) Reliable genetic identification of burnt human remains. </w:t>
      </w:r>
      <w:r>
        <w:rPr>
          <w:i/>
        </w:rPr>
        <w:t xml:space="preserve">Forensic Science International: Genetics, </w:t>
      </w:r>
      <w:r>
        <w:t>5: 393-399.</w:t>
      </w:r>
    </w:p>
    <w:p w14:paraId="659A6D40" w14:textId="77777777" w:rsidR="00255333" w:rsidRDefault="00715B12">
      <w:pPr>
        <w:widowControl w:val="0"/>
        <w:pBdr>
          <w:top w:val="nil"/>
          <w:left w:val="nil"/>
          <w:bottom w:val="nil"/>
          <w:right w:val="nil"/>
          <w:between w:val="nil"/>
        </w:pBdr>
        <w:spacing w:line="240" w:lineRule="auto"/>
      </w:pPr>
      <w:bookmarkStart w:id="73" w:name="_2lwamvv" w:colFirst="0" w:colLast="0"/>
      <w:bookmarkEnd w:id="73"/>
      <w:r>
        <w:t xml:space="preserve">Smith, C., Chamberlain, A., Riley, M., Cooper, A., Stringer, C. and Collins, M. (2001) Neanderthal DNA: Not just old but old and cold? </w:t>
      </w:r>
      <w:r>
        <w:rPr>
          <w:i/>
        </w:rPr>
        <w:t>Nature Communications,</w:t>
      </w:r>
      <w:r>
        <w:t xml:space="preserve"> 410: 771-772.</w:t>
      </w:r>
    </w:p>
    <w:p w14:paraId="705E249C" w14:textId="77777777" w:rsidR="00255333" w:rsidRDefault="00715B12">
      <w:pPr>
        <w:widowControl w:val="0"/>
        <w:pBdr>
          <w:top w:val="nil"/>
          <w:left w:val="nil"/>
          <w:bottom w:val="nil"/>
          <w:right w:val="nil"/>
          <w:between w:val="nil"/>
        </w:pBdr>
        <w:spacing w:line="240" w:lineRule="auto"/>
      </w:pPr>
      <w:bookmarkStart w:id="74" w:name="_jnlzrajshx8a" w:colFirst="0" w:colLast="0"/>
      <w:bookmarkEnd w:id="74"/>
      <w:proofErr w:type="spellStart"/>
      <w:r>
        <w:t>Snoeck</w:t>
      </w:r>
      <w:proofErr w:type="spellEnd"/>
      <w:r>
        <w:t xml:space="preserve">, C., Lee-Thorp, J.A. and Schulting, R.J. (2014) From bone to ask: Compositional and structural changes in burned modern and archaeological bone. </w:t>
      </w:r>
      <w:proofErr w:type="spellStart"/>
      <w:r>
        <w:rPr>
          <w:i/>
        </w:rPr>
        <w:t>Palaeogeography</w:t>
      </w:r>
      <w:proofErr w:type="spellEnd"/>
      <w:r>
        <w:rPr>
          <w:i/>
        </w:rPr>
        <w:t xml:space="preserve">, </w:t>
      </w:r>
      <w:proofErr w:type="spellStart"/>
      <w:r>
        <w:rPr>
          <w:i/>
        </w:rPr>
        <w:t>Palaeoclimatology</w:t>
      </w:r>
      <w:proofErr w:type="spellEnd"/>
      <w:r>
        <w:rPr>
          <w:i/>
        </w:rPr>
        <w:t xml:space="preserve">, </w:t>
      </w:r>
      <w:proofErr w:type="spellStart"/>
      <w:r>
        <w:rPr>
          <w:i/>
        </w:rPr>
        <w:t>Palaeoecology</w:t>
      </w:r>
      <w:proofErr w:type="spellEnd"/>
      <w:r>
        <w:rPr>
          <w:i/>
        </w:rPr>
        <w:t xml:space="preserve">, </w:t>
      </w:r>
      <w:r>
        <w:t>416: 55-68.</w:t>
      </w:r>
    </w:p>
    <w:p w14:paraId="66AF783E" w14:textId="3745D4E5" w:rsidR="00255333" w:rsidRDefault="00715B12">
      <w:pPr>
        <w:widowControl w:val="0"/>
        <w:pBdr>
          <w:top w:val="nil"/>
          <w:left w:val="nil"/>
          <w:bottom w:val="nil"/>
          <w:right w:val="nil"/>
          <w:between w:val="nil"/>
        </w:pBdr>
        <w:spacing w:line="240" w:lineRule="auto"/>
      </w:pPr>
      <w:bookmarkStart w:id="75" w:name="_111kx3o" w:colFirst="0" w:colLast="0"/>
      <w:bookmarkEnd w:id="75"/>
      <w:r>
        <w:t xml:space="preserve">Squires, K.E. </w:t>
      </w:r>
      <w:r w:rsidR="00E878FD">
        <w:t>(</w:t>
      </w:r>
      <w:r>
        <w:t>2015</w:t>
      </w:r>
      <w:r w:rsidR="00E878FD">
        <w:t>)</w:t>
      </w:r>
      <w:r>
        <w:t xml:space="preserve"> The integration of microscopic techniques in cremation studies: A new approach to understanding social identity among cremation practicing group from early Anglo-Saxon England. In: Thompson, T.J.U. (ed.) </w:t>
      </w:r>
      <w:r>
        <w:rPr>
          <w:i/>
        </w:rPr>
        <w:t xml:space="preserve">The Archaeology of cremation: Burned human remains in funerary studies. </w:t>
      </w:r>
      <w:r>
        <w:t>Oxbow Books. pp151-172.</w:t>
      </w:r>
    </w:p>
    <w:p w14:paraId="74A4E139" w14:textId="77777777" w:rsidR="00255333" w:rsidRDefault="00715B12">
      <w:pPr>
        <w:widowControl w:val="0"/>
        <w:pBdr>
          <w:top w:val="nil"/>
          <w:left w:val="nil"/>
          <w:bottom w:val="nil"/>
          <w:right w:val="nil"/>
          <w:between w:val="nil"/>
        </w:pBdr>
        <w:spacing w:after="0" w:line="240" w:lineRule="auto"/>
      </w:pPr>
      <w:bookmarkStart w:id="76" w:name="_3l18frh" w:colFirst="0" w:colLast="0"/>
      <w:bookmarkEnd w:id="76"/>
      <w:r>
        <w:t xml:space="preserve">Tibbett, M. and Carter, D. </w:t>
      </w:r>
      <w:r>
        <w:rPr>
          <w:i/>
        </w:rPr>
        <w:t xml:space="preserve">eds. </w:t>
      </w:r>
      <w:r>
        <w:t xml:space="preserve">(2008) </w:t>
      </w:r>
      <w:r>
        <w:rPr>
          <w:i/>
        </w:rPr>
        <w:t xml:space="preserve">Soil analysis in forensic taphonomy: chemical and biological effects of buried human </w:t>
      </w:r>
      <w:proofErr w:type="gramStart"/>
      <w:r>
        <w:rPr>
          <w:i/>
        </w:rPr>
        <w:t>remains</w:t>
      </w:r>
      <w:proofErr w:type="gramEnd"/>
      <w:r>
        <w:rPr>
          <w:i/>
        </w:rPr>
        <w:t xml:space="preserve">. </w:t>
      </w:r>
      <w:r>
        <w:t xml:space="preserve">United States: CRC Press. </w:t>
      </w:r>
    </w:p>
    <w:p w14:paraId="74614DD3" w14:textId="77777777" w:rsidR="00255333" w:rsidRDefault="00255333">
      <w:pPr>
        <w:widowControl w:val="0"/>
        <w:pBdr>
          <w:top w:val="nil"/>
          <w:left w:val="nil"/>
          <w:bottom w:val="nil"/>
          <w:right w:val="nil"/>
          <w:between w:val="nil"/>
        </w:pBdr>
        <w:spacing w:after="0" w:line="240" w:lineRule="auto"/>
      </w:pPr>
      <w:bookmarkStart w:id="77" w:name="_206ipza" w:colFirst="0" w:colLast="0"/>
      <w:bookmarkEnd w:id="77"/>
    </w:p>
    <w:p w14:paraId="53F39D40" w14:textId="77777777" w:rsidR="00255333" w:rsidRDefault="00715B12">
      <w:pPr>
        <w:widowControl w:val="0"/>
        <w:pBdr>
          <w:top w:val="nil"/>
          <w:left w:val="nil"/>
          <w:bottom w:val="nil"/>
          <w:right w:val="nil"/>
          <w:between w:val="nil"/>
        </w:pBdr>
        <w:spacing w:line="240" w:lineRule="auto"/>
      </w:pPr>
      <w:bookmarkStart w:id="78" w:name="_4k668n3" w:colFirst="0" w:colLast="0"/>
      <w:bookmarkEnd w:id="78"/>
      <w:r>
        <w:t xml:space="preserve">Thompson, T.J.U., Islam, M. and </w:t>
      </w:r>
      <w:proofErr w:type="spellStart"/>
      <w:r>
        <w:t>Bonniere</w:t>
      </w:r>
      <w:proofErr w:type="spellEnd"/>
      <w:r>
        <w:t xml:space="preserve">, M. (2013) A new statistical approach for determining the crystallinity of heat-altered bone mineral from FTIR spectra. </w:t>
      </w:r>
      <w:r>
        <w:rPr>
          <w:i/>
        </w:rPr>
        <w:t>Journal of Archaeological Science</w:t>
      </w:r>
      <w:r>
        <w:t xml:space="preserve"> 40: 416-422.</w:t>
      </w:r>
    </w:p>
    <w:p w14:paraId="43E474FE" w14:textId="77777777" w:rsidR="00255333" w:rsidRDefault="00715B12">
      <w:pPr>
        <w:widowControl w:val="0"/>
        <w:pBdr>
          <w:top w:val="nil"/>
          <w:left w:val="nil"/>
          <w:bottom w:val="nil"/>
          <w:right w:val="nil"/>
          <w:between w:val="nil"/>
        </w:pBdr>
        <w:spacing w:line="240" w:lineRule="auto"/>
      </w:pPr>
      <w:bookmarkStart w:id="79" w:name="_2zbgiuw" w:colFirst="0" w:colLast="0"/>
      <w:bookmarkEnd w:id="79"/>
      <w:r>
        <w:t xml:space="preserve">Thompson, T.J.U. (2015a) ‘Fire and the body; fire and the people’ </w:t>
      </w:r>
      <w:proofErr w:type="gramStart"/>
      <w:r>
        <w:t>in:</w:t>
      </w:r>
      <w:proofErr w:type="gramEnd"/>
      <w:r>
        <w:t xml:space="preserve"> Thompson, T.J.U. (ed.) T</w:t>
      </w:r>
      <w:r>
        <w:rPr>
          <w:i/>
        </w:rPr>
        <w:t>he Archaeology of cremation: Burned human remains in funerary studies</w:t>
      </w:r>
      <w:r>
        <w:t>. Oxbow Books. pp1-17.</w:t>
      </w:r>
    </w:p>
    <w:p w14:paraId="2E691ED3" w14:textId="77777777" w:rsidR="00255333" w:rsidRDefault="00715B12">
      <w:pPr>
        <w:widowControl w:val="0"/>
        <w:pBdr>
          <w:top w:val="nil"/>
          <w:left w:val="nil"/>
          <w:bottom w:val="nil"/>
          <w:right w:val="nil"/>
          <w:between w:val="nil"/>
        </w:pBdr>
        <w:spacing w:line="240" w:lineRule="auto"/>
      </w:pPr>
      <w:bookmarkStart w:id="80" w:name="_1egqt2p" w:colFirst="0" w:colLast="0"/>
      <w:bookmarkEnd w:id="80"/>
      <w:r>
        <w:t xml:space="preserve">Thompson, T.J.U. (2015b) ‘The analysis of heat-induced crystallinity </w:t>
      </w:r>
      <w:proofErr w:type="gramStart"/>
      <w:r>
        <w:t>change</w:t>
      </w:r>
      <w:proofErr w:type="gramEnd"/>
      <w:r>
        <w:t xml:space="preserve"> in bone’ in: Schmidt, C. and Symes, S. (eds.) </w:t>
      </w:r>
      <w:r>
        <w:rPr>
          <w:i/>
        </w:rPr>
        <w:t>The analysis of burned human remains</w:t>
      </w:r>
      <w:r>
        <w:t xml:space="preserve"> (2nd ed). Academic Press. pp323-337.</w:t>
      </w:r>
    </w:p>
    <w:p w14:paraId="11D0435F" w14:textId="77777777" w:rsidR="00255333" w:rsidRDefault="00715B12">
      <w:pPr>
        <w:widowControl w:val="0"/>
        <w:pBdr>
          <w:top w:val="nil"/>
          <w:left w:val="nil"/>
          <w:bottom w:val="nil"/>
          <w:right w:val="nil"/>
          <w:between w:val="nil"/>
        </w:pBdr>
        <w:spacing w:line="240" w:lineRule="auto"/>
      </w:pPr>
      <w:bookmarkStart w:id="81" w:name="_3ygebqi" w:colFirst="0" w:colLast="0"/>
      <w:bookmarkEnd w:id="81"/>
      <w:r>
        <w:t xml:space="preserve">Thompson, T.J.U., Szigeti, J., Gowland, R.L. and Witcher, R.E. 2016. Death on the frontier: military cremation practices in the north of Roman Britain. </w:t>
      </w:r>
      <w:r>
        <w:rPr>
          <w:i/>
        </w:rPr>
        <w:t>Journal of Archaeological Science: Reports</w:t>
      </w:r>
      <w:r>
        <w:t>, 10: 828-836.</w:t>
      </w:r>
    </w:p>
    <w:p w14:paraId="7DB54842" w14:textId="77777777" w:rsidR="00255333" w:rsidRDefault="00715B12">
      <w:pPr>
        <w:widowControl w:val="0"/>
        <w:pBdr>
          <w:top w:val="nil"/>
          <w:left w:val="nil"/>
          <w:bottom w:val="nil"/>
          <w:right w:val="nil"/>
          <w:between w:val="nil"/>
        </w:pBdr>
      </w:pPr>
      <w:proofErr w:type="spellStart"/>
      <w:r>
        <w:t>Trueman</w:t>
      </w:r>
      <w:proofErr w:type="spellEnd"/>
      <w:r>
        <w:t xml:space="preserve">, C., Privat, K. and Field, J. (2008) Why do crystallinity values fail to predict the extent of diagenetic alteration of bone mineral? </w:t>
      </w:r>
      <w:proofErr w:type="spellStart"/>
      <w:r>
        <w:rPr>
          <w:i/>
        </w:rPr>
        <w:t>Palaeogeography</w:t>
      </w:r>
      <w:proofErr w:type="spellEnd"/>
      <w:r>
        <w:rPr>
          <w:i/>
        </w:rPr>
        <w:t xml:space="preserve">, </w:t>
      </w:r>
      <w:proofErr w:type="spellStart"/>
      <w:r>
        <w:rPr>
          <w:i/>
        </w:rPr>
        <w:t>Palaeoclimatology</w:t>
      </w:r>
      <w:proofErr w:type="spellEnd"/>
      <w:r>
        <w:rPr>
          <w:i/>
        </w:rPr>
        <w:t xml:space="preserve">, </w:t>
      </w:r>
      <w:proofErr w:type="spellStart"/>
      <w:r>
        <w:rPr>
          <w:i/>
        </w:rPr>
        <w:t>Palaeoecology</w:t>
      </w:r>
      <w:proofErr w:type="spellEnd"/>
      <w:r>
        <w:rPr>
          <w:i/>
        </w:rPr>
        <w:t xml:space="preserve">, </w:t>
      </w:r>
      <w:r>
        <w:t>266: 160-167.</w:t>
      </w:r>
    </w:p>
    <w:p w14:paraId="2EA20763" w14:textId="77777777" w:rsidR="00255333" w:rsidRDefault="00715B12">
      <w:pPr>
        <w:widowControl w:val="0"/>
        <w:pBdr>
          <w:top w:val="nil"/>
          <w:left w:val="nil"/>
          <w:bottom w:val="nil"/>
          <w:right w:val="nil"/>
          <w:between w:val="nil"/>
        </w:pBdr>
      </w:pPr>
      <w:proofErr w:type="spellStart"/>
      <w:r>
        <w:t>Ubelaker</w:t>
      </w:r>
      <w:proofErr w:type="spellEnd"/>
      <w:r>
        <w:t xml:space="preserve">, D. (2015) ‘Case applications of recent research on thermal effects on the skeleton’ in Thompson, T.J.U. (ed.) </w:t>
      </w:r>
      <w:r>
        <w:rPr>
          <w:i/>
        </w:rPr>
        <w:t>The Archaeology of cremation: Burned human remains in funerary studies</w:t>
      </w:r>
      <w:r>
        <w:t>. Oxbow Books. Pp. 213-226.</w:t>
      </w:r>
    </w:p>
    <w:p w14:paraId="19021ABD" w14:textId="77777777" w:rsidR="00C47E60" w:rsidRPr="00C47E60" w:rsidRDefault="00C47E60">
      <w:pPr>
        <w:widowControl w:val="0"/>
        <w:pBdr>
          <w:top w:val="nil"/>
          <w:left w:val="nil"/>
          <w:bottom w:val="nil"/>
          <w:right w:val="nil"/>
          <w:between w:val="nil"/>
        </w:pBdr>
      </w:pPr>
      <w:r>
        <w:t xml:space="preserve">van der </w:t>
      </w:r>
      <w:proofErr w:type="spellStart"/>
      <w:r>
        <w:t>Sman</w:t>
      </w:r>
      <w:proofErr w:type="spellEnd"/>
      <w:r>
        <w:t>, R. (2007) Moisture transport during cooking of meat: An analysis based on Flory-</w:t>
      </w:r>
      <w:proofErr w:type="spellStart"/>
      <w:r>
        <w:t>Rehner</w:t>
      </w:r>
      <w:proofErr w:type="spellEnd"/>
      <w:r>
        <w:t xml:space="preserve"> theory. </w:t>
      </w:r>
      <w:r>
        <w:rPr>
          <w:i/>
        </w:rPr>
        <w:t>Meat Science,</w:t>
      </w:r>
      <w:r>
        <w:t xml:space="preserve"> 76: 730-738.</w:t>
      </w:r>
    </w:p>
    <w:p w14:paraId="00C879DD" w14:textId="0D051F60" w:rsidR="00255333" w:rsidRDefault="00715B12">
      <w:pPr>
        <w:widowControl w:val="0"/>
        <w:pBdr>
          <w:top w:val="nil"/>
          <w:left w:val="nil"/>
          <w:bottom w:val="nil"/>
          <w:right w:val="nil"/>
          <w:between w:val="nil"/>
        </w:pBdr>
      </w:pPr>
      <w:proofErr w:type="spellStart"/>
      <w:r>
        <w:t>Vassalo</w:t>
      </w:r>
      <w:proofErr w:type="spellEnd"/>
      <w:r>
        <w:t xml:space="preserve">, A.R., </w:t>
      </w:r>
      <w:proofErr w:type="spellStart"/>
      <w:r>
        <w:t>Mamede</w:t>
      </w:r>
      <w:proofErr w:type="spellEnd"/>
      <w:r>
        <w:t xml:space="preserve">, A.P., Ferreira, M.T., Cunha, E. and </w:t>
      </w:r>
      <w:r w:rsidR="00E878FD">
        <w:t>Gonçalves</w:t>
      </w:r>
      <w:r>
        <w:t xml:space="preserve">, D. (2017) The G-force awakens: the influence of gravity in bone heat-induced warping and its implications for the estimation of the pre-burning condition of human remains. </w:t>
      </w:r>
      <w:r>
        <w:rPr>
          <w:i/>
        </w:rPr>
        <w:t xml:space="preserve">Australian Journal of Forensic Sciences </w:t>
      </w:r>
      <w:r>
        <w:t>doi.org/10.1080/00450618.2017.1340521.</w:t>
      </w:r>
    </w:p>
    <w:p w14:paraId="25F7C56A" w14:textId="77777777" w:rsidR="00255333" w:rsidRDefault="00715B12">
      <w:pPr>
        <w:widowControl w:val="0"/>
        <w:pBdr>
          <w:top w:val="nil"/>
          <w:left w:val="nil"/>
          <w:bottom w:val="nil"/>
          <w:right w:val="nil"/>
          <w:between w:val="nil"/>
        </w:pBdr>
      </w:pPr>
      <w:proofErr w:type="spellStart"/>
      <w:r>
        <w:lastRenderedPageBreak/>
        <w:t>Zanella</w:t>
      </w:r>
      <w:proofErr w:type="spellEnd"/>
      <w:r>
        <w:t xml:space="preserve">, E., </w:t>
      </w:r>
      <w:proofErr w:type="spellStart"/>
      <w:r>
        <w:t>Gurioli</w:t>
      </w:r>
      <w:proofErr w:type="spellEnd"/>
      <w:r>
        <w:t xml:space="preserve">, L., Chiari, G., </w:t>
      </w:r>
      <w:proofErr w:type="spellStart"/>
      <w:r>
        <w:t>Ciarallo</w:t>
      </w:r>
      <w:proofErr w:type="spellEnd"/>
      <w:r>
        <w:t xml:space="preserve">, A., </w:t>
      </w:r>
      <w:proofErr w:type="spellStart"/>
      <w:r>
        <w:t>Cioni</w:t>
      </w:r>
      <w:proofErr w:type="spellEnd"/>
      <w:r>
        <w:t xml:space="preserve">, R., De </w:t>
      </w:r>
      <w:proofErr w:type="spellStart"/>
      <w:r>
        <w:t>Carolis</w:t>
      </w:r>
      <w:proofErr w:type="spellEnd"/>
      <w:r>
        <w:t xml:space="preserve">, E. and Lanza, R. (2000) Archaeomagnetic results from mural paintings and pyroclastic rocks in Pompeii and Herculaneum. </w:t>
      </w:r>
      <w:r>
        <w:rPr>
          <w:i/>
        </w:rPr>
        <w:t xml:space="preserve">Physics of the Earth and Planetary Interiors, </w:t>
      </w:r>
      <w:r>
        <w:t>118: 227-240.</w:t>
      </w:r>
    </w:p>
    <w:sectPr w:rsidR="00255333" w:rsidSect="00457D71">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8897B" w14:textId="77777777" w:rsidR="009952C6" w:rsidRDefault="009952C6" w:rsidP="00525A5C">
      <w:pPr>
        <w:spacing w:after="0" w:line="240" w:lineRule="auto"/>
      </w:pPr>
      <w:r>
        <w:separator/>
      </w:r>
    </w:p>
  </w:endnote>
  <w:endnote w:type="continuationSeparator" w:id="0">
    <w:p w14:paraId="45866F97" w14:textId="77777777" w:rsidR="009952C6" w:rsidRDefault="009952C6" w:rsidP="0052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15078" w14:textId="77777777" w:rsidR="009952C6" w:rsidRDefault="009952C6" w:rsidP="00525A5C">
      <w:pPr>
        <w:spacing w:after="0" w:line="240" w:lineRule="auto"/>
      </w:pPr>
      <w:r>
        <w:separator/>
      </w:r>
    </w:p>
  </w:footnote>
  <w:footnote w:type="continuationSeparator" w:id="0">
    <w:p w14:paraId="7518D293" w14:textId="77777777" w:rsidR="009952C6" w:rsidRDefault="009952C6" w:rsidP="00525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B2718"/>
    <w:multiLevelType w:val="multilevel"/>
    <w:tmpl w:val="16E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A04B9"/>
    <w:multiLevelType w:val="multilevel"/>
    <w:tmpl w:val="BBE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33"/>
    <w:rsid w:val="0000454F"/>
    <w:rsid w:val="00135C98"/>
    <w:rsid w:val="00153DFA"/>
    <w:rsid w:val="001E6C29"/>
    <w:rsid w:val="00203BAF"/>
    <w:rsid w:val="00237C62"/>
    <w:rsid w:val="00255333"/>
    <w:rsid w:val="00255978"/>
    <w:rsid w:val="00294860"/>
    <w:rsid w:val="002D791B"/>
    <w:rsid w:val="00376E81"/>
    <w:rsid w:val="00377D0F"/>
    <w:rsid w:val="003C07AF"/>
    <w:rsid w:val="003C443E"/>
    <w:rsid w:val="003C72DB"/>
    <w:rsid w:val="003E2348"/>
    <w:rsid w:val="0040049E"/>
    <w:rsid w:val="00402E79"/>
    <w:rsid w:val="00420D9E"/>
    <w:rsid w:val="00446E24"/>
    <w:rsid w:val="00447752"/>
    <w:rsid w:val="00457D71"/>
    <w:rsid w:val="0046730B"/>
    <w:rsid w:val="004C6C08"/>
    <w:rsid w:val="004D0FD0"/>
    <w:rsid w:val="004E40B0"/>
    <w:rsid w:val="004F132B"/>
    <w:rsid w:val="00510EC8"/>
    <w:rsid w:val="005241DD"/>
    <w:rsid w:val="00525A5C"/>
    <w:rsid w:val="00580E0D"/>
    <w:rsid w:val="0058743A"/>
    <w:rsid w:val="005A2808"/>
    <w:rsid w:val="005D29CD"/>
    <w:rsid w:val="00684D86"/>
    <w:rsid w:val="00715B12"/>
    <w:rsid w:val="00753D5B"/>
    <w:rsid w:val="00755D0A"/>
    <w:rsid w:val="00781FAE"/>
    <w:rsid w:val="00785D5D"/>
    <w:rsid w:val="007955C7"/>
    <w:rsid w:val="00795D65"/>
    <w:rsid w:val="007B51BC"/>
    <w:rsid w:val="007B5E87"/>
    <w:rsid w:val="007B62D1"/>
    <w:rsid w:val="007C3FDD"/>
    <w:rsid w:val="007E0C22"/>
    <w:rsid w:val="00830502"/>
    <w:rsid w:val="0083349A"/>
    <w:rsid w:val="008567A9"/>
    <w:rsid w:val="008C4335"/>
    <w:rsid w:val="008D61F8"/>
    <w:rsid w:val="008D6B58"/>
    <w:rsid w:val="008E50E9"/>
    <w:rsid w:val="00955A3D"/>
    <w:rsid w:val="00956FAC"/>
    <w:rsid w:val="00977F58"/>
    <w:rsid w:val="00994E3D"/>
    <w:rsid w:val="009952C6"/>
    <w:rsid w:val="009F1DE7"/>
    <w:rsid w:val="00A33BC7"/>
    <w:rsid w:val="00A55F65"/>
    <w:rsid w:val="00A65CEE"/>
    <w:rsid w:val="00AE1E2F"/>
    <w:rsid w:val="00B03C3B"/>
    <w:rsid w:val="00B17A8E"/>
    <w:rsid w:val="00B37302"/>
    <w:rsid w:val="00B554AC"/>
    <w:rsid w:val="00B74005"/>
    <w:rsid w:val="00BB6A8D"/>
    <w:rsid w:val="00C47E60"/>
    <w:rsid w:val="00C644B9"/>
    <w:rsid w:val="00C93435"/>
    <w:rsid w:val="00CA166B"/>
    <w:rsid w:val="00CB72EF"/>
    <w:rsid w:val="00D67034"/>
    <w:rsid w:val="00D71942"/>
    <w:rsid w:val="00DB4EEE"/>
    <w:rsid w:val="00DB658F"/>
    <w:rsid w:val="00E05100"/>
    <w:rsid w:val="00E83098"/>
    <w:rsid w:val="00E878FD"/>
    <w:rsid w:val="00ED76A7"/>
    <w:rsid w:val="00EE1210"/>
    <w:rsid w:val="00F26FBE"/>
    <w:rsid w:val="00F40C56"/>
    <w:rsid w:val="00F47A2A"/>
    <w:rsid w:val="00F710DC"/>
    <w:rsid w:val="00F72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FEBC"/>
  <w15:docId w15:val="{E567BBB7-D394-4FD6-8AE7-07C72029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2EF"/>
  </w:style>
  <w:style w:type="paragraph" w:styleId="Heading1">
    <w:name w:val="heading 1"/>
    <w:basedOn w:val="Normal"/>
    <w:next w:val="Normal"/>
    <w:rsid w:val="00CB72EF"/>
    <w:pPr>
      <w:keepNext/>
      <w:keepLines/>
      <w:spacing w:before="480" w:after="120"/>
      <w:outlineLvl w:val="0"/>
    </w:pPr>
    <w:rPr>
      <w:b/>
      <w:sz w:val="48"/>
      <w:szCs w:val="48"/>
    </w:rPr>
  </w:style>
  <w:style w:type="paragraph" w:styleId="Heading2">
    <w:name w:val="heading 2"/>
    <w:basedOn w:val="Normal"/>
    <w:next w:val="Normal"/>
    <w:rsid w:val="00CB72EF"/>
    <w:pPr>
      <w:keepNext/>
      <w:keepLines/>
      <w:spacing w:before="400" w:line="252" w:lineRule="auto"/>
      <w:jc w:val="center"/>
      <w:outlineLvl w:val="1"/>
    </w:pPr>
    <w:rPr>
      <w:rFonts w:ascii="Cambria" w:eastAsia="Cambria" w:hAnsi="Cambria" w:cs="Cambria"/>
      <w:smallCaps/>
      <w:color w:val="632423"/>
      <w:sz w:val="24"/>
      <w:szCs w:val="24"/>
    </w:rPr>
  </w:style>
  <w:style w:type="paragraph" w:styleId="Heading3">
    <w:name w:val="heading 3"/>
    <w:basedOn w:val="Normal"/>
    <w:next w:val="Normal"/>
    <w:rsid w:val="00CB72EF"/>
    <w:pPr>
      <w:keepNext/>
      <w:keepLines/>
      <w:spacing w:before="280" w:after="80"/>
      <w:outlineLvl w:val="2"/>
    </w:pPr>
    <w:rPr>
      <w:b/>
      <w:sz w:val="28"/>
      <w:szCs w:val="28"/>
    </w:rPr>
  </w:style>
  <w:style w:type="paragraph" w:styleId="Heading4">
    <w:name w:val="heading 4"/>
    <w:basedOn w:val="Normal"/>
    <w:next w:val="Normal"/>
    <w:rsid w:val="00CB72EF"/>
    <w:pPr>
      <w:keepNext/>
      <w:keepLines/>
      <w:spacing w:before="240" w:after="40"/>
      <w:outlineLvl w:val="3"/>
    </w:pPr>
    <w:rPr>
      <w:b/>
      <w:sz w:val="24"/>
      <w:szCs w:val="24"/>
    </w:rPr>
  </w:style>
  <w:style w:type="paragraph" w:styleId="Heading5">
    <w:name w:val="heading 5"/>
    <w:basedOn w:val="Normal"/>
    <w:next w:val="Normal"/>
    <w:rsid w:val="00CB72EF"/>
    <w:pPr>
      <w:keepNext/>
      <w:keepLines/>
      <w:spacing w:before="220" w:after="40"/>
      <w:outlineLvl w:val="4"/>
    </w:pPr>
    <w:rPr>
      <w:b/>
    </w:rPr>
  </w:style>
  <w:style w:type="paragraph" w:styleId="Heading6">
    <w:name w:val="heading 6"/>
    <w:basedOn w:val="Normal"/>
    <w:next w:val="Normal"/>
    <w:rsid w:val="00CB72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B72EF"/>
    <w:pPr>
      <w:keepNext/>
      <w:keepLines/>
      <w:spacing w:before="480" w:after="120"/>
    </w:pPr>
    <w:rPr>
      <w:b/>
      <w:sz w:val="72"/>
      <w:szCs w:val="72"/>
    </w:rPr>
  </w:style>
  <w:style w:type="paragraph" w:styleId="Subtitle">
    <w:name w:val="Subtitle"/>
    <w:basedOn w:val="Normal"/>
    <w:next w:val="Normal"/>
    <w:rsid w:val="00CB72EF"/>
    <w:pPr>
      <w:keepNext/>
      <w:keepLines/>
      <w:spacing w:before="360" w:after="80"/>
    </w:pPr>
    <w:rPr>
      <w:rFonts w:ascii="Georgia" w:eastAsia="Georgia" w:hAnsi="Georgia" w:cs="Georgia"/>
      <w:i/>
      <w:color w:val="666666"/>
      <w:sz w:val="48"/>
      <w:szCs w:val="48"/>
    </w:rPr>
  </w:style>
  <w:style w:type="table" w:customStyle="1" w:styleId="a">
    <w:basedOn w:val="TableNormal"/>
    <w:rsid w:val="00CB72E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04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54F"/>
    <w:rPr>
      <w:rFonts w:ascii="Segoe UI" w:hAnsi="Segoe UI" w:cs="Segoe UI"/>
      <w:sz w:val="18"/>
      <w:szCs w:val="18"/>
    </w:rPr>
  </w:style>
  <w:style w:type="character" w:styleId="CommentReference">
    <w:name w:val="annotation reference"/>
    <w:basedOn w:val="DefaultParagraphFont"/>
    <w:uiPriority w:val="99"/>
    <w:semiHidden/>
    <w:unhideWhenUsed/>
    <w:rsid w:val="00E83098"/>
    <w:rPr>
      <w:sz w:val="16"/>
      <w:szCs w:val="16"/>
    </w:rPr>
  </w:style>
  <w:style w:type="paragraph" w:styleId="CommentText">
    <w:name w:val="annotation text"/>
    <w:basedOn w:val="Normal"/>
    <w:link w:val="CommentTextChar"/>
    <w:uiPriority w:val="99"/>
    <w:semiHidden/>
    <w:unhideWhenUsed/>
    <w:rsid w:val="00E83098"/>
    <w:pPr>
      <w:spacing w:line="240" w:lineRule="auto"/>
    </w:pPr>
    <w:rPr>
      <w:sz w:val="20"/>
      <w:szCs w:val="20"/>
    </w:rPr>
  </w:style>
  <w:style w:type="character" w:customStyle="1" w:styleId="CommentTextChar">
    <w:name w:val="Comment Text Char"/>
    <w:basedOn w:val="DefaultParagraphFont"/>
    <w:link w:val="CommentText"/>
    <w:uiPriority w:val="99"/>
    <w:semiHidden/>
    <w:rsid w:val="00E83098"/>
    <w:rPr>
      <w:sz w:val="20"/>
      <w:szCs w:val="20"/>
    </w:rPr>
  </w:style>
  <w:style w:type="paragraph" w:styleId="CommentSubject">
    <w:name w:val="annotation subject"/>
    <w:basedOn w:val="CommentText"/>
    <w:next w:val="CommentText"/>
    <w:link w:val="CommentSubjectChar"/>
    <w:uiPriority w:val="99"/>
    <w:semiHidden/>
    <w:unhideWhenUsed/>
    <w:rsid w:val="00E83098"/>
    <w:rPr>
      <w:b/>
      <w:bCs/>
    </w:rPr>
  </w:style>
  <w:style w:type="character" w:customStyle="1" w:styleId="CommentSubjectChar">
    <w:name w:val="Comment Subject Char"/>
    <w:basedOn w:val="CommentTextChar"/>
    <w:link w:val="CommentSubject"/>
    <w:uiPriority w:val="99"/>
    <w:semiHidden/>
    <w:rsid w:val="00E83098"/>
    <w:rPr>
      <w:b/>
      <w:bCs/>
      <w:sz w:val="20"/>
      <w:szCs w:val="20"/>
    </w:rPr>
  </w:style>
  <w:style w:type="paragraph" w:styleId="FootnoteText">
    <w:name w:val="footnote text"/>
    <w:basedOn w:val="Normal"/>
    <w:link w:val="FootnoteTextChar"/>
    <w:uiPriority w:val="99"/>
    <w:semiHidden/>
    <w:unhideWhenUsed/>
    <w:rsid w:val="00525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A5C"/>
    <w:rPr>
      <w:sz w:val="20"/>
      <w:szCs w:val="20"/>
    </w:rPr>
  </w:style>
  <w:style w:type="character" w:styleId="FootnoteReference">
    <w:name w:val="footnote reference"/>
    <w:basedOn w:val="DefaultParagraphFont"/>
    <w:uiPriority w:val="99"/>
    <w:semiHidden/>
    <w:unhideWhenUsed/>
    <w:rsid w:val="00525A5C"/>
    <w:rPr>
      <w:vertAlign w:val="superscript"/>
    </w:rPr>
  </w:style>
  <w:style w:type="paragraph" w:styleId="Revision">
    <w:name w:val="Revision"/>
    <w:hidden/>
    <w:uiPriority w:val="99"/>
    <w:semiHidden/>
    <w:rsid w:val="00CA166B"/>
    <w:pPr>
      <w:spacing w:after="0" w:line="240" w:lineRule="auto"/>
    </w:pPr>
  </w:style>
  <w:style w:type="character" w:styleId="LineNumber">
    <w:name w:val="line number"/>
    <w:basedOn w:val="DefaultParagraphFont"/>
    <w:uiPriority w:val="99"/>
    <w:semiHidden/>
    <w:unhideWhenUsed/>
    <w:rsid w:val="008D6B58"/>
  </w:style>
  <w:style w:type="paragraph" w:customStyle="1" w:styleId="author">
    <w:name w:val="author"/>
    <w:basedOn w:val="Normal"/>
    <w:rsid w:val="00F47A2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semiHidden/>
    <w:unhideWhenUsed/>
    <w:rsid w:val="00F47A2A"/>
    <w:rPr>
      <w:color w:val="0000FF"/>
      <w:u w:val="single"/>
    </w:rPr>
  </w:style>
  <w:style w:type="character" w:customStyle="1" w:styleId="separator">
    <w:name w:val="separator"/>
    <w:basedOn w:val="DefaultParagraphFont"/>
    <w:rsid w:val="00F4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22423">
      <w:bodyDiv w:val="1"/>
      <w:marLeft w:val="0"/>
      <w:marRight w:val="0"/>
      <w:marTop w:val="0"/>
      <w:marBottom w:val="0"/>
      <w:divBdr>
        <w:top w:val="none" w:sz="0" w:space="0" w:color="auto"/>
        <w:left w:val="none" w:sz="0" w:space="0" w:color="auto"/>
        <w:bottom w:val="none" w:sz="0" w:space="0" w:color="auto"/>
        <w:right w:val="none" w:sz="0" w:space="0" w:color="auto"/>
      </w:divBdr>
    </w:div>
    <w:div w:id="210764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search?filters%5BauthorTerms%5D=Luuk%20de%20Ligt&amp;eventCode=SE-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A795-CB31-46C8-8226-FAEAE849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6061</Words>
  <Characters>34552</Characters>
  <Application>Microsoft Office Word</Application>
  <DocSecurity>0</DocSecurity>
  <Lines>287</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Teesside University</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Craig</dc:creator>
  <cp:lastModifiedBy>Timothy Thompson</cp:lastModifiedBy>
  <cp:revision>6</cp:revision>
  <cp:lastPrinted>2019-03-23T19:23:00Z</cp:lastPrinted>
  <dcterms:created xsi:type="dcterms:W3CDTF">2019-07-15T13:49:00Z</dcterms:created>
  <dcterms:modified xsi:type="dcterms:W3CDTF">2019-07-28T14:21:00Z</dcterms:modified>
</cp:coreProperties>
</file>