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D93AE" w14:textId="77777777" w:rsidR="008320C3" w:rsidRPr="00D81FA3" w:rsidRDefault="00774EAA" w:rsidP="008320C3">
      <w:pPr>
        <w:spacing w:line="360" w:lineRule="auto"/>
        <w:jc w:val="center"/>
        <w:rPr>
          <w:rFonts w:ascii="Times New Roman" w:hAnsi="Times New Roman" w:cs="Times New Roman"/>
          <w:b/>
          <w:i/>
          <w:sz w:val="28"/>
          <w:szCs w:val="28"/>
        </w:rPr>
      </w:pPr>
      <w:r>
        <w:rPr>
          <w:rFonts w:ascii="Times New Roman" w:hAnsi="Times New Roman" w:cs="Times New Roman"/>
          <w:b/>
          <w:i/>
          <w:sz w:val="28"/>
          <w:szCs w:val="28"/>
        </w:rPr>
        <w:t>Journal of Social Security Law</w:t>
      </w:r>
    </w:p>
    <w:p w14:paraId="693AE3EC" w14:textId="21FB3AFD" w:rsidR="008320C3" w:rsidRDefault="008335A8" w:rsidP="000141C9">
      <w:pPr>
        <w:pBdr>
          <w:bottom w:val="single" w:sz="12" w:space="1" w:color="auto"/>
        </w:pBdr>
        <w:spacing w:line="360" w:lineRule="auto"/>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 </w:t>
      </w:r>
      <w:r w:rsidR="00D17DF2">
        <w:rPr>
          <w:rFonts w:ascii="Times New Roman" w:hAnsi="Times New Roman" w:cs="Times New Roman"/>
          <w:sz w:val="20"/>
          <w:szCs w:val="20"/>
        </w:rPr>
        <w:t xml:space="preserve">(word count </w:t>
      </w:r>
      <w:r w:rsidR="000644CB">
        <w:rPr>
          <w:rFonts w:ascii="Times New Roman" w:hAnsi="Times New Roman" w:cs="Times New Roman"/>
          <w:sz w:val="20"/>
          <w:szCs w:val="20"/>
        </w:rPr>
        <w:t>inc. footnotes: 5</w:t>
      </w:r>
      <w:r w:rsidR="00D17DF2" w:rsidRPr="00D17DF2">
        <w:rPr>
          <w:rFonts w:ascii="Times New Roman" w:hAnsi="Times New Roman" w:cs="Times New Roman"/>
          <w:sz w:val="20"/>
          <w:szCs w:val="20"/>
        </w:rPr>
        <w:t>,</w:t>
      </w:r>
      <w:r w:rsidR="000644CB">
        <w:rPr>
          <w:rFonts w:ascii="Times New Roman" w:hAnsi="Times New Roman" w:cs="Times New Roman"/>
          <w:sz w:val="20"/>
          <w:szCs w:val="20"/>
        </w:rPr>
        <w:t>303</w:t>
      </w:r>
      <w:r w:rsidR="00D17DF2" w:rsidRPr="00D17DF2">
        <w:rPr>
          <w:rFonts w:ascii="Times New Roman" w:hAnsi="Times New Roman" w:cs="Times New Roman"/>
          <w:sz w:val="20"/>
          <w:szCs w:val="20"/>
        </w:rPr>
        <w:t>)</w:t>
      </w:r>
    </w:p>
    <w:p w14:paraId="1346C940" w14:textId="77777777" w:rsidR="0011717F" w:rsidRPr="00D17DF2" w:rsidRDefault="0011717F" w:rsidP="000141C9">
      <w:pPr>
        <w:pBdr>
          <w:bottom w:val="single" w:sz="12" w:space="1" w:color="auto"/>
        </w:pBdr>
        <w:spacing w:line="360" w:lineRule="auto"/>
        <w:jc w:val="center"/>
        <w:rPr>
          <w:rFonts w:ascii="Times New Roman" w:hAnsi="Times New Roman" w:cs="Times New Roman"/>
          <w:sz w:val="20"/>
          <w:szCs w:val="20"/>
        </w:rPr>
      </w:pPr>
    </w:p>
    <w:p w14:paraId="1DA36109" w14:textId="77777777" w:rsidR="0011717F" w:rsidRDefault="0011717F" w:rsidP="000141C9">
      <w:pPr>
        <w:spacing w:line="360" w:lineRule="auto"/>
        <w:jc w:val="center"/>
        <w:rPr>
          <w:rFonts w:ascii="Times New Roman" w:hAnsi="Times New Roman" w:cs="Times New Roman"/>
          <w:b/>
          <w:sz w:val="28"/>
          <w:szCs w:val="28"/>
        </w:rPr>
      </w:pPr>
    </w:p>
    <w:p w14:paraId="1FCE665F" w14:textId="3BD17D05" w:rsidR="00D401C9" w:rsidRDefault="00484F6C" w:rsidP="000141C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Problems with </w:t>
      </w:r>
      <w:r w:rsidR="00F27943">
        <w:rPr>
          <w:rFonts w:ascii="Times New Roman" w:hAnsi="Times New Roman" w:cs="Times New Roman"/>
          <w:b/>
          <w:sz w:val="28"/>
          <w:szCs w:val="28"/>
        </w:rPr>
        <w:t>the</w:t>
      </w:r>
      <w:r w:rsidR="00D401C9" w:rsidRPr="008427F4">
        <w:rPr>
          <w:rFonts w:ascii="Times New Roman" w:hAnsi="Times New Roman" w:cs="Times New Roman"/>
          <w:b/>
          <w:sz w:val="28"/>
          <w:szCs w:val="28"/>
        </w:rPr>
        <w:t xml:space="preserve"> “manifestly without reasonable</w:t>
      </w:r>
      <w:r>
        <w:rPr>
          <w:rFonts w:ascii="Times New Roman" w:hAnsi="Times New Roman" w:cs="Times New Roman"/>
          <w:b/>
          <w:sz w:val="28"/>
          <w:szCs w:val="28"/>
        </w:rPr>
        <w:t xml:space="preserve"> foundation” test</w:t>
      </w:r>
    </w:p>
    <w:p w14:paraId="052A7D50" w14:textId="27ACDCC6" w:rsidR="007544B3" w:rsidRDefault="007544B3" w:rsidP="007544B3">
      <w:pPr>
        <w:shd w:val="clear" w:color="auto" w:fill="FFFFFF"/>
        <w:spacing w:after="0" w:line="240" w:lineRule="auto"/>
        <w:jc w:val="center"/>
        <w:rPr>
          <w:rFonts w:ascii="Times New Roman" w:eastAsia="Times New Roman" w:hAnsi="Times New Roman" w:cs="Times New Roman"/>
          <w:bCs/>
          <w:color w:val="212121"/>
          <w:sz w:val="24"/>
          <w:szCs w:val="24"/>
          <w:lang w:eastAsia="en-GB"/>
        </w:rPr>
      </w:pPr>
      <w:r>
        <w:rPr>
          <w:rFonts w:ascii="Times New Roman" w:eastAsia="Times New Roman" w:hAnsi="Times New Roman" w:cs="Times New Roman"/>
          <w:bCs/>
          <w:color w:val="212121"/>
          <w:sz w:val="24"/>
          <w:szCs w:val="24"/>
          <w:lang w:eastAsia="en-GB"/>
        </w:rPr>
        <w:t xml:space="preserve">Dr </w:t>
      </w:r>
      <w:r w:rsidRPr="007544B3">
        <w:rPr>
          <w:rFonts w:ascii="Times New Roman" w:eastAsia="Times New Roman" w:hAnsi="Times New Roman" w:cs="Times New Roman"/>
          <w:bCs/>
          <w:color w:val="212121"/>
          <w:sz w:val="24"/>
          <w:szCs w:val="24"/>
          <w:lang w:eastAsia="en-GB"/>
        </w:rPr>
        <w:t>Jed Meers</w:t>
      </w:r>
      <w:r w:rsidR="00405338">
        <w:rPr>
          <w:rStyle w:val="FootnoteReference"/>
          <w:rFonts w:ascii="Times New Roman" w:eastAsia="Times New Roman" w:hAnsi="Times New Roman" w:cs="Times New Roman"/>
          <w:bCs/>
          <w:color w:val="212121"/>
          <w:sz w:val="24"/>
          <w:szCs w:val="24"/>
          <w:lang w:eastAsia="en-GB"/>
        </w:rPr>
        <w:footnoteReference w:id="1"/>
      </w:r>
    </w:p>
    <w:p w14:paraId="36DD2B3B" w14:textId="77777777" w:rsidR="00BA0BB0" w:rsidRPr="00D924B1" w:rsidRDefault="00BA0BB0" w:rsidP="007544B3">
      <w:pPr>
        <w:shd w:val="clear" w:color="auto" w:fill="FFFFFF"/>
        <w:spacing w:after="0" w:line="240" w:lineRule="auto"/>
        <w:jc w:val="center"/>
        <w:rPr>
          <w:rFonts w:ascii="Times New Roman" w:eastAsia="Times New Roman" w:hAnsi="Times New Roman" w:cs="Times New Roman"/>
          <w:bCs/>
          <w:color w:val="212121"/>
          <w:sz w:val="20"/>
          <w:szCs w:val="20"/>
          <w:lang w:eastAsia="en-GB"/>
        </w:rPr>
      </w:pPr>
    </w:p>
    <w:p w14:paraId="14A83D1C" w14:textId="00B2EE4D" w:rsidR="00BA0BB0" w:rsidRPr="00BA0BB0" w:rsidRDefault="00BA0BB0" w:rsidP="007544B3">
      <w:pPr>
        <w:shd w:val="clear" w:color="auto" w:fill="FFFFFF"/>
        <w:spacing w:after="0" w:line="240" w:lineRule="auto"/>
        <w:jc w:val="center"/>
        <w:rPr>
          <w:rFonts w:ascii="Times New Roman" w:eastAsia="Times New Roman" w:hAnsi="Times New Roman" w:cs="Times New Roman"/>
          <w:bCs/>
          <w:color w:val="212121"/>
          <w:sz w:val="20"/>
          <w:szCs w:val="20"/>
          <w:lang w:eastAsia="en-GB"/>
        </w:rPr>
      </w:pPr>
      <w:r w:rsidRPr="00BA0BB0">
        <w:rPr>
          <w:rFonts w:ascii="Times New Roman" w:eastAsia="Times New Roman" w:hAnsi="Times New Roman" w:cs="Times New Roman"/>
          <w:bCs/>
          <w:color w:val="212121"/>
          <w:sz w:val="20"/>
          <w:szCs w:val="20"/>
          <w:lang w:eastAsia="en-GB"/>
        </w:rPr>
        <w:t>York Law School, University of York, UK</w:t>
      </w:r>
    </w:p>
    <w:p w14:paraId="68D17912" w14:textId="1FA48261" w:rsidR="00304CC7" w:rsidRPr="00FA2DA3" w:rsidRDefault="00304CC7" w:rsidP="00304CC7">
      <w:pPr>
        <w:shd w:val="clear" w:color="auto" w:fill="FFFFFF"/>
        <w:spacing w:after="0" w:line="240" w:lineRule="auto"/>
        <w:rPr>
          <w:rFonts w:ascii="Times New Roman" w:eastAsia="Times New Roman" w:hAnsi="Times New Roman" w:cs="Times New Roman"/>
          <w:b/>
          <w:bCs/>
          <w:color w:val="212121"/>
          <w:lang w:eastAsia="en-GB"/>
        </w:rPr>
      </w:pPr>
      <w:r w:rsidRPr="00FA2DA3">
        <w:rPr>
          <w:rFonts w:ascii="Times New Roman" w:eastAsia="Times New Roman" w:hAnsi="Times New Roman" w:cs="Times New Roman"/>
          <w:b/>
          <w:bCs/>
          <w:color w:val="212121"/>
          <w:lang w:eastAsia="en-GB"/>
        </w:rPr>
        <w:t>Abstract</w:t>
      </w:r>
    </w:p>
    <w:p w14:paraId="471E91CA" w14:textId="77777777" w:rsidR="0000255B" w:rsidRPr="00FA2DA3" w:rsidRDefault="0000255B" w:rsidP="00304CC7">
      <w:pPr>
        <w:shd w:val="clear" w:color="auto" w:fill="FFFFFF"/>
        <w:spacing w:after="0" w:line="240" w:lineRule="auto"/>
        <w:rPr>
          <w:rFonts w:ascii="Times New Roman" w:eastAsia="Times New Roman" w:hAnsi="Times New Roman" w:cs="Times New Roman"/>
          <w:color w:val="212121"/>
          <w:lang w:eastAsia="en-GB"/>
        </w:rPr>
      </w:pPr>
    </w:p>
    <w:p w14:paraId="6BC9343B" w14:textId="4382D263" w:rsidR="004373A8" w:rsidRPr="004373A8" w:rsidRDefault="0000255B" w:rsidP="00B64F4F">
      <w:pPr>
        <w:shd w:val="clear" w:color="auto" w:fill="FFFFFF"/>
        <w:spacing w:after="0" w:line="240" w:lineRule="auto"/>
        <w:jc w:val="both"/>
        <w:rPr>
          <w:rFonts w:ascii="Times New Roman" w:hAnsi="Times New Roman" w:cs="Times New Roman"/>
        </w:rPr>
      </w:pPr>
      <w:r w:rsidRPr="00FA2DA3">
        <w:rPr>
          <w:rFonts w:ascii="Times New Roman" w:eastAsia="Times New Roman" w:hAnsi="Times New Roman" w:cs="Times New Roman"/>
          <w:color w:val="212121"/>
          <w:lang w:eastAsia="en-GB"/>
        </w:rPr>
        <w:t xml:space="preserve">Examines, following the Supreme Court ruling in </w:t>
      </w:r>
      <w:r w:rsidR="00B64F4F" w:rsidRPr="00FA2DA3">
        <w:rPr>
          <w:rFonts w:ascii="Times New Roman" w:hAnsi="Times New Roman" w:cs="Times New Roman"/>
          <w:i/>
        </w:rPr>
        <w:t xml:space="preserve">R. (on the application of DA) v Secretary of State for Work and Pensions, </w:t>
      </w:r>
      <w:r w:rsidR="00B64F4F" w:rsidRPr="00FA2DA3">
        <w:rPr>
          <w:rFonts w:ascii="Times New Roman" w:hAnsi="Times New Roman" w:cs="Times New Roman"/>
        </w:rPr>
        <w:t>the use of the “manifestly without reasonable</w:t>
      </w:r>
      <w:r w:rsidR="001B6E7C">
        <w:rPr>
          <w:rFonts w:ascii="Times New Roman" w:hAnsi="Times New Roman" w:cs="Times New Roman"/>
        </w:rPr>
        <w:t xml:space="preserve"> foundation</w:t>
      </w:r>
      <w:r w:rsidR="00B64F4F" w:rsidRPr="00FA2DA3">
        <w:rPr>
          <w:rFonts w:ascii="Times New Roman" w:hAnsi="Times New Roman" w:cs="Times New Roman"/>
        </w:rPr>
        <w:t xml:space="preserve">” test in domestic judicial review challenges. </w:t>
      </w:r>
      <w:r w:rsidR="006B13ED">
        <w:rPr>
          <w:rFonts w:ascii="Times New Roman" w:hAnsi="Times New Roman" w:cs="Times New Roman"/>
        </w:rPr>
        <w:t xml:space="preserve">The application of this benchmark in a series of human rights based challenges to social welfare reforms – such as the high profile “bedroom tax” and “benefit cap” policies – has been pivotal to their outcome. </w:t>
      </w:r>
      <w:r w:rsidR="00551CFB">
        <w:rPr>
          <w:rFonts w:ascii="Times New Roman" w:hAnsi="Times New Roman" w:cs="Times New Roman"/>
        </w:rPr>
        <w:t>This paper a</w:t>
      </w:r>
      <w:r w:rsidR="00B64F4F" w:rsidRPr="00FA2DA3">
        <w:rPr>
          <w:rFonts w:ascii="Times New Roman" w:hAnsi="Times New Roman" w:cs="Times New Roman"/>
        </w:rPr>
        <w:t>rgues that the application of the</w:t>
      </w:r>
      <w:r w:rsidR="00504CE2">
        <w:rPr>
          <w:rFonts w:ascii="Times New Roman" w:hAnsi="Times New Roman" w:cs="Times New Roman"/>
        </w:rPr>
        <w:t xml:space="preserve"> test is problematic as</w:t>
      </w:r>
      <w:r w:rsidR="00B64F4F" w:rsidRPr="00FA2DA3">
        <w:rPr>
          <w:rFonts w:ascii="Times New Roman" w:hAnsi="Times New Roman" w:cs="Times New Roman"/>
        </w:rPr>
        <w:t xml:space="preserve"> it is a formulation derived from the margin of appreciation doctrine </w:t>
      </w:r>
      <w:r w:rsidR="00504CE2">
        <w:rPr>
          <w:rFonts w:ascii="Times New Roman" w:hAnsi="Times New Roman" w:cs="Times New Roman"/>
        </w:rPr>
        <w:t>and</w:t>
      </w:r>
      <w:r w:rsidR="00B64F4F" w:rsidRPr="00FA2DA3">
        <w:rPr>
          <w:rFonts w:ascii="Times New Roman" w:hAnsi="Times New Roman" w:cs="Times New Roman"/>
        </w:rPr>
        <w:t xml:space="preserve"> does not transpo</w:t>
      </w:r>
      <w:r w:rsidR="00684E7D" w:rsidRPr="00FA2DA3">
        <w:rPr>
          <w:rFonts w:ascii="Times New Roman" w:hAnsi="Times New Roman" w:cs="Times New Roman"/>
        </w:rPr>
        <w:t>se to domestic application. In</w:t>
      </w:r>
      <w:r w:rsidR="00B64F4F" w:rsidRPr="00FA2DA3">
        <w:rPr>
          <w:rFonts w:ascii="Times New Roman" w:hAnsi="Times New Roman" w:cs="Times New Roman"/>
        </w:rPr>
        <w:t xml:space="preserve"> the alternative –</w:t>
      </w:r>
      <w:r w:rsidR="00684E7D" w:rsidRPr="00FA2DA3">
        <w:rPr>
          <w:rFonts w:ascii="Times New Roman" w:hAnsi="Times New Roman" w:cs="Times New Roman"/>
        </w:rPr>
        <w:t xml:space="preserve"> even</w:t>
      </w:r>
      <w:r w:rsidR="00B64F4F" w:rsidRPr="00FA2DA3">
        <w:rPr>
          <w:rFonts w:ascii="Times New Roman" w:hAnsi="Times New Roman" w:cs="Times New Roman"/>
        </w:rPr>
        <w:t xml:space="preserve"> </w:t>
      </w:r>
      <w:r w:rsidR="00684E7D" w:rsidRPr="00FA2DA3">
        <w:rPr>
          <w:rFonts w:ascii="Times New Roman" w:hAnsi="Times New Roman" w:cs="Times New Roman"/>
        </w:rPr>
        <w:t xml:space="preserve">if it is the correct test to apply in some circumstances – it is to be applied far more flexibly than </w:t>
      </w:r>
      <w:r w:rsidR="00504CE2">
        <w:rPr>
          <w:rFonts w:ascii="Times New Roman" w:hAnsi="Times New Roman" w:cs="Times New Roman"/>
        </w:rPr>
        <w:t>currently</w:t>
      </w:r>
      <w:r w:rsidR="00684E7D" w:rsidRPr="00FA2DA3">
        <w:rPr>
          <w:rFonts w:ascii="Times New Roman" w:hAnsi="Times New Roman" w:cs="Times New Roman"/>
        </w:rPr>
        <w:t xml:space="preserve"> and that</w:t>
      </w:r>
      <w:r w:rsidR="00504CE2">
        <w:rPr>
          <w:rFonts w:ascii="Times New Roman" w:hAnsi="Times New Roman" w:cs="Times New Roman"/>
        </w:rPr>
        <w:t xml:space="preserve"> a</w:t>
      </w:r>
      <w:r w:rsidR="00684E7D" w:rsidRPr="00FA2DA3">
        <w:rPr>
          <w:rFonts w:ascii="Times New Roman" w:hAnsi="Times New Roman" w:cs="Times New Roman"/>
        </w:rPr>
        <w:t xml:space="preserve"> “very weighty reasons” benchmark applies for some classes of discrimination.</w:t>
      </w:r>
    </w:p>
    <w:p w14:paraId="74E85516" w14:textId="77777777" w:rsidR="00304CC7" w:rsidRPr="00FA2DA3" w:rsidRDefault="00304CC7" w:rsidP="00F1017E">
      <w:pPr>
        <w:shd w:val="clear" w:color="auto" w:fill="FFFFFF"/>
        <w:spacing w:after="0" w:line="240" w:lineRule="auto"/>
        <w:rPr>
          <w:rFonts w:ascii="Times New Roman" w:eastAsia="Times New Roman" w:hAnsi="Times New Roman" w:cs="Times New Roman"/>
          <w:b/>
          <w:bCs/>
          <w:color w:val="212121"/>
          <w:lang w:eastAsia="en-GB"/>
        </w:rPr>
      </w:pPr>
    </w:p>
    <w:p w14:paraId="101526E7" w14:textId="77777777" w:rsidR="00F1017E" w:rsidRPr="00F1017E" w:rsidRDefault="00F1017E" w:rsidP="00F1017E">
      <w:pPr>
        <w:shd w:val="clear" w:color="auto" w:fill="FFFFFF"/>
        <w:spacing w:after="0" w:line="240" w:lineRule="auto"/>
        <w:rPr>
          <w:rFonts w:ascii="Times New Roman" w:eastAsia="Times New Roman" w:hAnsi="Times New Roman" w:cs="Times New Roman"/>
          <w:color w:val="212121"/>
          <w:lang w:eastAsia="en-GB"/>
        </w:rPr>
      </w:pPr>
      <w:r w:rsidRPr="00F1017E">
        <w:rPr>
          <w:rFonts w:ascii="Times New Roman" w:eastAsia="Times New Roman" w:hAnsi="Times New Roman" w:cs="Times New Roman"/>
          <w:b/>
          <w:bCs/>
          <w:color w:val="212121"/>
          <w:lang w:eastAsia="en-GB"/>
        </w:rPr>
        <w:t>Subject</w:t>
      </w:r>
    </w:p>
    <w:p w14:paraId="168233C7" w14:textId="77777777" w:rsidR="00F1017E" w:rsidRPr="00FA2DA3" w:rsidRDefault="00F1017E" w:rsidP="00F1017E">
      <w:pPr>
        <w:shd w:val="clear" w:color="auto" w:fill="FFFFFF"/>
        <w:spacing w:after="0" w:line="240" w:lineRule="auto"/>
        <w:rPr>
          <w:rFonts w:ascii="Times New Roman" w:eastAsia="Times New Roman" w:hAnsi="Times New Roman" w:cs="Times New Roman"/>
          <w:color w:val="212121"/>
          <w:lang w:eastAsia="en-GB"/>
        </w:rPr>
      </w:pPr>
      <w:r w:rsidRPr="00FA2DA3">
        <w:rPr>
          <w:rFonts w:ascii="Times New Roman" w:eastAsia="Times New Roman" w:hAnsi="Times New Roman" w:cs="Times New Roman"/>
          <w:color w:val="212121"/>
          <w:lang w:eastAsia="en-GB"/>
        </w:rPr>
        <w:t xml:space="preserve">Human rights </w:t>
      </w:r>
    </w:p>
    <w:p w14:paraId="1C091430" w14:textId="77777777" w:rsidR="00F1017E" w:rsidRPr="00FA2DA3" w:rsidRDefault="00F1017E" w:rsidP="00F1017E">
      <w:pPr>
        <w:shd w:val="clear" w:color="auto" w:fill="FFFFFF"/>
        <w:spacing w:after="0" w:line="240" w:lineRule="auto"/>
        <w:rPr>
          <w:rFonts w:ascii="Times New Roman" w:eastAsia="Times New Roman" w:hAnsi="Times New Roman" w:cs="Times New Roman"/>
          <w:color w:val="212121"/>
          <w:lang w:eastAsia="en-GB"/>
        </w:rPr>
      </w:pPr>
    </w:p>
    <w:p w14:paraId="23584670" w14:textId="77777777" w:rsidR="00F1017E" w:rsidRPr="00F1017E" w:rsidRDefault="00F1017E" w:rsidP="00F1017E">
      <w:pPr>
        <w:shd w:val="clear" w:color="auto" w:fill="FFFFFF"/>
        <w:spacing w:after="0" w:line="240" w:lineRule="auto"/>
        <w:rPr>
          <w:rFonts w:ascii="Times New Roman" w:eastAsia="Times New Roman" w:hAnsi="Times New Roman" w:cs="Times New Roman"/>
          <w:color w:val="212121"/>
          <w:lang w:eastAsia="en-GB"/>
        </w:rPr>
      </w:pPr>
      <w:r w:rsidRPr="00F1017E">
        <w:rPr>
          <w:rFonts w:ascii="Times New Roman" w:eastAsia="Times New Roman" w:hAnsi="Times New Roman" w:cs="Times New Roman"/>
          <w:b/>
          <w:bCs/>
          <w:color w:val="212121"/>
          <w:lang w:eastAsia="en-GB"/>
        </w:rPr>
        <w:t>Other related subjects</w:t>
      </w:r>
    </w:p>
    <w:p w14:paraId="0C92F7BB" w14:textId="77777777" w:rsidR="00F1017E" w:rsidRPr="00FA2DA3" w:rsidRDefault="00F1017E" w:rsidP="00F1017E">
      <w:pPr>
        <w:shd w:val="clear" w:color="auto" w:fill="FFFFFF"/>
        <w:spacing w:after="0" w:line="240" w:lineRule="auto"/>
        <w:rPr>
          <w:rFonts w:ascii="Times New Roman" w:eastAsia="Times New Roman" w:hAnsi="Times New Roman" w:cs="Times New Roman"/>
          <w:color w:val="212121"/>
          <w:lang w:eastAsia="en-GB"/>
        </w:rPr>
      </w:pPr>
      <w:r w:rsidRPr="00FA2DA3">
        <w:rPr>
          <w:rFonts w:ascii="Times New Roman" w:eastAsia="Times New Roman" w:hAnsi="Times New Roman" w:cs="Times New Roman"/>
          <w:color w:val="212121"/>
          <w:lang w:eastAsia="en-GB"/>
        </w:rPr>
        <w:t>Social security, Proportionality, Judicial review</w:t>
      </w:r>
      <w:r w:rsidR="00374251" w:rsidRPr="00FA2DA3">
        <w:rPr>
          <w:rFonts w:ascii="Times New Roman" w:eastAsia="Times New Roman" w:hAnsi="Times New Roman" w:cs="Times New Roman"/>
          <w:color w:val="212121"/>
          <w:lang w:eastAsia="en-GB"/>
        </w:rPr>
        <w:t>, Discrimination</w:t>
      </w:r>
    </w:p>
    <w:p w14:paraId="7D366785" w14:textId="77777777" w:rsidR="00F1017E" w:rsidRPr="00FA2DA3" w:rsidRDefault="00F1017E" w:rsidP="00F1017E">
      <w:pPr>
        <w:shd w:val="clear" w:color="auto" w:fill="FFFFFF"/>
        <w:spacing w:after="0" w:line="240" w:lineRule="auto"/>
        <w:rPr>
          <w:rFonts w:ascii="Times New Roman" w:eastAsia="Times New Roman" w:hAnsi="Times New Roman" w:cs="Times New Roman"/>
          <w:color w:val="212121"/>
          <w:lang w:eastAsia="en-GB"/>
        </w:rPr>
      </w:pPr>
    </w:p>
    <w:p w14:paraId="2B2E4810" w14:textId="77777777" w:rsidR="00F1017E" w:rsidRPr="00F1017E" w:rsidRDefault="00F1017E" w:rsidP="00F1017E">
      <w:pPr>
        <w:shd w:val="clear" w:color="auto" w:fill="FFFFFF"/>
        <w:spacing w:after="0" w:line="240" w:lineRule="auto"/>
        <w:rPr>
          <w:rFonts w:ascii="Times New Roman" w:eastAsia="Times New Roman" w:hAnsi="Times New Roman" w:cs="Times New Roman"/>
          <w:color w:val="212121"/>
          <w:lang w:eastAsia="en-GB"/>
        </w:rPr>
      </w:pPr>
      <w:r w:rsidRPr="00F1017E">
        <w:rPr>
          <w:rFonts w:ascii="Times New Roman" w:eastAsia="Times New Roman" w:hAnsi="Times New Roman" w:cs="Times New Roman"/>
          <w:b/>
          <w:bCs/>
          <w:color w:val="212121"/>
          <w:lang w:eastAsia="en-GB"/>
        </w:rPr>
        <w:t>Keywords</w:t>
      </w:r>
    </w:p>
    <w:p w14:paraId="298F5346" w14:textId="77777777" w:rsidR="00F1017E" w:rsidRPr="00F1017E" w:rsidRDefault="00F92C75" w:rsidP="00F1017E">
      <w:pPr>
        <w:shd w:val="clear" w:color="auto" w:fill="FFFFFF"/>
        <w:spacing w:line="240" w:lineRule="auto"/>
        <w:rPr>
          <w:rFonts w:ascii="Times New Roman" w:eastAsia="Times New Roman" w:hAnsi="Times New Roman" w:cs="Times New Roman"/>
          <w:color w:val="212121"/>
          <w:lang w:eastAsia="en-GB"/>
        </w:rPr>
      </w:pPr>
      <w:r w:rsidRPr="00FA2DA3">
        <w:rPr>
          <w:rFonts w:ascii="Times New Roman" w:eastAsia="Times New Roman" w:hAnsi="Times New Roman" w:cs="Times New Roman"/>
          <w:color w:val="212121"/>
          <w:lang w:eastAsia="en-GB"/>
        </w:rPr>
        <w:t>Disability Discrimination</w:t>
      </w:r>
      <w:r w:rsidR="00F1017E" w:rsidRPr="00F1017E">
        <w:rPr>
          <w:rFonts w:ascii="Times New Roman" w:eastAsia="Times New Roman" w:hAnsi="Times New Roman" w:cs="Times New Roman"/>
          <w:color w:val="212121"/>
          <w:lang w:eastAsia="en-GB"/>
        </w:rPr>
        <w:t xml:space="preserve">; </w:t>
      </w:r>
      <w:r w:rsidR="00304CC7" w:rsidRPr="00FA2DA3">
        <w:rPr>
          <w:rFonts w:ascii="Times New Roman" w:eastAsia="Times New Roman" w:hAnsi="Times New Roman" w:cs="Times New Roman"/>
          <w:color w:val="212121"/>
          <w:lang w:eastAsia="en-GB"/>
        </w:rPr>
        <w:t>M</w:t>
      </w:r>
      <w:r w:rsidRPr="00FA2DA3">
        <w:rPr>
          <w:rFonts w:ascii="Times New Roman" w:eastAsia="Times New Roman" w:hAnsi="Times New Roman" w:cs="Times New Roman"/>
          <w:color w:val="212121"/>
          <w:lang w:eastAsia="en-GB"/>
        </w:rPr>
        <w:t>argin of appreciation;</w:t>
      </w:r>
      <w:r w:rsidR="00304CC7" w:rsidRPr="00FA2DA3">
        <w:rPr>
          <w:rFonts w:ascii="Times New Roman" w:eastAsia="Times New Roman" w:hAnsi="Times New Roman" w:cs="Times New Roman"/>
          <w:color w:val="212121"/>
          <w:lang w:eastAsia="en-GB"/>
        </w:rPr>
        <w:t xml:space="preserve"> Subsidarity;</w:t>
      </w:r>
      <w:r w:rsidR="00C50201" w:rsidRPr="00FA2DA3">
        <w:rPr>
          <w:rFonts w:ascii="Times New Roman" w:eastAsia="Times New Roman" w:hAnsi="Times New Roman" w:cs="Times New Roman"/>
          <w:color w:val="212121"/>
          <w:lang w:eastAsia="en-GB"/>
        </w:rPr>
        <w:t xml:space="preserve"> </w:t>
      </w:r>
      <w:r w:rsidR="00304CC7" w:rsidRPr="00FA2DA3">
        <w:rPr>
          <w:rFonts w:ascii="Times New Roman" w:eastAsia="Times New Roman" w:hAnsi="Times New Roman" w:cs="Times New Roman"/>
          <w:color w:val="212121"/>
          <w:lang w:eastAsia="en-GB"/>
        </w:rPr>
        <w:t>Benefit cap; Bedroom Tax.</w:t>
      </w:r>
    </w:p>
    <w:p w14:paraId="30B72406" w14:textId="77777777" w:rsidR="00596674" w:rsidRDefault="00596674" w:rsidP="000141C9">
      <w:pPr>
        <w:spacing w:line="360" w:lineRule="auto"/>
        <w:jc w:val="both"/>
        <w:rPr>
          <w:rFonts w:ascii="Times New Roman" w:hAnsi="Times New Roman" w:cs="Times New Roman"/>
          <w:sz w:val="24"/>
          <w:szCs w:val="24"/>
        </w:rPr>
      </w:pPr>
    </w:p>
    <w:p w14:paraId="44BBB7BC" w14:textId="1D54D228" w:rsidR="00604654" w:rsidRDefault="00604654"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Human rights based challenges to social welfare measures engage a jurisprudence of restraint. Faced with a claimant arguing a breach of their human rights – usually a discrimination based challenge under Article 14, taken with Article 8 (Right to Respect f</w:t>
      </w:r>
      <w:r w:rsidR="00CD4D09">
        <w:rPr>
          <w:rFonts w:ascii="Times New Roman" w:hAnsi="Times New Roman" w:cs="Times New Roman"/>
          <w:sz w:val="24"/>
          <w:szCs w:val="24"/>
        </w:rPr>
        <w:t>or the Family Life</w:t>
      </w:r>
      <w:r>
        <w:rPr>
          <w:rFonts w:ascii="Times New Roman" w:hAnsi="Times New Roman" w:cs="Times New Roman"/>
          <w:sz w:val="24"/>
          <w:szCs w:val="24"/>
        </w:rPr>
        <w:t xml:space="preserve">) or the first part of the first protocol (A1P1 – Right to Property) – and </w:t>
      </w:r>
      <w:r w:rsidR="002B0DAF">
        <w:rPr>
          <w:rFonts w:ascii="Times New Roman" w:hAnsi="Times New Roman" w:cs="Times New Roman"/>
          <w:sz w:val="24"/>
          <w:szCs w:val="24"/>
        </w:rPr>
        <w:t>the Government</w:t>
      </w:r>
      <w:r>
        <w:rPr>
          <w:rFonts w:ascii="Times New Roman" w:hAnsi="Times New Roman" w:cs="Times New Roman"/>
          <w:sz w:val="24"/>
          <w:szCs w:val="24"/>
        </w:rPr>
        <w:t xml:space="preserve"> arguing that the interference is </w:t>
      </w:r>
      <w:r w:rsidR="00816FFA">
        <w:rPr>
          <w:rFonts w:ascii="Times New Roman" w:hAnsi="Times New Roman" w:cs="Times New Roman"/>
          <w:sz w:val="24"/>
          <w:szCs w:val="24"/>
        </w:rPr>
        <w:t>lawful</w:t>
      </w:r>
      <w:r>
        <w:rPr>
          <w:rFonts w:ascii="Times New Roman" w:hAnsi="Times New Roman" w:cs="Times New Roman"/>
          <w:sz w:val="24"/>
          <w:szCs w:val="24"/>
        </w:rPr>
        <w:t>, the courts have wrestled continually with this fundamental question: how does a court assess whether the discrimination caused by a social welfare rule or policy is justified?</w:t>
      </w:r>
    </w:p>
    <w:p w14:paraId="269A2A8B" w14:textId="5F7E64F8" w:rsidR="00510DE4" w:rsidRDefault="00604654"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Lord Wilson’s lead judgment in </w:t>
      </w:r>
      <w:r w:rsidRPr="00ED3F64">
        <w:rPr>
          <w:rFonts w:ascii="Times New Roman" w:hAnsi="Times New Roman" w:cs="Times New Roman"/>
          <w:i/>
          <w:sz w:val="24"/>
          <w:szCs w:val="24"/>
        </w:rPr>
        <w:t>R. (on the application of DA) v Secretary of State for Work and Pensions</w:t>
      </w:r>
      <w:bookmarkStart w:id="1" w:name="_Ref16577610"/>
      <w:r>
        <w:rPr>
          <w:rStyle w:val="FootnoteReference"/>
          <w:rFonts w:ascii="Times New Roman" w:hAnsi="Times New Roman" w:cs="Times New Roman"/>
          <w:i/>
          <w:sz w:val="24"/>
          <w:szCs w:val="24"/>
        </w:rPr>
        <w:footnoteReference w:id="2"/>
      </w:r>
      <w:bookmarkEnd w:id="1"/>
      <w:r>
        <w:rPr>
          <w:rFonts w:ascii="Times New Roman" w:hAnsi="Times New Roman" w:cs="Times New Roman"/>
          <w:i/>
          <w:sz w:val="24"/>
          <w:szCs w:val="24"/>
        </w:rPr>
        <w:t xml:space="preserve"> </w:t>
      </w:r>
      <w:r>
        <w:rPr>
          <w:rFonts w:ascii="Times New Roman" w:hAnsi="Times New Roman" w:cs="Times New Roman"/>
          <w:sz w:val="24"/>
          <w:szCs w:val="24"/>
        </w:rPr>
        <w:t xml:space="preserve">sought to provide a definitive answer. In deciding that the benefit cap policy </w:t>
      </w:r>
      <w:r>
        <w:rPr>
          <w:rFonts w:ascii="Times New Roman" w:hAnsi="Times New Roman" w:cs="Times New Roman"/>
          <w:sz w:val="24"/>
          <w:szCs w:val="24"/>
        </w:rPr>
        <w:lastRenderedPageBreak/>
        <w:t>did not discriminate</w:t>
      </w:r>
      <w:r w:rsidR="00F71885">
        <w:rPr>
          <w:rFonts w:ascii="Times New Roman" w:hAnsi="Times New Roman" w:cs="Times New Roman"/>
          <w:sz w:val="24"/>
          <w:szCs w:val="24"/>
        </w:rPr>
        <w:t xml:space="preserve"> unlawfully</w:t>
      </w:r>
      <w:r>
        <w:rPr>
          <w:rFonts w:ascii="Times New Roman" w:hAnsi="Times New Roman" w:cs="Times New Roman"/>
          <w:sz w:val="24"/>
          <w:szCs w:val="24"/>
        </w:rPr>
        <w:t xml:space="preserve"> against lone parents and their children contrary to Article 14 ECHR (taken with Article 8), the majority concluded that E</w:t>
      </w:r>
      <w:r w:rsidR="001D6075">
        <w:rPr>
          <w:rFonts w:ascii="Times New Roman" w:hAnsi="Times New Roman" w:cs="Times New Roman"/>
          <w:sz w:val="24"/>
          <w:szCs w:val="24"/>
        </w:rPr>
        <w:t>uropean Court of Human Rights (ECtHR)</w:t>
      </w:r>
      <w:r>
        <w:rPr>
          <w:rFonts w:ascii="Times New Roman" w:hAnsi="Times New Roman" w:cs="Times New Roman"/>
          <w:sz w:val="24"/>
          <w:szCs w:val="24"/>
        </w:rPr>
        <w:t xml:space="preserve"> derived authority “</w:t>
      </w:r>
      <w:r w:rsidRPr="00D82F2E">
        <w:rPr>
          <w:rFonts w:ascii="Times New Roman" w:hAnsi="Times New Roman" w:cs="Times New Roman"/>
          <w:sz w:val="24"/>
          <w:szCs w:val="24"/>
        </w:rPr>
        <w:t xml:space="preserve">mandates inquiry into the justification of the adverse effects of rules for entitlement to welfare benefits by reference to whether they are </w:t>
      </w:r>
      <w:r w:rsidRPr="00C450F0">
        <w:rPr>
          <w:rFonts w:ascii="Times New Roman" w:hAnsi="Times New Roman" w:cs="Times New Roman"/>
          <w:i/>
          <w:sz w:val="24"/>
          <w:szCs w:val="24"/>
        </w:rPr>
        <w:t>manifestly without reasonable foundation</w:t>
      </w:r>
      <w:r>
        <w:rPr>
          <w:rFonts w:ascii="Times New Roman" w:hAnsi="Times New Roman" w:cs="Times New Roman"/>
          <w:sz w:val="24"/>
          <w:szCs w:val="24"/>
        </w:rPr>
        <w:t>”</w:t>
      </w:r>
      <w:r w:rsidR="000F1A1C">
        <w:rPr>
          <w:rFonts w:ascii="Times New Roman" w:hAnsi="Times New Roman" w:cs="Times New Roman"/>
          <w:sz w:val="24"/>
          <w:szCs w:val="24"/>
        </w:rPr>
        <w:t xml:space="preserve"> (MWRF)</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Lord Wilson declared, perhaps optimistically, “l</w:t>
      </w:r>
      <w:r w:rsidRPr="00D82F2E">
        <w:rPr>
          <w:rFonts w:ascii="Times New Roman" w:hAnsi="Times New Roman" w:cs="Times New Roman"/>
          <w:sz w:val="24"/>
          <w:szCs w:val="24"/>
        </w:rPr>
        <w:t>et there be no future doubt about it</w:t>
      </w:r>
      <w:r>
        <w:rPr>
          <w:rFonts w:ascii="Times New Roman" w:hAnsi="Times New Roman" w:cs="Times New Roman"/>
          <w:sz w:val="24"/>
          <w:szCs w:val="24"/>
        </w:rPr>
        <w:t>”</w:t>
      </w:r>
      <w:r w:rsidRPr="00D82F2E">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p>
    <w:p w14:paraId="035EE1F4" w14:textId="5509DD9F" w:rsidR="008A7DD6" w:rsidRDefault="00C450F0"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This paper argues for continued doubt over the</w:t>
      </w:r>
      <w:r w:rsidR="005B1211">
        <w:rPr>
          <w:rFonts w:ascii="Times New Roman" w:hAnsi="Times New Roman" w:cs="Times New Roman"/>
          <w:sz w:val="24"/>
          <w:szCs w:val="24"/>
        </w:rPr>
        <w:t xml:space="preserve"> application of this</w:t>
      </w:r>
      <w:r>
        <w:rPr>
          <w:rFonts w:ascii="Times New Roman" w:hAnsi="Times New Roman" w:cs="Times New Roman"/>
          <w:sz w:val="24"/>
          <w:szCs w:val="24"/>
        </w:rPr>
        <w:t xml:space="preserve"> </w:t>
      </w:r>
      <w:r w:rsidR="00C15866">
        <w:rPr>
          <w:rFonts w:ascii="Times New Roman" w:hAnsi="Times New Roman" w:cs="Times New Roman"/>
          <w:sz w:val="24"/>
          <w:szCs w:val="24"/>
        </w:rPr>
        <w:t>MWRF</w:t>
      </w:r>
      <w:r>
        <w:rPr>
          <w:rFonts w:ascii="Times New Roman" w:hAnsi="Times New Roman" w:cs="Times New Roman"/>
          <w:sz w:val="24"/>
          <w:szCs w:val="24"/>
        </w:rPr>
        <w:t xml:space="preserve"> bar</w:t>
      </w:r>
      <w:r w:rsidR="00BC3C3A">
        <w:rPr>
          <w:rFonts w:ascii="Times New Roman" w:hAnsi="Times New Roman" w:cs="Times New Roman"/>
          <w:sz w:val="24"/>
          <w:szCs w:val="24"/>
        </w:rPr>
        <w:t xml:space="preserve"> and lends support to Lord Kerr’s dissenting judgment</w:t>
      </w:r>
      <w:r w:rsidR="00995BF1">
        <w:rPr>
          <w:rFonts w:ascii="Times New Roman" w:hAnsi="Times New Roman" w:cs="Times New Roman"/>
          <w:sz w:val="24"/>
          <w:szCs w:val="24"/>
        </w:rPr>
        <w:t xml:space="preserve"> in </w:t>
      </w:r>
      <w:r w:rsidR="00995BF1">
        <w:rPr>
          <w:rFonts w:ascii="Times New Roman" w:hAnsi="Times New Roman" w:cs="Times New Roman"/>
          <w:i/>
          <w:sz w:val="24"/>
          <w:szCs w:val="24"/>
        </w:rPr>
        <w:t>DA</w:t>
      </w:r>
      <w:r>
        <w:rPr>
          <w:rFonts w:ascii="Times New Roman" w:hAnsi="Times New Roman" w:cs="Times New Roman"/>
          <w:sz w:val="24"/>
          <w:szCs w:val="24"/>
        </w:rPr>
        <w:t>.</w:t>
      </w:r>
      <w:r w:rsidR="000F5DFA">
        <w:rPr>
          <w:rFonts w:ascii="Times New Roman" w:hAnsi="Times New Roman" w:cs="Times New Roman"/>
          <w:sz w:val="24"/>
          <w:szCs w:val="24"/>
        </w:rPr>
        <w:t xml:space="preserve"> </w:t>
      </w:r>
      <w:r w:rsidR="00A15ADF">
        <w:rPr>
          <w:rFonts w:ascii="Times New Roman" w:hAnsi="Times New Roman" w:cs="Times New Roman"/>
          <w:sz w:val="24"/>
          <w:szCs w:val="24"/>
        </w:rPr>
        <w:t>First and most fundamentally</w:t>
      </w:r>
      <w:r w:rsidR="00BC3C3A">
        <w:rPr>
          <w:rFonts w:ascii="Times New Roman" w:hAnsi="Times New Roman" w:cs="Times New Roman"/>
          <w:sz w:val="24"/>
          <w:szCs w:val="24"/>
        </w:rPr>
        <w:t>, the formulation is derived from the ECtHR’s margin of appreciation doctrine and does not transpose</w:t>
      </w:r>
      <w:r w:rsidR="00333327">
        <w:rPr>
          <w:rFonts w:ascii="Times New Roman" w:hAnsi="Times New Roman" w:cs="Times New Roman"/>
          <w:sz w:val="24"/>
          <w:szCs w:val="24"/>
        </w:rPr>
        <w:t xml:space="preserve"> easily</w:t>
      </w:r>
      <w:r w:rsidR="00BC3C3A">
        <w:rPr>
          <w:rFonts w:ascii="Times New Roman" w:hAnsi="Times New Roman" w:cs="Times New Roman"/>
          <w:sz w:val="24"/>
          <w:szCs w:val="24"/>
        </w:rPr>
        <w:t xml:space="preserve"> to use in the domestic courts. Second, </w:t>
      </w:r>
      <w:r w:rsidR="00A15ADF">
        <w:rPr>
          <w:rFonts w:ascii="Times New Roman" w:hAnsi="Times New Roman" w:cs="Times New Roman"/>
          <w:sz w:val="24"/>
          <w:szCs w:val="24"/>
        </w:rPr>
        <w:t>even if t</w:t>
      </w:r>
      <w:r w:rsidR="005602CA">
        <w:rPr>
          <w:rFonts w:ascii="Times New Roman" w:hAnsi="Times New Roman" w:cs="Times New Roman"/>
          <w:sz w:val="24"/>
          <w:szCs w:val="24"/>
        </w:rPr>
        <w:t>he MWRF test is the correct one</w:t>
      </w:r>
      <w:r w:rsidR="00A15ADF">
        <w:rPr>
          <w:rFonts w:ascii="Times New Roman" w:hAnsi="Times New Roman" w:cs="Times New Roman"/>
          <w:sz w:val="24"/>
          <w:szCs w:val="24"/>
        </w:rPr>
        <w:t xml:space="preserve"> to employ</w:t>
      </w:r>
      <w:r w:rsidR="00920E69">
        <w:rPr>
          <w:rFonts w:ascii="Times New Roman" w:hAnsi="Times New Roman" w:cs="Times New Roman"/>
          <w:sz w:val="24"/>
          <w:szCs w:val="24"/>
        </w:rPr>
        <w:t xml:space="preserve"> in some circumstances</w:t>
      </w:r>
      <w:r w:rsidR="00A15ADF">
        <w:rPr>
          <w:rFonts w:ascii="Times New Roman" w:hAnsi="Times New Roman" w:cs="Times New Roman"/>
          <w:sz w:val="24"/>
          <w:szCs w:val="24"/>
        </w:rPr>
        <w:t>, its relevance and function differs depending on the c</w:t>
      </w:r>
      <w:r w:rsidR="00920E69">
        <w:rPr>
          <w:rFonts w:ascii="Times New Roman" w:hAnsi="Times New Roman" w:cs="Times New Roman"/>
          <w:sz w:val="24"/>
          <w:szCs w:val="24"/>
        </w:rPr>
        <w:t>ontext</w:t>
      </w:r>
      <w:r w:rsidR="00A15ADF">
        <w:rPr>
          <w:rFonts w:ascii="Times New Roman" w:hAnsi="Times New Roman" w:cs="Times New Roman"/>
          <w:sz w:val="24"/>
          <w:szCs w:val="24"/>
        </w:rPr>
        <w:t xml:space="preserve"> of the case; particularly when dealing with discrimination on the grounds of gender and/or disability</w:t>
      </w:r>
      <w:r w:rsidR="00013D9D">
        <w:rPr>
          <w:rFonts w:ascii="Times New Roman" w:hAnsi="Times New Roman" w:cs="Times New Roman"/>
          <w:sz w:val="24"/>
          <w:szCs w:val="24"/>
        </w:rPr>
        <w:t xml:space="preserve"> where “weighty reasons” for discrimination </w:t>
      </w:r>
      <w:r w:rsidR="00365F4A">
        <w:rPr>
          <w:rFonts w:ascii="Times New Roman" w:hAnsi="Times New Roman" w:cs="Times New Roman"/>
          <w:sz w:val="24"/>
          <w:szCs w:val="24"/>
        </w:rPr>
        <w:t>are</w:t>
      </w:r>
      <w:r w:rsidR="00013D9D">
        <w:rPr>
          <w:rFonts w:ascii="Times New Roman" w:hAnsi="Times New Roman" w:cs="Times New Roman"/>
          <w:sz w:val="24"/>
          <w:szCs w:val="24"/>
        </w:rPr>
        <w:t xml:space="preserve"> required</w:t>
      </w:r>
      <w:r w:rsidR="00A15ADF">
        <w:rPr>
          <w:rFonts w:ascii="Times New Roman" w:hAnsi="Times New Roman" w:cs="Times New Roman"/>
          <w:sz w:val="24"/>
          <w:szCs w:val="24"/>
        </w:rPr>
        <w:t>. Thi</w:t>
      </w:r>
      <w:r w:rsidR="00E8596D">
        <w:rPr>
          <w:rFonts w:ascii="Times New Roman" w:hAnsi="Times New Roman" w:cs="Times New Roman"/>
          <w:sz w:val="24"/>
          <w:szCs w:val="24"/>
        </w:rPr>
        <w:t xml:space="preserve">rd, </w:t>
      </w:r>
      <w:r w:rsidR="0005442D">
        <w:rPr>
          <w:rFonts w:ascii="Times New Roman" w:hAnsi="Times New Roman" w:cs="Times New Roman"/>
          <w:sz w:val="24"/>
          <w:szCs w:val="24"/>
        </w:rPr>
        <w:t xml:space="preserve">even </w:t>
      </w:r>
      <w:r w:rsidR="00566C09">
        <w:rPr>
          <w:rFonts w:ascii="Times New Roman" w:hAnsi="Times New Roman" w:cs="Times New Roman"/>
          <w:sz w:val="24"/>
          <w:szCs w:val="24"/>
        </w:rPr>
        <w:t xml:space="preserve">if these first two arguments fail, </w:t>
      </w:r>
      <w:r w:rsidR="00E8596D">
        <w:rPr>
          <w:rFonts w:ascii="Times New Roman" w:hAnsi="Times New Roman" w:cs="Times New Roman"/>
          <w:sz w:val="24"/>
          <w:szCs w:val="24"/>
        </w:rPr>
        <w:t>the reality of the MWRF test</w:t>
      </w:r>
      <w:r w:rsidR="00920E69">
        <w:rPr>
          <w:rFonts w:ascii="Times New Roman" w:hAnsi="Times New Roman" w:cs="Times New Roman"/>
          <w:sz w:val="24"/>
          <w:szCs w:val="24"/>
        </w:rPr>
        <w:t xml:space="preserve"> is not as high a bar as is often impl</w:t>
      </w:r>
      <w:r w:rsidR="00AF3D33">
        <w:rPr>
          <w:rFonts w:ascii="Times New Roman" w:hAnsi="Times New Roman" w:cs="Times New Roman"/>
          <w:sz w:val="24"/>
          <w:szCs w:val="24"/>
        </w:rPr>
        <w:t>ied in judicial reviews against social welfare policies</w:t>
      </w:r>
      <w:r w:rsidR="00A15ADF">
        <w:rPr>
          <w:rFonts w:ascii="Times New Roman" w:hAnsi="Times New Roman" w:cs="Times New Roman"/>
          <w:sz w:val="24"/>
          <w:szCs w:val="24"/>
        </w:rPr>
        <w:t xml:space="preserve">. </w:t>
      </w:r>
      <w:r w:rsidR="00365F4A">
        <w:rPr>
          <w:rFonts w:ascii="Times New Roman" w:hAnsi="Times New Roman" w:cs="Times New Roman"/>
          <w:sz w:val="24"/>
          <w:szCs w:val="24"/>
        </w:rPr>
        <w:t>The application of a</w:t>
      </w:r>
      <w:r w:rsidR="00E8596D">
        <w:rPr>
          <w:rFonts w:ascii="Times New Roman" w:hAnsi="Times New Roman" w:cs="Times New Roman"/>
          <w:sz w:val="24"/>
          <w:szCs w:val="24"/>
        </w:rPr>
        <w:t xml:space="preserve"> margin</w:t>
      </w:r>
      <w:r w:rsidR="00365F4A">
        <w:rPr>
          <w:rFonts w:ascii="Times New Roman" w:hAnsi="Times New Roman" w:cs="Times New Roman"/>
          <w:sz w:val="24"/>
          <w:szCs w:val="24"/>
        </w:rPr>
        <w:t xml:space="preserve"> of review</w:t>
      </w:r>
      <w:r w:rsidR="00E8596D">
        <w:rPr>
          <w:rFonts w:ascii="Times New Roman" w:hAnsi="Times New Roman" w:cs="Times New Roman"/>
          <w:sz w:val="24"/>
          <w:szCs w:val="24"/>
        </w:rPr>
        <w:t xml:space="preserve"> is a relevant factor among all other relevant factors to be considered as part of a </w:t>
      </w:r>
      <w:r w:rsidR="00A15ADF">
        <w:rPr>
          <w:rFonts w:ascii="Times New Roman" w:hAnsi="Times New Roman" w:cs="Times New Roman"/>
          <w:sz w:val="24"/>
          <w:szCs w:val="24"/>
        </w:rPr>
        <w:t>stringent proportionality assessment</w:t>
      </w:r>
      <w:r w:rsidR="00E8596D">
        <w:rPr>
          <w:rFonts w:ascii="Times New Roman" w:hAnsi="Times New Roman" w:cs="Times New Roman"/>
          <w:sz w:val="24"/>
          <w:szCs w:val="24"/>
        </w:rPr>
        <w:t xml:space="preserve">. </w:t>
      </w:r>
      <w:r w:rsidR="00A15ADF">
        <w:rPr>
          <w:rFonts w:ascii="Times New Roman" w:hAnsi="Times New Roman" w:cs="Times New Roman"/>
          <w:sz w:val="24"/>
          <w:szCs w:val="24"/>
        </w:rPr>
        <w:t xml:space="preserve"> </w:t>
      </w:r>
      <w:r w:rsidR="00E8596D">
        <w:rPr>
          <w:rFonts w:ascii="Times New Roman" w:hAnsi="Times New Roman" w:cs="Times New Roman"/>
          <w:sz w:val="24"/>
          <w:szCs w:val="24"/>
        </w:rPr>
        <w:t>Its application</w:t>
      </w:r>
      <w:r w:rsidR="005B1211">
        <w:rPr>
          <w:rFonts w:ascii="Times New Roman" w:hAnsi="Times New Roman" w:cs="Times New Roman"/>
          <w:sz w:val="24"/>
          <w:szCs w:val="24"/>
        </w:rPr>
        <w:t xml:space="preserve"> should not supplant the application of a proper prop</w:t>
      </w:r>
      <w:r w:rsidR="004566CB">
        <w:rPr>
          <w:rFonts w:ascii="Times New Roman" w:hAnsi="Times New Roman" w:cs="Times New Roman"/>
          <w:sz w:val="24"/>
          <w:szCs w:val="24"/>
        </w:rPr>
        <w:t>ortionality analysis by the Court.</w:t>
      </w:r>
      <w:r w:rsidR="0034312E">
        <w:rPr>
          <w:rFonts w:ascii="Times New Roman" w:hAnsi="Times New Roman" w:cs="Times New Roman"/>
          <w:sz w:val="24"/>
          <w:szCs w:val="24"/>
        </w:rPr>
        <w:t xml:space="preserve"> </w:t>
      </w:r>
      <w:r w:rsidR="001F3C7C">
        <w:rPr>
          <w:rFonts w:ascii="Times New Roman" w:hAnsi="Times New Roman" w:cs="Times New Roman"/>
          <w:sz w:val="24"/>
          <w:szCs w:val="24"/>
        </w:rPr>
        <w:t xml:space="preserve">After a </w:t>
      </w:r>
      <w:r w:rsidR="001F3C7C">
        <w:rPr>
          <w:rFonts w:ascii="Times New Roman" w:hAnsi="Times New Roman" w:cs="Times New Roman"/>
          <w:i/>
          <w:sz w:val="24"/>
          <w:szCs w:val="24"/>
        </w:rPr>
        <w:t>precis</w:t>
      </w:r>
      <w:r w:rsidR="001F3C7C">
        <w:rPr>
          <w:rFonts w:ascii="Times New Roman" w:hAnsi="Times New Roman" w:cs="Times New Roman"/>
          <w:sz w:val="24"/>
          <w:szCs w:val="24"/>
        </w:rPr>
        <w:t xml:space="preserve"> of the test, each of these arguments wi</w:t>
      </w:r>
      <w:r w:rsidR="0034312E">
        <w:rPr>
          <w:rFonts w:ascii="Times New Roman" w:hAnsi="Times New Roman" w:cs="Times New Roman"/>
          <w:sz w:val="24"/>
          <w:szCs w:val="24"/>
        </w:rPr>
        <w:t>ll be dealt with in turn.</w:t>
      </w:r>
    </w:p>
    <w:p w14:paraId="5107F2E5" w14:textId="10419673" w:rsidR="00E67E0B" w:rsidRDefault="001B72C3"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This detailed </w:t>
      </w:r>
      <w:r w:rsidR="00756804">
        <w:rPr>
          <w:rFonts w:ascii="Times New Roman" w:hAnsi="Times New Roman" w:cs="Times New Roman"/>
          <w:sz w:val="24"/>
          <w:szCs w:val="24"/>
        </w:rPr>
        <w:t>critique</w:t>
      </w:r>
      <w:r>
        <w:rPr>
          <w:rFonts w:ascii="Times New Roman" w:hAnsi="Times New Roman" w:cs="Times New Roman"/>
          <w:sz w:val="24"/>
          <w:szCs w:val="24"/>
        </w:rPr>
        <w:t xml:space="preserve"> of the applicability of the MWRF benchmark is animated by an overarching</w:t>
      </w:r>
      <w:r w:rsidR="00A4311F">
        <w:rPr>
          <w:rFonts w:ascii="Times New Roman" w:hAnsi="Times New Roman" w:cs="Times New Roman"/>
          <w:sz w:val="24"/>
          <w:szCs w:val="24"/>
        </w:rPr>
        <w:t xml:space="preserve"> concern that d</w:t>
      </w:r>
      <w:r>
        <w:rPr>
          <w:rFonts w:ascii="Times New Roman" w:hAnsi="Times New Roman" w:cs="Times New Roman"/>
          <w:sz w:val="24"/>
          <w:szCs w:val="24"/>
        </w:rPr>
        <w:t xml:space="preserve">omestic courts have been too willing to supplant a proper proportionality analysis with one overarching question: </w:t>
      </w:r>
      <w:r>
        <w:rPr>
          <w:rFonts w:ascii="Times New Roman" w:hAnsi="Times New Roman" w:cs="Times New Roman"/>
          <w:color w:val="000000"/>
          <w:sz w:val="24"/>
          <w:szCs w:val="24"/>
          <w:shd w:val="clear" w:color="auto" w:fill="FFFFFF"/>
        </w:rPr>
        <w:t xml:space="preserve">is the measure manifestly without reasonable foundation? </w:t>
      </w:r>
      <w:r w:rsidR="00BC5D18">
        <w:rPr>
          <w:rFonts w:ascii="Times New Roman" w:hAnsi="Times New Roman" w:cs="Times New Roman"/>
          <w:color w:val="000000"/>
          <w:sz w:val="24"/>
          <w:szCs w:val="24"/>
          <w:shd w:val="clear" w:color="auto" w:fill="FFFFFF"/>
        </w:rPr>
        <w:t xml:space="preserve">This evades any meaningful assessment by the court and </w:t>
      </w:r>
      <w:r>
        <w:rPr>
          <w:rFonts w:ascii="Times New Roman" w:hAnsi="Times New Roman" w:cs="Times New Roman"/>
          <w:color w:val="000000"/>
          <w:sz w:val="24"/>
          <w:szCs w:val="24"/>
          <w:shd w:val="clear" w:color="auto" w:fill="FFFFFF"/>
        </w:rPr>
        <w:t xml:space="preserve">sets an artificially high bar </w:t>
      </w:r>
      <w:r w:rsidR="00AC5B9D">
        <w:rPr>
          <w:rFonts w:ascii="Times New Roman" w:hAnsi="Times New Roman" w:cs="Times New Roman"/>
          <w:color w:val="000000"/>
          <w:sz w:val="24"/>
          <w:szCs w:val="24"/>
          <w:shd w:val="clear" w:color="auto" w:fill="FFFFFF"/>
        </w:rPr>
        <w:t>for</w:t>
      </w:r>
      <w:r>
        <w:rPr>
          <w:rFonts w:ascii="Times New Roman" w:hAnsi="Times New Roman" w:cs="Times New Roman"/>
          <w:color w:val="000000"/>
          <w:sz w:val="24"/>
          <w:szCs w:val="24"/>
          <w:shd w:val="clear" w:color="auto" w:fill="FFFFFF"/>
        </w:rPr>
        <w:t xml:space="preserve"> those seeking to challenge social welfare policies</w:t>
      </w:r>
      <w:r w:rsidR="00381958">
        <w:rPr>
          <w:rFonts w:ascii="Times New Roman" w:hAnsi="Times New Roman" w:cs="Times New Roman"/>
          <w:color w:val="000000"/>
          <w:sz w:val="24"/>
          <w:szCs w:val="24"/>
          <w:shd w:val="clear" w:color="auto" w:fill="FFFFFF"/>
        </w:rPr>
        <w:t>. If the MWRF standard persists, t</w:t>
      </w:r>
      <w:r w:rsidR="00E21E94">
        <w:rPr>
          <w:rFonts w:ascii="Times New Roman" w:hAnsi="Times New Roman" w:cs="Times New Roman"/>
          <w:color w:val="000000"/>
          <w:sz w:val="24"/>
          <w:szCs w:val="24"/>
          <w:shd w:val="clear" w:color="auto" w:fill="FFFFFF"/>
        </w:rPr>
        <w:t>hese claimants will be denied</w:t>
      </w:r>
      <w:r>
        <w:rPr>
          <w:rFonts w:ascii="Times New Roman" w:hAnsi="Times New Roman" w:cs="Times New Roman"/>
          <w:color w:val="000000"/>
          <w:sz w:val="24"/>
          <w:szCs w:val="24"/>
          <w:shd w:val="clear" w:color="auto" w:fill="FFFFFF"/>
        </w:rPr>
        <w:t xml:space="preserve"> the adequate protection of their human rights that the ECHR requires.</w:t>
      </w:r>
    </w:p>
    <w:p w14:paraId="3F35756C" w14:textId="77777777" w:rsidR="00E67E0B" w:rsidRDefault="00E67E0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6A0EFDBE" w14:textId="77777777" w:rsidR="00260C1D" w:rsidRDefault="00260C1D" w:rsidP="000141C9">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The MWRF test and the proportionality assessment</w:t>
      </w:r>
    </w:p>
    <w:p w14:paraId="5C295363" w14:textId="6D8E79D2" w:rsidR="00816FFA" w:rsidRDefault="00816FFA"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Case law on the margin of appreciation afforded by the </w:t>
      </w:r>
      <w:r w:rsidR="001D6075">
        <w:rPr>
          <w:rFonts w:ascii="Times New Roman" w:hAnsi="Times New Roman" w:cs="Times New Roman"/>
          <w:sz w:val="24"/>
          <w:szCs w:val="24"/>
        </w:rPr>
        <w:t>ECtHR</w:t>
      </w:r>
      <w:r>
        <w:rPr>
          <w:rFonts w:ascii="Times New Roman" w:hAnsi="Times New Roman" w:cs="Times New Roman"/>
          <w:sz w:val="24"/>
          <w:szCs w:val="24"/>
        </w:rPr>
        <w:t xml:space="preserve"> to member states suffers from a reputation problem. As it “bursts in regional human rights cases in an asymmetric and heterogeneous way”,</w:t>
      </w:r>
      <w:r w:rsidRPr="007C23F2">
        <w:rPr>
          <w:rStyle w:val="FootnoteReference"/>
          <w:rFonts w:ascii="Times New Roman" w:hAnsi="Times New Roman" w:cs="Times New Roman"/>
          <w:sz w:val="24"/>
          <w:szCs w:val="24"/>
        </w:rPr>
        <w:t xml:space="preserve"> </w:t>
      </w:r>
      <w:bookmarkStart w:id="2" w:name="_Ref16578057"/>
      <w:r>
        <w:rPr>
          <w:rStyle w:val="FootnoteReference"/>
          <w:rFonts w:ascii="Times New Roman" w:hAnsi="Times New Roman" w:cs="Times New Roman"/>
          <w:sz w:val="24"/>
          <w:szCs w:val="24"/>
        </w:rPr>
        <w:footnoteReference w:id="5"/>
      </w:r>
      <w:bookmarkEnd w:id="2"/>
      <w:r>
        <w:rPr>
          <w:rFonts w:ascii="Times New Roman" w:hAnsi="Times New Roman" w:cs="Times New Roman"/>
          <w:sz w:val="24"/>
          <w:szCs w:val="24"/>
        </w:rPr>
        <w:t xml:space="preserve"> the doctrine has faced criticism for its “</w:t>
      </w:r>
      <w:r w:rsidRPr="00FD7456">
        <w:rPr>
          <w:rFonts w:ascii="Times New Roman" w:hAnsi="Times New Roman" w:cs="Times New Roman"/>
          <w:sz w:val="24"/>
          <w:szCs w:val="24"/>
        </w:rPr>
        <w:t>casuistic</w:t>
      </w:r>
      <w:r>
        <w:rPr>
          <w:rFonts w:ascii="Times New Roman" w:hAnsi="Times New Roman" w:cs="Times New Roman"/>
          <w:sz w:val="24"/>
          <w:szCs w:val="24"/>
        </w:rPr>
        <w:t>, uneven, and largely unpredictable nature.”</w:t>
      </w:r>
      <w:bookmarkStart w:id="3" w:name="_Ref16577114"/>
      <w:r>
        <w:rPr>
          <w:rStyle w:val="FootnoteReference"/>
          <w:rFonts w:ascii="Times New Roman" w:hAnsi="Times New Roman" w:cs="Times New Roman"/>
          <w:sz w:val="24"/>
          <w:szCs w:val="24"/>
        </w:rPr>
        <w:footnoteReference w:id="6"/>
      </w:r>
      <w:bookmarkEnd w:id="3"/>
      <w:r>
        <w:rPr>
          <w:rFonts w:ascii="Times New Roman" w:hAnsi="Times New Roman" w:cs="Times New Roman"/>
          <w:sz w:val="24"/>
          <w:szCs w:val="24"/>
        </w:rPr>
        <w:t xml:space="preserve"> As scholars and lawyers work towards greater coherence and consistency in its application, a key formulation that derives from this vertical relationship of subsidiarity between the state and the international court – the </w:t>
      </w:r>
      <w:r w:rsidR="00F21561">
        <w:rPr>
          <w:rFonts w:ascii="Times New Roman" w:hAnsi="Times New Roman" w:cs="Times New Roman"/>
          <w:sz w:val="24"/>
          <w:szCs w:val="24"/>
        </w:rPr>
        <w:t>MWRF</w:t>
      </w:r>
      <w:r>
        <w:rPr>
          <w:rFonts w:ascii="Times New Roman" w:hAnsi="Times New Roman" w:cs="Times New Roman"/>
          <w:sz w:val="24"/>
          <w:szCs w:val="24"/>
        </w:rPr>
        <w:t xml:space="preserve"> test – has infiltrated the judicial review of human rights challenges at the domestic level in the UK.</w:t>
      </w:r>
    </w:p>
    <w:p w14:paraId="3870F659" w14:textId="0F13389E" w:rsidR="00DD4845" w:rsidRDefault="00F27943"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Most high profile judicial review challenges to welfare reforms over the last decade have been discrimination based. Using either the first part of the first protocol (A1P1 – Right to Property) and/or Article</w:t>
      </w:r>
      <w:r w:rsidR="00CD4D09">
        <w:rPr>
          <w:rFonts w:ascii="Times New Roman" w:hAnsi="Times New Roman" w:cs="Times New Roman"/>
          <w:sz w:val="24"/>
          <w:szCs w:val="24"/>
        </w:rPr>
        <w:t xml:space="preserve"> 8 (Right to Respect for the Family Life</w:t>
      </w:r>
      <w:r>
        <w:rPr>
          <w:rFonts w:ascii="Times New Roman" w:hAnsi="Times New Roman" w:cs="Times New Roman"/>
          <w:sz w:val="24"/>
          <w:szCs w:val="24"/>
        </w:rPr>
        <w:t>) to leverage Article 14 (Prohibition of Discrimination), the courts have been required to consider the differential treatment of certain groups – particularly women and disabled people – by policies like the “bedroom tax” and benefit cap.</w:t>
      </w:r>
    </w:p>
    <w:p w14:paraId="60A7980F" w14:textId="77777777" w:rsidR="00653051" w:rsidRPr="00CB251C" w:rsidRDefault="0047377A"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A</w:t>
      </w:r>
      <w:r w:rsidR="003E0BD7">
        <w:rPr>
          <w:rFonts w:ascii="Times New Roman" w:hAnsi="Times New Roman" w:cs="Times New Roman"/>
          <w:sz w:val="24"/>
          <w:szCs w:val="24"/>
        </w:rPr>
        <w:t xml:space="preserve"> </w:t>
      </w:r>
      <w:r w:rsidR="003E0BD7" w:rsidRPr="003C2C17">
        <w:rPr>
          <w:rFonts w:ascii="Times New Roman" w:hAnsi="Times New Roman" w:cs="Times New Roman"/>
          <w:sz w:val="24"/>
          <w:szCs w:val="24"/>
        </w:rPr>
        <w:t>difference in treatment under Article 14</w:t>
      </w:r>
      <w:r w:rsidR="002051AD" w:rsidRPr="003C2C17">
        <w:rPr>
          <w:rFonts w:ascii="Times New Roman" w:hAnsi="Times New Roman" w:cs="Times New Roman"/>
          <w:sz w:val="24"/>
          <w:szCs w:val="24"/>
        </w:rPr>
        <w:t xml:space="preserve"> </w:t>
      </w:r>
      <w:r w:rsidR="000668FC" w:rsidRPr="003C2C17">
        <w:rPr>
          <w:rFonts w:ascii="Times New Roman" w:hAnsi="Times New Roman" w:cs="Times New Roman"/>
          <w:sz w:val="24"/>
          <w:szCs w:val="24"/>
        </w:rPr>
        <w:t xml:space="preserve">needs to be justified. The approach, stemming from </w:t>
      </w:r>
      <w:r w:rsidR="003C2C17" w:rsidRPr="003C2C17">
        <w:rPr>
          <w:rFonts w:ascii="Times New Roman" w:hAnsi="Times New Roman" w:cs="Times New Roman"/>
          <w:i/>
          <w:sz w:val="24"/>
          <w:szCs w:val="24"/>
        </w:rPr>
        <w:t>Stec v United Kingdom</w:t>
      </w:r>
      <w:r w:rsidR="000668FC" w:rsidRPr="003C2C17">
        <w:rPr>
          <w:rFonts w:ascii="Times New Roman" w:hAnsi="Times New Roman" w:cs="Times New Roman"/>
          <w:sz w:val="24"/>
          <w:szCs w:val="24"/>
        </w:rPr>
        <w:t>,</w:t>
      </w:r>
      <w:bookmarkStart w:id="4" w:name="_Ref16577451"/>
      <w:r w:rsidR="00C612FD" w:rsidRPr="003C2C17">
        <w:rPr>
          <w:rStyle w:val="FootnoteReference"/>
          <w:rFonts w:ascii="Times New Roman" w:hAnsi="Times New Roman" w:cs="Times New Roman"/>
          <w:sz w:val="24"/>
          <w:szCs w:val="24"/>
        </w:rPr>
        <w:footnoteReference w:id="7"/>
      </w:r>
      <w:bookmarkEnd w:id="4"/>
      <w:r w:rsidR="005663B8" w:rsidRPr="003C2C17">
        <w:rPr>
          <w:rFonts w:ascii="Times New Roman" w:hAnsi="Times New Roman" w:cs="Times New Roman"/>
          <w:sz w:val="24"/>
          <w:szCs w:val="24"/>
        </w:rPr>
        <w:t xml:space="preserve"> is to determine whether there is an “objective and reasonable justification”</w:t>
      </w:r>
      <w:r w:rsidR="00E10833" w:rsidRPr="003C2C17">
        <w:rPr>
          <w:rFonts w:ascii="Times New Roman" w:hAnsi="Times New Roman" w:cs="Times New Roman"/>
          <w:sz w:val="24"/>
          <w:szCs w:val="24"/>
        </w:rPr>
        <w:t>.</w:t>
      </w:r>
      <w:r w:rsidR="003C2C17">
        <w:rPr>
          <w:rFonts w:ascii="Times New Roman" w:hAnsi="Times New Roman" w:cs="Times New Roman"/>
          <w:sz w:val="24"/>
          <w:szCs w:val="24"/>
        </w:rPr>
        <w:t xml:space="preserve"> </w:t>
      </w:r>
      <w:r w:rsidR="00E10833">
        <w:rPr>
          <w:rFonts w:ascii="Times New Roman" w:hAnsi="Times New Roman" w:cs="Times New Roman"/>
          <w:sz w:val="24"/>
          <w:szCs w:val="24"/>
        </w:rPr>
        <w:t>This</w:t>
      </w:r>
      <w:r w:rsidR="005663B8">
        <w:rPr>
          <w:rFonts w:ascii="Times New Roman" w:hAnsi="Times New Roman" w:cs="Times New Roman"/>
          <w:sz w:val="24"/>
          <w:szCs w:val="24"/>
        </w:rPr>
        <w:t xml:space="preserve"> </w:t>
      </w:r>
      <w:r w:rsidR="00E10833">
        <w:rPr>
          <w:rFonts w:ascii="Times New Roman" w:hAnsi="Times New Roman" w:cs="Times New Roman"/>
          <w:sz w:val="24"/>
          <w:szCs w:val="24"/>
        </w:rPr>
        <w:t>requires both</w:t>
      </w:r>
      <w:r w:rsidR="005663B8">
        <w:rPr>
          <w:rFonts w:ascii="Times New Roman" w:hAnsi="Times New Roman" w:cs="Times New Roman"/>
          <w:sz w:val="24"/>
          <w:szCs w:val="24"/>
        </w:rPr>
        <w:t xml:space="preserve"> a legitimate aim and “a reasonable relationship of proportionality</w:t>
      </w:r>
      <w:r w:rsidR="00F80346">
        <w:rPr>
          <w:rFonts w:ascii="Times New Roman" w:hAnsi="Times New Roman" w:cs="Times New Roman"/>
          <w:sz w:val="24"/>
          <w:szCs w:val="24"/>
        </w:rPr>
        <w:t xml:space="preserve"> between the means employed and</w:t>
      </w:r>
      <w:r w:rsidR="005663B8">
        <w:rPr>
          <w:rFonts w:ascii="Times New Roman" w:hAnsi="Times New Roman" w:cs="Times New Roman"/>
          <w:sz w:val="24"/>
          <w:szCs w:val="24"/>
        </w:rPr>
        <w:t xml:space="preserve"> the aim sought to be realised.”</w:t>
      </w:r>
      <w:r w:rsidR="00C612FD">
        <w:rPr>
          <w:rStyle w:val="FootnoteReference"/>
          <w:rFonts w:ascii="Times New Roman" w:hAnsi="Times New Roman" w:cs="Times New Roman"/>
          <w:sz w:val="24"/>
          <w:szCs w:val="24"/>
        </w:rPr>
        <w:footnoteReference w:id="8"/>
      </w:r>
      <w:r w:rsidR="00653051">
        <w:rPr>
          <w:rFonts w:ascii="Times New Roman" w:hAnsi="Times New Roman" w:cs="Times New Roman"/>
          <w:sz w:val="24"/>
          <w:szCs w:val="24"/>
        </w:rPr>
        <w:t xml:space="preserve"> </w:t>
      </w:r>
      <w:r w:rsidR="00F26EFD">
        <w:rPr>
          <w:rFonts w:ascii="Times New Roman" w:hAnsi="Times New Roman" w:cs="Times New Roman"/>
          <w:sz w:val="24"/>
          <w:szCs w:val="24"/>
        </w:rPr>
        <w:t>To determine such a justification, the courts have fashioned a four-stage proportionali</w:t>
      </w:r>
      <w:r w:rsidR="0080089D">
        <w:rPr>
          <w:rFonts w:ascii="Times New Roman" w:hAnsi="Times New Roman" w:cs="Times New Roman"/>
          <w:sz w:val="24"/>
          <w:szCs w:val="24"/>
        </w:rPr>
        <w:t>ty analysis that incorporates an</w:t>
      </w:r>
      <w:r w:rsidR="00F26EFD">
        <w:rPr>
          <w:rFonts w:ascii="Times New Roman" w:hAnsi="Times New Roman" w:cs="Times New Roman"/>
          <w:sz w:val="24"/>
          <w:szCs w:val="24"/>
        </w:rPr>
        <w:t xml:space="preserve"> assessment of the legitimate aim, its connection to the means or alternative ways of achieving the aim, and a final balancing stage. These</w:t>
      </w:r>
      <w:r w:rsidR="00F31882">
        <w:rPr>
          <w:rFonts w:ascii="Times New Roman" w:hAnsi="Times New Roman" w:cs="Times New Roman"/>
          <w:sz w:val="24"/>
          <w:szCs w:val="24"/>
        </w:rPr>
        <w:t xml:space="preserve"> are</w:t>
      </w:r>
      <w:r w:rsidR="00F26EFD">
        <w:rPr>
          <w:rFonts w:ascii="Times New Roman" w:hAnsi="Times New Roman" w:cs="Times New Roman"/>
          <w:sz w:val="24"/>
          <w:szCs w:val="24"/>
        </w:rPr>
        <w:t xml:space="preserve"> outlined, as well as elsewhere,</w:t>
      </w:r>
      <w:bookmarkStart w:id="5" w:name="_Ref16577571"/>
      <w:r w:rsidR="00076B79">
        <w:rPr>
          <w:rStyle w:val="FootnoteReference"/>
          <w:rFonts w:ascii="Times New Roman" w:hAnsi="Times New Roman" w:cs="Times New Roman"/>
          <w:sz w:val="24"/>
          <w:szCs w:val="24"/>
        </w:rPr>
        <w:footnoteReference w:id="9"/>
      </w:r>
      <w:bookmarkEnd w:id="5"/>
      <w:r w:rsidR="00F26EFD">
        <w:rPr>
          <w:rFonts w:ascii="Times New Roman" w:hAnsi="Times New Roman" w:cs="Times New Roman"/>
          <w:sz w:val="24"/>
          <w:szCs w:val="24"/>
        </w:rPr>
        <w:t xml:space="preserve"> by Lord Sumption in </w:t>
      </w:r>
      <w:r w:rsidR="00CB251C">
        <w:rPr>
          <w:rFonts w:ascii="Times New Roman" w:hAnsi="Times New Roman" w:cs="Times New Roman"/>
          <w:i/>
          <w:sz w:val="24"/>
          <w:szCs w:val="24"/>
        </w:rPr>
        <w:t>Bank M</w:t>
      </w:r>
      <w:r w:rsidR="00072E4C">
        <w:rPr>
          <w:rFonts w:ascii="Times New Roman" w:hAnsi="Times New Roman" w:cs="Times New Roman"/>
          <w:i/>
          <w:sz w:val="24"/>
          <w:szCs w:val="24"/>
        </w:rPr>
        <w:t>e</w:t>
      </w:r>
      <w:r w:rsidR="00CB251C">
        <w:rPr>
          <w:rFonts w:ascii="Times New Roman" w:hAnsi="Times New Roman" w:cs="Times New Roman"/>
          <w:i/>
          <w:sz w:val="24"/>
          <w:szCs w:val="24"/>
        </w:rPr>
        <w:t>ll</w:t>
      </w:r>
      <w:r w:rsidR="00072E4C">
        <w:rPr>
          <w:rFonts w:ascii="Times New Roman" w:hAnsi="Times New Roman" w:cs="Times New Roman"/>
          <w:i/>
          <w:sz w:val="24"/>
          <w:szCs w:val="24"/>
        </w:rPr>
        <w:t>a</w:t>
      </w:r>
      <w:r w:rsidR="00CB251C">
        <w:rPr>
          <w:rFonts w:ascii="Times New Roman" w:hAnsi="Times New Roman" w:cs="Times New Roman"/>
          <w:i/>
          <w:sz w:val="24"/>
          <w:szCs w:val="24"/>
        </w:rPr>
        <w:t>t:</w:t>
      </w:r>
    </w:p>
    <w:p w14:paraId="18816E97" w14:textId="77777777" w:rsidR="00653051" w:rsidRPr="000668FC" w:rsidRDefault="0080089D" w:rsidP="000141C9">
      <w:pPr>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w:t>
      </w:r>
      <w:r w:rsidR="00653051" w:rsidRPr="00657B1A">
        <w:rPr>
          <w:rFonts w:ascii="Times New Roman" w:hAnsi="Times New Roman" w:cs="Times New Roman"/>
          <w:sz w:val="24"/>
          <w:szCs w:val="24"/>
        </w:rPr>
        <w:t xml:space="preserve">(1) is the difference in pursuit of a sufficiently important objective; (2) is there a rational connection between the difference and the objective; (3) could a less intrusive measure have been used without unacceptably compromising the objective; (4) having regard to all these matters and to the severity of the </w:t>
      </w:r>
      <w:r w:rsidR="00653051" w:rsidRPr="00657B1A">
        <w:rPr>
          <w:rFonts w:ascii="Times New Roman" w:hAnsi="Times New Roman" w:cs="Times New Roman"/>
          <w:sz w:val="24"/>
          <w:szCs w:val="24"/>
        </w:rPr>
        <w:lastRenderedPageBreak/>
        <w:t>consequences is the difference of treatment such that a fair balance has been struck</w:t>
      </w:r>
      <w:r>
        <w:rPr>
          <w:rFonts w:ascii="Times New Roman" w:hAnsi="Times New Roman" w:cs="Times New Roman"/>
          <w:sz w:val="24"/>
          <w:szCs w:val="24"/>
        </w:rPr>
        <w:t>”.</w:t>
      </w:r>
      <w:r w:rsidR="00653051">
        <w:rPr>
          <w:rStyle w:val="FootnoteReference"/>
          <w:rFonts w:ascii="Times New Roman" w:hAnsi="Times New Roman" w:cs="Times New Roman"/>
          <w:sz w:val="24"/>
          <w:szCs w:val="24"/>
        </w:rPr>
        <w:footnoteReference w:id="10"/>
      </w:r>
    </w:p>
    <w:p w14:paraId="387C42FD" w14:textId="77777777" w:rsidR="003E0BD7" w:rsidRDefault="00190047"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This</w:t>
      </w:r>
      <w:r w:rsidR="00072E4C">
        <w:rPr>
          <w:rFonts w:ascii="Times New Roman" w:hAnsi="Times New Roman" w:cs="Times New Roman"/>
          <w:sz w:val="24"/>
          <w:szCs w:val="24"/>
        </w:rPr>
        <w:t xml:space="preserve"> is</w:t>
      </w:r>
      <w:r>
        <w:rPr>
          <w:rFonts w:ascii="Times New Roman" w:hAnsi="Times New Roman" w:cs="Times New Roman"/>
          <w:sz w:val="24"/>
          <w:szCs w:val="24"/>
        </w:rPr>
        <w:t xml:space="preserve"> not, however, the end of the matter. In the context of a social welfare measure – sitting comfortably in the realm of socio-economic policy – an additional gloss has been applied to this proportionality assessment to account for the greater margi</w:t>
      </w:r>
      <w:r w:rsidR="00DE4AE7">
        <w:rPr>
          <w:rFonts w:ascii="Times New Roman" w:hAnsi="Times New Roman" w:cs="Times New Roman"/>
          <w:sz w:val="24"/>
          <w:szCs w:val="24"/>
        </w:rPr>
        <w:t xml:space="preserve">n afforded to the state in the </w:t>
      </w:r>
      <w:r>
        <w:rPr>
          <w:rFonts w:ascii="Times New Roman" w:hAnsi="Times New Roman" w:cs="Times New Roman"/>
          <w:sz w:val="24"/>
          <w:szCs w:val="24"/>
        </w:rPr>
        <w:t>f</w:t>
      </w:r>
      <w:r w:rsidR="00DE4AE7">
        <w:rPr>
          <w:rFonts w:ascii="Times New Roman" w:hAnsi="Times New Roman" w:cs="Times New Roman"/>
          <w:sz w:val="24"/>
          <w:szCs w:val="24"/>
        </w:rPr>
        <w:t>i</w:t>
      </w:r>
      <w:r>
        <w:rPr>
          <w:rFonts w:ascii="Times New Roman" w:hAnsi="Times New Roman" w:cs="Times New Roman"/>
          <w:sz w:val="24"/>
          <w:szCs w:val="24"/>
        </w:rPr>
        <w:t>eld</w:t>
      </w:r>
      <w:r w:rsidR="0080089D">
        <w:rPr>
          <w:rFonts w:ascii="Times New Roman" w:hAnsi="Times New Roman" w:cs="Times New Roman"/>
          <w:sz w:val="24"/>
          <w:szCs w:val="24"/>
        </w:rPr>
        <w:t>s</w:t>
      </w:r>
      <w:r>
        <w:rPr>
          <w:rFonts w:ascii="Times New Roman" w:hAnsi="Times New Roman" w:cs="Times New Roman"/>
          <w:sz w:val="24"/>
          <w:szCs w:val="24"/>
        </w:rPr>
        <w:t xml:space="preserve"> of economic or social strategy. </w:t>
      </w:r>
      <w:r w:rsidR="00C906C8">
        <w:rPr>
          <w:rFonts w:ascii="Times New Roman" w:hAnsi="Times New Roman" w:cs="Times New Roman"/>
          <w:sz w:val="24"/>
          <w:szCs w:val="24"/>
        </w:rPr>
        <w:t>It is through the preservation of this margin that the “manifestly without reasonable foundation” bar has evolved.</w:t>
      </w:r>
      <w:r w:rsidR="008D72F3">
        <w:rPr>
          <w:rFonts w:ascii="Times New Roman" w:hAnsi="Times New Roman" w:cs="Times New Roman"/>
          <w:sz w:val="24"/>
          <w:szCs w:val="24"/>
        </w:rPr>
        <w:t xml:space="preserve"> The position is set out in </w:t>
      </w:r>
      <w:r w:rsidR="008D72F3">
        <w:rPr>
          <w:rFonts w:ascii="Times New Roman" w:hAnsi="Times New Roman" w:cs="Times New Roman"/>
          <w:i/>
          <w:sz w:val="24"/>
          <w:szCs w:val="24"/>
        </w:rPr>
        <w:t>Stec,</w:t>
      </w:r>
      <w:r w:rsidR="008D72F3">
        <w:rPr>
          <w:rStyle w:val="FootnoteReference"/>
          <w:rFonts w:ascii="Times New Roman" w:hAnsi="Times New Roman" w:cs="Times New Roman"/>
          <w:i/>
          <w:sz w:val="24"/>
          <w:szCs w:val="24"/>
        </w:rPr>
        <w:footnoteReference w:id="11"/>
      </w:r>
      <w:r w:rsidR="008D72F3">
        <w:rPr>
          <w:rFonts w:ascii="Times New Roman" w:hAnsi="Times New Roman" w:cs="Times New Roman"/>
          <w:i/>
          <w:sz w:val="24"/>
          <w:szCs w:val="24"/>
        </w:rPr>
        <w:t xml:space="preserve"> </w:t>
      </w:r>
      <w:r w:rsidR="008D72F3">
        <w:rPr>
          <w:rFonts w:ascii="Times New Roman" w:hAnsi="Times New Roman" w:cs="Times New Roman"/>
          <w:sz w:val="24"/>
          <w:szCs w:val="24"/>
        </w:rPr>
        <w:t xml:space="preserve">where the </w:t>
      </w:r>
      <w:r w:rsidR="00951E40">
        <w:rPr>
          <w:rFonts w:ascii="Times New Roman" w:hAnsi="Times New Roman" w:cs="Times New Roman"/>
          <w:sz w:val="24"/>
          <w:szCs w:val="24"/>
        </w:rPr>
        <w:t>ECtHR</w:t>
      </w:r>
      <w:r w:rsidR="008D72F3">
        <w:rPr>
          <w:rFonts w:ascii="Times New Roman" w:hAnsi="Times New Roman" w:cs="Times New Roman"/>
          <w:sz w:val="24"/>
          <w:szCs w:val="24"/>
        </w:rPr>
        <w:t xml:space="preserve"> considered the justification of sex discrimination in the phasing out of differential retirement ages in the UK. When outlining the approac</w:t>
      </w:r>
      <w:r w:rsidR="00AA3ADF">
        <w:rPr>
          <w:rFonts w:ascii="Times New Roman" w:hAnsi="Times New Roman" w:cs="Times New Roman"/>
          <w:sz w:val="24"/>
          <w:szCs w:val="24"/>
        </w:rPr>
        <w:t>h to assessing proportionality and the usual requirement for “very weighty reasons” to justify a difference in treatment on the basis of sex, the Court went on to determine that:</w:t>
      </w:r>
    </w:p>
    <w:p w14:paraId="1222BD3A" w14:textId="77777777" w:rsidR="008D72F3" w:rsidRDefault="008D72F3" w:rsidP="000141C9">
      <w:pPr>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“The scope of this margin will vary according to the circumstances, the subject matter and the background</w:t>
      </w:r>
      <w:r w:rsidR="00AA3ADF">
        <w:rPr>
          <w:rFonts w:ascii="Times New Roman" w:hAnsi="Times New Roman" w:cs="Times New Roman"/>
          <w:sz w:val="24"/>
          <w:szCs w:val="24"/>
        </w:rPr>
        <w:t>…</w:t>
      </w:r>
      <w:r>
        <w:rPr>
          <w:rFonts w:ascii="Times New Roman" w:hAnsi="Times New Roman" w:cs="Times New Roman"/>
          <w:sz w:val="24"/>
          <w:szCs w:val="24"/>
        </w:rPr>
        <w:t>a wide margin is usually allowed to the State under the Convention when it comes to general measures of economic or social strategy. Because of their direct knowledge of their society and its needs…the Court will generally respect the legislature’s policy choice unless it is “manifestly without reasonable foundation”.”</w:t>
      </w:r>
      <w:r w:rsidR="009A5041">
        <w:rPr>
          <w:rStyle w:val="FootnoteReference"/>
          <w:rFonts w:ascii="Times New Roman" w:hAnsi="Times New Roman" w:cs="Times New Roman"/>
          <w:sz w:val="24"/>
          <w:szCs w:val="24"/>
        </w:rPr>
        <w:footnoteReference w:id="12"/>
      </w:r>
    </w:p>
    <w:p w14:paraId="59C22153" w14:textId="77777777" w:rsidR="0057076B" w:rsidRPr="00DA3501" w:rsidRDefault="007A5188" w:rsidP="00AE333F">
      <w:pPr>
        <w:spacing w:line="360" w:lineRule="auto"/>
        <w:ind w:right="-46"/>
        <w:jc w:val="both"/>
        <w:rPr>
          <w:rFonts w:ascii="Times New Roman" w:hAnsi="Times New Roman" w:cs="Times New Roman"/>
          <w:sz w:val="24"/>
          <w:szCs w:val="24"/>
        </w:rPr>
      </w:pPr>
      <w:r>
        <w:rPr>
          <w:rFonts w:ascii="Times New Roman" w:hAnsi="Times New Roman" w:cs="Times New Roman"/>
          <w:sz w:val="24"/>
          <w:szCs w:val="24"/>
        </w:rPr>
        <w:t xml:space="preserve">Importantly, this formulation is not to supplant the proportionality assessment (even if some domestic decisions appear to have done so since). </w:t>
      </w:r>
      <w:r w:rsidR="00DA3501">
        <w:rPr>
          <w:rFonts w:ascii="Times New Roman" w:hAnsi="Times New Roman" w:cs="Times New Roman"/>
          <w:sz w:val="24"/>
          <w:szCs w:val="24"/>
        </w:rPr>
        <w:t xml:space="preserve">Although the MWRF margin is to be taken in to account by the court in assessing the aim of the measure and the means employed to achieve it, the court must still undertake a full proportionality assessment, having regard to all relevant factors. As characterised by Lord Mance in </w:t>
      </w:r>
      <w:r w:rsidR="00DA3501">
        <w:rPr>
          <w:rFonts w:ascii="Times New Roman" w:hAnsi="Times New Roman" w:cs="Times New Roman"/>
          <w:i/>
          <w:sz w:val="24"/>
          <w:szCs w:val="24"/>
        </w:rPr>
        <w:t>Re Recovery of Medical Costs</w:t>
      </w:r>
      <w:r w:rsidR="00DA3501">
        <w:rPr>
          <w:rFonts w:ascii="Times New Roman" w:hAnsi="Times New Roman" w:cs="Times New Roman"/>
          <w:sz w:val="24"/>
          <w:szCs w:val="24"/>
        </w:rPr>
        <w:t>, the MWRF margin applies to the first three of the stages outlined above, but i</w:t>
      </w:r>
      <w:r w:rsidR="00531450">
        <w:rPr>
          <w:rFonts w:ascii="Times New Roman" w:hAnsi="Times New Roman" w:cs="Times New Roman"/>
          <w:sz w:val="24"/>
          <w:szCs w:val="24"/>
        </w:rPr>
        <w:t>t</w:t>
      </w:r>
      <w:r w:rsidR="00DA3501">
        <w:rPr>
          <w:rFonts w:ascii="Times New Roman" w:hAnsi="Times New Roman" w:cs="Times New Roman"/>
          <w:sz w:val="24"/>
          <w:szCs w:val="24"/>
        </w:rPr>
        <w:t xml:space="preserve"> i</w:t>
      </w:r>
      <w:r w:rsidR="00531450">
        <w:rPr>
          <w:rFonts w:ascii="Times New Roman" w:hAnsi="Times New Roman" w:cs="Times New Roman"/>
          <w:sz w:val="24"/>
          <w:szCs w:val="24"/>
        </w:rPr>
        <w:t>s</w:t>
      </w:r>
      <w:r w:rsidR="00DA3501">
        <w:rPr>
          <w:rFonts w:ascii="Times New Roman" w:hAnsi="Times New Roman" w:cs="Times New Roman"/>
          <w:sz w:val="24"/>
          <w:szCs w:val="24"/>
        </w:rPr>
        <w:t xml:space="preserve"> “</w:t>
      </w:r>
      <w:r w:rsidR="00DA3501" w:rsidRPr="00DA3501">
        <w:rPr>
          <w:rFonts w:ascii="Times New Roman" w:hAnsi="Times New Roman" w:cs="Times New Roman"/>
          <w:sz w:val="24"/>
          <w:szCs w:val="24"/>
        </w:rPr>
        <w:t>important that, at the fourth stage of the Convention analysis, all relevant interests fall to be weighed and balanced</w:t>
      </w:r>
      <w:r w:rsidR="00DA3501">
        <w:rPr>
          <w:rFonts w:ascii="Times New Roman" w:hAnsi="Times New Roman" w:cs="Times New Roman"/>
          <w:sz w:val="24"/>
          <w:szCs w:val="24"/>
        </w:rPr>
        <w:t>”.</w:t>
      </w:r>
      <w:r w:rsidR="002938AA">
        <w:rPr>
          <w:rStyle w:val="FootnoteReference"/>
          <w:rFonts w:ascii="Times New Roman" w:hAnsi="Times New Roman" w:cs="Times New Roman"/>
          <w:sz w:val="24"/>
          <w:szCs w:val="24"/>
        </w:rPr>
        <w:footnoteReference w:id="13"/>
      </w:r>
    </w:p>
    <w:p w14:paraId="04551CEA" w14:textId="47437DAF" w:rsidR="004606DA" w:rsidRDefault="00F733C0" w:rsidP="004606DA">
      <w:pPr>
        <w:spacing w:line="360" w:lineRule="auto"/>
        <w:jc w:val="both"/>
        <w:rPr>
          <w:rFonts w:ascii="Times New Roman" w:hAnsi="Times New Roman" w:cs="Times New Roman"/>
          <w:sz w:val="24"/>
          <w:szCs w:val="24"/>
        </w:rPr>
      </w:pPr>
      <w:r>
        <w:rPr>
          <w:rFonts w:ascii="Times New Roman" w:hAnsi="Times New Roman" w:cs="Times New Roman"/>
          <w:sz w:val="24"/>
          <w:szCs w:val="24"/>
        </w:rPr>
        <w:t>It is this MWRF formulation that has found itself transposed from its ECtHR origins into the decisions of the UK domestic courts.</w:t>
      </w:r>
      <w:r w:rsidR="004606DA" w:rsidRPr="004606DA">
        <w:rPr>
          <w:rFonts w:ascii="Times New Roman" w:hAnsi="Times New Roman" w:cs="Times New Roman"/>
          <w:sz w:val="24"/>
          <w:szCs w:val="24"/>
        </w:rPr>
        <w:t xml:space="preserve"> </w:t>
      </w:r>
      <w:r w:rsidR="004606DA">
        <w:rPr>
          <w:rFonts w:ascii="Times New Roman" w:hAnsi="Times New Roman" w:cs="Times New Roman"/>
          <w:sz w:val="24"/>
          <w:szCs w:val="24"/>
        </w:rPr>
        <w:t xml:space="preserve">They have reached continually for this formulation in challenges to social welfare measures. This journal’s case digests return routinely to the </w:t>
      </w:r>
      <w:r w:rsidR="004606DA">
        <w:rPr>
          <w:rFonts w:ascii="Times New Roman" w:hAnsi="Times New Roman" w:cs="Times New Roman"/>
          <w:sz w:val="24"/>
          <w:szCs w:val="24"/>
        </w:rPr>
        <w:lastRenderedPageBreak/>
        <w:t>phrase,</w:t>
      </w:r>
      <w:r w:rsidR="004606DA">
        <w:rPr>
          <w:rStyle w:val="FootnoteReference"/>
          <w:rFonts w:ascii="Times New Roman" w:hAnsi="Times New Roman" w:cs="Times New Roman"/>
          <w:sz w:val="24"/>
          <w:szCs w:val="24"/>
        </w:rPr>
        <w:footnoteReference w:id="14"/>
      </w:r>
      <w:r w:rsidR="004606DA">
        <w:rPr>
          <w:rFonts w:ascii="Times New Roman" w:hAnsi="Times New Roman" w:cs="Times New Roman"/>
          <w:sz w:val="24"/>
          <w:szCs w:val="24"/>
        </w:rPr>
        <w:t xml:space="preserve"> and Cousins’ recent analysis of ECHR proportionality assessments</w:t>
      </w:r>
      <w:r w:rsidR="00E45B21">
        <w:rPr>
          <w:rFonts w:ascii="Times New Roman" w:hAnsi="Times New Roman" w:cs="Times New Roman"/>
          <w:sz w:val="24"/>
          <w:szCs w:val="24"/>
        </w:rPr>
        <w:t xml:space="preserve"> alongside his further analysis in this issue of the MWRF test,</w:t>
      </w:r>
      <w:r w:rsidR="004606DA">
        <w:rPr>
          <w:rFonts w:ascii="Times New Roman" w:hAnsi="Times New Roman" w:cs="Times New Roman"/>
          <w:sz w:val="24"/>
          <w:szCs w:val="24"/>
        </w:rPr>
        <w:t xml:space="preserve"> underscore the “frequent references” to the MWRF benchmark in social security challenges.</w:t>
      </w:r>
      <w:r w:rsidR="004606DA">
        <w:rPr>
          <w:rStyle w:val="FootnoteReference"/>
          <w:rFonts w:ascii="Times New Roman" w:hAnsi="Times New Roman" w:cs="Times New Roman"/>
          <w:sz w:val="24"/>
          <w:szCs w:val="24"/>
        </w:rPr>
        <w:footnoteReference w:id="15"/>
      </w:r>
      <w:r w:rsidR="004606DA">
        <w:rPr>
          <w:rFonts w:ascii="Times New Roman" w:hAnsi="Times New Roman" w:cs="Times New Roman"/>
          <w:sz w:val="24"/>
          <w:szCs w:val="24"/>
        </w:rPr>
        <w:t xml:space="preserve"> Nowhere is this more apparent than in the suite of challenges against the UK Government’s so-called “bedroom tax” policy. The underpinning regulations introduce a housing benefit penalty for under-occupation for those living in the social rented sector</w:t>
      </w:r>
      <w:r w:rsidR="004606DA">
        <w:rPr>
          <w:rStyle w:val="FootnoteReference"/>
          <w:rFonts w:ascii="Times New Roman" w:hAnsi="Times New Roman" w:cs="Times New Roman"/>
          <w:sz w:val="24"/>
          <w:szCs w:val="24"/>
        </w:rPr>
        <w:footnoteReference w:id="16"/>
      </w:r>
      <w:r w:rsidR="004606DA">
        <w:rPr>
          <w:rFonts w:ascii="Times New Roman" w:hAnsi="Times New Roman" w:cs="Times New Roman"/>
          <w:sz w:val="24"/>
          <w:szCs w:val="24"/>
        </w:rPr>
        <w:t>, 14% of the eligible rent for under-occupying by one bedroom, 25% for two or more. These challenges have been characterised by a focus on whether resulting discrimination can be justified and – when determining this – what margin is accorded by the Court to the Government. In the domestic context, a majority of the UKSC has held that such a policy is unlawful (i.e. unjustified discrimination) if it is “manifestly without reasonable foundation”.</w:t>
      </w:r>
      <w:r w:rsidR="004606DA">
        <w:rPr>
          <w:rStyle w:val="FootnoteReference"/>
          <w:rFonts w:ascii="Times New Roman" w:hAnsi="Times New Roman" w:cs="Times New Roman"/>
          <w:sz w:val="24"/>
          <w:szCs w:val="24"/>
        </w:rPr>
        <w:footnoteReference w:id="17"/>
      </w:r>
      <w:r w:rsidR="004606DA">
        <w:rPr>
          <w:rFonts w:ascii="Times New Roman" w:hAnsi="Times New Roman" w:cs="Times New Roman"/>
          <w:sz w:val="24"/>
          <w:szCs w:val="24"/>
        </w:rPr>
        <w:t xml:space="preserve"> Two unsuccessful claimants took their case to the ECtHR, where the application of a different benchmark for gender-based and disability discrimination – the requirement for “weighty reasons” – led to a successful appeal in respect of a claimant requiring an additional room for a domestic violence sanctuary scheme.</w:t>
      </w:r>
      <w:r w:rsidR="004606DA">
        <w:rPr>
          <w:rStyle w:val="FootnoteReference"/>
          <w:rFonts w:ascii="Times New Roman" w:hAnsi="Times New Roman" w:cs="Times New Roman"/>
          <w:sz w:val="24"/>
          <w:szCs w:val="24"/>
        </w:rPr>
        <w:footnoteReference w:id="18"/>
      </w:r>
    </w:p>
    <w:p w14:paraId="07856365" w14:textId="25A8F0D9" w:rsidR="00C906C8" w:rsidRDefault="00F733C0" w:rsidP="003D772B">
      <w:pPr>
        <w:spacing w:line="360" w:lineRule="auto"/>
        <w:jc w:val="both"/>
        <w:rPr>
          <w:rFonts w:ascii="Times New Roman" w:hAnsi="Times New Roman" w:cs="Times New Roman"/>
          <w:sz w:val="24"/>
          <w:szCs w:val="24"/>
        </w:rPr>
      </w:pPr>
      <w:r>
        <w:rPr>
          <w:rFonts w:ascii="Times New Roman" w:hAnsi="Times New Roman" w:cs="Times New Roman"/>
          <w:sz w:val="24"/>
          <w:szCs w:val="24"/>
        </w:rPr>
        <w:t>I argue th</w:t>
      </w:r>
      <w:r w:rsidR="004606DA">
        <w:rPr>
          <w:rFonts w:ascii="Times New Roman" w:hAnsi="Times New Roman" w:cs="Times New Roman"/>
          <w:sz w:val="24"/>
          <w:szCs w:val="24"/>
        </w:rPr>
        <w:t>at are three problems with the application of this MWRF test: (i) the benchmark is a creature of the ECtHR margin of appreciation doctrine and does not tr</w:t>
      </w:r>
      <w:r w:rsidR="003D012A">
        <w:rPr>
          <w:rFonts w:ascii="Times New Roman" w:hAnsi="Times New Roman" w:cs="Times New Roman"/>
          <w:sz w:val="24"/>
          <w:szCs w:val="24"/>
        </w:rPr>
        <w:t>ansfer</w:t>
      </w:r>
      <w:r w:rsidR="004606DA">
        <w:rPr>
          <w:rFonts w:ascii="Times New Roman" w:hAnsi="Times New Roman" w:cs="Times New Roman"/>
          <w:sz w:val="24"/>
          <w:szCs w:val="24"/>
        </w:rPr>
        <w:t xml:space="preserve"> </w:t>
      </w:r>
      <w:r w:rsidR="003D012A">
        <w:rPr>
          <w:rFonts w:ascii="Times New Roman" w:hAnsi="Times New Roman" w:cs="Times New Roman"/>
          <w:sz w:val="24"/>
          <w:szCs w:val="24"/>
        </w:rPr>
        <w:t>into</w:t>
      </w:r>
      <w:r w:rsidR="004606DA">
        <w:rPr>
          <w:rFonts w:ascii="Times New Roman" w:hAnsi="Times New Roman" w:cs="Times New Roman"/>
          <w:sz w:val="24"/>
          <w:szCs w:val="24"/>
        </w:rPr>
        <w:t xml:space="preserve"> the domestic context, (ii) it admits of significant qualifications in the context of social welfare (by, for instance, giving way to “weighty reasons” in an array of different contexts), and (iii) even if it is the correct test, it is not as high a bar to apply as is implied in domestic judicial review decisions. I will deal with each of these points in turn.</w:t>
      </w:r>
    </w:p>
    <w:p w14:paraId="2342BEEF" w14:textId="492937BD" w:rsidR="00851AA3" w:rsidRDefault="00F733C0" w:rsidP="000141C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 xml:space="preserve">The MWRF test does not </w:t>
      </w:r>
      <w:r w:rsidR="003D012A">
        <w:rPr>
          <w:rFonts w:ascii="Times New Roman" w:hAnsi="Times New Roman" w:cs="Times New Roman"/>
          <w:sz w:val="24"/>
          <w:szCs w:val="24"/>
        </w:rPr>
        <w:t>transfer</w:t>
      </w:r>
      <w:r>
        <w:rPr>
          <w:rFonts w:ascii="Times New Roman" w:hAnsi="Times New Roman" w:cs="Times New Roman"/>
          <w:sz w:val="24"/>
          <w:szCs w:val="24"/>
        </w:rPr>
        <w:t xml:space="preserve"> into the domestic context.</w:t>
      </w:r>
    </w:p>
    <w:p w14:paraId="52A394DD" w14:textId="77777777" w:rsidR="005727EE" w:rsidRDefault="000D356A"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To adopt the MWRF test in the domestic r</w:t>
      </w:r>
      <w:r w:rsidR="003A4CF2">
        <w:rPr>
          <w:rFonts w:ascii="Times New Roman" w:hAnsi="Times New Roman" w:cs="Times New Roman"/>
          <w:sz w:val="24"/>
          <w:szCs w:val="24"/>
        </w:rPr>
        <w:t>eview of proportionality is to adulterate</w:t>
      </w:r>
      <w:r>
        <w:rPr>
          <w:rFonts w:ascii="Times New Roman" w:hAnsi="Times New Roman" w:cs="Times New Roman"/>
          <w:sz w:val="24"/>
          <w:szCs w:val="24"/>
        </w:rPr>
        <w:t xml:space="preserve"> a test developed as part of the margin of appreciation doctrine</w:t>
      </w:r>
      <w:r w:rsidRPr="00181C02">
        <w:rPr>
          <w:rFonts w:ascii="Times New Roman" w:hAnsi="Times New Roman" w:cs="Times New Roman"/>
          <w:sz w:val="24"/>
          <w:szCs w:val="24"/>
        </w:rPr>
        <w:t>.</w:t>
      </w:r>
      <w:r w:rsidR="00926FA7">
        <w:rPr>
          <w:rFonts w:ascii="Times New Roman" w:hAnsi="Times New Roman" w:cs="Times New Roman"/>
          <w:sz w:val="24"/>
          <w:szCs w:val="24"/>
        </w:rPr>
        <w:t xml:space="preserve"> It is a means to delineate the</w:t>
      </w:r>
      <w:r w:rsidR="00AF2EDC">
        <w:rPr>
          <w:rFonts w:ascii="Times New Roman" w:hAnsi="Times New Roman" w:cs="Times New Roman"/>
          <w:sz w:val="24"/>
          <w:szCs w:val="24"/>
        </w:rPr>
        <w:t xml:space="preserve"> capacities of the</w:t>
      </w:r>
      <w:r w:rsidR="00926FA7">
        <w:rPr>
          <w:rFonts w:ascii="Times New Roman" w:hAnsi="Times New Roman" w:cs="Times New Roman"/>
          <w:sz w:val="24"/>
          <w:szCs w:val="24"/>
        </w:rPr>
        <w:t xml:space="preserve"> ECtHR and the state, “</w:t>
      </w:r>
      <w:r w:rsidR="00926FA7" w:rsidRPr="00926FA7">
        <w:rPr>
          <w:rFonts w:ascii="Times New Roman" w:hAnsi="Times New Roman" w:cs="Times New Roman"/>
          <w:sz w:val="24"/>
          <w:szCs w:val="24"/>
        </w:rPr>
        <w:t>not a domestic</w:t>
      </w:r>
      <w:r w:rsidR="00926FA7">
        <w:rPr>
          <w:rFonts w:ascii="Times New Roman" w:hAnsi="Times New Roman" w:cs="Times New Roman"/>
          <w:sz w:val="24"/>
          <w:szCs w:val="24"/>
        </w:rPr>
        <w:t xml:space="preserve"> </w:t>
      </w:r>
      <w:r w:rsidR="00926FA7" w:rsidRPr="00926FA7">
        <w:rPr>
          <w:rFonts w:ascii="Times New Roman" w:hAnsi="Times New Roman" w:cs="Times New Roman"/>
          <w:sz w:val="24"/>
          <w:szCs w:val="24"/>
        </w:rPr>
        <w:t>public law mechanism</w:t>
      </w:r>
      <w:r w:rsidR="00926FA7">
        <w:rPr>
          <w:rFonts w:ascii="Times New Roman" w:hAnsi="Times New Roman" w:cs="Times New Roman"/>
          <w:sz w:val="24"/>
          <w:szCs w:val="24"/>
        </w:rPr>
        <w:t>”.</w:t>
      </w:r>
      <w:r w:rsidR="004D3BDB">
        <w:rPr>
          <w:rStyle w:val="FootnoteReference"/>
          <w:rFonts w:ascii="Times New Roman" w:hAnsi="Times New Roman" w:cs="Times New Roman"/>
          <w:sz w:val="24"/>
          <w:szCs w:val="24"/>
        </w:rPr>
        <w:footnoteReference w:id="19"/>
      </w:r>
      <w:r w:rsidR="00AC0288" w:rsidRPr="00181C02">
        <w:rPr>
          <w:rFonts w:ascii="Times New Roman" w:hAnsi="Times New Roman" w:cs="Times New Roman"/>
          <w:sz w:val="24"/>
          <w:szCs w:val="24"/>
        </w:rPr>
        <w:t xml:space="preserve"> </w:t>
      </w:r>
      <w:r w:rsidR="00181C02" w:rsidRPr="00181C02">
        <w:rPr>
          <w:rFonts w:ascii="Times New Roman" w:hAnsi="Times New Roman" w:cs="Times New Roman"/>
          <w:sz w:val="24"/>
          <w:szCs w:val="24"/>
        </w:rPr>
        <w:t>As stated by Lord Kerr in his dissenting judgme</w:t>
      </w:r>
      <w:r w:rsidR="005727EE">
        <w:rPr>
          <w:rFonts w:ascii="Times New Roman" w:hAnsi="Times New Roman" w:cs="Times New Roman"/>
          <w:sz w:val="24"/>
          <w:szCs w:val="24"/>
        </w:rPr>
        <w:t xml:space="preserve">nt in </w:t>
      </w:r>
      <w:r w:rsidR="005727EE">
        <w:rPr>
          <w:rFonts w:ascii="Times New Roman" w:hAnsi="Times New Roman" w:cs="Times New Roman"/>
          <w:i/>
          <w:sz w:val="24"/>
          <w:szCs w:val="24"/>
        </w:rPr>
        <w:t>DA</w:t>
      </w:r>
      <w:r w:rsidR="005727EE">
        <w:rPr>
          <w:rFonts w:ascii="Times New Roman" w:hAnsi="Times New Roman" w:cs="Times New Roman"/>
          <w:sz w:val="24"/>
          <w:szCs w:val="24"/>
        </w:rPr>
        <w:t xml:space="preserve">, </w:t>
      </w:r>
      <w:r w:rsidR="005727EE" w:rsidRPr="005727EE">
        <w:rPr>
          <w:rFonts w:ascii="Times New Roman" w:hAnsi="Times New Roman" w:cs="Times New Roman"/>
          <w:sz w:val="24"/>
          <w:szCs w:val="24"/>
        </w:rPr>
        <w:t xml:space="preserve">the </w:t>
      </w:r>
      <w:r w:rsidR="00371444">
        <w:rPr>
          <w:rFonts w:ascii="Times New Roman" w:hAnsi="Times New Roman" w:cs="Times New Roman"/>
          <w:sz w:val="24"/>
          <w:szCs w:val="24"/>
        </w:rPr>
        <w:t>MWRF formulation</w:t>
      </w:r>
      <w:r w:rsidR="005727EE" w:rsidRPr="005727EE">
        <w:rPr>
          <w:rFonts w:ascii="Times New Roman" w:hAnsi="Times New Roman" w:cs="Times New Roman"/>
          <w:sz w:val="24"/>
          <w:szCs w:val="24"/>
        </w:rPr>
        <w:t xml:space="preserve"> is</w:t>
      </w:r>
      <w:r w:rsidR="00181C02" w:rsidRPr="005727EE">
        <w:rPr>
          <w:rFonts w:ascii="Times New Roman" w:hAnsi="Times New Roman" w:cs="Times New Roman"/>
          <w:sz w:val="24"/>
          <w:szCs w:val="24"/>
        </w:rPr>
        <w:t xml:space="preserve"> a “creature of the </w:t>
      </w:r>
      <w:r w:rsidR="00181C02" w:rsidRPr="005727EE">
        <w:rPr>
          <w:rFonts w:ascii="Times New Roman" w:hAnsi="Times New Roman" w:cs="Times New Roman"/>
          <w:sz w:val="24"/>
          <w:szCs w:val="24"/>
        </w:rPr>
        <w:lastRenderedPageBreak/>
        <w:t>European Court of Human Rights”</w:t>
      </w:r>
      <w:r w:rsidR="005727EE" w:rsidRPr="005727EE">
        <w:rPr>
          <w:rFonts w:ascii="Times New Roman" w:hAnsi="Times New Roman" w:cs="Times New Roman"/>
          <w:sz w:val="24"/>
          <w:szCs w:val="24"/>
        </w:rPr>
        <w:t>.</w:t>
      </w:r>
      <w:r w:rsidR="00181C02" w:rsidRPr="005727EE">
        <w:rPr>
          <w:rStyle w:val="FootnoteReference"/>
          <w:rFonts w:ascii="Times New Roman" w:hAnsi="Times New Roman" w:cs="Times New Roman"/>
          <w:sz w:val="24"/>
          <w:szCs w:val="24"/>
        </w:rPr>
        <w:footnoteReference w:id="20"/>
      </w:r>
      <w:r w:rsidR="005727EE" w:rsidRPr="005727EE">
        <w:rPr>
          <w:rFonts w:ascii="Times New Roman" w:hAnsi="Times New Roman" w:cs="Times New Roman"/>
          <w:sz w:val="24"/>
          <w:szCs w:val="24"/>
        </w:rPr>
        <w:t xml:space="preserve"> It is designed to capture how the convention system should be subsidiary to the safeguarding of human rights at the domestic level, especially so</w:t>
      </w:r>
      <w:r w:rsidR="00C0273D">
        <w:rPr>
          <w:rFonts w:ascii="Times New Roman" w:hAnsi="Times New Roman" w:cs="Times New Roman"/>
          <w:sz w:val="24"/>
          <w:szCs w:val="24"/>
        </w:rPr>
        <w:t xml:space="preserve"> for</w:t>
      </w:r>
      <w:r w:rsidR="005727EE" w:rsidRPr="005727EE">
        <w:rPr>
          <w:rFonts w:ascii="Times New Roman" w:hAnsi="Times New Roman" w:cs="Times New Roman"/>
          <w:sz w:val="24"/>
          <w:szCs w:val="24"/>
        </w:rPr>
        <w:t xml:space="preserve"> economic and social measures, and</w:t>
      </w:r>
      <w:r w:rsidR="005727EE">
        <w:rPr>
          <w:rFonts w:ascii="Times New Roman" w:hAnsi="Times New Roman" w:cs="Times New Roman"/>
          <w:sz w:val="24"/>
          <w:szCs w:val="24"/>
        </w:rPr>
        <w:t xml:space="preserve"> as a result,</w:t>
      </w:r>
      <w:r w:rsidR="005727EE" w:rsidRPr="005727EE">
        <w:rPr>
          <w:rFonts w:ascii="Times New Roman" w:hAnsi="Times New Roman" w:cs="Times New Roman"/>
          <w:sz w:val="24"/>
          <w:szCs w:val="24"/>
        </w:rPr>
        <w:t xml:space="preserve"> “goes hand in hand with supervision under the Convention system.”</w:t>
      </w:r>
      <w:r w:rsidR="005727EE">
        <w:rPr>
          <w:rStyle w:val="FootnoteReference"/>
          <w:rFonts w:ascii="Times New Roman" w:hAnsi="Times New Roman" w:cs="Times New Roman"/>
          <w:sz w:val="24"/>
          <w:szCs w:val="24"/>
        </w:rPr>
        <w:footnoteReference w:id="21"/>
      </w:r>
    </w:p>
    <w:p w14:paraId="6892CB68" w14:textId="77777777" w:rsidR="005727EE" w:rsidRDefault="009A2567"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Importantly, this </w:t>
      </w:r>
      <w:r w:rsidR="007A5845">
        <w:rPr>
          <w:rFonts w:ascii="Times New Roman" w:hAnsi="Times New Roman" w:cs="Times New Roman"/>
          <w:sz w:val="24"/>
          <w:szCs w:val="24"/>
        </w:rPr>
        <w:t>subsidiarity</w:t>
      </w:r>
      <w:r>
        <w:rPr>
          <w:rFonts w:ascii="Times New Roman" w:hAnsi="Times New Roman" w:cs="Times New Roman"/>
          <w:sz w:val="24"/>
          <w:szCs w:val="24"/>
        </w:rPr>
        <w:t xml:space="preserve"> is not just to</w:t>
      </w:r>
      <w:r w:rsidR="00310BF8">
        <w:rPr>
          <w:rFonts w:ascii="Times New Roman" w:hAnsi="Times New Roman" w:cs="Times New Roman"/>
          <w:sz w:val="24"/>
          <w:szCs w:val="24"/>
        </w:rPr>
        <w:t xml:space="preserve"> the</w:t>
      </w:r>
      <w:r>
        <w:rPr>
          <w:rFonts w:ascii="Times New Roman" w:hAnsi="Times New Roman" w:cs="Times New Roman"/>
          <w:sz w:val="24"/>
          <w:szCs w:val="24"/>
        </w:rPr>
        <w:t xml:space="preserve"> national authorities, but also to other organs of </w:t>
      </w:r>
      <w:r w:rsidR="00926FA7">
        <w:rPr>
          <w:rFonts w:ascii="Times New Roman" w:hAnsi="Times New Roman" w:cs="Times New Roman"/>
          <w:sz w:val="24"/>
          <w:szCs w:val="24"/>
        </w:rPr>
        <w:t xml:space="preserve">the </w:t>
      </w:r>
      <w:r w:rsidR="00AF2EDC">
        <w:rPr>
          <w:rFonts w:ascii="Times New Roman" w:hAnsi="Times New Roman" w:cs="Times New Roman"/>
          <w:sz w:val="24"/>
          <w:szCs w:val="24"/>
        </w:rPr>
        <w:t>state –</w:t>
      </w:r>
      <w:r>
        <w:rPr>
          <w:rFonts w:ascii="Times New Roman" w:hAnsi="Times New Roman" w:cs="Times New Roman"/>
          <w:sz w:val="24"/>
          <w:szCs w:val="24"/>
        </w:rPr>
        <w:t xml:space="preserve"> domestic c</w:t>
      </w:r>
      <w:r w:rsidR="00A32CA9">
        <w:rPr>
          <w:rFonts w:ascii="Times New Roman" w:hAnsi="Times New Roman" w:cs="Times New Roman"/>
          <w:sz w:val="24"/>
          <w:szCs w:val="24"/>
        </w:rPr>
        <w:t>ourts in particular.</w:t>
      </w:r>
      <w:r w:rsidR="00310BF8">
        <w:rPr>
          <w:rFonts w:ascii="Times New Roman" w:hAnsi="Times New Roman" w:cs="Times New Roman"/>
          <w:sz w:val="24"/>
          <w:szCs w:val="24"/>
        </w:rPr>
        <w:t xml:space="preserve"> This is what Speilmann characterises as the “systemic objective” of the margin of appreciation.</w:t>
      </w:r>
      <w:r w:rsidR="00B02AB9">
        <w:rPr>
          <w:rStyle w:val="FootnoteReference"/>
          <w:rFonts w:ascii="Times New Roman" w:hAnsi="Times New Roman" w:cs="Times New Roman"/>
          <w:sz w:val="24"/>
          <w:szCs w:val="24"/>
        </w:rPr>
        <w:footnoteReference w:id="22"/>
      </w:r>
      <w:r w:rsidR="00310BF8">
        <w:rPr>
          <w:rFonts w:ascii="Times New Roman" w:hAnsi="Times New Roman" w:cs="Times New Roman"/>
          <w:sz w:val="24"/>
          <w:szCs w:val="24"/>
        </w:rPr>
        <w:t xml:space="preserve"> </w:t>
      </w:r>
      <w:r w:rsidR="00B02AB9">
        <w:rPr>
          <w:rFonts w:ascii="Times New Roman" w:hAnsi="Times New Roman" w:cs="Times New Roman"/>
          <w:sz w:val="24"/>
          <w:szCs w:val="24"/>
        </w:rPr>
        <w:t>A “measure of responsibility”</w:t>
      </w:r>
      <w:r w:rsidR="00CA035A">
        <w:rPr>
          <w:rFonts w:ascii="Times New Roman" w:hAnsi="Times New Roman" w:cs="Times New Roman"/>
          <w:sz w:val="24"/>
          <w:szCs w:val="24"/>
        </w:rPr>
        <w:t xml:space="preserve"> is d</w:t>
      </w:r>
      <w:r w:rsidR="00B02AB9">
        <w:rPr>
          <w:rFonts w:ascii="Times New Roman" w:hAnsi="Times New Roman" w:cs="Times New Roman"/>
          <w:sz w:val="24"/>
          <w:szCs w:val="24"/>
        </w:rPr>
        <w:t>eferred to domestic courts to uphold human rights,</w:t>
      </w:r>
      <w:r w:rsidR="00926FA7">
        <w:rPr>
          <w:rFonts w:ascii="Times New Roman" w:hAnsi="Times New Roman" w:cs="Times New Roman"/>
          <w:sz w:val="24"/>
          <w:szCs w:val="24"/>
        </w:rPr>
        <w:t xml:space="preserve"> allowing them to</w:t>
      </w:r>
      <w:r w:rsidR="00B02AB9">
        <w:rPr>
          <w:rFonts w:ascii="Times New Roman" w:hAnsi="Times New Roman" w:cs="Times New Roman"/>
          <w:sz w:val="24"/>
          <w:szCs w:val="24"/>
        </w:rPr>
        <w:t xml:space="preserve"> balanc</w:t>
      </w:r>
      <w:r w:rsidR="00926FA7">
        <w:rPr>
          <w:rFonts w:ascii="Times New Roman" w:hAnsi="Times New Roman" w:cs="Times New Roman"/>
          <w:sz w:val="24"/>
          <w:szCs w:val="24"/>
        </w:rPr>
        <w:t>e</w:t>
      </w:r>
      <w:r w:rsidR="00B02AB9">
        <w:rPr>
          <w:rFonts w:ascii="Times New Roman" w:hAnsi="Times New Roman" w:cs="Times New Roman"/>
          <w:sz w:val="24"/>
          <w:szCs w:val="24"/>
        </w:rPr>
        <w:t xml:space="preserve"> competing interests and scrutini</w:t>
      </w:r>
      <w:r w:rsidR="00926FA7">
        <w:rPr>
          <w:rFonts w:ascii="Times New Roman" w:hAnsi="Times New Roman" w:cs="Times New Roman"/>
          <w:sz w:val="24"/>
          <w:szCs w:val="24"/>
        </w:rPr>
        <w:t>se</w:t>
      </w:r>
      <w:r w:rsidR="00B02AB9">
        <w:rPr>
          <w:rFonts w:ascii="Times New Roman" w:hAnsi="Times New Roman" w:cs="Times New Roman"/>
          <w:sz w:val="24"/>
          <w:szCs w:val="24"/>
        </w:rPr>
        <w:t xml:space="preserve"> the p</w:t>
      </w:r>
      <w:r w:rsidR="00AF2EDC">
        <w:rPr>
          <w:rFonts w:ascii="Times New Roman" w:hAnsi="Times New Roman" w:cs="Times New Roman"/>
          <w:sz w:val="24"/>
          <w:szCs w:val="24"/>
        </w:rPr>
        <w:t>roportionality of interferences.</w:t>
      </w:r>
      <w:r w:rsidR="00B02AB9">
        <w:rPr>
          <w:rFonts w:ascii="Times New Roman" w:hAnsi="Times New Roman" w:cs="Times New Roman"/>
          <w:sz w:val="24"/>
          <w:szCs w:val="24"/>
        </w:rPr>
        <w:t xml:space="preserve"> </w:t>
      </w:r>
      <w:r w:rsidR="00AF2EDC">
        <w:rPr>
          <w:rFonts w:ascii="Times New Roman" w:hAnsi="Times New Roman" w:cs="Times New Roman"/>
          <w:sz w:val="24"/>
          <w:szCs w:val="24"/>
        </w:rPr>
        <w:t>This</w:t>
      </w:r>
      <w:r w:rsidR="00B02AB9">
        <w:rPr>
          <w:rFonts w:ascii="Times New Roman" w:hAnsi="Times New Roman" w:cs="Times New Roman"/>
          <w:sz w:val="24"/>
          <w:szCs w:val="24"/>
        </w:rPr>
        <w:t xml:space="preserve"> margin</w:t>
      </w:r>
      <w:r w:rsidR="00AA65DC">
        <w:rPr>
          <w:rFonts w:ascii="Times New Roman" w:hAnsi="Times New Roman" w:cs="Times New Roman"/>
          <w:sz w:val="24"/>
          <w:szCs w:val="24"/>
        </w:rPr>
        <w:t xml:space="preserve"> then</w:t>
      </w:r>
      <w:r w:rsidR="00B02AB9">
        <w:rPr>
          <w:rFonts w:ascii="Times New Roman" w:hAnsi="Times New Roman" w:cs="Times New Roman"/>
          <w:sz w:val="24"/>
          <w:szCs w:val="24"/>
        </w:rPr>
        <w:t xml:space="preserve"> allows the ECtHR to “supervise the review conducted by the domestic courts”.</w:t>
      </w:r>
      <w:r w:rsidR="00B02AB9">
        <w:rPr>
          <w:rStyle w:val="FootnoteReference"/>
          <w:rFonts w:ascii="Times New Roman" w:hAnsi="Times New Roman" w:cs="Times New Roman"/>
          <w:sz w:val="24"/>
          <w:szCs w:val="24"/>
        </w:rPr>
        <w:footnoteReference w:id="23"/>
      </w:r>
      <w:r w:rsidR="007F6A7E">
        <w:rPr>
          <w:rFonts w:ascii="Times New Roman" w:hAnsi="Times New Roman" w:cs="Times New Roman"/>
          <w:sz w:val="24"/>
          <w:szCs w:val="24"/>
        </w:rPr>
        <w:t xml:space="preserve"> The standards it passports, therefore, do not apply in the same way to </w:t>
      </w:r>
      <w:r w:rsidR="00D22642">
        <w:rPr>
          <w:rFonts w:ascii="Times New Roman" w:hAnsi="Times New Roman" w:cs="Times New Roman"/>
          <w:sz w:val="24"/>
          <w:szCs w:val="24"/>
        </w:rPr>
        <w:t>the assessment of ECHR compliance by domestic courts.</w:t>
      </w:r>
      <w:r w:rsidR="00F57138">
        <w:rPr>
          <w:rFonts w:ascii="Times New Roman" w:hAnsi="Times New Roman" w:cs="Times New Roman"/>
          <w:sz w:val="24"/>
          <w:szCs w:val="24"/>
        </w:rPr>
        <w:t xml:space="preserve"> As Greer argues, as a “fundamentally transnational device, the margin of appreciation can have no direct domestic application”.</w:t>
      </w:r>
      <w:r w:rsidR="00F57138">
        <w:rPr>
          <w:rStyle w:val="FootnoteReference"/>
          <w:rFonts w:ascii="Times New Roman" w:hAnsi="Times New Roman" w:cs="Times New Roman"/>
          <w:sz w:val="24"/>
          <w:szCs w:val="24"/>
        </w:rPr>
        <w:footnoteReference w:id="24"/>
      </w:r>
      <w:r w:rsidR="00F57138">
        <w:rPr>
          <w:rFonts w:ascii="Times New Roman" w:hAnsi="Times New Roman" w:cs="Times New Roman"/>
          <w:sz w:val="24"/>
          <w:szCs w:val="24"/>
        </w:rPr>
        <w:t xml:space="preserve"> </w:t>
      </w:r>
      <w:r w:rsidR="00D22642">
        <w:rPr>
          <w:rFonts w:ascii="Times New Roman" w:hAnsi="Times New Roman" w:cs="Times New Roman"/>
          <w:sz w:val="24"/>
          <w:szCs w:val="24"/>
        </w:rPr>
        <w:t xml:space="preserve">The principle is stated clearly and concisely in </w:t>
      </w:r>
      <w:r w:rsidR="00D22642" w:rsidRPr="00D22642">
        <w:rPr>
          <w:rFonts w:ascii="Times New Roman" w:hAnsi="Times New Roman" w:cs="Times New Roman"/>
          <w:i/>
          <w:sz w:val="24"/>
          <w:szCs w:val="24"/>
        </w:rPr>
        <w:t>A v United Kingdom</w:t>
      </w:r>
      <w:bookmarkStart w:id="6" w:name="_Ref16577427"/>
      <w:r w:rsidR="00D22642">
        <w:rPr>
          <w:rStyle w:val="FootnoteReference"/>
          <w:rFonts w:ascii="Times New Roman" w:hAnsi="Times New Roman" w:cs="Times New Roman"/>
          <w:i/>
          <w:sz w:val="24"/>
          <w:szCs w:val="24"/>
        </w:rPr>
        <w:footnoteReference w:id="25"/>
      </w:r>
      <w:bookmarkEnd w:id="6"/>
      <w:r w:rsidR="008412EA">
        <w:rPr>
          <w:rFonts w:ascii="Times New Roman" w:hAnsi="Times New Roman" w:cs="Times New Roman"/>
          <w:i/>
          <w:sz w:val="24"/>
          <w:szCs w:val="24"/>
        </w:rPr>
        <w:t xml:space="preserve">, </w:t>
      </w:r>
      <w:r w:rsidR="008412EA">
        <w:rPr>
          <w:rFonts w:ascii="Times New Roman" w:hAnsi="Times New Roman" w:cs="Times New Roman"/>
          <w:sz w:val="24"/>
          <w:szCs w:val="24"/>
        </w:rPr>
        <w:t>where the court clarifies that:</w:t>
      </w:r>
    </w:p>
    <w:p w14:paraId="62924EEA" w14:textId="77777777" w:rsidR="008412EA" w:rsidRDefault="008412EA" w:rsidP="000141C9">
      <w:pPr>
        <w:spacing w:line="360" w:lineRule="auto"/>
        <w:ind w:left="567" w:right="521"/>
        <w:jc w:val="both"/>
        <w:rPr>
          <w:rFonts w:ascii="Times New Roman" w:hAnsi="Times New Roman" w:cs="Times New Roman"/>
          <w:sz w:val="24"/>
          <w:szCs w:val="24"/>
        </w:rPr>
      </w:pPr>
      <w:r w:rsidRPr="00053A2A">
        <w:rPr>
          <w:rFonts w:ascii="Times New Roman" w:hAnsi="Times New Roman" w:cs="Times New Roman"/>
          <w:sz w:val="24"/>
          <w:szCs w:val="24"/>
        </w:rPr>
        <w:t>“The doctrine of the margin of appreciation has always been meant as a tool to define relations between the domestic authorities and the Court. It cannot have the same application to the relations between the organs of state at the domestic level.”</w:t>
      </w:r>
      <w:r>
        <w:rPr>
          <w:rStyle w:val="FootnoteReference"/>
          <w:rFonts w:ascii="Times New Roman" w:hAnsi="Times New Roman" w:cs="Times New Roman"/>
          <w:sz w:val="24"/>
          <w:szCs w:val="24"/>
        </w:rPr>
        <w:footnoteReference w:id="26"/>
      </w:r>
    </w:p>
    <w:p w14:paraId="21EA43B2" w14:textId="4D1C6531" w:rsidR="007A5845" w:rsidRDefault="007A5845"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Of course, adopting Lord Hope’s reasoning in </w:t>
      </w:r>
      <w:r w:rsidR="004A5878" w:rsidRPr="004A5878">
        <w:rPr>
          <w:rFonts w:ascii="Times New Roman" w:hAnsi="Times New Roman" w:cs="Times New Roman"/>
          <w:i/>
          <w:sz w:val="24"/>
          <w:szCs w:val="24"/>
        </w:rPr>
        <w:t>AXA General Insurance Limited and others v The Lord Advocate and others</w:t>
      </w:r>
      <w:r>
        <w:rPr>
          <w:rFonts w:ascii="Times New Roman" w:hAnsi="Times New Roman" w:cs="Times New Roman"/>
          <w:sz w:val="24"/>
          <w:szCs w:val="24"/>
        </w:rPr>
        <w:t>,</w:t>
      </w:r>
      <w:r w:rsidR="009409E1">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even if the margin of appreciation is part of the “supervisory jurisdiction” of an international court and therefore is “not available to national courts when considering the convention”,</w:t>
      </w:r>
      <w:r w:rsidR="00E204A0">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r w:rsidR="00514F14">
        <w:rPr>
          <w:rFonts w:ascii="Times New Roman" w:hAnsi="Times New Roman" w:cs="Times New Roman"/>
          <w:sz w:val="24"/>
          <w:szCs w:val="24"/>
        </w:rPr>
        <w:t>the Court</w:t>
      </w:r>
      <w:r>
        <w:rPr>
          <w:rFonts w:ascii="Times New Roman" w:hAnsi="Times New Roman" w:cs="Times New Roman"/>
          <w:sz w:val="24"/>
          <w:szCs w:val="24"/>
        </w:rPr>
        <w:t xml:space="preserve"> should </w:t>
      </w:r>
      <w:r w:rsidR="00514F14">
        <w:rPr>
          <w:rFonts w:ascii="Times New Roman" w:hAnsi="Times New Roman" w:cs="Times New Roman"/>
          <w:sz w:val="24"/>
          <w:szCs w:val="24"/>
        </w:rPr>
        <w:t>still</w:t>
      </w:r>
      <w:r>
        <w:rPr>
          <w:rFonts w:ascii="Times New Roman" w:hAnsi="Times New Roman" w:cs="Times New Roman"/>
          <w:sz w:val="24"/>
          <w:szCs w:val="24"/>
        </w:rPr>
        <w:t xml:space="preserve"> consider important questions of balance, </w:t>
      </w:r>
      <w:r w:rsidR="00544F43">
        <w:rPr>
          <w:rFonts w:ascii="Times New Roman" w:hAnsi="Times New Roman" w:cs="Times New Roman"/>
          <w:sz w:val="24"/>
          <w:szCs w:val="24"/>
        </w:rPr>
        <w:t>including the nature</w:t>
      </w:r>
      <w:r>
        <w:rPr>
          <w:rFonts w:ascii="Times New Roman" w:hAnsi="Times New Roman" w:cs="Times New Roman"/>
          <w:sz w:val="24"/>
          <w:szCs w:val="24"/>
        </w:rPr>
        <w:t xml:space="preserve"> of social and economic measures, in the context of a proportionality assessment.</w:t>
      </w:r>
      <w:r w:rsidR="00A7662D">
        <w:rPr>
          <w:rFonts w:ascii="Times New Roman" w:hAnsi="Times New Roman" w:cs="Times New Roman"/>
          <w:sz w:val="24"/>
          <w:szCs w:val="24"/>
        </w:rPr>
        <w:t xml:space="preserve"> In the same way that international courts recognise their limitations in respect of national institutions, so too should the</w:t>
      </w:r>
      <w:r w:rsidR="00E81EA6">
        <w:rPr>
          <w:rFonts w:ascii="Times New Roman" w:hAnsi="Times New Roman" w:cs="Times New Roman"/>
          <w:sz w:val="24"/>
          <w:szCs w:val="24"/>
        </w:rPr>
        <w:t xml:space="preserve"> domestic</w:t>
      </w:r>
      <w:r w:rsidR="00A7662D">
        <w:rPr>
          <w:rFonts w:ascii="Times New Roman" w:hAnsi="Times New Roman" w:cs="Times New Roman"/>
          <w:sz w:val="24"/>
          <w:szCs w:val="24"/>
        </w:rPr>
        <w:t xml:space="preserve"> courts recognise their limitations in the face of the executive and legislature.</w:t>
      </w:r>
    </w:p>
    <w:p w14:paraId="3333D197" w14:textId="0DFA28CB" w:rsidR="000107B4" w:rsidRDefault="00A7662D"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This does not, however, mean that benchmarks derived from the margin of appreciation can supplant a proper assessment of proportionality. Domestic courts are the ECHR’s “administrators of first resort”</w:t>
      </w:r>
      <w:r w:rsidR="00DD5361">
        <w:rPr>
          <w:rFonts w:ascii="Times New Roman" w:hAnsi="Times New Roman" w:cs="Times New Roman"/>
          <w:sz w:val="24"/>
          <w:szCs w:val="24"/>
        </w:rPr>
        <w:t>; being</w:t>
      </w:r>
      <w:r>
        <w:rPr>
          <w:rFonts w:ascii="Times New Roman" w:hAnsi="Times New Roman" w:cs="Times New Roman"/>
          <w:sz w:val="24"/>
          <w:szCs w:val="24"/>
        </w:rPr>
        <w:t xml:space="preserve"> exposed to the domestic context in way that cannot easily be recreated at the supranational level.</w:t>
      </w:r>
      <w:r w:rsidR="00DD5361">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As observed by Pannick in the wake of the passing of the Human Rights 1998, a </w:t>
      </w:r>
      <w:r w:rsidR="00371484">
        <w:rPr>
          <w:rFonts w:ascii="Times New Roman" w:hAnsi="Times New Roman" w:cs="Times New Roman"/>
          <w:sz w:val="24"/>
          <w:szCs w:val="24"/>
        </w:rPr>
        <w:t xml:space="preserve">domestic court </w:t>
      </w:r>
      <w:r>
        <w:rPr>
          <w:rFonts w:ascii="Times New Roman" w:hAnsi="Times New Roman" w:cs="Times New Roman"/>
          <w:sz w:val="24"/>
          <w:szCs w:val="24"/>
        </w:rPr>
        <w:t>must “</w:t>
      </w:r>
      <w:r w:rsidRPr="003E1923">
        <w:rPr>
          <w:rFonts w:ascii="Times New Roman" w:hAnsi="Times New Roman" w:cs="Times New Roman"/>
          <w:sz w:val="24"/>
          <w:szCs w:val="24"/>
        </w:rPr>
        <w:t xml:space="preserve">comply with </w:t>
      </w:r>
      <w:r w:rsidRPr="00B60485">
        <w:rPr>
          <w:rFonts w:ascii="Times New Roman" w:hAnsi="Times New Roman" w:cs="Times New Roman"/>
          <w:i/>
          <w:sz w:val="24"/>
          <w:szCs w:val="24"/>
        </w:rPr>
        <w:t>its</w:t>
      </w:r>
      <w:r w:rsidRPr="003E1923">
        <w:rPr>
          <w:rFonts w:ascii="Times New Roman" w:hAnsi="Times New Roman" w:cs="Times New Roman"/>
          <w:sz w:val="24"/>
          <w:szCs w:val="24"/>
        </w:rPr>
        <w:t xml:space="preserve"> responsibility to give a judgment consistent with the Convention</w:t>
      </w:r>
      <w:r>
        <w:rPr>
          <w:rFonts w:ascii="Times New Roman" w:hAnsi="Times New Roman" w:cs="Times New Roman"/>
          <w:sz w:val="24"/>
          <w:szCs w:val="24"/>
        </w:rPr>
        <w:t>”</w:t>
      </w:r>
      <w:r w:rsidR="00B60485">
        <w:rPr>
          <w:rFonts w:ascii="Times New Roman" w:hAnsi="Times New Roman" w:cs="Times New Roman"/>
          <w:sz w:val="24"/>
          <w:szCs w:val="24"/>
        </w:rPr>
        <w:t>,</w:t>
      </w:r>
      <w:r w:rsidR="009D5E01">
        <w:rPr>
          <w:rStyle w:val="FootnoteReference"/>
          <w:rFonts w:ascii="Times New Roman" w:hAnsi="Times New Roman" w:cs="Times New Roman"/>
          <w:sz w:val="24"/>
          <w:szCs w:val="24"/>
        </w:rPr>
        <w:footnoteReference w:id="30"/>
      </w:r>
      <w:r w:rsidR="00B60485">
        <w:rPr>
          <w:rFonts w:ascii="Times New Roman" w:hAnsi="Times New Roman" w:cs="Times New Roman"/>
          <w:sz w:val="24"/>
          <w:szCs w:val="24"/>
        </w:rPr>
        <w:t xml:space="preserve"> even where they think it appropriate to accord a degree</w:t>
      </w:r>
      <w:r w:rsidR="003B71BC">
        <w:rPr>
          <w:rFonts w:ascii="Times New Roman" w:hAnsi="Times New Roman" w:cs="Times New Roman"/>
          <w:sz w:val="24"/>
          <w:szCs w:val="24"/>
        </w:rPr>
        <w:t xml:space="preserve"> of</w:t>
      </w:r>
      <w:r w:rsidR="00B60485">
        <w:rPr>
          <w:rFonts w:ascii="Times New Roman" w:hAnsi="Times New Roman" w:cs="Times New Roman"/>
          <w:sz w:val="24"/>
          <w:szCs w:val="24"/>
        </w:rPr>
        <w:t xml:space="preserve"> deference to the legislature and/or executive.</w:t>
      </w:r>
      <w:r w:rsidR="008A29C0">
        <w:rPr>
          <w:rStyle w:val="FootnoteReference"/>
          <w:rFonts w:ascii="Times New Roman" w:hAnsi="Times New Roman" w:cs="Times New Roman"/>
          <w:sz w:val="24"/>
          <w:szCs w:val="24"/>
        </w:rPr>
        <w:footnoteReference w:id="31"/>
      </w:r>
      <w:r w:rsidR="00987D11">
        <w:rPr>
          <w:rFonts w:ascii="Times New Roman" w:hAnsi="Times New Roman" w:cs="Times New Roman"/>
          <w:sz w:val="24"/>
          <w:szCs w:val="24"/>
        </w:rPr>
        <w:t xml:space="preserve"> </w:t>
      </w:r>
      <w:r w:rsidR="000107B4">
        <w:rPr>
          <w:rFonts w:ascii="Times New Roman" w:hAnsi="Times New Roman" w:cs="Times New Roman"/>
          <w:sz w:val="24"/>
          <w:szCs w:val="24"/>
        </w:rPr>
        <w:t>Otherwise, there is a danger that a proper proportionality analysis gives way to applying a formulation derived from the margin of appreciation</w:t>
      </w:r>
      <w:r w:rsidR="00ED10DF">
        <w:rPr>
          <w:rFonts w:ascii="Times New Roman" w:hAnsi="Times New Roman" w:cs="Times New Roman"/>
          <w:sz w:val="24"/>
          <w:szCs w:val="24"/>
        </w:rPr>
        <w:t xml:space="preserve"> doctrine</w:t>
      </w:r>
      <w:r w:rsidR="000107B4">
        <w:rPr>
          <w:rFonts w:ascii="Times New Roman" w:hAnsi="Times New Roman" w:cs="Times New Roman"/>
          <w:sz w:val="24"/>
          <w:szCs w:val="24"/>
        </w:rPr>
        <w:t xml:space="preserve">. In </w:t>
      </w:r>
      <w:r w:rsidR="000107B4">
        <w:rPr>
          <w:rFonts w:ascii="Times New Roman" w:hAnsi="Times New Roman" w:cs="Times New Roman"/>
          <w:i/>
          <w:sz w:val="24"/>
          <w:szCs w:val="24"/>
        </w:rPr>
        <w:t>DA</w:t>
      </w:r>
      <w:r w:rsidR="00AA5226">
        <w:rPr>
          <w:rStyle w:val="FootnoteReference"/>
          <w:rFonts w:ascii="Times New Roman" w:hAnsi="Times New Roman" w:cs="Times New Roman"/>
          <w:i/>
          <w:sz w:val="24"/>
          <w:szCs w:val="24"/>
        </w:rPr>
        <w:footnoteReference w:id="32"/>
      </w:r>
      <w:r w:rsidR="000107B4">
        <w:rPr>
          <w:rFonts w:ascii="Times New Roman" w:hAnsi="Times New Roman" w:cs="Times New Roman"/>
          <w:i/>
          <w:sz w:val="24"/>
          <w:szCs w:val="24"/>
        </w:rPr>
        <w:t xml:space="preserve"> </w:t>
      </w:r>
      <w:r w:rsidR="000107B4">
        <w:rPr>
          <w:rFonts w:ascii="Times New Roman" w:hAnsi="Times New Roman" w:cs="Times New Roman"/>
          <w:sz w:val="24"/>
          <w:szCs w:val="24"/>
        </w:rPr>
        <w:t xml:space="preserve">and </w:t>
      </w:r>
      <w:r w:rsidR="00AA5226" w:rsidRPr="00AA5226">
        <w:rPr>
          <w:rFonts w:ascii="Times New Roman" w:hAnsi="Times New Roman" w:cs="Times New Roman"/>
          <w:i/>
          <w:sz w:val="24"/>
          <w:szCs w:val="24"/>
        </w:rPr>
        <w:t>R. (on the application of Carmichael) v Secretary of State for Work and Pensions</w:t>
      </w:r>
      <w:r w:rsidR="000107B4" w:rsidRPr="00ED10DF">
        <w:rPr>
          <w:rFonts w:ascii="Times New Roman" w:hAnsi="Times New Roman" w:cs="Times New Roman"/>
          <w:sz w:val="24"/>
          <w:szCs w:val="24"/>
        </w:rPr>
        <w:t>,</w:t>
      </w:r>
      <w:r w:rsidR="00AA5226">
        <w:rPr>
          <w:rStyle w:val="FootnoteReference"/>
          <w:rFonts w:ascii="Times New Roman" w:hAnsi="Times New Roman" w:cs="Times New Roman"/>
          <w:sz w:val="24"/>
          <w:szCs w:val="24"/>
        </w:rPr>
        <w:footnoteReference w:id="33"/>
      </w:r>
      <w:r w:rsidR="000107B4" w:rsidRPr="00ED10DF">
        <w:rPr>
          <w:rFonts w:ascii="Times New Roman" w:hAnsi="Times New Roman" w:cs="Times New Roman"/>
          <w:sz w:val="24"/>
          <w:szCs w:val="24"/>
        </w:rPr>
        <w:t xml:space="preserve"> </w:t>
      </w:r>
      <w:r w:rsidR="00ED10DF" w:rsidRPr="00ED10DF">
        <w:rPr>
          <w:rFonts w:ascii="Times New Roman" w:hAnsi="Times New Roman" w:cs="Times New Roman"/>
          <w:sz w:val="24"/>
          <w:szCs w:val="24"/>
        </w:rPr>
        <w:t>a</w:t>
      </w:r>
      <w:r w:rsidR="000107B4">
        <w:rPr>
          <w:rFonts w:ascii="Times New Roman" w:hAnsi="Times New Roman" w:cs="Times New Roman"/>
          <w:sz w:val="24"/>
          <w:szCs w:val="24"/>
        </w:rPr>
        <w:t xml:space="preserve"> m</w:t>
      </w:r>
      <w:r w:rsidR="00ED10DF">
        <w:rPr>
          <w:rFonts w:ascii="Times New Roman" w:hAnsi="Times New Roman" w:cs="Times New Roman"/>
          <w:sz w:val="24"/>
          <w:szCs w:val="24"/>
        </w:rPr>
        <w:t>ajority of the Supreme Court do</w:t>
      </w:r>
      <w:r w:rsidR="000107B4">
        <w:rPr>
          <w:rFonts w:ascii="Times New Roman" w:hAnsi="Times New Roman" w:cs="Times New Roman"/>
          <w:sz w:val="24"/>
          <w:szCs w:val="24"/>
        </w:rPr>
        <w:t xml:space="preserve"> exactly this, seeking</w:t>
      </w:r>
      <w:r w:rsidR="004F12D6">
        <w:rPr>
          <w:rFonts w:ascii="Times New Roman" w:hAnsi="Times New Roman" w:cs="Times New Roman"/>
          <w:sz w:val="24"/>
          <w:szCs w:val="24"/>
        </w:rPr>
        <w:t xml:space="preserve"> instead</w:t>
      </w:r>
      <w:r w:rsidR="000107B4">
        <w:rPr>
          <w:rFonts w:ascii="Times New Roman" w:hAnsi="Times New Roman" w:cs="Times New Roman"/>
          <w:sz w:val="24"/>
          <w:szCs w:val="24"/>
        </w:rPr>
        <w:t xml:space="preserve"> to answer the narrow question: is the approach of the Secretary of State “manifestly without reasonable foundation”?</w:t>
      </w:r>
      <w:r w:rsidR="000B4240">
        <w:rPr>
          <w:rStyle w:val="FootnoteReference"/>
          <w:rFonts w:ascii="Times New Roman" w:hAnsi="Times New Roman" w:cs="Times New Roman"/>
          <w:sz w:val="24"/>
          <w:szCs w:val="24"/>
        </w:rPr>
        <w:footnoteReference w:id="34"/>
      </w:r>
    </w:p>
    <w:p w14:paraId="65FC6419" w14:textId="385223BC" w:rsidR="00E32B42" w:rsidRDefault="00DB15B9" w:rsidP="000141C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So what standard, if any, should be applied to measures of social and economic strategy</w:t>
      </w:r>
      <w:r w:rsidR="009656FE">
        <w:rPr>
          <w:rFonts w:ascii="Times New Roman" w:hAnsi="Times New Roman" w:cs="Times New Roman"/>
          <w:sz w:val="24"/>
          <w:szCs w:val="24"/>
        </w:rPr>
        <w:t xml:space="preserve"> if the application of this MWRF test is misguided</w:t>
      </w:r>
      <w:r>
        <w:rPr>
          <w:rFonts w:ascii="Times New Roman" w:hAnsi="Times New Roman" w:cs="Times New Roman"/>
          <w:sz w:val="24"/>
          <w:szCs w:val="24"/>
        </w:rPr>
        <w:t xml:space="preserve">? </w:t>
      </w:r>
      <w:r w:rsidR="00096D2A">
        <w:rPr>
          <w:rFonts w:ascii="Times New Roman" w:hAnsi="Times New Roman" w:cs="Times New Roman"/>
          <w:sz w:val="24"/>
          <w:szCs w:val="24"/>
        </w:rPr>
        <w:t xml:space="preserve">Lord Kerr’s </w:t>
      </w:r>
      <w:r w:rsidR="00096D2A" w:rsidRPr="00AB2488">
        <w:rPr>
          <w:rFonts w:ascii="Times New Roman" w:hAnsi="Times New Roman" w:cs="Times New Roman"/>
          <w:color w:val="000000" w:themeColor="text1"/>
          <w:sz w:val="24"/>
          <w:szCs w:val="24"/>
        </w:rPr>
        <w:t>conclusion</w:t>
      </w:r>
      <w:r w:rsidR="00ED10DF">
        <w:rPr>
          <w:rFonts w:ascii="Times New Roman" w:hAnsi="Times New Roman" w:cs="Times New Roman"/>
          <w:color w:val="000000" w:themeColor="text1"/>
          <w:sz w:val="24"/>
          <w:szCs w:val="24"/>
        </w:rPr>
        <w:t xml:space="preserve"> in </w:t>
      </w:r>
      <w:r w:rsidR="00ED10DF">
        <w:rPr>
          <w:rFonts w:ascii="Times New Roman" w:hAnsi="Times New Roman" w:cs="Times New Roman"/>
          <w:i/>
          <w:color w:val="000000" w:themeColor="text1"/>
          <w:sz w:val="24"/>
          <w:szCs w:val="24"/>
        </w:rPr>
        <w:t>DA</w:t>
      </w:r>
      <w:r w:rsidR="00ED10DF">
        <w:rPr>
          <w:rFonts w:ascii="Times New Roman" w:hAnsi="Times New Roman" w:cs="Times New Roman"/>
          <w:color w:val="000000" w:themeColor="text1"/>
          <w:sz w:val="24"/>
          <w:szCs w:val="24"/>
        </w:rPr>
        <w:t xml:space="preserve"> is that </w:t>
      </w:r>
      <w:r w:rsidR="00096D2A" w:rsidRPr="00AB2488">
        <w:rPr>
          <w:rFonts w:ascii="Times New Roman" w:hAnsi="Times New Roman" w:cs="Times New Roman"/>
          <w:color w:val="000000" w:themeColor="text1"/>
          <w:sz w:val="24"/>
          <w:szCs w:val="24"/>
        </w:rPr>
        <w:t xml:space="preserve">in the </w:t>
      </w:r>
      <w:r w:rsidR="00AB2488" w:rsidRPr="00AB2488">
        <w:rPr>
          <w:rFonts w:ascii="Times New Roman" w:hAnsi="Times New Roman" w:cs="Times New Roman"/>
          <w:color w:val="000000" w:themeColor="text1"/>
          <w:sz w:val="24"/>
          <w:szCs w:val="24"/>
        </w:rPr>
        <w:t>final balancing stages of a proportionality exercise</w:t>
      </w:r>
      <w:r w:rsidR="00ED10DF">
        <w:rPr>
          <w:rFonts w:ascii="Times New Roman" w:hAnsi="Times New Roman" w:cs="Times New Roman"/>
          <w:color w:val="000000" w:themeColor="text1"/>
          <w:sz w:val="24"/>
          <w:szCs w:val="24"/>
        </w:rPr>
        <w:t>,</w:t>
      </w:r>
      <w:r w:rsidR="00096D2A" w:rsidRPr="00AB2488">
        <w:rPr>
          <w:rFonts w:ascii="Times New Roman" w:hAnsi="Times New Roman" w:cs="Times New Roman"/>
          <w:color w:val="000000" w:themeColor="text1"/>
          <w:sz w:val="24"/>
          <w:szCs w:val="24"/>
        </w:rPr>
        <w:t xml:space="preserve"> </w:t>
      </w:r>
      <w:r w:rsidR="00AB2488" w:rsidRPr="00AB2488">
        <w:rPr>
          <w:rFonts w:ascii="Times New Roman" w:hAnsi="Times New Roman" w:cs="Times New Roman"/>
          <w:color w:val="000000" w:themeColor="text1"/>
          <w:sz w:val="24"/>
          <w:szCs w:val="24"/>
        </w:rPr>
        <w:t>the court should ask whether</w:t>
      </w:r>
      <w:r w:rsidR="00AB2488" w:rsidRPr="00AB2488">
        <w:rPr>
          <w:rFonts w:ascii="Times New Roman" w:hAnsi="Times New Roman" w:cs="Times New Roman"/>
          <w:color w:val="000000" w:themeColor="text1"/>
          <w:sz w:val="24"/>
          <w:szCs w:val="24"/>
          <w:shd w:val="clear" w:color="auto" w:fill="FFFFFF"/>
        </w:rPr>
        <w:t xml:space="preserve"> “the Government has established that there is a reasonable foundation for its conclusion that a fair balance has been struck</w:t>
      </w:r>
      <w:r w:rsidR="00AB2488">
        <w:rPr>
          <w:rFonts w:ascii="Times New Roman" w:hAnsi="Times New Roman" w:cs="Times New Roman"/>
          <w:color w:val="000000" w:themeColor="text1"/>
          <w:sz w:val="24"/>
          <w:szCs w:val="24"/>
          <w:shd w:val="clear" w:color="auto" w:fill="FFFFFF"/>
        </w:rPr>
        <w:t>” between the rights of the individual and the interests of the community.</w:t>
      </w:r>
      <w:r w:rsidR="005F17F3">
        <w:rPr>
          <w:rStyle w:val="FootnoteReference"/>
          <w:rFonts w:ascii="Times New Roman" w:hAnsi="Times New Roman" w:cs="Times New Roman"/>
          <w:color w:val="000000" w:themeColor="text1"/>
          <w:sz w:val="24"/>
          <w:szCs w:val="24"/>
          <w:shd w:val="clear" w:color="auto" w:fill="FFFFFF"/>
        </w:rPr>
        <w:footnoteReference w:id="35"/>
      </w:r>
      <w:r w:rsidR="0048561F">
        <w:rPr>
          <w:rFonts w:ascii="Times New Roman" w:hAnsi="Times New Roman" w:cs="Times New Roman"/>
          <w:color w:val="000000" w:themeColor="text1"/>
          <w:sz w:val="24"/>
          <w:szCs w:val="24"/>
          <w:shd w:val="clear" w:color="auto" w:fill="FFFFFF"/>
        </w:rPr>
        <w:t xml:space="preserve"> His conclusion is merely a restatement of </w:t>
      </w:r>
      <w:r w:rsidR="00B97E5C">
        <w:rPr>
          <w:rFonts w:ascii="Times New Roman" w:hAnsi="Times New Roman" w:cs="Times New Roman"/>
          <w:color w:val="000000" w:themeColor="text1"/>
          <w:sz w:val="24"/>
          <w:szCs w:val="24"/>
          <w:shd w:val="clear" w:color="auto" w:fill="FFFFFF"/>
        </w:rPr>
        <w:t>what a robust proportionality assessment, taken through the four stages outlined by Lord Sumption above, naturally requires. The court can and should account for the particulars of an economic and social measure within a vigorous assessment of proportionality, without need for recourse to a formu</w:t>
      </w:r>
      <w:r w:rsidR="00C75A45">
        <w:rPr>
          <w:rFonts w:ascii="Times New Roman" w:hAnsi="Times New Roman" w:cs="Times New Roman"/>
          <w:color w:val="000000" w:themeColor="text1"/>
          <w:sz w:val="24"/>
          <w:szCs w:val="24"/>
          <w:shd w:val="clear" w:color="auto" w:fill="FFFFFF"/>
        </w:rPr>
        <w:t>lation designed for</w:t>
      </w:r>
      <w:r w:rsidR="00B97E5C">
        <w:rPr>
          <w:rFonts w:ascii="Times New Roman" w:hAnsi="Times New Roman" w:cs="Times New Roman"/>
          <w:color w:val="000000" w:themeColor="text1"/>
          <w:sz w:val="24"/>
          <w:szCs w:val="24"/>
          <w:shd w:val="clear" w:color="auto" w:fill="FFFFFF"/>
        </w:rPr>
        <w:t xml:space="preserve"> an alien context.</w:t>
      </w:r>
    </w:p>
    <w:p w14:paraId="7B9EFC27" w14:textId="2486F5D5" w:rsidR="00CD6FDB" w:rsidRPr="00F6131C" w:rsidRDefault="009B1733" w:rsidP="000141C9">
      <w:pPr>
        <w:spacing w:line="36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The alternative therefore, </w:t>
      </w:r>
      <w:r w:rsidR="00CD6FDB">
        <w:rPr>
          <w:rFonts w:ascii="Times New Roman" w:hAnsi="Times New Roman" w:cs="Times New Roman"/>
          <w:color w:val="000000" w:themeColor="text1"/>
          <w:sz w:val="24"/>
          <w:szCs w:val="24"/>
          <w:shd w:val="clear" w:color="auto" w:fill="FFFFFF"/>
        </w:rPr>
        <w:t xml:space="preserve">is for the court to consider the four stages of the proportionality assessment detailed by Lord Sumption in </w:t>
      </w:r>
      <w:r w:rsidR="00CD6FDB">
        <w:rPr>
          <w:rFonts w:ascii="Times New Roman" w:hAnsi="Times New Roman" w:cs="Times New Roman"/>
          <w:i/>
          <w:color w:val="000000" w:themeColor="text1"/>
          <w:sz w:val="24"/>
          <w:szCs w:val="24"/>
          <w:shd w:val="clear" w:color="auto" w:fill="FFFFFF"/>
        </w:rPr>
        <w:t>Bank Mellat</w:t>
      </w:r>
      <w:r w:rsidR="00CD6FDB">
        <w:rPr>
          <w:rStyle w:val="FootnoteReference"/>
          <w:rFonts w:ascii="Times New Roman" w:hAnsi="Times New Roman" w:cs="Times New Roman"/>
          <w:sz w:val="24"/>
          <w:szCs w:val="24"/>
        </w:rPr>
        <w:footnoteReference w:id="36"/>
      </w:r>
      <w:r w:rsidR="00CD6FDB">
        <w:rPr>
          <w:rFonts w:ascii="Times New Roman" w:hAnsi="Times New Roman" w:cs="Times New Roman"/>
          <w:i/>
          <w:color w:val="000000" w:themeColor="text1"/>
          <w:sz w:val="24"/>
          <w:szCs w:val="24"/>
          <w:shd w:val="clear" w:color="auto" w:fill="FFFFFF"/>
        </w:rPr>
        <w:t xml:space="preserve"> </w:t>
      </w:r>
      <w:r w:rsidR="00CD6FDB">
        <w:rPr>
          <w:rFonts w:ascii="Times New Roman" w:hAnsi="Times New Roman" w:cs="Times New Roman"/>
          <w:color w:val="000000" w:themeColor="text1"/>
          <w:sz w:val="24"/>
          <w:szCs w:val="24"/>
          <w:shd w:val="clear" w:color="auto" w:fill="FFFFFF"/>
        </w:rPr>
        <w:t>and in many other instances:</w:t>
      </w:r>
      <w:r w:rsidR="00CD6FDB">
        <w:rPr>
          <w:rStyle w:val="FootnoteReference"/>
          <w:rFonts w:ascii="Times New Roman" w:hAnsi="Times New Roman" w:cs="Times New Roman"/>
          <w:color w:val="000000" w:themeColor="text1"/>
          <w:sz w:val="24"/>
          <w:szCs w:val="24"/>
          <w:shd w:val="clear" w:color="auto" w:fill="FFFFFF"/>
        </w:rPr>
        <w:footnoteReference w:id="37"/>
      </w:r>
      <w:r w:rsidR="00CD6FDB">
        <w:rPr>
          <w:rFonts w:ascii="Times New Roman" w:hAnsi="Times New Roman" w:cs="Times New Roman"/>
          <w:color w:val="000000" w:themeColor="text1"/>
          <w:sz w:val="24"/>
          <w:szCs w:val="24"/>
          <w:shd w:val="clear" w:color="auto" w:fill="FFFFFF"/>
        </w:rPr>
        <w:t xml:space="preserve"> (i) the measure pursues a legitimate aim, (ii) whether there is a rational connection between the measure and the legitimate aim, (iii) whether a less intrusive measure could have used without compromising this aim, and (iii) having regard to all of these issues, whether a fair </w:t>
      </w:r>
      <w:r w:rsidR="00CD6FDB">
        <w:rPr>
          <w:rFonts w:ascii="Times New Roman" w:hAnsi="Times New Roman" w:cs="Times New Roman"/>
          <w:color w:val="000000" w:themeColor="text1"/>
          <w:sz w:val="24"/>
          <w:szCs w:val="24"/>
          <w:shd w:val="clear" w:color="auto" w:fill="FFFFFF"/>
        </w:rPr>
        <w:lastRenderedPageBreak/>
        <w:t>balance been struck between the severity of the consequences and the measure’</w:t>
      </w:r>
      <w:r w:rsidR="001F1943">
        <w:rPr>
          <w:rFonts w:ascii="Times New Roman" w:hAnsi="Times New Roman" w:cs="Times New Roman"/>
          <w:color w:val="000000" w:themeColor="text1"/>
          <w:sz w:val="24"/>
          <w:szCs w:val="24"/>
          <w:shd w:val="clear" w:color="auto" w:fill="FFFFFF"/>
        </w:rPr>
        <w:t xml:space="preserve">s progression of the aim. The assessment of any measure’s status as “socio-economic” or otherwise falls to be considered – alongside </w:t>
      </w:r>
      <w:r w:rsidR="00D12ACE">
        <w:rPr>
          <w:rFonts w:ascii="Times New Roman" w:hAnsi="Times New Roman" w:cs="Times New Roman"/>
          <w:color w:val="000000" w:themeColor="text1"/>
          <w:sz w:val="24"/>
          <w:szCs w:val="24"/>
          <w:shd w:val="clear" w:color="auto" w:fill="FFFFFF"/>
        </w:rPr>
        <w:t xml:space="preserve">any </w:t>
      </w:r>
      <w:r w:rsidR="001F1943">
        <w:rPr>
          <w:rFonts w:ascii="Times New Roman" w:hAnsi="Times New Roman" w:cs="Times New Roman"/>
          <w:color w:val="000000" w:themeColor="text1"/>
          <w:sz w:val="24"/>
          <w:szCs w:val="24"/>
          <w:shd w:val="clear" w:color="auto" w:fill="FFFFFF"/>
        </w:rPr>
        <w:t xml:space="preserve">other relevant factors – in the determination of this final stage of </w:t>
      </w:r>
      <w:r w:rsidR="00D12ACE">
        <w:rPr>
          <w:rFonts w:ascii="Times New Roman" w:hAnsi="Times New Roman" w:cs="Times New Roman"/>
          <w:color w:val="000000" w:themeColor="text1"/>
          <w:sz w:val="24"/>
          <w:szCs w:val="24"/>
          <w:shd w:val="clear" w:color="auto" w:fill="FFFFFF"/>
        </w:rPr>
        <w:t xml:space="preserve">assessing </w:t>
      </w:r>
      <w:r w:rsidR="001F1943">
        <w:rPr>
          <w:rFonts w:ascii="Times New Roman" w:hAnsi="Times New Roman" w:cs="Times New Roman"/>
          <w:color w:val="000000" w:themeColor="text1"/>
          <w:sz w:val="24"/>
          <w:szCs w:val="24"/>
          <w:shd w:val="clear" w:color="auto" w:fill="FFFFFF"/>
        </w:rPr>
        <w:t xml:space="preserve">whether a fair balance has been struck. </w:t>
      </w:r>
      <w:r w:rsidR="00177A63">
        <w:rPr>
          <w:rFonts w:ascii="Times New Roman" w:hAnsi="Times New Roman" w:cs="Times New Roman"/>
          <w:color w:val="000000" w:themeColor="text1"/>
          <w:sz w:val="24"/>
          <w:szCs w:val="24"/>
          <w:shd w:val="clear" w:color="auto" w:fill="FFFFFF"/>
        </w:rPr>
        <w:t>To replace this holistic assessment with a recourse to the MWRF formulation is to fail to undertake a meaningful proportionality assessment at all.</w:t>
      </w:r>
    </w:p>
    <w:p w14:paraId="1E98EF8C" w14:textId="77777777" w:rsidR="00260C1D" w:rsidRDefault="00563B8F" w:rsidP="000141C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The MWRF test is flexible and admits of qualifications.</w:t>
      </w:r>
    </w:p>
    <w:p w14:paraId="6C2A86E1" w14:textId="6E75AECA" w:rsidR="00084646" w:rsidRDefault="00084646"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Even if this </w:t>
      </w:r>
      <w:r w:rsidR="00110CF1">
        <w:rPr>
          <w:rFonts w:ascii="Times New Roman" w:hAnsi="Times New Roman" w:cs="Times New Roman"/>
          <w:sz w:val="24"/>
          <w:szCs w:val="24"/>
        </w:rPr>
        <w:t>margin of appreciation derived benchmark</w:t>
      </w:r>
      <w:r w:rsidR="004B4335">
        <w:rPr>
          <w:rFonts w:ascii="Times New Roman" w:hAnsi="Times New Roman" w:cs="Times New Roman"/>
          <w:sz w:val="24"/>
          <w:szCs w:val="24"/>
        </w:rPr>
        <w:t xml:space="preserve"> i</w:t>
      </w:r>
      <w:r>
        <w:rPr>
          <w:rFonts w:ascii="Times New Roman" w:hAnsi="Times New Roman" w:cs="Times New Roman"/>
          <w:sz w:val="24"/>
          <w:szCs w:val="24"/>
        </w:rPr>
        <w:t xml:space="preserve">s </w:t>
      </w:r>
      <w:r w:rsidR="004F12D6">
        <w:rPr>
          <w:rFonts w:ascii="Times New Roman" w:hAnsi="Times New Roman" w:cs="Times New Roman"/>
          <w:sz w:val="24"/>
          <w:szCs w:val="24"/>
        </w:rPr>
        <w:t>one that is valid to adopt in the domestic context</w:t>
      </w:r>
      <w:r>
        <w:rPr>
          <w:rFonts w:ascii="Times New Roman" w:hAnsi="Times New Roman" w:cs="Times New Roman"/>
          <w:sz w:val="24"/>
          <w:szCs w:val="24"/>
        </w:rPr>
        <w:t xml:space="preserve">, it is not a static test to be applied with equal zeal </w:t>
      </w:r>
      <w:r w:rsidR="0063141F">
        <w:rPr>
          <w:rFonts w:ascii="Times New Roman" w:hAnsi="Times New Roman" w:cs="Times New Roman"/>
          <w:sz w:val="24"/>
          <w:szCs w:val="24"/>
        </w:rPr>
        <w:t>for all cases as soon as the court is dealing with a social welfare measure</w:t>
      </w:r>
      <w:r>
        <w:rPr>
          <w:rFonts w:ascii="Times New Roman" w:hAnsi="Times New Roman" w:cs="Times New Roman"/>
          <w:sz w:val="24"/>
          <w:szCs w:val="24"/>
        </w:rPr>
        <w:t>.</w:t>
      </w:r>
      <w:r w:rsidR="00E242C2">
        <w:rPr>
          <w:rFonts w:ascii="Times New Roman" w:hAnsi="Times New Roman" w:cs="Times New Roman"/>
          <w:sz w:val="24"/>
          <w:szCs w:val="24"/>
        </w:rPr>
        <w:t xml:space="preserve"> As outlined in </w:t>
      </w:r>
      <w:r w:rsidR="00E242C2">
        <w:rPr>
          <w:rFonts w:ascii="Times New Roman" w:hAnsi="Times New Roman" w:cs="Times New Roman"/>
          <w:i/>
          <w:sz w:val="24"/>
          <w:szCs w:val="24"/>
        </w:rPr>
        <w:t>Stec</w:t>
      </w:r>
      <w:r w:rsidR="00E242C2">
        <w:rPr>
          <w:rFonts w:ascii="Times New Roman" w:hAnsi="Times New Roman" w:cs="Times New Roman"/>
          <w:sz w:val="24"/>
          <w:szCs w:val="24"/>
        </w:rPr>
        <w:t>, the scope of the margin varies “according to the circumstances, subject matter and background”.</w:t>
      </w:r>
      <w:r w:rsidR="00FA13C4">
        <w:rPr>
          <w:rStyle w:val="FootnoteReference"/>
          <w:rFonts w:ascii="Times New Roman" w:hAnsi="Times New Roman" w:cs="Times New Roman"/>
          <w:sz w:val="24"/>
          <w:szCs w:val="24"/>
        </w:rPr>
        <w:footnoteReference w:id="38"/>
      </w:r>
      <w:r>
        <w:rPr>
          <w:rFonts w:ascii="Times New Roman" w:hAnsi="Times New Roman" w:cs="Times New Roman"/>
          <w:sz w:val="24"/>
          <w:szCs w:val="24"/>
        </w:rPr>
        <w:t xml:space="preserve"> </w:t>
      </w:r>
      <w:r w:rsidR="00616C85">
        <w:rPr>
          <w:rFonts w:ascii="Times New Roman" w:hAnsi="Times New Roman" w:cs="Times New Roman"/>
          <w:sz w:val="24"/>
          <w:szCs w:val="24"/>
        </w:rPr>
        <w:t>Under</w:t>
      </w:r>
      <w:r w:rsidR="003A5443">
        <w:rPr>
          <w:rFonts w:ascii="Times New Roman" w:hAnsi="Times New Roman" w:cs="Times New Roman"/>
          <w:sz w:val="24"/>
          <w:szCs w:val="24"/>
        </w:rPr>
        <w:t xml:space="preserve"> this “apparently fluid remit”,</w:t>
      </w:r>
      <w:r w:rsidR="003A5443">
        <w:rPr>
          <w:rStyle w:val="FootnoteReference"/>
          <w:rFonts w:ascii="Times New Roman" w:hAnsi="Times New Roman" w:cs="Times New Roman"/>
          <w:sz w:val="24"/>
          <w:szCs w:val="24"/>
        </w:rPr>
        <w:footnoteReference w:id="39"/>
      </w:r>
      <w:r w:rsidR="003A5443">
        <w:rPr>
          <w:rFonts w:ascii="Times New Roman" w:hAnsi="Times New Roman" w:cs="Times New Roman"/>
          <w:sz w:val="24"/>
          <w:szCs w:val="24"/>
        </w:rPr>
        <w:t xml:space="preserve"> t</w:t>
      </w:r>
      <w:r>
        <w:rPr>
          <w:rFonts w:ascii="Times New Roman" w:hAnsi="Times New Roman" w:cs="Times New Roman"/>
          <w:sz w:val="24"/>
          <w:szCs w:val="24"/>
        </w:rPr>
        <w:t>he extent of the margin differs in relation to the discrimination at issue (</w:t>
      </w:r>
      <w:r w:rsidR="00186CFE">
        <w:rPr>
          <w:rFonts w:ascii="Times New Roman" w:hAnsi="Times New Roman" w:cs="Times New Roman"/>
          <w:sz w:val="24"/>
          <w:szCs w:val="24"/>
        </w:rPr>
        <w:t xml:space="preserve">for instance, </w:t>
      </w:r>
      <w:r>
        <w:rPr>
          <w:rFonts w:ascii="Times New Roman" w:hAnsi="Times New Roman" w:cs="Times New Roman"/>
          <w:sz w:val="24"/>
          <w:szCs w:val="24"/>
        </w:rPr>
        <w:t xml:space="preserve">gender or disability-based </w:t>
      </w:r>
      <w:r w:rsidR="00186CFE">
        <w:rPr>
          <w:rFonts w:ascii="Times New Roman" w:hAnsi="Times New Roman" w:cs="Times New Roman"/>
          <w:sz w:val="24"/>
          <w:szCs w:val="24"/>
        </w:rPr>
        <w:t>discrimination)</w:t>
      </w:r>
      <w:r>
        <w:rPr>
          <w:rFonts w:ascii="Times New Roman" w:hAnsi="Times New Roman" w:cs="Times New Roman"/>
          <w:sz w:val="24"/>
          <w:szCs w:val="24"/>
        </w:rPr>
        <w:t>, or even in relation to other contextual factors in the case itself (for instance, the specific benefit payment at issue).</w:t>
      </w:r>
      <w:r w:rsidR="0063141F">
        <w:rPr>
          <w:rFonts w:ascii="Times New Roman" w:hAnsi="Times New Roman" w:cs="Times New Roman"/>
          <w:sz w:val="24"/>
          <w:szCs w:val="24"/>
        </w:rPr>
        <w:t xml:space="preserve"> For many of those groups affected most acutely by social welfare policies – particularly disable</w:t>
      </w:r>
      <w:r w:rsidR="00CE19F5">
        <w:rPr>
          <w:rFonts w:ascii="Times New Roman" w:hAnsi="Times New Roman" w:cs="Times New Roman"/>
          <w:sz w:val="24"/>
          <w:szCs w:val="24"/>
        </w:rPr>
        <w:t>d people, women, and children – a higher standard than the MWRF test is liable to apply.</w:t>
      </w:r>
    </w:p>
    <w:p w14:paraId="36854858" w14:textId="53684788" w:rsidR="00F6296A" w:rsidRDefault="00186CFE"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Variation in the application of the MWRF is </w:t>
      </w:r>
      <w:r w:rsidR="00F6296A">
        <w:rPr>
          <w:rFonts w:ascii="Times New Roman" w:hAnsi="Times New Roman" w:cs="Times New Roman"/>
          <w:sz w:val="24"/>
          <w:szCs w:val="24"/>
        </w:rPr>
        <w:t>well established</w:t>
      </w:r>
      <w:r>
        <w:rPr>
          <w:rFonts w:ascii="Times New Roman" w:hAnsi="Times New Roman" w:cs="Times New Roman"/>
          <w:sz w:val="24"/>
          <w:szCs w:val="24"/>
        </w:rPr>
        <w:t xml:space="preserve"> outside of the Article 14 discrimination context. In </w:t>
      </w:r>
      <w:r w:rsidR="006414D6">
        <w:rPr>
          <w:rFonts w:ascii="Times New Roman" w:hAnsi="Times New Roman" w:cs="Times New Roman"/>
          <w:i/>
          <w:sz w:val="24"/>
          <w:szCs w:val="24"/>
        </w:rPr>
        <w:t>Connors v United Kingdom,</w:t>
      </w:r>
      <w:r>
        <w:rPr>
          <w:rStyle w:val="FootnoteReference"/>
          <w:rFonts w:ascii="Times New Roman" w:hAnsi="Times New Roman" w:cs="Times New Roman"/>
          <w:i/>
          <w:sz w:val="24"/>
          <w:szCs w:val="24"/>
        </w:rPr>
        <w:footnoteReference w:id="40"/>
      </w:r>
      <w:r w:rsidR="00F6296A">
        <w:rPr>
          <w:rFonts w:ascii="Times New Roman" w:hAnsi="Times New Roman" w:cs="Times New Roman"/>
          <w:i/>
          <w:sz w:val="24"/>
          <w:szCs w:val="24"/>
        </w:rPr>
        <w:t xml:space="preserve"> </w:t>
      </w:r>
      <w:r w:rsidR="00F6296A">
        <w:rPr>
          <w:rFonts w:ascii="Times New Roman" w:hAnsi="Times New Roman" w:cs="Times New Roman"/>
          <w:sz w:val="24"/>
          <w:szCs w:val="24"/>
        </w:rPr>
        <w:t xml:space="preserve">in relation to Article 8 (Right to Respect for the </w:t>
      </w:r>
      <w:r w:rsidR="0077256A">
        <w:rPr>
          <w:rFonts w:ascii="Times New Roman" w:hAnsi="Times New Roman" w:cs="Times New Roman"/>
          <w:sz w:val="24"/>
          <w:szCs w:val="24"/>
        </w:rPr>
        <w:t>Family Life</w:t>
      </w:r>
      <w:r w:rsidR="00F6296A">
        <w:rPr>
          <w:rFonts w:ascii="Times New Roman" w:hAnsi="Times New Roman" w:cs="Times New Roman"/>
          <w:sz w:val="24"/>
          <w:szCs w:val="24"/>
        </w:rPr>
        <w:t>),</w:t>
      </w:r>
      <w:r w:rsidR="00F6296A">
        <w:rPr>
          <w:rFonts w:ascii="Times New Roman" w:hAnsi="Times New Roman" w:cs="Times New Roman"/>
          <w:i/>
          <w:sz w:val="24"/>
          <w:szCs w:val="24"/>
        </w:rPr>
        <w:t xml:space="preserve"> </w:t>
      </w:r>
      <w:r w:rsidR="00F6296A">
        <w:rPr>
          <w:rFonts w:ascii="Times New Roman" w:hAnsi="Times New Roman" w:cs="Times New Roman"/>
          <w:sz w:val="24"/>
          <w:szCs w:val="24"/>
        </w:rPr>
        <w:t>the ECtHR noted that “t</w:t>
      </w:r>
      <w:r w:rsidR="00F6296A" w:rsidRPr="00F6296A">
        <w:rPr>
          <w:rFonts w:ascii="Times New Roman" w:hAnsi="Times New Roman" w:cs="Times New Roman"/>
          <w:sz w:val="24"/>
          <w:szCs w:val="24"/>
        </w:rPr>
        <w:t>he margin will tend to be narrower where the right at stake is crucial to the individual’s effective enjoyment of intimate or key rights</w:t>
      </w:r>
      <w:r w:rsidR="00F6296A">
        <w:rPr>
          <w:rFonts w:ascii="Times New Roman" w:hAnsi="Times New Roman" w:cs="Times New Roman"/>
          <w:sz w:val="24"/>
          <w:szCs w:val="24"/>
        </w:rPr>
        <w:t>”</w:t>
      </w:r>
      <w:r w:rsidR="0046438D">
        <w:rPr>
          <w:rFonts w:ascii="Times New Roman" w:hAnsi="Times New Roman" w:cs="Times New Roman"/>
          <w:sz w:val="24"/>
          <w:szCs w:val="24"/>
        </w:rPr>
        <w:t>.</w:t>
      </w:r>
      <w:r w:rsidR="006118BB">
        <w:rPr>
          <w:rStyle w:val="FootnoteReference"/>
          <w:rFonts w:ascii="Times New Roman" w:hAnsi="Times New Roman" w:cs="Times New Roman"/>
          <w:sz w:val="24"/>
          <w:szCs w:val="24"/>
        </w:rPr>
        <w:footnoteReference w:id="41"/>
      </w:r>
      <w:r w:rsidR="0046438D">
        <w:rPr>
          <w:rFonts w:ascii="Times New Roman" w:hAnsi="Times New Roman" w:cs="Times New Roman"/>
          <w:sz w:val="24"/>
          <w:szCs w:val="24"/>
        </w:rPr>
        <w:t xml:space="preserve"> The </w:t>
      </w:r>
      <w:r w:rsidR="00D92841">
        <w:rPr>
          <w:rFonts w:ascii="Times New Roman" w:hAnsi="Times New Roman" w:cs="Times New Roman"/>
          <w:sz w:val="24"/>
          <w:szCs w:val="24"/>
        </w:rPr>
        <w:t xml:space="preserve">ECtHR set out the </w:t>
      </w:r>
      <w:r w:rsidR="0046438D">
        <w:rPr>
          <w:rFonts w:ascii="Times New Roman" w:hAnsi="Times New Roman" w:cs="Times New Roman"/>
          <w:sz w:val="24"/>
          <w:szCs w:val="24"/>
        </w:rPr>
        <w:t>general principle</w:t>
      </w:r>
      <w:r w:rsidR="00D92841">
        <w:rPr>
          <w:rFonts w:ascii="Times New Roman" w:hAnsi="Times New Roman" w:cs="Times New Roman"/>
          <w:sz w:val="24"/>
          <w:szCs w:val="24"/>
        </w:rPr>
        <w:t xml:space="preserve"> as follows:</w:t>
      </w:r>
      <w:r w:rsidR="0046438D">
        <w:rPr>
          <w:rFonts w:ascii="Times New Roman" w:hAnsi="Times New Roman" w:cs="Times New Roman"/>
          <w:sz w:val="24"/>
          <w:szCs w:val="24"/>
        </w:rPr>
        <w:t xml:space="preserve"> </w:t>
      </w:r>
    </w:p>
    <w:p w14:paraId="3235334F" w14:textId="77777777" w:rsidR="00186CFE" w:rsidRDefault="00F6296A" w:rsidP="000141C9">
      <w:pPr>
        <w:spacing w:line="360" w:lineRule="auto"/>
        <w:ind w:left="567" w:right="521"/>
        <w:jc w:val="both"/>
        <w:rPr>
          <w:rStyle w:val="sfbbfee58"/>
          <w:rFonts w:ascii="Times New Roman" w:hAnsi="Times New Roman" w:cs="Times New Roman"/>
          <w:color w:val="000000"/>
          <w:sz w:val="24"/>
          <w:szCs w:val="24"/>
        </w:rPr>
      </w:pPr>
      <w:r w:rsidRPr="00F6296A">
        <w:rPr>
          <w:rFonts w:ascii="Times New Roman" w:hAnsi="Times New Roman" w:cs="Times New Roman"/>
          <w:sz w:val="24"/>
          <w:szCs w:val="24"/>
        </w:rPr>
        <w:t>“the Court has also stated that in spheres such as housing, which play a central role in the welfare and economic policies of modern societies, it will respect the legislature’s judgment as to what is in the general interest unless that judgment is manifestly without reasonable foundation…</w:t>
      </w:r>
      <w:r w:rsidRPr="00F6296A">
        <w:rPr>
          <w:rStyle w:val="sfbbfee58"/>
          <w:rFonts w:ascii="Times New Roman" w:hAnsi="Times New Roman" w:cs="Times New Roman"/>
          <w:color w:val="000000"/>
          <w:sz w:val="24"/>
          <w:szCs w:val="24"/>
        </w:rPr>
        <w:t xml:space="preserve">Where general social and economic policy considerations have arisen in the context of Article 8 itself, the scope of the margin of appreciation depends on the context of the case, with particular </w:t>
      </w:r>
      <w:r w:rsidRPr="00F6296A">
        <w:rPr>
          <w:rStyle w:val="sfbbfee58"/>
          <w:rFonts w:ascii="Times New Roman" w:hAnsi="Times New Roman" w:cs="Times New Roman"/>
          <w:color w:val="000000"/>
          <w:sz w:val="24"/>
          <w:szCs w:val="24"/>
        </w:rPr>
        <w:lastRenderedPageBreak/>
        <w:t>significance attaching to the extent of the intrusion into the personal sphere of the applicant</w:t>
      </w:r>
      <w:r>
        <w:rPr>
          <w:rStyle w:val="sfbbfee58"/>
          <w:rFonts w:ascii="Times New Roman" w:hAnsi="Times New Roman" w:cs="Times New Roman"/>
          <w:color w:val="000000"/>
          <w:sz w:val="24"/>
          <w:szCs w:val="24"/>
        </w:rPr>
        <w:t>.”</w:t>
      </w:r>
      <w:r w:rsidR="001C48B6">
        <w:rPr>
          <w:rStyle w:val="FootnoteReference"/>
          <w:rFonts w:ascii="Times New Roman" w:hAnsi="Times New Roman" w:cs="Times New Roman"/>
          <w:color w:val="000000"/>
          <w:sz w:val="24"/>
          <w:szCs w:val="24"/>
        </w:rPr>
        <w:footnoteReference w:id="42"/>
      </w:r>
    </w:p>
    <w:p w14:paraId="3DFE2149" w14:textId="77777777" w:rsidR="00F6296A" w:rsidRPr="00500097" w:rsidRDefault="00E407FA" w:rsidP="000141C9">
      <w:pPr>
        <w:spacing w:line="360" w:lineRule="auto"/>
        <w:jc w:val="both"/>
        <w:rPr>
          <w:rFonts w:ascii="Times New Roman" w:hAnsi="Times New Roman" w:cs="Times New Roman"/>
          <w:sz w:val="24"/>
          <w:szCs w:val="24"/>
        </w:rPr>
      </w:pPr>
      <w:r w:rsidRPr="00500097">
        <w:rPr>
          <w:rFonts w:ascii="Times New Roman" w:hAnsi="Times New Roman" w:cs="Times New Roman"/>
          <w:sz w:val="24"/>
          <w:szCs w:val="24"/>
        </w:rPr>
        <w:t xml:space="preserve">This same context-led malleability applies to the assessment of proportionality under Article 14. </w:t>
      </w:r>
      <w:r w:rsidR="00EE7429" w:rsidRPr="00500097">
        <w:rPr>
          <w:rFonts w:ascii="Times New Roman" w:hAnsi="Times New Roman" w:cs="Times New Roman"/>
          <w:sz w:val="24"/>
          <w:szCs w:val="24"/>
        </w:rPr>
        <w:t xml:space="preserve">There are two strands to this reasoning evident in ECtHR decisions. The first is the grounds of discrimination </w:t>
      </w:r>
      <w:r w:rsidR="003575DD">
        <w:rPr>
          <w:rFonts w:ascii="Times New Roman" w:hAnsi="Times New Roman" w:cs="Times New Roman"/>
          <w:sz w:val="24"/>
          <w:szCs w:val="24"/>
        </w:rPr>
        <w:t>at</w:t>
      </w:r>
      <w:r w:rsidR="00EE7429" w:rsidRPr="00500097">
        <w:rPr>
          <w:rFonts w:ascii="Times New Roman" w:hAnsi="Times New Roman" w:cs="Times New Roman"/>
          <w:sz w:val="24"/>
          <w:szCs w:val="24"/>
        </w:rPr>
        <w:t xml:space="preserve"> issue. </w:t>
      </w:r>
      <w:r w:rsidR="002629DE" w:rsidRPr="00500097">
        <w:rPr>
          <w:rFonts w:ascii="Times New Roman" w:hAnsi="Times New Roman" w:cs="Times New Roman"/>
          <w:sz w:val="24"/>
          <w:szCs w:val="24"/>
        </w:rPr>
        <w:t xml:space="preserve">As outlined above, </w:t>
      </w:r>
      <w:r w:rsidR="002629DE" w:rsidRPr="00500097">
        <w:rPr>
          <w:rFonts w:ascii="Times New Roman" w:hAnsi="Times New Roman" w:cs="Times New Roman"/>
          <w:i/>
          <w:sz w:val="24"/>
          <w:szCs w:val="24"/>
        </w:rPr>
        <w:t>Stec</w:t>
      </w:r>
      <w:r w:rsidR="002629DE" w:rsidRPr="00500097">
        <w:rPr>
          <w:rFonts w:ascii="Times New Roman" w:hAnsi="Times New Roman" w:cs="Times New Roman"/>
          <w:sz w:val="24"/>
          <w:szCs w:val="24"/>
        </w:rPr>
        <w:t xml:space="preserve"> indicated that the “scope of the margin will vary according to the circumstances” and that “as a general rule, very weighty reasons would have to be put forward before the Court could regard a difference in treatment based exclusively on the ground of sex as compatible with the convention”.</w:t>
      </w:r>
      <w:r w:rsidR="0001281A">
        <w:rPr>
          <w:rStyle w:val="FootnoteReference"/>
          <w:rFonts w:ascii="Times New Roman" w:hAnsi="Times New Roman" w:cs="Times New Roman"/>
          <w:sz w:val="24"/>
          <w:szCs w:val="24"/>
        </w:rPr>
        <w:footnoteReference w:id="43"/>
      </w:r>
      <w:r w:rsidR="002629DE" w:rsidRPr="00500097">
        <w:rPr>
          <w:rFonts w:ascii="Times New Roman" w:hAnsi="Times New Roman" w:cs="Times New Roman"/>
          <w:sz w:val="24"/>
          <w:szCs w:val="24"/>
        </w:rPr>
        <w:t xml:space="preserve"> </w:t>
      </w:r>
      <w:r w:rsidR="00EE7429" w:rsidRPr="00500097">
        <w:rPr>
          <w:rFonts w:ascii="Times New Roman" w:hAnsi="Times New Roman" w:cs="Times New Roman"/>
          <w:sz w:val="24"/>
          <w:szCs w:val="24"/>
        </w:rPr>
        <w:t xml:space="preserve">This principle has subsequently been underscored in </w:t>
      </w:r>
      <w:r w:rsidR="00EE7429" w:rsidRPr="00500097">
        <w:rPr>
          <w:rStyle w:val="s6b621b36"/>
          <w:rFonts w:ascii="Times New Roman" w:hAnsi="Times New Roman" w:cs="Times New Roman"/>
          <w:i/>
          <w:iCs/>
          <w:color w:val="000000"/>
          <w:sz w:val="24"/>
          <w:szCs w:val="24"/>
          <w:shd w:val="clear" w:color="auto" w:fill="FFFFFF"/>
        </w:rPr>
        <w:t>Carson and Others v. the United Kingdom</w:t>
      </w:r>
      <w:r w:rsidR="00EE7429" w:rsidRPr="00500097">
        <w:rPr>
          <w:rStyle w:val="FootnoteReference"/>
          <w:rFonts w:ascii="Times New Roman" w:hAnsi="Times New Roman" w:cs="Times New Roman"/>
          <w:i/>
          <w:iCs/>
          <w:color w:val="000000"/>
          <w:sz w:val="24"/>
          <w:szCs w:val="24"/>
          <w:shd w:val="clear" w:color="auto" w:fill="FFFFFF"/>
        </w:rPr>
        <w:footnoteReference w:id="44"/>
      </w:r>
      <w:r w:rsidR="00EE7429" w:rsidRPr="00500097">
        <w:rPr>
          <w:rStyle w:val="s6b621b36"/>
          <w:rFonts w:ascii="Times New Roman" w:hAnsi="Times New Roman" w:cs="Times New Roman"/>
          <w:i/>
          <w:iCs/>
          <w:color w:val="000000"/>
          <w:sz w:val="24"/>
          <w:szCs w:val="24"/>
          <w:shd w:val="clear" w:color="auto" w:fill="FFFFFF"/>
        </w:rPr>
        <w:t xml:space="preserve">, </w:t>
      </w:r>
      <w:r w:rsidR="00EE7429" w:rsidRPr="00500097">
        <w:rPr>
          <w:rStyle w:val="s6b621b36"/>
          <w:rFonts w:ascii="Times New Roman" w:hAnsi="Times New Roman" w:cs="Times New Roman"/>
          <w:iCs/>
          <w:color w:val="000000"/>
          <w:sz w:val="24"/>
          <w:szCs w:val="24"/>
          <w:shd w:val="clear" w:color="auto" w:fill="FFFFFF"/>
        </w:rPr>
        <w:t>where the court</w:t>
      </w:r>
      <w:r w:rsidR="003575DD">
        <w:rPr>
          <w:rStyle w:val="s6b621b36"/>
          <w:rFonts w:ascii="Times New Roman" w:hAnsi="Times New Roman" w:cs="Times New Roman"/>
          <w:iCs/>
          <w:color w:val="000000"/>
          <w:sz w:val="24"/>
          <w:szCs w:val="24"/>
          <w:shd w:val="clear" w:color="auto" w:fill="FFFFFF"/>
        </w:rPr>
        <w:t xml:space="preserve"> determined</w:t>
      </w:r>
      <w:r w:rsidR="00EE7429" w:rsidRPr="00500097">
        <w:rPr>
          <w:rStyle w:val="s6b621b36"/>
          <w:rFonts w:ascii="Times New Roman" w:hAnsi="Times New Roman" w:cs="Times New Roman"/>
          <w:iCs/>
          <w:color w:val="000000"/>
          <w:sz w:val="24"/>
          <w:szCs w:val="24"/>
          <w:shd w:val="clear" w:color="auto" w:fill="FFFFFF"/>
        </w:rPr>
        <w:t xml:space="preserve"> that individuals do “</w:t>
      </w:r>
      <w:r w:rsidR="00EE7429" w:rsidRPr="00500097">
        <w:rPr>
          <w:rStyle w:val="sb8d990e2"/>
          <w:rFonts w:ascii="Times New Roman" w:hAnsi="Times New Roman" w:cs="Times New Roman"/>
          <w:color w:val="000000"/>
          <w:sz w:val="24"/>
          <w:szCs w:val="24"/>
          <w:shd w:val="clear" w:color="auto" w:fill="FFFFFF"/>
        </w:rPr>
        <w:t>not require the same high level of protection against differences in treatment based on this ground [residence] as is needed in relation to differences based on an inherent characteristic, such as gender or racial or ethnic origin”.</w:t>
      </w:r>
      <w:r w:rsidR="00661E49">
        <w:rPr>
          <w:rStyle w:val="FootnoteReference"/>
          <w:rFonts w:ascii="Times New Roman" w:hAnsi="Times New Roman" w:cs="Times New Roman"/>
          <w:color w:val="000000"/>
          <w:sz w:val="24"/>
          <w:szCs w:val="24"/>
          <w:shd w:val="clear" w:color="auto" w:fill="FFFFFF"/>
        </w:rPr>
        <w:footnoteReference w:id="45"/>
      </w:r>
    </w:p>
    <w:p w14:paraId="594FC137" w14:textId="32C1C061" w:rsidR="003575DD" w:rsidRPr="001E5BBD" w:rsidRDefault="00842FE7"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In addition to sex</w:t>
      </w:r>
      <w:r w:rsidR="00051C64" w:rsidRPr="001E5BBD">
        <w:rPr>
          <w:rFonts w:ascii="Times New Roman" w:hAnsi="Times New Roman" w:cs="Times New Roman"/>
          <w:sz w:val="24"/>
          <w:szCs w:val="24"/>
        </w:rPr>
        <w:t xml:space="preserve"> and ethnicity,</w:t>
      </w:r>
      <w:r w:rsidR="00051C64" w:rsidRPr="001E5BBD">
        <w:rPr>
          <w:rStyle w:val="FootnoteReference"/>
          <w:rFonts w:ascii="Times New Roman" w:hAnsi="Times New Roman" w:cs="Times New Roman"/>
          <w:sz w:val="24"/>
          <w:szCs w:val="24"/>
        </w:rPr>
        <w:footnoteReference w:id="46"/>
      </w:r>
      <w:r w:rsidR="00051C64" w:rsidRPr="001E5BBD">
        <w:rPr>
          <w:rFonts w:ascii="Times New Roman" w:hAnsi="Times New Roman" w:cs="Times New Roman"/>
          <w:sz w:val="24"/>
          <w:szCs w:val="24"/>
        </w:rPr>
        <w:t xml:space="preserve"> the requirement for “very weighty reasons” to justify discrimination has also applied to other categories of discrimination, such as sexual orientation</w:t>
      </w:r>
      <w:r w:rsidR="00051C64" w:rsidRPr="001E5BBD">
        <w:rPr>
          <w:rStyle w:val="FootnoteReference"/>
          <w:rFonts w:ascii="Times New Roman" w:hAnsi="Times New Roman" w:cs="Times New Roman"/>
          <w:sz w:val="24"/>
          <w:szCs w:val="24"/>
        </w:rPr>
        <w:footnoteReference w:id="47"/>
      </w:r>
      <w:r w:rsidR="00051C64" w:rsidRPr="001E5BBD">
        <w:rPr>
          <w:rFonts w:ascii="Times New Roman" w:hAnsi="Times New Roman" w:cs="Times New Roman"/>
          <w:sz w:val="24"/>
          <w:szCs w:val="24"/>
        </w:rPr>
        <w:t>, birth status,</w:t>
      </w:r>
      <w:r w:rsidR="00051C64" w:rsidRPr="001E5BBD">
        <w:rPr>
          <w:rStyle w:val="FootnoteReference"/>
          <w:rFonts w:ascii="Times New Roman" w:hAnsi="Times New Roman" w:cs="Times New Roman"/>
          <w:sz w:val="24"/>
          <w:szCs w:val="24"/>
        </w:rPr>
        <w:footnoteReference w:id="48"/>
      </w:r>
      <w:r w:rsidR="00051C64" w:rsidRPr="001E5BBD">
        <w:rPr>
          <w:rFonts w:ascii="Times New Roman" w:hAnsi="Times New Roman" w:cs="Times New Roman"/>
          <w:sz w:val="24"/>
          <w:szCs w:val="24"/>
        </w:rPr>
        <w:t xml:space="preserve"> and nationality.</w:t>
      </w:r>
      <w:r w:rsidR="00051C64" w:rsidRPr="001E5BBD">
        <w:rPr>
          <w:rStyle w:val="FootnoteReference"/>
          <w:rFonts w:ascii="Times New Roman" w:hAnsi="Times New Roman" w:cs="Times New Roman"/>
          <w:sz w:val="24"/>
          <w:szCs w:val="24"/>
        </w:rPr>
        <w:footnoteReference w:id="49"/>
      </w:r>
      <w:r w:rsidR="00051C64" w:rsidRPr="001E5BBD">
        <w:rPr>
          <w:rFonts w:ascii="Times New Roman" w:hAnsi="Times New Roman" w:cs="Times New Roman"/>
          <w:sz w:val="24"/>
          <w:szCs w:val="24"/>
        </w:rPr>
        <w:t xml:space="preserve"> </w:t>
      </w:r>
      <w:r w:rsidR="003575DD" w:rsidRPr="001E5BBD">
        <w:rPr>
          <w:rFonts w:ascii="Times New Roman" w:hAnsi="Times New Roman" w:cs="Times New Roman"/>
          <w:sz w:val="24"/>
          <w:szCs w:val="24"/>
        </w:rPr>
        <w:t xml:space="preserve">The Court’s approach here is not to introduce an arbitrary classification of discrimination to which different standards apply, but instead to enshrine the principle that for discrimination against particularly vulnerable groups, the margin afforded to the state inevitably has to narrow. The reasoning is set out clearly in </w:t>
      </w:r>
      <w:r w:rsidR="00CC2AA4" w:rsidRPr="001E5BBD">
        <w:rPr>
          <w:rStyle w:val="s7d2086b4"/>
          <w:rFonts w:ascii="Times New Roman" w:hAnsi="Times New Roman" w:cs="Times New Roman"/>
          <w:bCs/>
          <w:i/>
          <w:color w:val="000000"/>
          <w:sz w:val="24"/>
          <w:szCs w:val="24"/>
        </w:rPr>
        <w:t xml:space="preserve">Guberina </w:t>
      </w:r>
      <w:r w:rsidR="00051C64" w:rsidRPr="001E5BBD">
        <w:rPr>
          <w:rStyle w:val="s7d2086b4"/>
          <w:rFonts w:ascii="Times New Roman" w:hAnsi="Times New Roman" w:cs="Times New Roman"/>
          <w:bCs/>
          <w:i/>
          <w:color w:val="000000"/>
          <w:sz w:val="24"/>
          <w:szCs w:val="24"/>
        </w:rPr>
        <w:t>v</w:t>
      </w:r>
      <w:r w:rsidR="003575DD" w:rsidRPr="001E5BBD">
        <w:rPr>
          <w:rStyle w:val="s7d2086b4"/>
          <w:rFonts w:ascii="Times New Roman" w:hAnsi="Times New Roman" w:cs="Times New Roman"/>
          <w:bCs/>
          <w:i/>
          <w:color w:val="000000"/>
          <w:sz w:val="24"/>
          <w:szCs w:val="24"/>
        </w:rPr>
        <w:t xml:space="preserve"> C</w:t>
      </w:r>
      <w:r w:rsidR="00CC2AA4" w:rsidRPr="001E5BBD">
        <w:rPr>
          <w:rStyle w:val="s7d2086b4"/>
          <w:rFonts w:ascii="Times New Roman" w:hAnsi="Times New Roman" w:cs="Times New Roman"/>
          <w:bCs/>
          <w:i/>
          <w:color w:val="000000"/>
          <w:sz w:val="24"/>
          <w:szCs w:val="24"/>
        </w:rPr>
        <w:t>roatia</w:t>
      </w:r>
      <w:r w:rsidR="00051C64" w:rsidRPr="001E5BBD">
        <w:rPr>
          <w:rStyle w:val="s7d2086b4"/>
          <w:rFonts w:ascii="Times New Roman" w:hAnsi="Times New Roman" w:cs="Times New Roman"/>
          <w:bCs/>
          <w:color w:val="000000"/>
          <w:sz w:val="24"/>
          <w:szCs w:val="24"/>
        </w:rPr>
        <w:t>;</w:t>
      </w:r>
      <w:r w:rsidR="00CC2AA4" w:rsidRPr="001E5BBD">
        <w:rPr>
          <w:rStyle w:val="FootnoteReference"/>
          <w:rFonts w:ascii="Times New Roman" w:hAnsi="Times New Roman" w:cs="Times New Roman"/>
          <w:bCs/>
          <w:color w:val="000000"/>
          <w:sz w:val="24"/>
          <w:szCs w:val="24"/>
        </w:rPr>
        <w:footnoteReference w:id="50"/>
      </w:r>
      <w:r w:rsidR="00CC2AA4" w:rsidRPr="001E5BBD">
        <w:rPr>
          <w:rStyle w:val="s7d2086b4"/>
          <w:rFonts w:ascii="Times New Roman" w:hAnsi="Times New Roman" w:cs="Times New Roman"/>
          <w:bCs/>
          <w:color w:val="000000"/>
          <w:sz w:val="24"/>
          <w:szCs w:val="24"/>
        </w:rPr>
        <w:t xml:space="preserve"> </w:t>
      </w:r>
      <w:r w:rsidR="00051C64" w:rsidRPr="001E5BBD">
        <w:rPr>
          <w:rStyle w:val="s7d2086b4"/>
          <w:rFonts w:ascii="Times New Roman" w:hAnsi="Times New Roman" w:cs="Times New Roman"/>
          <w:bCs/>
          <w:color w:val="000000"/>
          <w:sz w:val="24"/>
          <w:szCs w:val="24"/>
        </w:rPr>
        <w:t xml:space="preserve">a case </w:t>
      </w:r>
      <w:r w:rsidR="00CC2AA4" w:rsidRPr="001E5BBD">
        <w:rPr>
          <w:rStyle w:val="s7d2086b4"/>
          <w:rFonts w:ascii="Times New Roman" w:hAnsi="Times New Roman" w:cs="Times New Roman"/>
          <w:bCs/>
          <w:color w:val="000000"/>
          <w:sz w:val="24"/>
          <w:szCs w:val="24"/>
        </w:rPr>
        <w:t xml:space="preserve">dealing with </w:t>
      </w:r>
      <w:r w:rsidR="00051C64" w:rsidRPr="001E5BBD">
        <w:rPr>
          <w:rStyle w:val="s7d2086b4"/>
          <w:rFonts w:ascii="Times New Roman" w:hAnsi="Times New Roman" w:cs="Times New Roman"/>
          <w:bCs/>
          <w:color w:val="000000"/>
          <w:sz w:val="24"/>
          <w:szCs w:val="24"/>
        </w:rPr>
        <w:t>discrimination in Croatian property tax</w:t>
      </w:r>
      <w:r w:rsidR="00D424C1" w:rsidRPr="001E5BBD">
        <w:rPr>
          <w:rStyle w:val="s7d2086b4"/>
          <w:rFonts w:ascii="Times New Roman" w:hAnsi="Times New Roman" w:cs="Times New Roman"/>
          <w:bCs/>
          <w:color w:val="000000"/>
          <w:sz w:val="24"/>
          <w:szCs w:val="24"/>
        </w:rPr>
        <w:t>es</w:t>
      </w:r>
      <w:r w:rsidR="00051C64" w:rsidRPr="001E5BBD">
        <w:rPr>
          <w:rStyle w:val="s7d2086b4"/>
          <w:rFonts w:ascii="Times New Roman" w:hAnsi="Times New Roman" w:cs="Times New Roman"/>
          <w:bCs/>
          <w:color w:val="000000"/>
          <w:sz w:val="24"/>
          <w:szCs w:val="24"/>
        </w:rPr>
        <w:t xml:space="preserve"> on the grounds of disability:</w:t>
      </w:r>
    </w:p>
    <w:p w14:paraId="63B430B2" w14:textId="77777777" w:rsidR="003575DD" w:rsidRPr="001E5BBD" w:rsidRDefault="003575DD" w:rsidP="000141C9">
      <w:pPr>
        <w:spacing w:line="360" w:lineRule="auto"/>
        <w:ind w:left="567" w:right="521"/>
        <w:jc w:val="both"/>
        <w:rPr>
          <w:rFonts w:ascii="Times New Roman" w:hAnsi="Times New Roman" w:cs="Times New Roman"/>
          <w:sz w:val="24"/>
          <w:szCs w:val="24"/>
        </w:rPr>
      </w:pPr>
      <w:r w:rsidRPr="001E5BBD">
        <w:rPr>
          <w:rStyle w:val="sb8d990e2"/>
          <w:rFonts w:ascii="Times New Roman" w:hAnsi="Times New Roman" w:cs="Times New Roman"/>
          <w:color w:val="000000"/>
          <w:sz w:val="24"/>
          <w:szCs w:val="24"/>
          <w:shd w:val="clear" w:color="auto" w:fill="FFFFFF"/>
        </w:rPr>
        <w:t>“…if a restriction on fundamental rights applies to a particularly vulnerable group in society that has suffered considerable discrimination in the past, then the State’s margin of appreciation is substantially narrower and it must have very weighty reasons for the restrictions in question. The reason for this approach, which questions certain classifications </w:t>
      </w:r>
      <w:r w:rsidRPr="001E5BBD">
        <w:rPr>
          <w:rStyle w:val="s6b621b36"/>
          <w:rFonts w:ascii="Times New Roman" w:hAnsi="Times New Roman" w:cs="Times New Roman"/>
          <w:i/>
          <w:iCs/>
          <w:color w:val="000000"/>
          <w:sz w:val="24"/>
          <w:szCs w:val="24"/>
          <w:shd w:val="clear" w:color="auto" w:fill="FFFFFF"/>
        </w:rPr>
        <w:t>per se</w:t>
      </w:r>
      <w:r w:rsidRPr="001E5BBD">
        <w:rPr>
          <w:rStyle w:val="sb8d990e2"/>
          <w:rFonts w:ascii="Times New Roman" w:hAnsi="Times New Roman" w:cs="Times New Roman"/>
          <w:color w:val="000000"/>
          <w:sz w:val="24"/>
          <w:szCs w:val="24"/>
          <w:shd w:val="clear" w:color="auto" w:fill="FFFFFF"/>
        </w:rPr>
        <w:t xml:space="preserve">, is that such groups were historically subject to prejudice with lasting consequences, resulting in their social exclusion. </w:t>
      </w:r>
      <w:r w:rsidRPr="001E5BBD">
        <w:rPr>
          <w:rStyle w:val="sb8d990e2"/>
          <w:rFonts w:ascii="Times New Roman" w:hAnsi="Times New Roman" w:cs="Times New Roman"/>
          <w:color w:val="000000"/>
          <w:sz w:val="24"/>
          <w:szCs w:val="24"/>
          <w:shd w:val="clear" w:color="auto" w:fill="FFFFFF"/>
        </w:rPr>
        <w:lastRenderedPageBreak/>
        <w:t>Such prejudice could entail legislative stereotyping which prohibits the individualised evaluation of their capacities and needs.</w:t>
      </w:r>
      <w:r w:rsidR="001D0C4E" w:rsidRPr="001E5BBD">
        <w:rPr>
          <w:rStyle w:val="sb8d990e2"/>
          <w:rFonts w:ascii="Times New Roman" w:hAnsi="Times New Roman" w:cs="Times New Roman"/>
          <w:color w:val="000000"/>
          <w:sz w:val="24"/>
          <w:szCs w:val="24"/>
          <w:shd w:val="clear" w:color="auto" w:fill="FFFFFF"/>
        </w:rPr>
        <w:t>”</w:t>
      </w:r>
      <w:r w:rsidR="001D0C4E" w:rsidRPr="001E5BBD">
        <w:rPr>
          <w:rStyle w:val="FootnoteReference"/>
          <w:rFonts w:ascii="Times New Roman" w:hAnsi="Times New Roman" w:cs="Times New Roman"/>
          <w:bCs/>
          <w:color w:val="000000"/>
          <w:sz w:val="24"/>
          <w:szCs w:val="24"/>
        </w:rPr>
        <w:footnoteReference w:id="51"/>
      </w:r>
    </w:p>
    <w:p w14:paraId="12BD1514" w14:textId="6EA61DB6" w:rsidR="003575DD" w:rsidRDefault="001D0C4E" w:rsidP="000141C9">
      <w:pPr>
        <w:spacing w:line="360" w:lineRule="auto"/>
        <w:jc w:val="both"/>
        <w:rPr>
          <w:rStyle w:val="sb8d990e2"/>
          <w:rFonts w:ascii="Times New Roman" w:hAnsi="Times New Roman" w:cs="Times New Roman"/>
          <w:sz w:val="24"/>
          <w:szCs w:val="24"/>
        </w:rPr>
      </w:pPr>
      <w:r>
        <w:rPr>
          <w:rStyle w:val="sb8d990e2"/>
          <w:rFonts w:ascii="Times New Roman" w:hAnsi="Times New Roman" w:cs="Times New Roman"/>
          <w:sz w:val="24"/>
          <w:szCs w:val="24"/>
        </w:rPr>
        <w:t xml:space="preserve">The </w:t>
      </w:r>
      <w:r w:rsidR="00746B6F">
        <w:rPr>
          <w:rStyle w:val="sb8d990e2"/>
          <w:rFonts w:ascii="Times New Roman" w:hAnsi="Times New Roman" w:cs="Times New Roman"/>
          <w:sz w:val="24"/>
          <w:szCs w:val="24"/>
        </w:rPr>
        <w:t xml:space="preserve">ECtHR has ascribed a requirement for “weighty reasons” for discrimination against those with disabilities on multiple occasions. </w:t>
      </w:r>
      <w:r w:rsidR="00FC1E3D">
        <w:rPr>
          <w:rStyle w:val="sb8d990e2"/>
          <w:rFonts w:ascii="Times New Roman" w:hAnsi="Times New Roman" w:cs="Times New Roman"/>
          <w:sz w:val="24"/>
          <w:szCs w:val="24"/>
        </w:rPr>
        <w:t>This is true for both physical and mental disabilities.</w:t>
      </w:r>
      <w:r w:rsidR="00FC1E3D">
        <w:rPr>
          <w:rStyle w:val="FootnoteReference"/>
          <w:rFonts w:ascii="Arial" w:hAnsi="Arial" w:cs="Arial"/>
          <w:color w:val="000000"/>
          <w:shd w:val="clear" w:color="auto" w:fill="FFFFFF"/>
        </w:rPr>
        <w:footnoteReference w:id="52"/>
      </w:r>
      <w:r w:rsidR="005D1FDD">
        <w:rPr>
          <w:rStyle w:val="sb8d990e2"/>
          <w:rFonts w:ascii="Times New Roman" w:hAnsi="Times New Roman" w:cs="Times New Roman"/>
          <w:sz w:val="24"/>
          <w:szCs w:val="24"/>
        </w:rPr>
        <w:t xml:space="preserve"> In the context of welfare benefits, </w:t>
      </w:r>
      <w:r w:rsidR="001E5BBD">
        <w:rPr>
          <w:rStyle w:val="sb8d990e2"/>
          <w:rFonts w:ascii="Times New Roman" w:hAnsi="Times New Roman" w:cs="Times New Roman"/>
          <w:sz w:val="24"/>
          <w:szCs w:val="24"/>
        </w:rPr>
        <w:t xml:space="preserve">this </w:t>
      </w:r>
      <w:r w:rsidR="005D1FDD">
        <w:rPr>
          <w:rStyle w:val="sb8d990e2"/>
          <w:rFonts w:ascii="Times New Roman" w:hAnsi="Times New Roman" w:cs="Times New Roman"/>
          <w:sz w:val="24"/>
          <w:szCs w:val="24"/>
        </w:rPr>
        <w:t xml:space="preserve">is particularly significant. </w:t>
      </w:r>
      <w:r w:rsidR="001E5BBD">
        <w:rPr>
          <w:rStyle w:val="sb8d990e2"/>
          <w:rFonts w:ascii="Times New Roman" w:hAnsi="Times New Roman" w:cs="Times New Roman"/>
          <w:sz w:val="24"/>
          <w:szCs w:val="24"/>
        </w:rPr>
        <w:t xml:space="preserve">Disability benefits have been subject to </w:t>
      </w:r>
      <w:r w:rsidR="0071462F">
        <w:rPr>
          <w:rStyle w:val="sb8d990e2"/>
          <w:rFonts w:ascii="Times New Roman" w:hAnsi="Times New Roman" w:cs="Times New Roman"/>
          <w:sz w:val="24"/>
          <w:szCs w:val="24"/>
        </w:rPr>
        <w:t>substantial</w:t>
      </w:r>
      <w:r w:rsidR="001E5BBD">
        <w:rPr>
          <w:rStyle w:val="sb8d990e2"/>
          <w:rFonts w:ascii="Times New Roman" w:hAnsi="Times New Roman" w:cs="Times New Roman"/>
          <w:sz w:val="24"/>
          <w:szCs w:val="24"/>
        </w:rPr>
        <w:t xml:space="preserve"> revision and resulting reductions in the UK,</w:t>
      </w:r>
      <w:r w:rsidR="00CF71C7">
        <w:rPr>
          <w:rStyle w:val="FootnoteReference"/>
          <w:rFonts w:ascii="Times New Roman" w:hAnsi="Times New Roman" w:cs="Times New Roman"/>
          <w:sz w:val="24"/>
          <w:szCs w:val="24"/>
        </w:rPr>
        <w:footnoteReference w:id="53"/>
      </w:r>
      <w:r w:rsidR="001E5BBD">
        <w:rPr>
          <w:rStyle w:val="sb8d990e2"/>
          <w:rFonts w:ascii="Times New Roman" w:hAnsi="Times New Roman" w:cs="Times New Roman"/>
          <w:sz w:val="24"/>
          <w:szCs w:val="24"/>
        </w:rPr>
        <w:t xml:space="preserve"> with other reforms – particularly to housing benefit – having an especially acute impact </w:t>
      </w:r>
      <w:r w:rsidR="005E090F">
        <w:rPr>
          <w:rStyle w:val="sb8d990e2"/>
          <w:rFonts w:ascii="Times New Roman" w:hAnsi="Times New Roman" w:cs="Times New Roman"/>
          <w:sz w:val="24"/>
          <w:szCs w:val="24"/>
        </w:rPr>
        <w:t>on disabled people, what some have called “disablist austerity”.</w:t>
      </w:r>
      <w:r w:rsidR="00A95991">
        <w:rPr>
          <w:rStyle w:val="FootnoteReference"/>
          <w:rFonts w:ascii="Times New Roman" w:hAnsi="Times New Roman" w:cs="Times New Roman"/>
          <w:sz w:val="24"/>
          <w:szCs w:val="24"/>
        </w:rPr>
        <w:footnoteReference w:id="54"/>
      </w:r>
      <w:r w:rsidR="00F361A1">
        <w:rPr>
          <w:rStyle w:val="sb8d990e2"/>
          <w:rFonts w:ascii="Times New Roman" w:hAnsi="Times New Roman" w:cs="Times New Roman"/>
          <w:sz w:val="24"/>
          <w:szCs w:val="24"/>
        </w:rPr>
        <w:t xml:space="preserve"> Indeed, the impact of austerity on those with disabilities has animated other critiques of the domestic’s court assessment of proportionality and – as part of this – the adoption of the MWRF benchmark.</w:t>
      </w:r>
      <w:r w:rsidR="007B5EB5">
        <w:rPr>
          <w:rStyle w:val="FootnoteReference"/>
          <w:rFonts w:ascii="Times New Roman" w:hAnsi="Times New Roman" w:cs="Times New Roman"/>
          <w:sz w:val="24"/>
          <w:szCs w:val="24"/>
        </w:rPr>
        <w:footnoteReference w:id="55"/>
      </w:r>
      <w:r w:rsidR="00F361A1">
        <w:rPr>
          <w:rStyle w:val="sb8d990e2"/>
          <w:rFonts w:ascii="Times New Roman" w:hAnsi="Times New Roman" w:cs="Times New Roman"/>
          <w:sz w:val="24"/>
          <w:szCs w:val="24"/>
        </w:rPr>
        <w:t xml:space="preserve"> Amos’ arguments on the “second division of human rights adjudication” faced by those affected by austerity measures seeking to assert their social</w:t>
      </w:r>
      <w:r w:rsidR="0071462F">
        <w:rPr>
          <w:rStyle w:val="sb8d990e2"/>
          <w:rFonts w:ascii="Times New Roman" w:hAnsi="Times New Roman" w:cs="Times New Roman"/>
          <w:sz w:val="24"/>
          <w:szCs w:val="24"/>
        </w:rPr>
        <w:t xml:space="preserve"> rights return</w:t>
      </w:r>
      <w:r w:rsidR="00F361A1">
        <w:rPr>
          <w:rStyle w:val="sb8d990e2"/>
          <w:rFonts w:ascii="Times New Roman" w:hAnsi="Times New Roman" w:cs="Times New Roman"/>
          <w:sz w:val="24"/>
          <w:szCs w:val="24"/>
        </w:rPr>
        <w:t xml:space="preserve"> to the ECHR’s core promise to “make it possible for the weakest voice to be heard”</w:t>
      </w:r>
      <w:r w:rsidR="0071462F">
        <w:rPr>
          <w:rStyle w:val="sb8d990e2"/>
          <w:rFonts w:ascii="Times New Roman" w:hAnsi="Times New Roman" w:cs="Times New Roman"/>
          <w:sz w:val="24"/>
          <w:szCs w:val="24"/>
        </w:rPr>
        <w:t>.</w:t>
      </w:r>
      <w:r w:rsidR="00F361A1">
        <w:rPr>
          <w:rStyle w:val="FootnoteReference"/>
          <w:rFonts w:ascii="Times New Roman" w:hAnsi="Times New Roman" w:cs="Times New Roman"/>
        </w:rPr>
        <w:footnoteReference w:id="56"/>
      </w:r>
      <w:r w:rsidR="004A2B89">
        <w:rPr>
          <w:rStyle w:val="sb8d990e2"/>
          <w:rFonts w:ascii="Times New Roman" w:hAnsi="Times New Roman" w:cs="Times New Roman"/>
          <w:sz w:val="24"/>
          <w:szCs w:val="24"/>
        </w:rPr>
        <w:t xml:space="preserve"> </w:t>
      </w:r>
      <w:r w:rsidR="00D057BB">
        <w:rPr>
          <w:rStyle w:val="sb8d990e2"/>
          <w:rFonts w:ascii="Times New Roman" w:hAnsi="Times New Roman" w:cs="Times New Roman"/>
          <w:sz w:val="24"/>
          <w:szCs w:val="24"/>
        </w:rPr>
        <w:t xml:space="preserve">The adversities faced by such groups of claimants </w:t>
      </w:r>
      <w:r w:rsidR="00073F6B">
        <w:rPr>
          <w:rStyle w:val="sb8d990e2"/>
          <w:rFonts w:ascii="Times New Roman" w:hAnsi="Times New Roman" w:cs="Times New Roman"/>
          <w:sz w:val="24"/>
          <w:szCs w:val="24"/>
        </w:rPr>
        <w:t>are recognised by the ECtHR in this</w:t>
      </w:r>
      <w:r w:rsidR="005D1FD6">
        <w:rPr>
          <w:rStyle w:val="sb8d990e2"/>
          <w:rFonts w:ascii="Times New Roman" w:hAnsi="Times New Roman" w:cs="Times New Roman"/>
          <w:sz w:val="24"/>
          <w:szCs w:val="24"/>
        </w:rPr>
        <w:t xml:space="preserve"> significant variation to standard of review.</w:t>
      </w:r>
    </w:p>
    <w:p w14:paraId="7ADE4FC4" w14:textId="06FA9E94" w:rsidR="002A361D" w:rsidRDefault="00397A1E"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On occasion, t</w:t>
      </w:r>
      <w:r w:rsidR="00BC7F5A">
        <w:rPr>
          <w:rFonts w:ascii="Times New Roman" w:hAnsi="Times New Roman" w:cs="Times New Roman"/>
          <w:sz w:val="24"/>
          <w:szCs w:val="24"/>
        </w:rPr>
        <w:t>h</w:t>
      </w:r>
      <w:r>
        <w:rPr>
          <w:rFonts w:ascii="Times New Roman" w:hAnsi="Times New Roman" w:cs="Times New Roman"/>
          <w:sz w:val="24"/>
          <w:szCs w:val="24"/>
        </w:rPr>
        <w:t xml:space="preserve">e court has </w:t>
      </w:r>
      <w:r w:rsidR="00BC7F5A">
        <w:rPr>
          <w:rFonts w:ascii="Times New Roman" w:hAnsi="Times New Roman" w:cs="Times New Roman"/>
          <w:sz w:val="24"/>
          <w:szCs w:val="24"/>
        </w:rPr>
        <w:t>gone further than looking at the</w:t>
      </w:r>
      <w:r w:rsidR="00546EA2">
        <w:rPr>
          <w:rFonts w:ascii="Times New Roman" w:hAnsi="Times New Roman" w:cs="Times New Roman"/>
          <w:sz w:val="24"/>
          <w:szCs w:val="24"/>
        </w:rPr>
        <w:t xml:space="preserve"> discrimination ground at issue by</w:t>
      </w:r>
      <w:r w:rsidR="00BC7F5A">
        <w:rPr>
          <w:rFonts w:ascii="Times New Roman" w:hAnsi="Times New Roman" w:cs="Times New Roman"/>
          <w:sz w:val="24"/>
          <w:szCs w:val="24"/>
        </w:rPr>
        <w:t xml:space="preserve"> seemingly qualifying the application of the MWRF benchmark in relation to other contextual factors – </w:t>
      </w:r>
      <w:r w:rsidR="002A2B37">
        <w:rPr>
          <w:rFonts w:ascii="Times New Roman" w:hAnsi="Times New Roman" w:cs="Times New Roman"/>
          <w:sz w:val="24"/>
          <w:szCs w:val="24"/>
        </w:rPr>
        <w:t xml:space="preserve">in particular </w:t>
      </w:r>
      <w:r w:rsidR="00BC7F5A">
        <w:rPr>
          <w:rFonts w:ascii="Times New Roman" w:hAnsi="Times New Roman" w:cs="Times New Roman"/>
          <w:sz w:val="24"/>
          <w:szCs w:val="24"/>
        </w:rPr>
        <w:t>the sp</w:t>
      </w:r>
      <w:r w:rsidR="002A2B37">
        <w:rPr>
          <w:rFonts w:ascii="Times New Roman" w:hAnsi="Times New Roman" w:cs="Times New Roman"/>
          <w:sz w:val="24"/>
          <w:szCs w:val="24"/>
        </w:rPr>
        <w:t>ecific benefit payment at play</w:t>
      </w:r>
      <w:r w:rsidR="00BC7F5A">
        <w:rPr>
          <w:rFonts w:ascii="Times New Roman" w:hAnsi="Times New Roman" w:cs="Times New Roman"/>
          <w:sz w:val="24"/>
          <w:szCs w:val="24"/>
        </w:rPr>
        <w:t xml:space="preserve">. In </w:t>
      </w:r>
      <w:r w:rsidR="00BC7F5A" w:rsidRPr="002B4917">
        <w:rPr>
          <w:rFonts w:ascii="Times New Roman" w:hAnsi="Times New Roman" w:cs="Times New Roman"/>
          <w:i/>
          <w:sz w:val="24"/>
          <w:szCs w:val="24"/>
        </w:rPr>
        <w:t>Andrle v The Czech Republic</w:t>
      </w:r>
      <w:r w:rsidR="00BC7F5A">
        <w:rPr>
          <w:rStyle w:val="FootnoteReference"/>
          <w:rFonts w:ascii="Times New Roman" w:hAnsi="Times New Roman" w:cs="Times New Roman"/>
          <w:sz w:val="24"/>
          <w:szCs w:val="24"/>
        </w:rPr>
        <w:footnoteReference w:id="57"/>
      </w:r>
      <w:r w:rsidR="008843BC">
        <w:rPr>
          <w:rFonts w:ascii="Times New Roman" w:hAnsi="Times New Roman" w:cs="Times New Roman"/>
          <w:i/>
          <w:sz w:val="24"/>
          <w:szCs w:val="24"/>
        </w:rPr>
        <w:t xml:space="preserve"> </w:t>
      </w:r>
      <w:r w:rsidR="002B4917">
        <w:rPr>
          <w:rFonts w:ascii="Times New Roman" w:hAnsi="Times New Roman" w:cs="Times New Roman"/>
          <w:sz w:val="24"/>
          <w:szCs w:val="24"/>
        </w:rPr>
        <w:t xml:space="preserve">the ECtHR considered whether </w:t>
      </w:r>
      <w:r w:rsidR="00960D48" w:rsidRPr="00960D48">
        <w:rPr>
          <w:rFonts w:ascii="Times New Roman" w:hAnsi="Times New Roman" w:cs="Times New Roman"/>
          <w:sz w:val="24"/>
          <w:szCs w:val="24"/>
        </w:rPr>
        <w:t>a different pensionable age for</w:t>
      </w:r>
      <w:r w:rsidR="00960D48">
        <w:rPr>
          <w:rFonts w:ascii="Times New Roman" w:hAnsi="Times New Roman" w:cs="Times New Roman"/>
          <w:sz w:val="24"/>
          <w:szCs w:val="24"/>
        </w:rPr>
        <w:t xml:space="preserve"> </w:t>
      </w:r>
      <w:r w:rsidR="00960D48" w:rsidRPr="00960D48">
        <w:rPr>
          <w:rFonts w:ascii="Times New Roman" w:hAnsi="Times New Roman" w:cs="Times New Roman"/>
          <w:sz w:val="24"/>
          <w:szCs w:val="24"/>
        </w:rPr>
        <w:t>women</w:t>
      </w:r>
      <w:r w:rsidR="00960D48">
        <w:rPr>
          <w:rFonts w:ascii="Times New Roman" w:hAnsi="Times New Roman" w:cs="Times New Roman"/>
          <w:sz w:val="24"/>
          <w:szCs w:val="24"/>
        </w:rPr>
        <w:t xml:space="preserve"> and men</w:t>
      </w:r>
      <w:r w:rsidR="00960D48" w:rsidRPr="00960D48">
        <w:rPr>
          <w:rFonts w:ascii="Times New Roman" w:hAnsi="Times New Roman" w:cs="Times New Roman"/>
          <w:sz w:val="24"/>
          <w:szCs w:val="24"/>
        </w:rPr>
        <w:t xml:space="preserve"> caring for children </w:t>
      </w:r>
      <w:r w:rsidR="00960D48">
        <w:rPr>
          <w:rFonts w:ascii="Times New Roman" w:hAnsi="Times New Roman" w:cs="Times New Roman"/>
          <w:sz w:val="24"/>
          <w:szCs w:val="24"/>
        </w:rPr>
        <w:t>w</w:t>
      </w:r>
      <w:r w:rsidR="002B4917">
        <w:rPr>
          <w:rFonts w:ascii="Times New Roman" w:hAnsi="Times New Roman" w:cs="Times New Roman"/>
          <w:sz w:val="24"/>
          <w:szCs w:val="24"/>
        </w:rPr>
        <w:t>as justified</w:t>
      </w:r>
      <w:r w:rsidR="00960D48">
        <w:rPr>
          <w:rFonts w:ascii="Times New Roman" w:hAnsi="Times New Roman" w:cs="Times New Roman"/>
          <w:sz w:val="24"/>
          <w:szCs w:val="24"/>
        </w:rPr>
        <w:t xml:space="preserve"> sex disc</w:t>
      </w:r>
      <w:r w:rsidR="00235FE0">
        <w:rPr>
          <w:rFonts w:ascii="Times New Roman" w:hAnsi="Times New Roman" w:cs="Times New Roman"/>
          <w:sz w:val="24"/>
          <w:szCs w:val="24"/>
        </w:rPr>
        <w:t>rimination. The court revisits</w:t>
      </w:r>
      <w:r w:rsidR="00960D48">
        <w:rPr>
          <w:rFonts w:ascii="Times New Roman" w:hAnsi="Times New Roman" w:cs="Times New Roman"/>
          <w:sz w:val="24"/>
          <w:szCs w:val="24"/>
        </w:rPr>
        <w:t xml:space="preserve"> the familiar MWRF formulation, before qualifying it significantly in relation to pension benefits:</w:t>
      </w:r>
    </w:p>
    <w:p w14:paraId="3DA7188D" w14:textId="77777777" w:rsidR="00960D48" w:rsidRPr="002B4917" w:rsidRDefault="00960D48" w:rsidP="000141C9">
      <w:pPr>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w:t>
      </w:r>
      <w:r w:rsidRPr="00960D48">
        <w:rPr>
          <w:rFonts w:ascii="Times New Roman" w:hAnsi="Times New Roman" w:cs="Times New Roman"/>
          <w:sz w:val="24"/>
          <w:szCs w:val="24"/>
        </w:rPr>
        <w:t xml:space="preserve">pension systems constitute cornerstones of modern European welfare systems. </w:t>
      </w:r>
      <w:r>
        <w:rPr>
          <w:rFonts w:ascii="Times New Roman" w:hAnsi="Times New Roman" w:cs="Times New Roman"/>
          <w:sz w:val="24"/>
          <w:szCs w:val="24"/>
        </w:rPr>
        <w:t>…</w:t>
      </w:r>
      <w:r w:rsidRPr="00960D48">
        <w:rPr>
          <w:rFonts w:ascii="Times New Roman" w:hAnsi="Times New Roman" w:cs="Times New Roman"/>
          <w:sz w:val="24"/>
          <w:szCs w:val="24"/>
        </w:rPr>
        <w:t xml:space="preserve">The inherent features of the system – stability and reliability – allow for lifelong family and career planning. For these reasons the Court considers that any adjustments of the pension schemes must be carried out in a gradual, cautious and </w:t>
      </w:r>
      <w:r w:rsidRPr="00960D48">
        <w:rPr>
          <w:rFonts w:ascii="Times New Roman" w:hAnsi="Times New Roman" w:cs="Times New Roman"/>
          <w:sz w:val="24"/>
          <w:szCs w:val="24"/>
        </w:rPr>
        <w:lastRenderedPageBreak/>
        <w:t>measured manner. Any other approach could endanger social peace, foreseeability of the pen</w:t>
      </w:r>
      <w:r>
        <w:rPr>
          <w:rFonts w:ascii="Times New Roman" w:hAnsi="Times New Roman" w:cs="Times New Roman"/>
          <w:sz w:val="24"/>
          <w:szCs w:val="24"/>
        </w:rPr>
        <w:t>sion system and legal certainty.</w:t>
      </w:r>
      <w:r w:rsidR="00227530">
        <w:rPr>
          <w:rStyle w:val="FootnoteReference"/>
          <w:rFonts w:ascii="Times New Roman" w:hAnsi="Times New Roman" w:cs="Times New Roman"/>
          <w:sz w:val="24"/>
          <w:szCs w:val="24"/>
        </w:rPr>
        <w:footnoteReference w:id="58"/>
      </w:r>
    </w:p>
    <w:p w14:paraId="4E65A6EC" w14:textId="77777777" w:rsidR="00C768C7" w:rsidRDefault="00D77D72" w:rsidP="000141C9">
      <w:pPr>
        <w:spacing w:line="360" w:lineRule="auto"/>
        <w:jc w:val="both"/>
        <w:rPr>
          <w:rStyle w:val="sb8d990e2"/>
          <w:rFonts w:ascii="Times New Roman" w:hAnsi="Times New Roman" w:cs="Times New Roman"/>
          <w:color w:val="000000"/>
          <w:sz w:val="24"/>
          <w:szCs w:val="24"/>
        </w:rPr>
      </w:pPr>
      <w:r>
        <w:rPr>
          <w:rFonts w:ascii="Times New Roman" w:hAnsi="Times New Roman" w:cs="Times New Roman"/>
          <w:sz w:val="24"/>
          <w:szCs w:val="24"/>
        </w:rPr>
        <w:t>The court adopts this</w:t>
      </w:r>
      <w:r w:rsidR="00A91111">
        <w:rPr>
          <w:rFonts w:ascii="Times New Roman" w:hAnsi="Times New Roman" w:cs="Times New Roman"/>
          <w:sz w:val="24"/>
          <w:szCs w:val="24"/>
        </w:rPr>
        <w:t xml:space="preserve"> significant qualification – the “gradual, cautious and measured” riders – as part of their assessment of the MWRF foundation benchmark. The </w:t>
      </w:r>
      <w:r>
        <w:rPr>
          <w:rFonts w:ascii="Times New Roman" w:hAnsi="Times New Roman" w:cs="Times New Roman"/>
          <w:sz w:val="24"/>
          <w:szCs w:val="24"/>
        </w:rPr>
        <w:t xml:space="preserve">centrality of pensions to the welfare state, therefore, effectively softens the </w:t>
      </w:r>
      <w:r w:rsidRPr="00297970">
        <w:rPr>
          <w:rFonts w:ascii="Times New Roman" w:hAnsi="Times New Roman" w:cs="Times New Roman"/>
          <w:sz w:val="24"/>
          <w:szCs w:val="24"/>
        </w:rPr>
        <w:t>margin of appreciation. We</w:t>
      </w:r>
      <w:r w:rsidR="00DE25C0">
        <w:rPr>
          <w:rFonts w:ascii="Times New Roman" w:hAnsi="Times New Roman" w:cs="Times New Roman"/>
          <w:sz w:val="24"/>
          <w:szCs w:val="24"/>
        </w:rPr>
        <w:t xml:space="preserve"> see</w:t>
      </w:r>
      <w:r w:rsidR="00766017">
        <w:rPr>
          <w:rFonts w:ascii="Times New Roman" w:hAnsi="Times New Roman" w:cs="Times New Roman"/>
          <w:sz w:val="24"/>
          <w:szCs w:val="24"/>
        </w:rPr>
        <w:t xml:space="preserve"> a similar</w:t>
      </w:r>
      <w:r w:rsidRPr="00297970">
        <w:rPr>
          <w:rFonts w:ascii="Times New Roman" w:hAnsi="Times New Roman" w:cs="Times New Roman"/>
          <w:sz w:val="24"/>
          <w:szCs w:val="24"/>
        </w:rPr>
        <w:t xml:space="preserve"> approach </w:t>
      </w:r>
      <w:r w:rsidR="0000025B" w:rsidRPr="00297970">
        <w:rPr>
          <w:rFonts w:ascii="Times New Roman" w:hAnsi="Times New Roman" w:cs="Times New Roman"/>
          <w:sz w:val="24"/>
          <w:szCs w:val="24"/>
        </w:rPr>
        <w:t xml:space="preserve">reflected again in </w:t>
      </w:r>
      <w:r w:rsidR="00D56241">
        <w:rPr>
          <w:rFonts w:ascii="Times New Roman" w:hAnsi="Times New Roman" w:cs="Times New Roman"/>
          <w:i/>
          <w:sz w:val="24"/>
          <w:szCs w:val="24"/>
        </w:rPr>
        <w:t xml:space="preserve">Valkov </w:t>
      </w:r>
      <w:r w:rsidR="00A3317F" w:rsidRPr="00A3317F">
        <w:rPr>
          <w:rFonts w:ascii="Times New Roman" w:hAnsi="Times New Roman" w:cs="Times New Roman"/>
          <w:i/>
          <w:sz w:val="24"/>
          <w:szCs w:val="24"/>
        </w:rPr>
        <w:t>v Bulgaria</w:t>
      </w:r>
      <w:r w:rsidR="00A3317F">
        <w:rPr>
          <w:rFonts w:ascii="Times New Roman" w:hAnsi="Times New Roman" w:cs="Times New Roman"/>
          <w:sz w:val="24"/>
          <w:szCs w:val="24"/>
        </w:rPr>
        <w:t>,</w:t>
      </w:r>
      <w:bookmarkStart w:id="7" w:name="_Ref16581235"/>
      <w:r w:rsidR="00A3317F">
        <w:rPr>
          <w:rStyle w:val="FootnoteReference"/>
          <w:rFonts w:ascii="Times New Roman" w:hAnsi="Times New Roman" w:cs="Times New Roman"/>
          <w:color w:val="000000"/>
          <w:sz w:val="24"/>
          <w:szCs w:val="24"/>
        </w:rPr>
        <w:footnoteReference w:id="59"/>
      </w:r>
      <w:bookmarkEnd w:id="7"/>
      <w:r w:rsidR="00A3317F">
        <w:rPr>
          <w:rFonts w:ascii="Times New Roman" w:hAnsi="Times New Roman" w:cs="Times New Roman"/>
          <w:sz w:val="24"/>
          <w:szCs w:val="24"/>
        </w:rPr>
        <w:t xml:space="preserve"> where the court refers to the possible </w:t>
      </w:r>
      <w:r w:rsidR="0000025B" w:rsidRPr="00297970">
        <w:rPr>
          <w:rStyle w:val="sb8d990e2"/>
          <w:rFonts w:ascii="Times New Roman" w:hAnsi="Times New Roman" w:cs="Times New Roman"/>
          <w:color w:val="000000"/>
          <w:sz w:val="24"/>
          <w:szCs w:val="24"/>
        </w:rPr>
        <w:t>“impairment of the essence of his pension rights</w:t>
      </w:r>
      <w:r w:rsidR="00297970">
        <w:rPr>
          <w:rStyle w:val="sb8d990e2"/>
          <w:rFonts w:ascii="Times New Roman" w:hAnsi="Times New Roman" w:cs="Times New Roman"/>
          <w:color w:val="000000"/>
          <w:sz w:val="24"/>
          <w:szCs w:val="24"/>
        </w:rPr>
        <w:t xml:space="preserve">” </w:t>
      </w:r>
      <w:r w:rsidR="00DE25C0">
        <w:rPr>
          <w:rStyle w:val="sb8d990e2"/>
          <w:rFonts w:ascii="Times New Roman" w:hAnsi="Times New Roman" w:cs="Times New Roman"/>
          <w:color w:val="000000"/>
          <w:sz w:val="24"/>
          <w:szCs w:val="24"/>
        </w:rPr>
        <w:t xml:space="preserve">when outlining the MWRF test </w:t>
      </w:r>
      <w:r w:rsidR="00297970">
        <w:rPr>
          <w:rStyle w:val="sb8d990e2"/>
          <w:rFonts w:ascii="Times New Roman" w:hAnsi="Times New Roman" w:cs="Times New Roman"/>
          <w:color w:val="000000"/>
          <w:sz w:val="24"/>
          <w:szCs w:val="24"/>
        </w:rPr>
        <w:t>in relation to A1P1.</w:t>
      </w:r>
    </w:p>
    <w:p w14:paraId="2CC19370" w14:textId="77777777" w:rsidR="00260C1D" w:rsidRDefault="00B16AA3" w:rsidP="000141C9">
      <w:pPr>
        <w:pStyle w:val="ListParagraph"/>
        <w:numPr>
          <w:ilvl w:val="0"/>
          <w:numId w:val="2"/>
        </w:numPr>
        <w:spacing w:line="360" w:lineRule="auto"/>
        <w:rPr>
          <w:rFonts w:ascii="Times New Roman" w:hAnsi="Times New Roman" w:cs="Times New Roman"/>
          <w:sz w:val="24"/>
          <w:szCs w:val="24"/>
        </w:rPr>
      </w:pPr>
      <w:r>
        <w:rPr>
          <w:rFonts w:ascii="Times New Roman" w:hAnsi="Times New Roman" w:cs="Times New Roman"/>
          <w:sz w:val="24"/>
          <w:szCs w:val="24"/>
        </w:rPr>
        <w:t>The MWRF test is not as high a bar for a claimant to pass as is often implied.</w:t>
      </w:r>
    </w:p>
    <w:p w14:paraId="1941F227" w14:textId="77777777" w:rsidR="00786403" w:rsidRDefault="00991B2A" w:rsidP="00397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Given the frequency of references to this MWRF formulation, what does this benchmark actually mean for a court’s assessment of </w:t>
      </w:r>
      <w:r w:rsidRPr="00AA581F">
        <w:rPr>
          <w:rFonts w:ascii="Times New Roman" w:hAnsi="Times New Roman" w:cs="Times New Roman"/>
          <w:sz w:val="24"/>
          <w:szCs w:val="24"/>
        </w:rPr>
        <w:t xml:space="preserve">justification? </w:t>
      </w:r>
      <w:r w:rsidR="00F938BE" w:rsidRPr="00AA581F">
        <w:rPr>
          <w:rFonts w:ascii="Times New Roman" w:hAnsi="Times New Roman" w:cs="Times New Roman"/>
          <w:sz w:val="24"/>
          <w:szCs w:val="24"/>
        </w:rPr>
        <w:t xml:space="preserve">In the UK, Lady Hale’s </w:t>
      </w:r>
      <w:r w:rsidR="00B16AA3" w:rsidRPr="00AA581F">
        <w:rPr>
          <w:rFonts w:ascii="Times New Roman" w:hAnsi="Times New Roman" w:cs="Times New Roman"/>
          <w:sz w:val="24"/>
          <w:szCs w:val="24"/>
        </w:rPr>
        <w:t>judgment</w:t>
      </w:r>
      <w:r w:rsidR="00F938BE" w:rsidRPr="00AA581F">
        <w:rPr>
          <w:rFonts w:ascii="Times New Roman" w:hAnsi="Times New Roman" w:cs="Times New Roman"/>
          <w:sz w:val="24"/>
          <w:szCs w:val="24"/>
        </w:rPr>
        <w:t xml:space="preserve"> in </w:t>
      </w:r>
      <w:r w:rsidR="00AA581F" w:rsidRPr="00AA581F">
        <w:rPr>
          <w:rFonts w:ascii="Times New Roman" w:hAnsi="Times New Roman" w:cs="Times New Roman"/>
          <w:i/>
          <w:sz w:val="24"/>
          <w:szCs w:val="24"/>
        </w:rPr>
        <w:t>Humphreys v The Commissioners for Her Majesty's Revenue and Customs</w:t>
      </w:r>
      <w:r w:rsidR="00AA581F" w:rsidRPr="00AA581F">
        <w:rPr>
          <w:rStyle w:val="FootnoteReference"/>
          <w:rFonts w:ascii="Times New Roman" w:hAnsi="Times New Roman" w:cs="Times New Roman"/>
          <w:sz w:val="24"/>
          <w:szCs w:val="24"/>
        </w:rPr>
        <w:footnoteReference w:id="60"/>
      </w:r>
      <w:r w:rsidR="00061D7B" w:rsidRPr="00AA581F">
        <w:rPr>
          <w:rFonts w:ascii="Times New Roman" w:hAnsi="Times New Roman" w:cs="Times New Roman"/>
          <w:i/>
          <w:sz w:val="24"/>
          <w:szCs w:val="24"/>
        </w:rPr>
        <w:t xml:space="preserve"> </w:t>
      </w:r>
      <w:r w:rsidR="00061D7B" w:rsidRPr="00AA581F">
        <w:rPr>
          <w:rFonts w:ascii="Times New Roman" w:hAnsi="Times New Roman" w:cs="Times New Roman"/>
          <w:sz w:val="24"/>
          <w:szCs w:val="24"/>
        </w:rPr>
        <w:t>sounds a</w:t>
      </w:r>
      <w:r w:rsidR="00F938BE" w:rsidRPr="00AA581F">
        <w:rPr>
          <w:rFonts w:ascii="Times New Roman" w:hAnsi="Times New Roman" w:cs="Times New Roman"/>
          <w:sz w:val="24"/>
          <w:szCs w:val="24"/>
        </w:rPr>
        <w:t xml:space="preserve"> cautionary note, </w:t>
      </w:r>
      <w:r w:rsidR="00061D7B" w:rsidRPr="00AA581F">
        <w:rPr>
          <w:rFonts w:ascii="Times New Roman" w:hAnsi="Times New Roman" w:cs="Times New Roman"/>
          <w:sz w:val="24"/>
          <w:szCs w:val="24"/>
        </w:rPr>
        <w:t>suggesting that the application of the MWRF standard does</w:t>
      </w:r>
      <w:r w:rsidR="00061D7B">
        <w:rPr>
          <w:rFonts w:ascii="Times New Roman" w:hAnsi="Times New Roman" w:cs="Times New Roman"/>
          <w:sz w:val="24"/>
          <w:szCs w:val="24"/>
        </w:rPr>
        <w:t xml:space="preserve"> not mean that the </w:t>
      </w:r>
      <w:r w:rsidR="00061D7B" w:rsidRPr="00061D7B">
        <w:rPr>
          <w:rFonts w:ascii="Times New Roman" w:hAnsi="Times New Roman" w:cs="Times New Roman"/>
          <w:sz w:val="24"/>
          <w:szCs w:val="24"/>
        </w:rPr>
        <w:t>rule</w:t>
      </w:r>
      <w:r w:rsidR="00061D7B">
        <w:rPr>
          <w:rFonts w:ascii="Times New Roman" w:hAnsi="Times New Roman" w:cs="Times New Roman"/>
          <w:sz w:val="24"/>
          <w:szCs w:val="24"/>
        </w:rPr>
        <w:t xml:space="preserve"> under consideration</w:t>
      </w:r>
      <w:r w:rsidR="00061D7B" w:rsidRPr="00061D7B">
        <w:rPr>
          <w:rFonts w:ascii="Times New Roman" w:hAnsi="Times New Roman" w:cs="Times New Roman"/>
          <w:sz w:val="24"/>
          <w:szCs w:val="24"/>
        </w:rPr>
        <w:t xml:space="preserve"> </w:t>
      </w:r>
      <w:r w:rsidR="00061D7B">
        <w:rPr>
          <w:rFonts w:ascii="Times New Roman" w:hAnsi="Times New Roman" w:cs="Times New Roman"/>
          <w:sz w:val="24"/>
          <w:szCs w:val="24"/>
        </w:rPr>
        <w:t>“</w:t>
      </w:r>
      <w:r w:rsidR="00061D7B" w:rsidRPr="00061D7B">
        <w:rPr>
          <w:rFonts w:ascii="Times New Roman" w:hAnsi="Times New Roman" w:cs="Times New Roman"/>
          <w:sz w:val="24"/>
          <w:szCs w:val="24"/>
        </w:rPr>
        <w:t>should escape careful scrutiny</w:t>
      </w:r>
      <w:r w:rsidR="00061D7B">
        <w:rPr>
          <w:rFonts w:ascii="Times New Roman" w:hAnsi="Times New Roman" w:cs="Times New Roman"/>
          <w:sz w:val="24"/>
          <w:szCs w:val="24"/>
        </w:rPr>
        <w:t>”.</w:t>
      </w:r>
      <w:r w:rsidR="0013161E">
        <w:rPr>
          <w:rStyle w:val="FootnoteReference"/>
          <w:rFonts w:ascii="Times New Roman" w:hAnsi="Times New Roman" w:cs="Times New Roman"/>
          <w:sz w:val="24"/>
          <w:szCs w:val="24"/>
        </w:rPr>
        <w:footnoteReference w:id="61"/>
      </w:r>
      <w:r w:rsidR="00224573">
        <w:rPr>
          <w:rFonts w:ascii="Times New Roman" w:hAnsi="Times New Roman" w:cs="Times New Roman"/>
          <w:sz w:val="24"/>
          <w:szCs w:val="24"/>
        </w:rPr>
        <w:t xml:space="preserve"> There are two questions that need answering here. First, does the MWRF actually add anything to the standard “objective and reasonable justification” bar, and if so, what? Second, is the MWRF </w:t>
      </w:r>
      <w:r w:rsidR="00985387">
        <w:rPr>
          <w:rFonts w:ascii="Times New Roman" w:hAnsi="Times New Roman" w:cs="Times New Roman"/>
          <w:sz w:val="24"/>
          <w:szCs w:val="24"/>
        </w:rPr>
        <w:t xml:space="preserve">test </w:t>
      </w:r>
      <w:r w:rsidR="00224573">
        <w:rPr>
          <w:rFonts w:ascii="Times New Roman" w:hAnsi="Times New Roman" w:cs="Times New Roman"/>
          <w:sz w:val="24"/>
          <w:szCs w:val="24"/>
        </w:rPr>
        <w:t>confined to a particular stage of a proportionality assessment?</w:t>
      </w:r>
    </w:p>
    <w:p w14:paraId="11F37A11" w14:textId="77777777" w:rsidR="004324E0" w:rsidRDefault="00FE59C2" w:rsidP="000141C9">
      <w:pPr>
        <w:spacing w:line="360" w:lineRule="auto"/>
        <w:jc w:val="both"/>
        <w:rPr>
          <w:rFonts w:ascii="Times New Roman" w:hAnsi="Times New Roman" w:cs="Times New Roman"/>
          <w:sz w:val="24"/>
          <w:szCs w:val="24"/>
        </w:rPr>
      </w:pPr>
      <w:r>
        <w:rPr>
          <w:rFonts w:ascii="Times New Roman" w:hAnsi="Times New Roman" w:cs="Times New Roman"/>
          <w:sz w:val="24"/>
          <w:szCs w:val="24"/>
        </w:rPr>
        <w:t>On the first question, the ECtHR authority is clear that the test does not supplant a full proportionality analysis or passport a</w:t>
      </w:r>
      <w:r w:rsidR="00CB5030">
        <w:rPr>
          <w:rFonts w:ascii="Times New Roman" w:hAnsi="Times New Roman" w:cs="Times New Roman"/>
          <w:sz w:val="24"/>
          <w:szCs w:val="24"/>
        </w:rPr>
        <w:t xml:space="preserve"> </w:t>
      </w:r>
      <w:r w:rsidR="009B43EF">
        <w:rPr>
          <w:rFonts w:ascii="Times New Roman" w:hAnsi="Times New Roman" w:cs="Times New Roman"/>
          <w:sz w:val="24"/>
          <w:szCs w:val="24"/>
        </w:rPr>
        <w:t>specific</w:t>
      </w:r>
      <w:r>
        <w:rPr>
          <w:rFonts w:ascii="Times New Roman" w:hAnsi="Times New Roman" w:cs="Times New Roman"/>
          <w:sz w:val="24"/>
          <w:szCs w:val="24"/>
        </w:rPr>
        <w:t xml:space="preserve"> threshold</w:t>
      </w:r>
      <w:r w:rsidR="009B43EF">
        <w:rPr>
          <w:rFonts w:ascii="Times New Roman" w:hAnsi="Times New Roman" w:cs="Times New Roman"/>
          <w:sz w:val="24"/>
          <w:szCs w:val="24"/>
        </w:rPr>
        <w:t xml:space="preserve"> to pass</w:t>
      </w:r>
      <w:r w:rsidR="00C73F00">
        <w:rPr>
          <w:rFonts w:ascii="Times New Roman" w:hAnsi="Times New Roman" w:cs="Times New Roman"/>
          <w:sz w:val="24"/>
          <w:szCs w:val="24"/>
        </w:rPr>
        <w:t>.</w:t>
      </w:r>
      <w:r>
        <w:rPr>
          <w:rFonts w:ascii="Times New Roman" w:hAnsi="Times New Roman" w:cs="Times New Roman"/>
          <w:sz w:val="24"/>
          <w:szCs w:val="24"/>
        </w:rPr>
        <w:t xml:space="preserve"> </w:t>
      </w:r>
      <w:r w:rsidR="00C73F00">
        <w:rPr>
          <w:rFonts w:ascii="Times New Roman" w:hAnsi="Times New Roman" w:cs="Times New Roman"/>
          <w:sz w:val="24"/>
          <w:szCs w:val="24"/>
        </w:rPr>
        <w:t>I</w:t>
      </w:r>
      <w:r>
        <w:rPr>
          <w:rFonts w:ascii="Times New Roman" w:hAnsi="Times New Roman" w:cs="Times New Roman"/>
          <w:sz w:val="24"/>
          <w:szCs w:val="24"/>
        </w:rPr>
        <w:t xml:space="preserve">nstead, the court should evaluate all relevant </w:t>
      </w:r>
      <w:r w:rsidR="0044550B">
        <w:rPr>
          <w:rFonts w:ascii="Times New Roman" w:hAnsi="Times New Roman" w:cs="Times New Roman"/>
          <w:sz w:val="24"/>
          <w:szCs w:val="24"/>
        </w:rPr>
        <w:t>issues,</w:t>
      </w:r>
      <w:r>
        <w:rPr>
          <w:rFonts w:ascii="Times New Roman" w:hAnsi="Times New Roman" w:cs="Times New Roman"/>
          <w:sz w:val="24"/>
          <w:szCs w:val="24"/>
        </w:rPr>
        <w:t xml:space="preserve"> as they would do in any assessment of proportionality.</w:t>
      </w:r>
      <w:r w:rsidR="00B35E2E">
        <w:rPr>
          <w:rFonts w:ascii="Times New Roman" w:hAnsi="Times New Roman" w:cs="Times New Roman"/>
          <w:sz w:val="24"/>
          <w:szCs w:val="24"/>
        </w:rPr>
        <w:t xml:space="preserve"> </w:t>
      </w:r>
      <w:r w:rsidR="0043445B">
        <w:rPr>
          <w:rFonts w:ascii="Times New Roman" w:hAnsi="Times New Roman" w:cs="Times New Roman"/>
          <w:sz w:val="24"/>
          <w:szCs w:val="24"/>
        </w:rPr>
        <w:t xml:space="preserve">For instance, </w:t>
      </w:r>
      <w:r w:rsidR="0043445B">
        <w:rPr>
          <w:rFonts w:ascii="Times New Roman" w:hAnsi="Times New Roman" w:cs="Times New Roman"/>
          <w:i/>
          <w:sz w:val="24"/>
          <w:szCs w:val="24"/>
        </w:rPr>
        <w:t>Bah v United Kingdom</w:t>
      </w:r>
      <w:bookmarkStart w:id="8" w:name="_Ref16581082"/>
      <w:r w:rsidR="0043445B" w:rsidRPr="0043445B">
        <w:rPr>
          <w:rStyle w:val="FootnoteReference"/>
          <w:rFonts w:ascii="Times New Roman" w:hAnsi="Times New Roman" w:cs="Times New Roman"/>
          <w:sz w:val="24"/>
          <w:szCs w:val="24"/>
        </w:rPr>
        <w:footnoteReference w:id="62"/>
      </w:r>
      <w:bookmarkEnd w:id="8"/>
      <w:r w:rsidR="0043445B">
        <w:rPr>
          <w:rFonts w:ascii="Times New Roman" w:hAnsi="Times New Roman" w:cs="Times New Roman"/>
          <w:sz w:val="24"/>
          <w:szCs w:val="24"/>
        </w:rPr>
        <w:t xml:space="preserve"> </w:t>
      </w:r>
      <w:r w:rsidR="009F00DB">
        <w:rPr>
          <w:rFonts w:ascii="Times New Roman" w:hAnsi="Times New Roman" w:cs="Times New Roman"/>
          <w:sz w:val="24"/>
          <w:szCs w:val="24"/>
        </w:rPr>
        <w:t xml:space="preserve">is drawn on frequently by domestic courts </w:t>
      </w:r>
      <w:r w:rsidR="00726D6E">
        <w:rPr>
          <w:rFonts w:ascii="Times New Roman" w:hAnsi="Times New Roman" w:cs="Times New Roman"/>
          <w:sz w:val="24"/>
          <w:szCs w:val="24"/>
        </w:rPr>
        <w:t>as an authority on the</w:t>
      </w:r>
      <w:r w:rsidR="00985387">
        <w:rPr>
          <w:rFonts w:ascii="Times New Roman" w:hAnsi="Times New Roman" w:cs="Times New Roman"/>
          <w:sz w:val="24"/>
          <w:szCs w:val="24"/>
        </w:rPr>
        <w:t xml:space="preserve"> application of the MWRF test</w:t>
      </w:r>
      <w:r w:rsidR="00726D6E">
        <w:rPr>
          <w:rFonts w:ascii="Times New Roman" w:hAnsi="Times New Roman" w:cs="Times New Roman"/>
          <w:sz w:val="24"/>
          <w:szCs w:val="24"/>
        </w:rPr>
        <w:t>.</w:t>
      </w:r>
      <w:r w:rsidR="00923FBC">
        <w:rPr>
          <w:rStyle w:val="FootnoteReference"/>
          <w:rFonts w:ascii="Times New Roman" w:hAnsi="Times New Roman" w:cs="Times New Roman"/>
          <w:sz w:val="24"/>
          <w:szCs w:val="24"/>
        </w:rPr>
        <w:footnoteReference w:id="63"/>
      </w:r>
      <w:r w:rsidR="00E228C6">
        <w:rPr>
          <w:rFonts w:ascii="Times New Roman" w:hAnsi="Times New Roman" w:cs="Times New Roman"/>
          <w:sz w:val="24"/>
          <w:szCs w:val="24"/>
        </w:rPr>
        <w:t xml:space="preserve"> An examination of this decision, however, reveals that even in the am</w:t>
      </w:r>
      <w:r w:rsidR="00BC4848">
        <w:rPr>
          <w:rFonts w:ascii="Times New Roman" w:hAnsi="Times New Roman" w:cs="Times New Roman"/>
          <w:sz w:val="24"/>
          <w:szCs w:val="24"/>
        </w:rPr>
        <w:t>bit of the MWRF benchmark</w:t>
      </w:r>
      <w:r w:rsidR="00E228C6">
        <w:rPr>
          <w:rFonts w:ascii="Times New Roman" w:hAnsi="Times New Roman" w:cs="Times New Roman"/>
          <w:sz w:val="24"/>
          <w:szCs w:val="24"/>
        </w:rPr>
        <w:t>, the court must still adopt a context-sensitive and flexible approach. When assessing the justification of discrimination on the grounds of immigration status, the court undersco</w:t>
      </w:r>
      <w:r w:rsidR="00BC4848">
        <w:rPr>
          <w:rFonts w:ascii="Times New Roman" w:hAnsi="Times New Roman" w:cs="Times New Roman"/>
          <w:sz w:val="24"/>
          <w:szCs w:val="24"/>
        </w:rPr>
        <w:t>r</w:t>
      </w:r>
      <w:r w:rsidR="00E228C6">
        <w:rPr>
          <w:rFonts w:ascii="Times New Roman" w:hAnsi="Times New Roman" w:cs="Times New Roman"/>
          <w:sz w:val="24"/>
          <w:szCs w:val="24"/>
        </w:rPr>
        <w:t>es the finely textured approach</w:t>
      </w:r>
      <w:r w:rsidR="00BC4848">
        <w:rPr>
          <w:rFonts w:ascii="Times New Roman" w:hAnsi="Times New Roman" w:cs="Times New Roman"/>
          <w:sz w:val="24"/>
          <w:szCs w:val="24"/>
        </w:rPr>
        <w:t xml:space="preserve"> when applying the MWRF test to the case itself</w:t>
      </w:r>
      <w:r w:rsidR="00E228C6">
        <w:rPr>
          <w:rFonts w:ascii="Times New Roman" w:hAnsi="Times New Roman" w:cs="Times New Roman"/>
          <w:sz w:val="24"/>
          <w:szCs w:val="24"/>
        </w:rPr>
        <w:t>, noting that</w:t>
      </w:r>
      <w:r w:rsidR="004324E0">
        <w:rPr>
          <w:rFonts w:ascii="Times New Roman" w:hAnsi="Times New Roman" w:cs="Times New Roman"/>
          <w:sz w:val="24"/>
          <w:szCs w:val="24"/>
        </w:rPr>
        <w:t>:</w:t>
      </w:r>
    </w:p>
    <w:p w14:paraId="449EA4FC" w14:textId="77777777" w:rsidR="0095612A" w:rsidRDefault="00E228C6" w:rsidP="000141C9">
      <w:pPr>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lastRenderedPageBreak/>
        <w:t>“</w:t>
      </w:r>
      <w:r w:rsidR="004324E0">
        <w:rPr>
          <w:rFonts w:ascii="Times New Roman" w:hAnsi="Times New Roman" w:cs="Times New Roman"/>
          <w:sz w:val="24"/>
          <w:szCs w:val="24"/>
        </w:rPr>
        <w:t>…</w:t>
      </w:r>
      <w:r>
        <w:rPr>
          <w:rFonts w:ascii="Times New Roman" w:hAnsi="Times New Roman" w:cs="Times New Roman"/>
          <w:sz w:val="24"/>
          <w:szCs w:val="24"/>
        </w:rPr>
        <w:t>while differential treatment on this ground must still be objectively and reasonably justifiable, the justification required will not be as weighty as in the case of a distinction based, for example, on nationality</w:t>
      </w:r>
      <w:r w:rsidR="0095612A">
        <w:rPr>
          <w:rFonts w:ascii="Times New Roman" w:hAnsi="Times New Roman" w:cs="Times New Roman"/>
          <w:sz w:val="24"/>
          <w:szCs w:val="24"/>
        </w:rPr>
        <w:t>…given that the subject of this case...is predominantly socio-economic in nature, the margin of appreciation accorded to the Government will be relatively wide</w:t>
      </w:r>
      <w:r>
        <w:rPr>
          <w:rFonts w:ascii="Times New Roman" w:hAnsi="Times New Roman" w:cs="Times New Roman"/>
          <w:sz w:val="24"/>
          <w:szCs w:val="24"/>
        </w:rPr>
        <w:t>”.</w:t>
      </w:r>
      <w:r w:rsidR="00914B94">
        <w:rPr>
          <w:rStyle w:val="FootnoteReference"/>
          <w:rFonts w:ascii="Times New Roman" w:hAnsi="Times New Roman" w:cs="Times New Roman"/>
          <w:sz w:val="24"/>
          <w:szCs w:val="24"/>
        </w:rPr>
        <w:footnoteReference w:id="64"/>
      </w:r>
    </w:p>
    <w:p w14:paraId="152C23FA" w14:textId="77777777" w:rsidR="001C28C1" w:rsidRDefault="00E228C6" w:rsidP="000141C9">
      <w:pPr>
        <w:spacing w:line="360" w:lineRule="auto"/>
        <w:jc w:val="both"/>
        <w:rPr>
          <w:rFonts w:ascii="Times New Roman" w:hAnsi="Times New Roman" w:cs="Times New Roman"/>
          <w:color w:val="000000"/>
          <w:sz w:val="24"/>
          <w:szCs w:val="24"/>
          <w:shd w:val="clear" w:color="auto" w:fill="FFFFFF"/>
        </w:rPr>
      </w:pPr>
      <w:r w:rsidRPr="00693A01">
        <w:rPr>
          <w:rFonts w:ascii="Times New Roman" w:hAnsi="Times New Roman" w:cs="Times New Roman"/>
          <w:sz w:val="24"/>
          <w:szCs w:val="24"/>
        </w:rPr>
        <w:t>In</w:t>
      </w:r>
      <w:r w:rsidR="00BC4848" w:rsidRPr="00693A01">
        <w:rPr>
          <w:rFonts w:ascii="Times New Roman" w:hAnsi="Times New Roman" w:cs="Times New Roman"/>
          <w:sz w:val="24"/>
          <w:szCs w:val="24"/>
        </w:rPr>
        <w:t>deed</w:t>
      </w:r>
      <w:r w:rsidR="001C28C1" w:rsidRPr="00693A01">
        <w:rPr>
          <w:rFonts w:ascii="Times New Roman" w:hAnsi="Times New Roman" w:cs="Times New Roman"/>
          <w:sz w:val="24"/>
          <w:szCs w:val="24"/>
        </w:rPr>
        <w:t>, in the application of the proportionality assessment to the case, it is not clear that the imposition of the MWRF imposes a particular standard at all. The court concludes by noting that the “</w:t>
      </w:r>
      <w:r w:rsidR="001C28C1" w:rsidRPr="00693A01">
        <w:rPr>
          <w:rFonts w:ascii="Times New Roman" w:hAnsi="Times New Roman" w:cs="Times New Roman"/>
          <w:color w:val="000000"/>
          <w:sz w:val="24"/>
          <w:szCs w:val="24"/>
          <w:shd w:val="clear" w:color="auto" w:fill="FFFFFF"/>
        </w:rPr>
        <w:t>the differential treatment to which the applicant was subjected was reasonably and objectively justified”</w:t>
      </w:r>
      <w:r w:rsidR="00E4203B">
        <w:rPr>
          <w:rFonts w:ascii="Times New Roman" w:hAnsi="Times New Roman" w:cs="Times New Roman"/>
          <w:color w:val="000000"/>
          <w:sz w:val="24"/>
          <w:szCs w:val="24"/>
          <w:shd w:val="clear" w:color="auto" w:fill="FFFFFF"/>
        </w:rPr>
        <w:t>;</w:t>
      </w:r>
      <w:r w:rsidR="00552DE0">
        <w:rPr>
          <w:rStyle w:val="FootnoteReference"/>
          <w:rFonts w:ascii="Times New Roman" w:hAnsi="Times New Roman" w:cs="Times New Roman"/>
          <w:color w:val="000000"/>
          <w:sz w:val="24"/>
          <w:szCs w:val="24"/>
          <w:shd w:val="clear" w:color="auto" w:fill="FFFFFF"/>
        </w:rPr>
        <w:footnoteReference w:id="65"/>
      </w:r>
      <w:r w:rsidR="001E7499" w:rsidRPr="00693A01">
        <w:rPr>
          <w:rFonts w:ascii="Times New Roman" w:hAnsi="Times New Roman" w:cs="Times New Roman"/>
          <w:color w:val="000000"/>
          <w:sz w:val="24"/>
          <w:szCs w:val="24"/>
          <w:shd w:val="clear" w:color="auto" w:fill="FFFFFF"/>
        </w:rPr>
        <w:t xml:space="preserve"> applying the familiar test for</w:t>
      </w:r>
      <w:r w:rsidR="00340AFF" w:rsidRPr="00693A01">
        <w:rPr>
          <w:rFonts w:ascii="Times New Roman" w:hAnsi="Times New Roman" w:cs="Times New Roman"/>
          <w:color w:val="000000"/>
          <w:sz w:val="24"/>
          <w:szCs w:val="24"/>
          <w:shd w:val="clear" w:color="auto" w:fill="FFFFFF"/>
        </w:rPr>
        <w:t xml:space="preserve"> a</w:t>
      </w:r>
      <w:r w:rsidR="001E7499" w:rsidRPr="00693A01">
        <w:rPr>
          <w:rFonts w:ascii="Times New Roman" w:hAnsi="Times New Roman" w:cs="Times New Roman"/>
          <w:color w:val="000000"/>
          <w:sz w:val="24"/>
          <w:szCs w:val="24"/>
          <w:shd w:val="clear" w:color="auto" w:fill="FFFFFF"/>
        </w:rPr>
        <w:t xml:space="preserve"> proportionality assessment.</w:t>
      </w:r>
    </w:p>
    <w:p w14:paraId="596CEBC9" w14:textId="77777777" w:rsidR="00041CBD" w:rsidRDefault="005163E5"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Turning to the second question, the issue of whether the MWRF threshold confines itself to first three stages of a proportionality assessment (the assessment of the legitimate aim, the connection of the means to this aim, and the availability of less interfering means), but preserves the final “balancing”</w:t>
      </w:r>
      <w:r w:rsidR="001E42A3">
        <w:rPr>
          <w:rFonts w:ascii="Times New Roman" w:hAnsi="Times New Roman" w:cs="Times New Roman"/>
          <w:color w:val="000000"/>
          <w:sz w:val="24"/>
          <w:szCs w:val="24"/>
          <w:shd w:val="clear" w:color="auto" w:fill="FFFFFF"/>
        </w:rPr>
        <w:t xml:space="preserve"> stage for the court</w:t>
      </w:r>
      <w:r w:rsidR="00EB61A5">
        <w:rPr>
          <w:rFonts w:ascii="Times New Roman" w:hAnsi="Times New Roman" w:cs="Times New Roman"/>
          <w:color w:val="000000"/>
          <w:sz w:val="24"/>
          <w:szCs w:val="24"/>
          <w:shd w:val="clear" w:color="auto" w:fill="FFFFFF"/>
        </w:rPr>
        <w:t xml:space="preserve">, occupied Lord Kerr’s dissenting judgment on justification in </w:t>
      </w:r>
      <w:r w:rsidR="00EB61A5">
        <w:rPr>
          <w:rFonts w:ascii="Times New Roman" w:hAnsi="Times New Roman" w:cs="Times New Roman"/>
          <w:i/>
          <w:color w:val="000000"/>
          <w:sz w:val="24"/>
          <w:szCs w:val="24"/>
          <w:shd w:val="clear" w:color="auto" w:fill="FFFFFF"/>
        </w:rPr>
        <w:t>DA.</w:t>
      </w:r>
      <w:r w:rsidR="003D0688">
        <w:rPr>
          <w:rStyle w:val="FootnoteReference"/>
          <w:rFonts w:ascii="Times New Roman" w:hAnsi="Times New Roman" w:cs="Times New Roman"/>
          <w:i/>
          <w:color w:val="000000"/>
          <w:sz w:val="24"/>
          <w:szCs w:val="24"/>
          <w:shd w:val="clear" w:color="auto" w:fill="FFFFFF"/>
        </w:rPr>
        <w:footnoteReference w:id="66"/>
      </w:r>
    </w:p>
    <w:p w14:paraId="429E602D" w14:textId="1F36FF85" w:rsidR="00EB61A5" w:rsidRDefault="00EB61A5"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 </w:t>
      </w:r>
      <w:r w:rsidR="004C1432">
        <w:rPr>
          <w:rFonts w:ascii="Times New Roman" w:hAnsi="Times New Roman" w:cs="Times New Roman"/>
          <w:color w:val="000000"/>
          <w:sz w:val="24"/>
          <w:szCs w:val="24"/>
          <w:shd w:val="clear" w:color="auto" w:fill="FFFFFF"/>
        </w:rPr>
        <w:t xml:space="preserve">concludes that although he considered the MWRF test applied to all stages of the assessment in </w:t>
      </w:r>
      <w:r w:rsidR="004C1432">
        <w:rPr>
          <w:rFonts w:ascii="Times New Roman" w:hAnsi="Times New Roman" w:cs="Times New Roman"/>
          <w:i/>
          <w:color w:val="000000"/>
          <w:sz w:val="24"/>
          <w:szCs w:val="24"/>
          <w:shd w:val="clear" w:color="auto" w:fill="FFFFFF"/>
        </w:rPr>
        <w:t xml:space="preserve">SG, </w:t>
      </w:r>
      <w:r w:rsidR="004C1432">
        <w:rPr>
          <w:rFonts w:ascii="Times New Roman" w:hAnsi="Times New Roman" w:cs="Times New Roman"/>
          <w:color w:val="000000"/>
          <w:sz w:val="24"/>
          <w:szCs w:val="24"/>
          <w:shd w:val="clear" w:color="auto" w:fill="FFFFFF"/>
        </w:rPr>
        <w:t xml:space="preserve">he </w:t>
      </w:r>
      <w:r w:rsidR="00220CED">
        <w:rPr>
          <w:rFonts w:ascii="Times New Roman" w:hAnsi="Times New Roman" w:cs="Times New Roman"/>
          <w:color w:val="000000"/>
          <w:sz w:val="24"/>
          <w:szCs w:val="24"/>
          <w:shd w:val="clear" w:color="auto" w:fill="FFFFFF"/>
        </w:rPr>
        <w:t>"was wrong to have done so</w:t>
      </w:r>
      <w:r w:rsidR="004C1432">
        <w:rPr>
          <w:rFonts w:ascii="Times New Roman" w:hAnsi="Times New Roman" w:cs="Times New Roman"/>
          <w:color w:val="000000"/>
          <w:sz w:val="24"/>
          <w:szCs w:val="24"/>
          <w:shd w:val="clear" w:color="auto" w:fill="FFFFFF"/>
        </w:rPr>
        <w:t>”</w:t>
      </w:r>
      <w:r w:rsidR="00220CED">
        <w:rPr>
          <w:rFonts w:ascii="Times New Roman" w:hAnsi="Times New Roman" w:cs="Times New Roman"/>
          <w:color w:val="000000"/>
          <w:sz w:val="24"/>
          <w:szCs w:val="24"/>
          <w:shd w:val="clear" w:color="auto" w:fill="FFFFFF"/>
        </w:rPr>
        <w:t>.</w:t>
      </w:r>
      <w:r w:rsidR="00220CED">
        <w:rPr>
          <w:rStyle w:val="FootnoteReference"/>
          <w:rFonts w:ascii="Times New Roman" w:hAnsi="Times New Roman" w:cs="Times New Roman"/>
          <w:color w:val="000000"/>
          <w:sz w:val="24"/>
          <w:szCs w:val="24"/>
          <w:shd w:val="clear" w:color="auto" w:fill="FFFFFF"/>
        </w:rPr>
        <w:footnoteReference w:id="67"/>
      </w:r>
      <w:r w:rsidR="00EA7B21">
        <w:rPr>
          <w:rFonts w:ascii="Times New Roman" w:hAnsi="Times New Roman" w:cs="Times New Roman"/>
          <w:color w:val="000000"/>
          <w:sz w:val="24"/>
          <w:szCs w:val="24"/>
          <w:shd w:val="clear" w:color="auto" w:fill="FFFFFF"/>
        </w:rPr>
        <w:t xml:space="preserve"> Drawing on Lord Mance’s analysis in </w:t>
      </w:r>
      <w:r w:rsidR="00EA7B21">
        <w:rPr>
          <w:rFonts w:ascii="Times New Roman" w:hAnsi="Times New Roman" w:cs="Times New Roman"/>
          <w:i/>
          <w:color w:val="000000"/>
          <w:sz w:val="24"/>
          <w:szCs w:val="24"/>
          <w:shd w:val="clear" w:color="auto" w:fill="FFFFFF"/>
        </w:rPr>
        <w:t xml:space="preserve">Re </w:t>
      </w:r>
      <w:r w:rsidR="00EA7B21" w:rsidRPr="00EA7B21">
        <w:rPr>
          <w:rFonts w:ascii="Times New Roman" w:hAnsi="Times New Roman" w:cs="Times New Roman"/>
          <w:i/>
          <w:color w:val="000000"/>
          <w:sz w:val="24"/>
          <w:szCs w:val="24"/>
          <w:shd w:val="clear" w:color="auto" w:fill="FFFFFF"/>
        </w:rPr>
        <w:t>Recovery of Medical Costs for Asbestos Diseases</w:t>
      </w:r>
      <w:r w:rsidR="00ED078B">
        <w:rPr>
          <w:rFonts w:ascii="Times New Roman" w:hAnsi="Times New Roman" w:cs="Times New Roman"/>
          <w:i/>
          <w:color w:val="000000"/>
          <w:sz w:val="24"/>
          <w:szCs w:val="24"/>
          <w:shd w:val="clear" w:color="auto" w:fill="FFFFFF"/>
        </w:rPr>
        <w:t xml:space="preserve"> </w:t>
      </w:r>
      <w:r w:rsidR="00ED078B">
        <w:rPr>
          <w:rFonts w:ascii="Times New Roman" w:hAnsi="Times New Roman" w:cs="Times New Roman"/>
          <w:color w:val="000000"/>
          <w:sz w:val="24"/>
          <w:szCs w:val="24"/>
          <w:shd w:val="clear" w:color="auto" w:fill="FFFFFF"/>
        </w:rPr>
        <w:t>(in the conte</w:t>
      </w:r>
      <w:r w:rsidR="00F91D9A">
        <w:rPr>
          <w:rFonts w:ascii="Times New Roman" w:hAnsi="Times New Roman" w:cs="Times New Roman"/>
          <w:color w:val="000000"/>
          <w:sz w:val="24"/>
          <w:szCs w:val="24"/>
          <w:shd w:val="clear" w:color="auto" w:fill="FFFFFF"/>
        </w:rPr>
        <w:t>x</w:t>
      </w:r>
      <w:r w:rsidR="00ED078B">
        <w:rPr>
          <w:rFonts w:ascii="Times New Roman" w:hAnsi="Times New Roman" w:cs="Times New Roman"/>
          <w:color w:val="000000"/>
          <w:sz w:val="24"/>
          <w:szCs w:val="24"/>
          <w:shd w:val="clear" w:color="auto" w:fill="FFFFFF"/>
        </w:rPr>
        <w:t>t of A1P1)</w:t>
      </w:r>
      <w:r w:rsidR="00EA7B21">
        <w:rPr>
          <w:rFonts w:ascii="Times New Roman" w:hAnsi="Times New Roman" w:cs="Times New Roman"/>
          <w:color w:val="000000"/>
          <w:sz w:val="24"/>
          <w:szCs w:val="24"/>
          <w:shd w:val="clear" w:color="auto" w:fill="FFFFFF"/>
        </w:rPr>
        <w:t>,</w:t>
      </w:r>
      <w:r w:rsidR="00EA7B21">
        <w:rPr>
          <w:rStyle w:val="FootnoteReference"/>
          <w:rFonts w:ascii="Times New Roman" w:hAnsi="Times New Roman" w:cs="Times New Roman"/>
          <w:color w:val="000000"/>
          <w:sz w:val="24"/>
          <w:szCs w:val="24"/>
          <w:shd w:val="clear" w:color="auto" w:fill="FFFFFF"/>
        </w:rPr>
        <w:footnoteReference w:id="68"/>
      </w:r>
      <w:r w:rsidR="004931F3">
        <w:rPr>
          <w:rFonts w:ascii="Times New Roman" w:hAnsi="Times New Roman" w:cs="Times New Roman"/>
          <w:color w:val="000000"/>
          <w:sz w:val="24"/>
          <w:szCs w:val="24"/>
          <w:shd w:val="clear" w:color="auto" w:fill="FFFFFF"/>
        </w:rPr>
        <w:t xml:space="preserve"> he points to the distinction between assessing the pursuit of a legitimate aim, and a “balancing of the interests of the state against the impact which a measure interfering with a Convention right has on those affected by it”.</w:t>
      </w:r>
      <w:r w:rsidR="008E0879">
        <w:rPr>
          <w:rStyle w:val="FootnoteReference"/>
          <w:rFonts w:ascii="Times New Roman" w:hAnsi="Times New Roman" w:cs="Times New Roman"/>
          <w:color w:val="000000"/>
          <w:sz w:val="24"/>
          <w:szCs w:val="24"/>
          <w:shd w:val="clear" w:color="auto" w:fill="FFFFFF"/>
        </w:rPr>
        <w:footnoteReference w:id="69"/>
      </w:r>
      <w:r w:rsidR="009F35DF">
        <w:rPr>
          <w:rFonts w:ascii="Times New Roman" w:hAnsi="Times New Roman" w:cs="Times New Roman"/>
          <w:color w:val="000000"/>
          <w:sz w:val="24"/>
          <w:szCs w:val="24"/>
          <w:shd w:val="clear" w:color="auto" w:fill="FFFFFF"/>
        </w:rPr>
        <w:t xml:space="preserve"> To apply a MWRF test to the latter would not be </w:t>
      </w:r>
      <w:r w:rsidR="00397A1E">
        <w:rPr>
          <w:rFonts w:ascii="Times New Roman" w:hAnsi="Times New Roman" w:cs="Times New Roman"/>
          <w:color w:val="000000"/>
          <w:sz w:val="24"/>
          <w:szCs w:val="24"/>
          <w:shd w:val="clear" w:color="auto" w:fill="FFFFFF"/>
        </w:rPr>
        <w:t>appropriate</w:t>
      </w:r>
      <w:r w:rsidR="009F35DF">
        <w:rPr>
          <w:rFonts w:ascii="Times New Roman" w:hAnsi="Times New Roman" w:cs="Times New Roman"/>
          <w:color w:val="000000"/>
          <w:sz w:val="24"/>
          <w:szCs w:val="24"/>
          <w:shd w:val="clear" w:color="auto" w:fill="FFFFFF"/>
        </w:rPr>
        <w:t>.</w:t>
      </w:r>
    </w:p>
    <w:p w14:paraId="50DC763D" w14:textId="77777777" w:rsidR="009F35DF" w:rsidRPr="005B2F75" w:rsidRDefault="00C73C4E"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Although Lord Kerr’s concerns are rooted in the domestic application of a test derived from the margin of appreciation doctrine, there is support for his distinction within ECtHR authority. </w:t>
      </w:r>
      <w:r w:rsidR="00CF76FE">
        <w:rPr>
          <w:rFonts w:ascii="Times New Roman" w:hAnsi="Times New Roman" w:cs="Times New Roman"/>
          <w:color w:val="000000"/>
          <w:sz w:val="24"/>
          <w:szCs w:val="24"/>
          <w:shd w:val="clear" w:color="auto" w:fill="FFFFFF"/>
        </w:rPr>
        <w:t xml:space="preserve">In </w:t>
      </w:r>
      <w:r w:rsidR="005B2F75" w:rsidRPr="00A3317F">
        <w:rPr>
          <w:rFonts w:ascii="Times New Roman" w:hAnsi="Times New Roman" w:cs="Times New Roman"/>
          <w:i/>
          <w:sz w:val="24"/>
          <w:szCs w:val="24"/>
        </w:rPr>
        <w:t>Valkov v Bulgaria</w:t>
      </w:r>
      <w:r w:rsidR="005B2F75">
        <w:rPr>
          <w:rStyle w:val="FootnoteReference"/>
          <w:rFonts w:ascii="Times New Roman" w:hAnsi="Times New Roman" w:cs="Times New Roman"/>
          <w:i/>
          <w:sz w:val="24"/>
          <w:szCs w:val="24"/>
        </w:rPr>
        <w:footnoteReference w:id="70"/>
      </w:r>
      <w:r w:rsidR="005B2F75">
        <w:rPr>
          <w:rFonts w:ascii="Times New Roman" w:hAnsi="Times New Roman" w:cs="Times New Roman"/>
          <w:i/>
          <w:sz w:val="24"/>
          <w:szCs w:val="24"/>
        </w:rPr>
        <w:t xml:space="preserve">, </w:t>
      </w:r>
      <w:r w:rsidR="005B2F75">
        <w:rPr>
          <w:rFonts w:ascii="Times New Roman" w:hAnsi="Times New Roman" w:cs="Times New Roman"/>
          <w:sz w:val="24"/>
          <w:szCs w:val="24"/>
        </w:rPr>
        <w:t>in the context of A1P1, the court underscored that the MWRF applies to the assessment of the motivation for the measure, but that a “fair balance” still must be struck:</w:t>
      </w:r>
    </w:p>
    <w:p w14:paraId="34B0DE79" w14:textId="77777777" w:rsidR="004931F3" w:rsidRDefault="00CF76FE" w:rsidP="000141C9">
      <w:pPr>
        <w:tabs>
          <w:tab w:val="left" w:pos="7938"/>
        </w:tabs>
        <w:spacing w:line="360" w:lineRule="auto"/>
        <w:ind w:left="567" w:right="1088"/>
        <w:jc w:val="both"/>
        <w:rPr>
          <w:rFonts w:ascii="Times New Roman" w:hAnsi="Times New Roman" w:cs="Times New Roman"/>
          <w:color w:val="000000"/>
          <w:sz w:val="24"/>
          <w:szCs w:val="24"/>
          <w:shd w:val="clear" w:color="auto" w:fill="FFFFFF"/>
        </w:rPr>
      </w:pPr>
      <w:r w:rsidRPr="00CF76FE">
        <w:rPr>
          <w:rFonts w:ascii="Times New Roman" w:hAnsi="Times New Roman" w:cs="Times New Roman"/>
          <w:color w:val="000000"/>
          <w:sz w:val="24"/>
          <w:szCs w:val="24"/>
          <w:shd w:val="clear" w:color="auto" w:fill="FFFFFF"/>
        </w:rPr>
        <w:t xml:space="preserve">The margin of appreciation available to the legislature in implementing such policies should therefore be a wide one, and its judgment as to what is “in </w:t>
      </w:r>
      <w:r w:rsidRPr="00CF76FE">
        <w:rPr>
          <w:rFonts w:ascii="Times New Roman" w:hAnsi="Times New Roman" w:cs="Times New Roman"/>
          <w:color w:val="000000"/>
          <w:sz w:val="24"/>
          <w:szCs w:val="24"/>
          <w:shd w:val="clear" w:color="auto" w:fill="FFFFFF"/>
        </w:rPr>
        <w:lastRenderedPageBreak/>
        <w:t>the public interest” should be respected unless that judgment is manifestly without reasonable foundation. However, any interference must also be reasonably proportionate to the aim sought to be realised. In other words, a “fair balance” must be struck between the demands of the general interest of the community and the requirements of the protection of the individual’s fundamental rights. That balance will be lacking where the person concerned has to bear an individual and excessive burden</w:t>
      </w:r>
      <w:r>
        <w:rPr>
          <w:rFonts w:ascii="Times New Roman" w:hAnsi="Times New Roman" w:cs="Times New Roman"/>
          <w:color w:val="000000"/>
          <w:sz w:val="24"/>
          <w:szCs w:val="24"/>
          <w:shd w:val="clear" w:color="auto" w:fill="FFFFFF"/>
        </w:rPr>
        <w:t>.</w:t>
      </w:r>
      <w:r w:rsidR="005F5345">
        <w:rPr>
          <w:rStyle w:val="FootnoteReference"/>
          <w:rFonts w:ascii="Times New Roman" w:hAnsi="Times New Roman" w:cs="Times New Roman"/>
          <w:color w:val="000000"/>
          <w:sz w:val="24"/>
          <w:szCs w:val="24"/>
          <w:shd w:val="clear" w:color="auto" w:fill="FFFFFF"/>
        </w:rPr>
        <w:footnoteReference w:id="71"/>
      </w:r>
    </w:p>
    <w:p w14:paraId="00539969" w14:textId="77777777" w:rsidR="00CF76FE" w:rsidRDefault="005B2F75" w:rsidP="000141C9">
      <w:pPr>
        <w:spacing w:line="360" w:lineRule="auto"/>
        <w:ind w:right="521"/>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is clear, therefore, that the application of the MWRF formulation is far from the end of the matter. To take the answers to these two questions together, the MWRF test does not supplant a proportionality assessment, nor impose a threshold </w:t>
      </w:r>
      <w:r w:rsidR="00985387">
        <w:rPr>
          <w:rFonts w:ascii="Times New Roman" w:hAnsi="Times New Roman" w:cs="Times New Roman"/>
          <w:color w:val="000000"/>
          <w:sz w:val="24"/>
          <w:szCs w:val="24"/>
          <w:shd w:val="clear" w:color="auto" w:fill="FFFFFF"/>
        </w:rPr>
        <w:t xml:space="preserve">to be heeded </w:t>
      </w:r>
      <w:r>
        <w:rPr>
          <w:rFonts w:ascii="Times New Roman" w:hAnsi="Times New Roman" w:cs="Times New Roman"/>
          <w:color w:val="000000"/>
          <w:sz w:val="24"/>
          <w:szCs w:val="24"/>
          <w:shd w:val="clear" w:color="auto" w:fill="FFFFFF"/>
        </w:rPr>
        <w:t xml:space="preserve">across </w:t>
      </w:r>
      <w:r w:rsidR="00985387">
        <w:rPr>
          <w:rFonts w:ascii="Times New Roman" w:hAnsi="Times New Roman" w:cs="Times New Roman"/>
          <w:color w:val="000000"/>
          <w:sz w:val="24"/>
          <w:szCs w:val="24"/>
          <w:shd w:val="clear" w:color="auto" w:fill="FFFFFF"/>
        </w:rPr>
        <w:t>all stages of a proportionality assessment</w:t>
      </w:r>
      <w:r>
        <w:rPr>
          <w:rFonts w:ascii="Times New Roman" w:hAnsi="Times New Roman" w:cs="Times New Roman"/>
          <w:color w:val="000000"/>
          <w:sz w:val="24"/>
          <w:szCs w:val="24"/>
          <w:shd w:val="clear" w:color="auto" w:fill="FFFFFF"/>
        </w:rPr>
        <w:t>. Instead, it serves simply as an indicator tha</w:t>
      </w:r>
      <w:r w:rsidR="00871816">
        <w:rPr>
          <w:rFonts w:ascii="Times New Roman" w:hAnsi="Times New Roman" w:cs="Times New Roman"/>
          <w:color w:val="000000"/>
          <w:sz w:val="24"/>
          <w:szCs w:val="24"/>
          <w:shd w:val="clear" w:color="auto" w:fill="FFFFFF"/>
        </w:rPr>
        <w:t>t the court is in the ambit of the</w:t>
      </w:r>
      <w:r>
        <w:rPr>
          <w:rFonts w:ascii="Times New Roman" w:hAnsi="Times New Roman" w:cs="Times New Roman"/>
          <w:color w:val="000000"/>
          <w:sz w:val="24"/>
          <w:szCs w:val="24"/>
          <w:shd w:val="clear" w:color="auto" w:fill="FFFFFF"/>
        </w:rPr>
        <w:t xml:space="preserve"> socio-economic domain, and this should be accounted for – alongside</w:t>
      </w:r>
      <w:r w:rsidR="000E4954">
        <w:rPr>
          <w:rFonts w:ascii="Times New Roman" w:hAnsi="Times New Roman" w:cs="Times New Roman"/>
          <w:color w:val="000000"/>
          <w:sz w:val="24"/>
          <w:szCs w:val="24"/>
          <w:shd w:val="clear" w:color="auto" w:fill="FFFFFF"/>
        </w:rPr>
        <w:t xml:space="preserve"> all</w:t>
      </w:r>
      <w:r>
        <w:rPr>
          <w:rFonts w:ascii="Times New Roman" w:hAnsi="Times New Roman" w:cs="Times New Roman"/>
          <w:color w:val="000000"/>
          <w:sz w:val="24"/>
          <w:szCs w:val="24"/>
          <w:shd w:val="clear" w:color="auto" w:fill="FFFFFF"/>
        </w:rPr>
        <w:t xml:space="preserve"> other relevant factors – in the course of the proportionality assessment.</w:t>
      </w:r>
    </w:p>
    <w:p w14:paraId="2230EF45" w14:textId="77777777" w:rsidR="00B44B6B" w:rsidRDefault="00B44B6B" w:rsidP="000141C9">
      <w:pPr>
        <w:spacing w:line="360" w:lineRule="auto"/>
        <w:rPr>
          <w:rFonts w:ascii="Times New Roman" w:hAnsi="Times New Roman" w:cs="Times New Roman"/>
          <w:b/>
          <w:i/>
          <w:color w:val="000000"/>
          <w:sz w:val="24"/>
          <w:szCs w:val="24"/>
          <w:shd w:val="clear" w:color="auto" w:fill="FFFFFF"/>
        </w:rPr>
      </w:pPr>
      <w:r>
        <w:rPr>
          <w:rFonts w:ascii="Times New Roman" w:hAnsi="Times New Roman" w:cs="Times New Roman"/>
          <w:b/>
          <w:color w:val="000000"/>
          <w:sz w:val="24"/>
          <w:szCs w:val="24"/>
          <w:shd w:val="clear" w:color="auto" w:fill="FFFFFF"/>
        </w:rPr>
        <w:t>Conclusion</w:t>
      </w:r>
    </w:p>
    <w:p w14:paraId="4A57DE4B" w14:textId="71A2C51C" w:rsidR="00A72D9E" w:rsidRDefault="004C2BC8"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If the MWRF test continues to dominate in the judicial review of social welfare measures, an additional benchmark has been introduced for claimants and they are denied access to a full, rigorous assessment of the justification of interferences with their human rights.</w:t>
      </w:r>
      <w:r w:rsidR="001B1FEA">
        <w:rPr>
          <w:rFonts w:ascii="Times New Roman" w:hAnsi="Times New Roman" w:cs="Times New Roman"/>
          <w:color w:val="000000"/>
          <w:sz w:val="24"/>
          <w:szCs w:val="24"/>
          <w:shd w:val="clear" w:color="auto" w:fill="FFFFFF"/>
        </w:rPr>
        <w:t xml:space="preserve"> As a formulation imported from the margin of appreciation </w:t>
      </w:r>
      <w:r w:rsidR="006B50DB">
        <w:rPr>
          <w:rFonts w:ascii="Times New Roman" w:hAnsi="Times New Roman" w:cs="Times New Roman"/>
          <w:color w:val="000000"/>
          <w:sz w:val="24"/>
          <w:szCs w:val="24"/>
          <w:shd w:val="clear" w:color="auto" w:fill="FFFFFF"/>
        </w:rPr>
        <w:t xml:space="preserve">doctrine within the ECtHR, its use by domestic courts is inappropriate and distorts their exercise of proportionality assessments. </w:t>
      </w:r>
      <w:r w:rsidR="007C7DC9">
        <w:rPr>
          <w:rFonts w:ascii="Times New Roman" w:hAnsi="Times New Roman" w:cs="Times New Roman"/>
          <w:color w:val="000000"/>
          <w:sz w:val="24"/>
          <w:szCs w:val="24"/>
          <w:shd w:val="clear" w:color="auto" w:fill="FFFFFF"/>
        </w:rPr>
        <w:t xml:space="preserve">As argued by Riddell, it is </w:t>
      </w:r>
      <w:r w:rsidR="00E45B21">
        <w:rPr>
          <w:rFonts w:ascii="Times New Roman" w:hAnsi="Times New Roman" w:cs="Times New Roman"/>
          <w:color w:val="000000"/>
          <w:sz w:val="24"/>
          <w:szCs w:val="24"/>
          <w:shd w:val="clear" w:color="auto" w:fill="FFFFFF"/>
        </w:rPr>
        <w:t xml:space="preserve">a </w:t>
      </w:r>
      <w:r w:rsidR="007C7DC9">
        <w:rPr>
          <w:rFonts w:ascii="Times New Roman" w:hAnsi="Times New Roman" w:cs="Times New Roman"/>
          <w:color w:val="000000"/>
          <w:sz w:val="24"/>
          <w:szCs w:val="24"/>
          <w:shd w:val="clear" w:color="auto" w:fill="FFFFFF"/>
        </w:rPr>
        <w:t xml:space="preserve">test that can work “strongly in favour of the Secretary of State” and to </w:t>
      </w:r>
      <w:r w:rsidR="000E4954">
        <w:rPr>
          <w:rFonts w:ascii="Times New Roman" w:hAnsi="Times New Roman" w:cs="Times New Roman"/>
          <w:color w:val="000000"/>
          <w:sz w:val="24"/>
          <w:szCs w:val="24"/>
          <w:shd w:val="clear" w:color="auto" w:fill="FFFFFF"/>
        </w:rPr>
        <w:t xml:space="preserve">the </w:t>
      </w:r>
      <w:r w:rsidR="00397A1E">
        <w:rPr>
          <w:rFonts w:ascii="Times New Roman" w:hAnsi="Times New Roman" w:cs="Times New Roman"/>
          <w:color w:val="000000"/>
          <w:sz w:val="24"/>
          <w:szCs w:val="24"/>
          <w:shd w:val="clear" w:color="auto" w:fill="FFFFFF"/>
        </w:rPr>
        <w:t>detri</w:t>
      </w:r>
      <w:r w:rsidR="007C7DC9">
        <w:rPr>
          <w:rFonts w:ascii="Times New Roman" w:hAnsi="Times New Roman" w:cs="Times New Roman"/>
          <w:color w:val="000000"/>
          <w:sz w:val="24"/>
          <w:szCs w:val="24"/>
          <w:shd w:val="clear" w:color="auto" w:fill="FFFFFF"/>
        </w:rPr>
        <w:t>ment of those who</w:t>
      </w:r>
      <w:r w:rsidR="000E4954">
        <w:rPr>
          <w:rFonts w:ascii="Times New Roman" w:hAnsi="Times New Roman" w:cs="Times New Roman"/>
          <w:color w:val="000000"/>
          <w:sz w:val="24"/>
          <w:szCs w:val="24"/>
          <w:shd w:val="clear" w:color="auto" w:fill="FFFFFF"/>
        </w:rPr>
        <w:t>se</w:t>
      </w:r>
      <w:r w:rsidR="007C7DC9">
        <w:rPr>
          <w:rFonts w:ascii="Times New Roman" w:hAnsi="Times New Roman" w:cs="Times New Roman"/>
          <w:color w:val="000000"/>
          <w:sz w:val="24"/>
          <w:szCs w:val="24"/>
          <w:shd w:val="clear" w:color="auto" w:fill="FFFFFF"/>
        </w:rPr>
        <w:t xml:space="preserve"> human rights are at issue</w:t>
      </w:r>
      <w:r w:rsidR="008E5F90">
        <w:rPr>
          <w:rFonts w:ascii="Times New Roman" w:hAnsi="Times New Roman" w:cs="Times New Roman"/>
          <w:color w:val="000000"/>
          <w:sz w:val="24"/>
          <w:szCs w:val="24"/>
          <w:shd w:val="clear" w:color="auto" w:fill="FFFFFF"/>
        </w:rPr>
        <w:t>.</w:t>
      </w:r>
      <w:r w:rsidR="00993FBA">
        <w:rPr>
          <w:rStyle w:val="FootnoteReference"/>
          <w:rFonts w:ascii="Times New Roman" w:hAnsi="Times New Roman" w:cs="Times New Roman"/>
          <w:color w:val="000000"/>
          <w:sz w:val="24"/>
          <w:szCs w:val="24"/>
          <w:shd w:val="clear" w:color="auto" w:fill="FFFFFF"/>
        </w:rPr>
        <w:footnoteReference w:id="72"/>
      </w:r>
    </w:p>
    <w:p w14:paraId="27F7BC43" w14:textId="48F30674" w:rsidR="000E4954" w:rsidRDefault="00A72D9E"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Even if</w:t>
      </w:r>
      <w:r w:rsidR="00447423">
        <w:rPr>
          <w:rFonts w:ascii="Times New Roman" w:hAnsi="Times New Roman" w:cs="Times New Roman"/>
          <w:color w:val="000000"/>
          <w:sz w:val="24"/>
          <w:szCs w:val="24"/>
          <w:shd w:val="clear" w:color="auto" w:fill="FFFFFF"/>
        </w:rPr>
        <w:t xml:space="preserve"> my argument on this test’s alien status in </w:t>
      </w:r>
      <w:r w:rsidR="00AC6EAA">
        <w:rPr>
          <w:rFonts w:ascii="Times New Roman" w:hAnsi="Times New Roman" w:cs="Times New Roman"/>
          <w:color w:val="000000"/>
          <w:sz w:val="24"/>
          <w:szCs w:val="24"/>
          <w:shd w:val="clear" w:color="auto" w:fill="FFFFFF"/>
        </w:rPr>
        <w:t xml:space="preserve">the </w:t>
      </w:r>
      <w:r w:rsidR="00447423">
        <w:rPr>
          <w:rFonts w:ascii="Times New Roman" w:hAnsi="Times New Roman" w:cs="Times New Roman"/>
          <w:color w:val="000000"/>
          <w:sz w:val="24"/>
          <w:szCs w:val="24"/>
          <w:shd w:val="clear" w:color="auto" w:fill="FFFFFF"/>
        </w:rPr>
        <w:t>domestic</w:t>
      </w:r>
      <w:r w:rsidR="00AC6EAA">
        <w:rPr>
          <w:rFonts w:ascii="Times New Roman" w:hAnsi="Times New Roman" w:cs="Times New Roman"/>
          <w:color w:val="000000"/>
          <w:sz w:val="24"/>
          <w:szCs w:val="24"/>
          <w:shd w:val="clear" w:color="auto" w:fill="FFFFFF"/>
        </w:rPr>
        <w:t xml:space="preserve"> context</w:t>
      </w:r>
      <w:r w:rsidR="00447423">
        <w:rPr>
          <w:rFonts w:ascii="Times New Roman" w:hAnsi="Times New Roman" w:cs="Times New Roman"/>
          <w:color w:val="000000"/>
          <w:sz w:val="24"/>
          <w:szCs w:val="24"/>
          <w:shd w:val="clear" w:color="auto" w:fill="FFFFFF"/>
        </w:rPr>
        <w:t xml:space="preserve"> fails and </w:t>
      </w:r>
      <w:r>
        <w:rPr>
          <w:rFonts w:ascii="Times New Roman" w:hAnsi="Times New Roman" w:cs="Times New Roman"/>
          <w:color w:val="000000"/>
          <w:sz w:val="24"/>
          <w:szCs w:val="24"/>
          <w:shd w:val="clear" w:color="auto" w:fill="FFFFFF"/>
        </w:rPr>
        <w:t>the MWRF benchmark is appropriate for domestic use in some circumstances,</w:t>
      </w:r>
      <w:r w:rsidR="00447423">
        <w:rPr>
          <w:rFonts w:ascii="Times New Roman" w:hAnsi="Times New Roman" w:cs="Times New Roman"/>
          <w:color w:val="000000"/>
          <w:sz w:val="24"/>
          <w:szCs w:val="24"/>
          <w:shd w:val="clear" w:color="auto" w:fill="FFFFFF"/>
        </w:rPr>
        <w:t xml:space="preserve"> two other arguments hold. First,</w:t>
      </w:r>
      <w:r>
        <w:rPr>
          <w:rFonts w:ascii="Times New Roman" w:hAnsi="Times New Roman" w:cs="Times New Roman"/>
          <w:color w:val="000000"/>
          <w:sz w:val="24"/>
          <w:szCs w:val="24"/>
          <w:shd w:val="clear" w:color="auto" w:fill="FFFFFF"/>
        </w:rPr>
        <w:t xml:space="preserve"> a higher standard applies to certain groups – such as discrimination </w:t>
      </w:r>
      <w:r w:rsidR="009B4E71">
        <w:rPr>
          <w:rFonts w:ascii="Times New Roman" w:hAnsi="Times New Roman" w:cs="Times New Roman"/>
          <w:color w:val="000000"/>
          <w:sz w:val="24"/>
          <w:szCs w:val="24"/>
          <w:shd w:val="clear" w:color="auto" w:fill="FFFFFF"/>
        </w:rPr>
        <w:t xml:space="preserve">on </w:t>
      </w:r>
      <w:r>
        <w:rPr>
          <w:rFonts w:ascii="Times New Roman" w:hAnsi="Times New Roman" w:cs="Times New Roman"/>
          <w:color w:val="000000"/>
          <w:sz w:val="24"/>
          <w:szCs w:val="24"/>
          <w:shd w:val="clear" w:color="auto" w:fill="FFFFFF"/>
        </w:rPr>
        <w:t xml:space="preserve">the ground of gender or disability – where “weighty reasons” apply, and </w:t>
      </w:r>
      <w:r w:rsidR="00447423">
        <w:rPr>
          <w:rFonts w:ascii="Times New Roman" w:hAnsi="Times New Roman" w:cs="Times New Roman"/>
          <w:color w:val="000000"/>
          <w:sz w:val="24"/>
          <w:szCs w:val="24"/>
          <w:shd w:val="clear" w:color="auto" w:fill="FFFFFF"/>
        </w:rPr>
        <w:t>second, the standard it applies is not as unassailable</w:t>
      </w:r>
      <w:r w:rsidR="00015F78">
        <w:rPr>
          <w:rFonts w:ascii="Times New Roman" w:hAnsi="Times New Roman" w:cs="Times New Roman"/>
          <w:color w:val="000000"/>
          <w:sz w:val="24"/>
          <w:szCs w:val="24"/>
          <w:shd w:val="clear" w:color="auto" w:fill="FFFFFF"/>
        </w:rPr>
        <w:t xml:space="preserve"> as reflected</w:t>
      </w:r>
      <w:r w:rsidR="00447423">
        <w:rPr>
          <w:rFonts w:ascii="Times New Roman" w:hAnsi="Times New Roman" w:cs="Times New Roman"/>
          <w:color w:val="000000"/>
          <w:sz w:val="24"/>
          <w:szCs w:val="24"/>
          <w:shd w:val="clear" w:color="auto" w:fill="FFFFFF"/>
        </w:rPr>
        <w:t xml:space="preserve"> in</w:t>
      </w:r>
      <w:r w:rsidR="00015F78">
        <w:rPr>
          <w:rFonts w:ascii="Times New Roman" w:hAnsi="Times New Roman" w:cs="Times New Roman"/>
          <w:color w:val="000000"/>
          <w:sz w:val="24"/>
          <w:szCs w:val="24"/>
          <w:shd w:val="clear" w:color="auto" w:fill="FFFFFF"/>
        </w:rPr>
        <w:t xml:space="preserve"> judicial review challenges to austerity measures</w:t>
      </w:r>
      <w:r w:rsidR="00447423">
        <w:rPr>
          <w:rFonts w:ascii="Times New Roman" w:hAnsi="Times New Roman" w:cs="Times New Roman"/>
          <w:color w:val="000000"/>
          <w:sz w:val="24"/>
          <w:szCs w:val="24"/>
          <w:shd w:val="clear" w:color="auto" w:fill="FFFFFF"/>
        </w:rPr>
        <w:t xml:space="preserve"> to date. In</w:t>
      </w:r>
      <w:r>
        <w:rPr>
          <w:rFonts w:ascii="Times New Roman" w:hAnsi="Times New Roman" w:cs="Times New Roman"/>
          <w:color w:val="000000"/>
          <w:sz w:val="24"/>
          <w:szCs w:val="24"/>
          <w:shd w:val="clear" w:color="auto" w:fill="FFFFFF"/>
        </w:rPr>
        <w:t xml:space="preserve"> no context should the test supplant a detailed consideration of the proportionality of a measure.</w:t>
      </w:r>
      <w:r w:rsidR="00B325CF">
        <w:rPr>
          <w:rFonts w:ascii="Times New Roman" w:hAnsi="Times New Roman" w:cs="Times New Roman"/>
          <w:color w:val="000000"/>
          <w:sz w:val="24"/>
          <w:szCs w:val="24"/>
          <w:shd w:val="clear" w:color="auto" w:fill="FFFFFF"/>
        </w:rPr>
        <w:t xml:space="preserve"> </w:t>
      </w:r>
      <w:r w:rsidR="00975786">
        <w:rPr>
          <w:rFonts w:ascii="Times New Roman" w:hAnsi="Times New Roman" w:cs="Times New Roman"/>
          <w:color w:val="000000"/>
          <w:sz w:val="24"/>
          <w:szCs w:val="24"/>
          <w:shd w:val="clear" w:color="auto" w:fill="FFFFFF"/>
        </w:rPr>
        <w:t xml:space="preserve">If the court’s </w:t>
      </w:r>
      <w:r w:rsidR="00447423">
        <w:rPr>
          <w:rFonts w:ascii="Times New Roman" w:hAnsi="Times New Roman" w:cs="Times New Roman"/>
          <w:color w:val="000000"/>
          <w:sz w:val="24"/>
          <w:szCs w:val="24"/>
          <w:shd w:val="clear" w:color="auto" w:fill="FFFFFF"/>
        </w:rPr>
        <w:t xml:space="preserve">majority </w:t>
      </w:r>
      <w:r w:rsidR="00975786">
        <w:rPr>
          <w:rFonts w:ascii="Times New Roman" w:hAnsi="Times New Roman" w:cs="Times New Roman"/>
          <w:color w:val="000000"/>
          <w:sz w:val="24"/>
          <w:szCs w:val="24"/>
          <w:shd w:val="clear" w:color="auto" w:fill="FFFFFF"/>
        </w:rPr>
        <w:t xml:space="preserve">judgment in </w:t>
      </w:r>
      <w:r w:rsidR="00975786">
        <w:rPr>
          <w:rFonts w:ascii="Times New Roman" w:hAnsi="Times New Roman" w:cs="Times New Roman"/>
          <w:i/>
          <w:color w:val="000000"/>
          <w:sz w:val="24"/>
          <w:szCs w:val="24"/>
          <w:shd w:val="clear" w:color="auto" w:fill="FFFFFF"/>
        </w:rPr>
        <w:t>DA</w:t>
      </w:r>
      <w:r w:rsidR="00975786">
        <w:rPr>
          <w:rFonts w:ascii="Times New Roman" w:hAnsi="Times New Roman" w:cs="Times New Roman"/>
          <w:color w:val="000000"/>
          <w:sz w:val="24"/>
          <w:szCs w:val="24"/>
          <w:shd w:val="clear" w:color="auto" w:fill="FFFFFF"/>
        </w:rPr>
        <w:t xml:space="preserve"> is to be taken on its face, there is a danger that in considering human rights challenges to social and economic measures, particularly in the ambit of Article 14, domestic courts in the UK</w:t>
      </w:r>
      <w:r w:rsidR="000E4954">
        <w:rPr>
          <w:rFonts w:ascii="Times New Roman" w:hAnsi="Times New Roman" w:cs="Times New Roman"/>
          <w:color w:val="000000"/>
          <w:sz w:val="24"/>
          <w:szCs w:val="24"/>
          <w:shd w:val="clear" w:color="auto" w:fill="FFFFFF"/>
        </w:rPr>
        <w:t xml:space="preserve"> will</w:t>
      </w:r>
      <w:r w:rsidR="00975786">
        <w:rPr>
          <w:rFonts w:ascii="Times New Roman" w:hAnsi="Times New Roman" w:cs="Times New Roman"/>
          <w:color w:val="000000"/>
          <w:sz w:val="24"/>
          <w:szCs w:val="24"/>
          <w:shd w:val="clear" w:color="auto" w:fill="FFFFFF"/>
        </w:rPr>
        <w:t xml:space="preserve"> subsume the protections within the </w:t>
      </w:r>
      <w:r w:rsidR="00975786">
        <w:rPr>
          <w:rFonts w:ascii="Times New Roman" w:hAnsi="Times New Roman" w:cs="Times New Roman"/>
          <w:color w:val="000000"/>
          <w:sz w:val="24"/>
          <w:szCs w:val="24"/>
          <w:shd w:val="clear" w:color="auto" w:fill="FFFFFF"/>
        </w:rPr>
        <w:lastRenderedPageBreak/>
        <w:t>ECHR into one overarching question: is the measure manifestly without reasonable foundation? If the test continues to be applied in its current guise, in almost all cases</w:t>
      </w:r>
      <w:r w:rsidR="003F7314">
        <w:rPr>
          <w:rFonts w:ascii="Times New Roman" w:hAnsi="Times New Roman" w:cs="Times New Roman"/>
          <w:color w:val="000000"/>
          <w:sz w:val="24"/>
          <w:szCs w:val="24"/>
          <w:shd w:val="clear" w:color="auto" w:fill="FFFFFF"/>
        </w:rPr>
        <w:t>,</w:t>
      </w:r>
      <w:r w:rsidR="00975786">
        <w:rPr>
          <w:rFonts w:ascii="Times New Roman" w:hAnsi="Times New Roman" w:cs="Times New Roman"/>
          <w:color w:val="000000"/>
          <w:sz w:val="24"/>
          <w:szCs w:val="24"/>
          <w:shd w:val="clear" w:color="auto" w:fill="FFFFFF"/>
        </w:rPr>
        <w:t xml:space="preserve"> the answer will be no.</w:t>
      </w:r>
    </w:p>
    <w:p w14:paraId="2C441B83" w14:textId="77777777" w:rsidR="00AC6EAA" w:rsidRDefault="00AC6EAA" w:rsidP="00AC6EAA">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This critique of the applicability of the MWRF benchmark and concerns that its use </w:t>
      </w:r>
      <w:r>
        <w:rPr>
          <w:rFonts w:ascii="Times New Roman" w:hAnsi="Times New Roman" w:cs="Times New Roman"/>
          <w:color w:val="000000"/>
          <w:sz w:val="24"/>
          <w:szCs w:val="24"/>
          <w:shd w:val="clear" w:color="auto" w:fill="FFFFFF"/>
        </w:rPr>
        <w:t>evades any meaningful assessment by the court of social welfare policies speaks to the broader animating concern of this paper. As argued by Simpson:</w:t>
      </w:r>
    </w:p>
    <w:p w14:paraId="4D748A49" w14:textId="78F9DDAA" w:rsidR="00AC6EAA" w:rsidRDefault="00AC6EAA" w:rsidP="00AC6EAA">
      <w:pPr>
        <w:spacing w:line="360" w:lineRule="auto"/>
        <w:ind w:left="567" w:right="662"/>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r w:rsidRPr="00302B27">
        <w:rPr>
          <w:rFonts w:ascii="Times New Roman" w:hAnsi="Times New Roman" w:cs="Times New Roman"/>
          <w:color w:val="000000"/>
          <w:sz w:val="24"/>
          <w:szCs w:val="24"/>
          <w:shd w:val="clear" w:color="auto" w:fill="FFFFFF"/>
        </w:rPr>
        <w:t>The political debate on the future of the Human Rights Act 1998 is the headline-grabber, but the continuing political and judicial debate regarding the roles of the judiciary and legislature in determining the social rights of citizenship should not be ignored</w:t>
      </w:r>
      <w:r>
        <w:rPr>
          <w:rFonts w:ascii="Times New Roman" w:hAnsi="Times New Roman" w:cs="Times New Roman"/>
          <w:color w:val="000000"/>
          <w:sz w:val="24"/>
          <w:szCs w:val="24"/>
          <w:shd w:val="clear" w:color="auto" w:fill="FFFFFF"/>
        </w:rPr>
        <w:t>.”</w:t>
      </w:r>
      <w:r>
        <w:rPr>
          <w:rStyle w:val="FootnoteReference"/>
          <w:rFonts w:ascii="Times New Roman" w:hAnsi="Times New Roman" w:cs="Times New Roman"/>
          <w:color w:val="000000"/>
          <w:sz w:val="24"/>
          <w:szCs w:val="24"/>
          <w:shd w:val="clear" w:color="auto" w:fill="FFFFFF"/>
        </w:rPr>
        <w:footnoteReference w:id="73"/>
      </w:r>
    </w:p>
    <w:p w14:paraId="035339ED" w14:textId="6F6BD2A5" w:rsidR="00302B27" w:rsidRPr="00AB2618" w:rsidRDefault="00AC6EAA" w:rsidP="000141C9">
      <w:pPr>
        <w:spacing w:line="36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 a proxy for deference, the continued domestic use of the MWRF standard is a</w:t>
      </w:r>
      <w:r w:rsidR="004350BB">
        <w:rPr>
          <w:rFonts w:ascii="Times New Roman" w:hAnsi="Times New Roman" w:cs="Times New Roman"/>
          <w:color w:val="000000"/>
          <w:sz w:val="24"/>
          <w:szCs w:val="24"/>
          <w:shd w:val="clear" w:color="auto" w:fill="FFFFFF"/>
        </w:rPr>
        <w:t>t the forefront of this debate</w:t>
      </w:r>
      <w:r w:rsidR="00063B15">
        <w:rPr>
          <w:rFonts w:ascii="Times New Roman" w:hAnsi="Times New Roman" w:cs="Times New Roman"/>
          <w:color w:val="000000"/>
          <w:sz w:val="24"/>
          <w:szCs w:val="24"/>
          <w:shd w:val="clear" w:color="auto" w:fill="FFFFFF"/>
        </w:rPr>
        <w:t xml:space="preserve"> about the capacity of the courts to intervene in the context of social welfare measures</w:t>
      </w:r>
      <w:r w:rsidR="004350BB">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If the MWRF standard persists, </w:t>
      </w:r>
      <w:r w:rsidR="004350BB">
        <w:rPr>
          <w:rFonts w:ascii="Times New Roman" w:hAnsi="Times New Roman" w:cs="Times New Roman"/>
          <w:color w:val="000000"/>
          <w:sz w:val="24"/>
          <w:szCs w:val="24"/>
          <w:shd w:val="clear" w:color="auto" w:fill="FFFFFF"/>
        </w:rPr>
        <w:t>this balance between the role of</w:t>
      </w:r>
      <w:r w:rsidR="00271D92">
        <w:rPr>
          <w:rFonts w:ascii="Times New Roman" w:hAnsi="Times New Roman" w:cs="Times New Roman"/>
          <w:color w:val="000000"/>
          <w:sz w:val="24"/>
          <w:szCs w:val="24"/>
          <w:shd w:val="clear" w:color="auto" w:fill="FFFFFF"/>
        </w:rPr>
        <w:t xml:space="preserve"> judiciary and the legislature is</w:t>
      </w:r>
      <w:r w:rsidR="004350BB">
        <w:rPr>
          <w:rFonts w:ascii="Times New Roman" w:hAnsi="Times New Roman" w:cs="Times New Roman"/>
          <w:color w:val="000000"/>
          <w:sz w:val="24"/>
          <w:szCs w:val="24"/>
          <w:shd w:val="clear" w:color="auto" w:fill="FFFFFF"/>
        </w:rPr>
        <w:t xml:space="preserve"> tilted too strongly in favour of the latter.</w:t>
      </w:r>
    </w:p>
    <w:sectPr w:rsidR="00302B27" w:rsidRPr="00AB2618" w:rsidSect="0017540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37599" w14:textId="77777777" w:rsidR="00B942D0" w:rsidRDefault="00B942D0" w:rsidP="00C450F0">
      <w:pPr>
        <w:spacing w:after="0" w:line="240" w:lineRule="auto"/>
      </w:pPr>
      <w:r>
        <w:separator/>
      </w:r>
    </w:p>
  </w:endnote>
  <w:endnote w:type="continuationSeparator" w:id="0">
    <w:p w14:paraId="260B7EF3" w14:textId="77777777" w:rsidR="00B942D0" w:rsidRDefault="00B942D0" w:rsidP="00C45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3AC2" w14:textId="77777777" w:rsidR="0080023E" w:rsidRDefault="00800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1918"/>
      <w:docPartObj>
        <w:docPartGallery w:val="Page Numbers (Bottom of Page)"/>
        <w:docPartUnique/>
      </w:docPartObj>
    </w:sdtPr>
    <w:sdtEndPr>
      <w:rPr>
        <w:noProof/>
      </w:rPr>
    </w:sdtEndPr>
    <w:sdtContent>
      <w:p w14:paraId="67EEE9B8" w14:textId="2CB12C97" w:rsidR="00175409" w:rsidRDefault="00175409">
        <w:pPr>
          <w:pStyle w:val="Footer"/>
          <w:jc w:val="center"/>
        </w:pPr>
        <w:r>
          <w:fldChar w:fldCharType="begin"/>
        </w:r>
        <w:r>
          <w:instrText xml:space="preserve"> PAGE   \* MERGEFORMAT </w:instrText>
        </w:r>
        <w:r>
          <w:fldChar w:fldCharType="separate"/>
        </w:r>
        <w:r w:rsidR="008335A8">
          <w:rPr>
            <w:noProof/>
          </w:rPr>
          <w:t>2</w:t>
        </w:r>
        <w:r>
          <w:rPr>
            <w:noProof/>
          </w:rPr>
          <w:fldChar w:fldCharType="end"/>
        </w:r>
      </w:p>
    </w:sdtContent>
  </w:sdt>
  <w:p w14:paraId="52C22D7A" w14:textId="77777777" w:rsidR="00175409" w:rsidRDefault="00175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78004" w14:textId="77777777" w:rsidR="0080023E" w:rsidRDefault="00800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BEA91" w14:textId="77777777" w:rsidR="00B942D0" w:rsidRDefault="00B942D0" w:rsidP="00C450F0">
      <w:pPr>
        <w:spacing w:after="0" w:line="240" w:lineRule="auto"/>
      </w:pPr>
      <w:r>
        <w:separator/>
      </w:r>
    </w:p>
  </w:footnote>
  <w:footnote w:type="continuationSeparator" w:id="0">
    <w:p w14:paraId="5328BE97" w14:textId="77777777" w:rsidR="00B942D0" w:rsidRDefault="00B942D0" w:rsidP="00C450F0">
      <w:pPr>
        <w:spacing w:after="0" w:line="240" w:lineRule="auto"/>
      </w:pPr>
      <w:r>
        <w:continuationSeparator/>
      </w:r>
    </w:p>
  </w:footnote>
  <w:footnote w:id="1">
    <w:p w14:paraId="2D9E72E5" w14:textId="184C1EC4" w:rsidR="00405338" w:rsidRDefault="00405338">
      <w:pPr>
        <w:pStyle w:val="FootnoteText"/>
      </w:pPr>
      <w:r>
        <w:rPr>
          <w:rStyle w:val="FootnoteReference"/>
        </w:rPr>
        <w:footnoteRef/>
      </w:r>
      <w:r>
        <w:t xml:space="preserve"> </w:t>
      </w:r>
      <w:r w:rsidRPr="005B647B">
        <w:rPr>
          <w:rFonts w:ascii="Times New Roman" w:hAnsi="Times New Roman" w:cs="Times New Roman"/>
        </w:rPr>
        <w:t>The author would like to thank the two anonymous reviewers for their valuable input on the submitted version.</w:t>
      </w:r>
    </w:p>
  </w:footnote>
  <w:footnote w:id="2">
    <w:p w14:paraId="0C055EC6" w14:textId="77777777" w:rsidR="00604654" w:rsidRPr="0005439A" w:rsidRDefault="00604654" w:rsidP="00604654">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[2019] UKSC 21</w:t>
      </w:r>
    </w:p>
  </w:footnote>
  <w:footnote w:id="3">
    <w:p w14:paraId="45117D03" w14:textId="77777777" w:rsidR="00604654" w:rsidRPr="0005439A" w:rsidRDefault="00604654" w:rsidP="00604654">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 [59] (Lord Wilson).</w:t>
      </w:r>
    </w:p>
  </w:footnote>
  <w:footnote w:id="4">
    <w:p w14:paraId="4AF5C6F0" w14:textId="77777777" w:rsidR="00604654" w:rsidRPr="0005439A" w:rsidRDefault="00604654" w:rsidP="00604654">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 [65].</w:t>
      </w:r>
    </w:p>
  </w:footnote>
  <w:footnote w:id="5">
    <w:p w14:paraId="4AF0D747" w14:textId="77777777" w:rsidR="00816FFA" w:rsidRPr="0005439A" w:rsidRDefault="00816FFA" w:rsidP="00816FF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Francisco Pascual-Vives, </w:t>
      </w:r>
      <w:r w:rsidRPr="0005439A">
        <w:rPr>
          <w:rFonts w:ascii="Times New Roman" w:hAnsi="Times New Roman" w:cs="Times New Roman"/>
          <w:i/>
        </w:rPr>
        <w:t>Consensus-Based Interpretation of Regional Human Rights Treaties</w:t>
      </w:r>
      <w:r w:rsidRPr="0005439A">
        <w:rPr>
          <w:rFonts w:ascii="Times New Roman" w:hAnsi="Times New Roman" w:cs="Times New Roman"/>
        </w:rPr>
        <w:t xml:space="preserve"> (Bril 2019) 146.</w:t>
      </w:r>
    </w:p>
  </w:footnote>
  <w:footnote w:id="6">
    <w:p w14:paraId="147F90C4" w14:textId="77777777" w:rsidR="00816FFA" w:rsidRPr="0005439A" w:rsidRDefault="00816FFA" w:rsidP="00816FF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Steven Greer, </w:t>
      </w:r>
      <w:r w:rsidRPr="0005439A">
        <w:rPr>
          <w:rFonts w:ascii="Times New Roman" w:hAnsi="Times New Roman" w:cs="Times New Roman"/>
          <w:i/>
        </w:rPr>
        <w:t>The Margin of Appreciation: Interpretation and Discretion Under the European Convention on Human Rights</w:t>
      </w:r>
      <w:r w:rsidRPr="0005439A">
        <w:rPr>
          <w:rFonts w:ascii="Times New Roman" w:hAnsi="Times New Roman" w:cs="Times New Roman"/>
        </w:rPr>
        <w:t xml:space="preserve"> (Council of Europe Publishing, 2000) 5.</w:t>
      </w:r>
    </w:p>
  </w:footnote>
  <w:footnote w:id="7">
    <w:p w14:paraId="7CE17E19" w14:textId="77777777" w:rsidR="00C612FD" w:rsidRPr="0005439A" w:rsidRDefault="00C612FD">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3C2C17" w:rsidRPr="0005439A">
        <w:rPr>
          <w:rFonts w:ascii="Times New Roman" w:hAnsi="Times New Roman" w:cs="Times New Roman"/>
        </w:rPr>
        <w:t>(2006) 43 E.H.R.R. 47 [51].</w:t>
      </w:r>
    </w:p>
  </w:footnote>
  <w:footnote w:id="8">
    <w:p w14:paraId="71AF8F8C" w14:textId="77777777" w:rsidR="00C612FD" w:rsidRPr="0005439A" w:rsidRDefault="00C612FD" w:rsidP="00C612FD">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AL (Serbia) v Secretary of State for the Home Department </w:t>
      </w:r>
      <w:r w:rsidRPr="0005439A">
        <w:rPr>
          <w:rFonts w:ascii="Times New Roman" w:hAnsi="Times New Roman" w:cs="Times New Roman"/>
        </w:rPr>
        <w:t>[2008] UKHL 42 [22] (per Lady Hale).</w:t>
      </w:r>
    </w:p>
  </w:footnote>
  <w:footnote w:id="9">
    <w:p w14:paraId="7722E178" w14:textId="77777777" w:rsidR="00076B79" w:rsidRPr="0005439A" w:rsidRDefault="00076B79">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in particular, </w:t>
      </w:r>
      <w:r w:rsidRPr="0005439A">
        <w:rPr>
          <w:rFonts w:ascii="Times New Roman" w:hAnsi="Times New Roman" w:cs="Times New Roman"/>
          <w:i/>
        </w:rPr>
        <w:t xml:space="preserve">R. (on the application of Tigere) v Secretary of State for Business, Innovation and Skills </w:t>
      </w:r>
      <w:r w:rsidRPr="0005439A">
        <w:rPr>
          <w:rFonts w:ascii="Times New Roman" w:hAnsi="Times New Roman" w:cs="Times New Roman"/>
        </w:rPr>
        <w:t>[2015] UKSC 57</w:t>
      </w:r>
      <w:r w:rsidR="00C76AF3" w:rsidRPr="0005439A">
        <w:rPr>
          <w:rFonts w:ascii="Times New Roman" w:hAnsi="Times New Roman" w:cs="Times New Roman"/>
        </w:rPr>
        <w:t xml:space="preserve"> [33] (per Lady Hale), and </w:t>
      </w:r>
      <w:r w:rsidR="00C76AF3" w:rsidRPr="0005439A">
        <w:rPr>
          <w:rFonts w:ascii="Times New Roman" w:hAnsi="Times New Roman" w:cs="Times New Roman"/>
          <w:i/>
        </w:rPr>
        <w:t xml:space="preserve">Re Recovery of Medical Costs for Asbestos Diseases </w:t>
      </w:r>
      <w:r w:rsidR="00C76AF3" w:rsidRPr="0005439A">
        <w:rPr>
          <w:rFonts w:ascii="Times New Roman" w:hAnsi="Times New Roman" w:cs="Times New Roman"/>
        </w:rPr>
        <w:t>[2015] UKSC 3</w:t>
      </w:r>
      <w:r w:rsidR="008A0BE3" w:rsidRPr="0005439A">
        <w:rPr>
          <w:rFonts w:ascii="Times New Roman" w:hAnsi="Times New Roman" w:cs="Times New Roman"/>
        </w:rPr>
        <w:t xml:space="preserve"> [51</w:t>
      </w:r>
      <w:r w:rsidR="00B7555C" w:rsidRPr="0005439A">
        <w:rPr>
          <w:rFonts w:ascii="Times New Roman" w:hAnsi="Times New Roman" w:cs="Times New Roman"/>
        </w:rPr>
        <w:t>] (per Lord Mance), the latter with reference to justification in an A1P1 context.</w:t>
      </w:r>
    </w:p>
  </w:footnote>
  <w:footnote w:id="10">
    <w:p w14:paraId="1030C34A" w14:textId="77777777" w:rsidR="00653051" w:rsidRPr="0005439A" w:rsidRDefault="0065305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Bank Mellat v HM Treasury</w:t>
      </w:r>
      <w:r w:rsidRPr="0005439A">
        <w:rPr>
          <w:rFonts w:ascii="Times New Roman" w:hAnsi="Times New Roman" w:cs="Times New Roman"/>
        </w:rPr>
        <w:t xml:space="preserve"> [2014] AC 700 [20] (per Lord Sumption).</w:t>
      </w:r>
    </w:p>
  </w:footnote>
  <w:footnote w:id="11">
    <w:p w14:paraId="39C0A9C0" w14:textId="77777777" w:rsidR="008D72F3" w:rsidRPr="0005439A" w:rsidRDefault="008D72F3">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8D3DD9" w:rsidRPr="0005439A">
        <w:rPr>
          <w:rFonts w:ascii="Times New Roman" w:hAnsi="Times New Roman" w:cs="Times New Roman"/>
          <w:i/>
        </w:rPr>
        <w:t xml:space="preserve">Stec </w:t>
      </w:r>
      <w:r w:rsidR="008D3DD9" w:rsidRPr="0005439A">
        <w:rPr>
          <w:rFonts w:ascii="Times New Roman" w:hAnsi="Times New Roman" w:cs="Times New Roman"/>
        </w:rPr>
        <w:t xml:space="preserve">(n </w:t>
      </w:r>
      <w:r w:rsidR="008D3DD9" w:rsidRPr="0005439A">
        <w:rPr>
          <w:rFonts w:ascii="Times New Roman" w:hAnsi="Times New Roman" w:cs="Times New Roman"/>
        </w:rPr>
        <w:fldChar w:fldCharType="begin"/>
      </w:r>
      <w:r w:rsidR="008D3DD9" w:rsidRPr="0005439A">
        <w:rPr>
          <w:rFonts w:ascii="Times New Roman" w:hAnsi="Times New Roman" w:cs="Times New Roman"/>
        </w:rPr>
        <w:instrText xml:space="preserve"> NOTEREF _Ref16577451 \h </w:instrText>
      </w:r>
      <w:r w:rsidR="0044568E" w:rsidRPr="0005439A">
        <w:rPr>
          <w:rFonts w:ascii="Times New Roman" w:hAnsi="Times New Roman" w:cs="Times New Roman"/>
        </w:rPr>
        <w:instrText xml:space="preserve"> \* MERGEFORMAT </w:instrText>
      </w:r>
      <w:r w:rsidR="008D3DD9" w:rsidRPr="0005439A">
        <w:rPr>
          <w:rFonts w:ascii="Times New Roman" w:hAnsi="Times New Roman" w:cs="Times New Roman"/>
        </w:rPr>
      </w:r>
      <w:r w:rsidR="008D3DD9" w:rsidRPr="0005439A">
        <w:rPr>
          <w:rFonts w:ascii="Times New Roman" w:hAnsi="Times New Roman" w:cs="Times New Roman"/>
        </w:rPr>
        <w:fldChar w:fldCharType="separate"/>
      </w:r>
      <w:r w:rsidR="008D3DD9" w:rsidRPr="0005439A">
        <w:rPr>
          <w:rFonts w:ascii="Times New Roman" w:hAnsi="Times New Roman" w:cs="Times New Roman"/>
        </w:rPr>
        <w:t>6</w:t>
      </w:r>
      <w:r w:rsidR="008D3DD9" w:rsidRPr="0005439A">
        <w:rPr>
          <w:rFonts w:ascii="Times New Roman" w:hAnsi="Times New Roman" w:cs="Times New Roman"/>
        </w:rPr>
        <w:fldChar w:fldCharType="end"/>
      </w:r>
      <w:r w:rsidR="008D3DD9" w:rsidRPr="0005439A">
        <w:rPr>
          <w:rFonts w:ascii="Times New Roman" w:hAnsi="Times New Roman" w:cs="Times New Roman"/>
        </w:rPr>
        <w:t>).</w:t>
      </w:r>
    </w:p>
  </w:footnote>
  <w:footnote w:id="12">
    <w:p w14:paraId="2F3D099C" w14:textId="77777777" w:rsidR="009A5041" w:rsidRPr="0005439A" w:rsidRDefault="009A504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8D3DD9" w:rsidRPr="0005439A">
        <w:rPr>
          <w:rFonts w:ascii="Times New Roman" w:hAnsi="Times New Roman" w:cs="Times New Roman"/>
        </w:rPr>
        <w:t>Ibid</w:t>
      </w:r>
      <w:r w:rsidRPr="0005439A">
        <w:rPr>
          <w:rFonts w:ascii="Times New Roman" w:hAnsi="Times New Roman" w:cs="Times New Roman"/>
        </w:rPr>
        <w:t xml:space="preserve"> </w:t>
      </w:r>
      <w:r w:rsidR="008D3DD9" w:rsidRPr="0005439A">
        <w:rPr>
          <w:rFonts w:ascii="Times New Roman" w:hAnsi="Times New Roman" w:cs="Times New Roman"/>
        </w:rPr>
        <w:t>[</w:t>
      </w:r>
      <w:r w:rsidRPr="0005439A">
        <w:rPr>
          <w:rFonts w:ascii="Times New Roman" w:hAnsi="Times New Roman" w:cs="Times New Roman"/>
        </w:rPr>
        <w:t>52</w:t>
      </w:r>
      <w:r w:rsidR="008D3DD9" w:rsidRPr="0005439A">
        <w:rPr>
          <w:rFonts w:ascii="Times New Roman" w:hAnsi="Times New Roman" w:cs="Times New Roman"/>
        </w:rPr>
        <w:t>]</w:t>
      </w:r>
      <w:r w:rsidRPr="0005439A">
        <w:rPr>
          <w:rFonts w:ascii="Times New Roman" w:hAnsi="Times New Roman" w:cs="Times New Roman"/>
        </w:rPr>
        <w:t>.</w:t>
      </w:r>
    </w:p>
  </w:footnote>
  <w:footnote w:id="13">
    <w:p w14:paraId="53A67DDD" w14:textId="77777777" w:rsidR="002938AA" w:rsidRPr="0005439A" w:rsidRDefault="002938A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Re Recovery of Medical Costs </w:t>
      </w:r>
      <w:r w:rsidR="00A505EB" w:rsidRPr="0005439A">
        <w:rPr>
          <w:rFonts w:ascii="Times New Roman" w:hAnsi="Times New Roman" w:cs="Times New Roman"/>
        </w:rPr>
        <w:t xml:space="preserve">(n </w:t>
      </w:r>
      <w:r w:rsidR="00A505EB" w:rsidRPr="0005439A">
        <w:rPr>
          <w:rFonts w:ascii="Times New Roman" w:hAnsi="Times New Roman" w:cs="Times New Roman"/>
        </w:rPr>
        <w:fldChar w:fldCharType="begin"/>
      </w:r>
      <w:r w:rsidR="00A505EB" w:rsidRPr="0005439A">
        <w:rPr>
          <w:rFonts w:ascii="Times New Roman" w:hAnsi="Times New Roman" w:cs="Times New Roman"/>
        </w:rPr>
        <w:instrText xml:space="preserve"> NOTEREF _Ref16577571 \h </w:instrText>
      </w:r>
      <w:r w:rsidR="0044568E" w:rsidRPr="0005439A">
        <w:rPr>
          <w:rFonts w:ascii="Times New Roman" w:hAnsi="Times New Roman" w:cs="Times New Roman"/>
        </w:rPr>
        <w:instrText xml:space="preserve"> \* MERGEFORMAT </w:instrText>
      </w:r>
      <w:r w:rsidR="00A505EB" w:rsidRPr="0005439A">
        <w:rPr>
          <w:rFonts w:ascii="Times New Roman" w:hAnsi="Times New Roman" w:cs="Times New Roman"/>
        </w:rPr>
      </w:r>
      <w:r w:rsidR="00A505EB" w:rsidRPr="0005439A">
        <w:rPr>
          <w:rFonts w:ascii="Times New Roman" w:hAnsi="Times New Roman" w:cs="Times New Roman"/>
        </w:rPr>
        <w:fldChar w:fldCharType="separate"/>
      </w:r>
      <w:r w:rsidR="00A505EB" w:rsidRPr="0005439A">
        <w:rPr>
          <w:rFonts w:ascii="Times New Roman" w:hAnsi="Times New Roman" w:cs="Times New Roman"/>
        </w:rPr>
        <w:t>8</w:t>
      </w:r>
      <w:r w:rsidR="00A505EB" w:rsidRPr="0005439A">
        <w:rPr>
          <w:rFonts w:ascii="Times New Roman" w:hAnsi="Times New Roman" w:cs="Times New Roman"/>
        </w:rPr>
        <w:fldChar w:fldCharType="end"/>
      </w:r>
      <w:r w:rsidR="00A505EB" w:rsidRPr="0005439A">
        <w:rPr>
          <w:rFonts w:ascii="Times New Roman" w:hAnsi="Times New Roman" w:cs="Times New Roman"/>
        </w:rPr>
        <w:t>)</w:t>
      </w:r>
      <w:r w:rsidR="00A505EB" w:rsidRPr="0005439A">
        <w:rPr>
          <w:rFonts w:ascii="Times New Roman" w:hAnsi="Times New Roman" w:cs="Times New Roman"/>
          <w:i/>
        </w:rPr>
        <w:t xml:space="preserve"> </w:t>
      </w:r>
      <w:r w:rsidRPr="0005439A">
        <w:rPr>
          <w:rFonts w:ascii="Times New Roman" w:hAnsi="Times New Roman" w:cs="Times New Roman"/>
        </w:rPr>
        <w:t>[52] (per Lord Mance)</w:t>
      </w:r>
      <w:r w:rsidR="005D26B9" w:rsidRPr="0005439A">
        <w:rPr>
          <w:rFonts w:ascii="Times New Roman" w:hAnsi="Times New Roman" w:cs="Times New Roman"/>
        </w:rPr>
        <w:t>.</w:t>
      </w:r>
    </w:p>
  </w:footnote>
  <w:footnote w:id="14">
    <w:p w14:paraId="5042FFFE" w14:textId="77777777" w:rsidR="004606DA" w:rsidRPr="0005439A" w:rsidRDefault="004606DA" w:rsidP="004606D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 among very many others – Jed Meers and Alice Welsh, ‘Going cap in hand (Case Comment)’ (2019) 26(3) J.S.S.L D72-D73; Tom Royston and Charlotte O’Brien, ‘You move you lose (Case Comment)’ (2018) 25(3) J.S.S.L D78-D80; and Tom Royston and Charlotte O’Brien, ‘New bedroom tax exception (Case Comment)’ (2018) 25(1)  J.S.S.L D24-D25.</w:t>
      </w:r>
    </w:p>
  </w:footnote>
  <w:footnote w:id="15">
    <w:p w14:paraId="35639BF3" w14:textId="77777777" w:rsidR="004606DA" w:rsidRPr="0005439A" w:rsidRDefault="004606DA" w:rsidP="004606D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Mel Cousins, ‘Social security, discrimination and justification under the European Convention on Human Rights’ (2016) 23(1) Journal of Social Security Law 20-41, 40.</w:t>
      </w:r>
    </w:p>
  </w:footnote>
  <w:footnote w:id="16">
    <w:p w14:paraId="4962899A" w14:textId="77777777" w:rsidR="004606DA" w:rsidRPr="0005439A" w:rsidRDefault="004606DA" w:rsidP="004606D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Reg.B13 Housing Benefit Regulations 2006</w:t>
      </w:r>
    </w:p>
  </w:footnote>
  <w:footnote w:id="17">
    <w:p w14:paraId="6445A7FE" w14:textId="77777777" w:rsidR="004606DA" w:rsidRPr="0005439A" w:rsidRDefault="004606DA" w:rsidP="004606D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R. (on the application of Carmichael) v Secretary of State for Work and Pensions </w:t>
      </w:r>
      <w:r w:rsidRPr="0005439A">
        <w:rPr>
          <w:rFonts w:ascii="Times New Roman" w:hAnsi="Times New Roman" w:cs="Times New Roman"/>
        </w:rPr>
        <w:t>[2016] UKSC 58 [38] (per Lord Toulson].</w:t>
      </w:r>
    </w:p>
  </w:footnote>
  <w:footnote w:id="18">
    <w:p w14:paraId="5F4AAD50" w14:textId="77777777" w:rsidR="004606DA" w:rsidRPr="0005439A" w:rsidRDefault="004606DA" w:rsidP="004606D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J.D. and A v. The United Kingdom Applications nos. 32949/17 and 34614/17</w:t>
      </w:r>
      <w:r w:rsidRPr="0005439A">
        <w:rPr>
          <w:rFonts w:ascii="Times New Roman" w:hAnsi="Times New Roman" w:cs="Times New Roman"/>
        </w:rPr>
        <w:t xml:space="preserve"> (ECtHR, 24 October 2019).</w:t>
      </w:r>
    </w:p>
  </w:footnote>
  <w:footnote w:id="19">
    <w:p w14:paraId="3537591C" w14:textId="77777777" w:rsidR="004D3BDB" w:rsidRPr="0005439A" w:rsidRDefault="004D3BDB" w:rsidP="004D3BDB">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Alastair Mowbray, ‘Subsidiarity and the European Convention on Human Rights’ (2015) 15 Human Rights Law Review, 313-341, 329.</w:t>
      </w:r>
    </w:p>
  </w:footnote>
  <w:footnote w:id="20">
    <w:p w14:paraId="27624823" w14:textId="77777777" w:rsidR="00181C02" w:rsidRPr="0005439A" w:rsidRDefault="00181C02">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DA</w:t>
      </w:r>
      <w:r w:rsidR="007C3477" w:rsidRPr="0005439A">
        <w:rPr>
          <w:rFonts w:ascii="Times New Roman" w:hAnsi="Times New Roman" w:cs="Times New Roman"/>
        </w:rPr>
        <w:t xml:space="preserve"> (n </w:t>
      </w:r>
      <w:r w:rsidR="007C3477" w:rsidRPr="0005439A">
        <w:rPr>
          <w:rFonts w:ascii="Times New Roman" w:hAnsi="Times New Roman" w:cs="Times New Roman"/>
        </w:rPr>
        <w:fldChar w:fldCharType="begin"/>
      </w:r>
      <w:r w:rsidR="007C3477" w:rsidRPr="0005439A">
        <w:rPr>
          <w:rFonts w:ascii="Times New Roman" w:hAnsi="Times New Roman" w:cs="Times New Roman"/>
        </w:rPr>
        <w:instrText xml:space="preserve"> NOTEREF _Ref16577610 \h </w:instrText>
      </w:r>
      <w:r w:rsidR="0044568E" w:rsidRPr="0005439A">
        <w:rPr>
          <w:rFonts w:ascii="Times New Roman" w:hAnsi="Times New Roman" w:cs="Times New Roman"/>
        </w:rPr>
        <w:instrText xml:space="preserve"> \* MERGEFORMAT </w:instrText>
      </w:r>
      <w:r w:rsidR="007C3477" w:rsidRPr="0005439A">
        <w:rPr>
          <w:rFonts w:ascii="Times New Roman" w:hAnsi="Times New Roman" w:cs="Times New Roman"/>
        </w:rPr>
      </w:r>
      <w:r w:rsidR="007C3477" w:rsidRPr="0005439A">
        <w:rPr>
          <w:rFonts w:ascii="Times New Roman" w:hAnsi="Times New Roman" w:cs="Times New Roman"/>
        </w:rPr>
        <w:fldChar w:fldCharType="separate"/>
      </w:r>
      <w:r w:rsidR="007C3477" w:rsidRPr="0005439A">
        <w:rPr>
          <w:rFonts w:ascii="Times New Roman" w:hAnsi="Times New Roman" w:cs="Times New Roman"/>
        </w:rPr>
        <w:t>3</w:t>
      </w:r>
      <w:r w:rsidR="007C3477" w:rsidRPr="0005439A">
        <w:rPr>
          <w:rFonts w:ascii="Times New Roman" w:hAnsi="Times New Roman" w:cs="Times New Roman"/>
        </w:rPr>
        <w:fldChar w:fldCharType="end"/>
      </w:r>
      <w:r w:rsidR="007C3477" w:rsidRPr="0005439A">
        <w:rPr>
          <w:rFonts w:ascii="Times New Roman" w:hAnsi="Times New Roman" w:cs="Times New Roman"/>
        </w:rPr>
        <w:t>)</w:t>
      </w:r>
      <w:r w:rsidRPr="0005439A">
        <w:rPr>
          <w:rFonts w:ascii="Times New Roman" w:hAnsi="Times New Roman" w:cs="Times New Roman"/>
        </w:rPr>
        <w:t xml:space="preserve"> [164] per Lord Kerr.</w:t>
      </w:r>
    </w:p>
  </w:footnote>
  <w:footnote w:id="21">
    <w:p w14:paraId="00762CB4" w14:textId="77777777" w:rsidR="007C3477" w:rsidRPr="0005439A" w:rsidRDefault="005727EE" w:rsidP="007C3477">
      <w:pPr>
        <w:pStyle w:val="FootnoteText"/>
        <w:rPr>
          <w:rFonts w:ascii="Times New Roman" w:hAnsi="Times New Roman" w:cs="Times New Roman"/>
        </w:rPr>
      </w:pPr>
      <w:r w:rsidRPr="0005439A">
        <w:rPr>
          <w:rStyle w:val="FootnoteReference"/>
          <w:rFonts w:ascii="Times New Roman" w:hAnsi="Times New Roman" w:cs="Times New Roman"/>
        </w:rPr>
        <w:footnoteRef/>
      </w:r>
      <w:r w:rsidR="007C3477" w:rsidRPr="0005439A">
        <w:rPr>
          <w:rFonts w:ascii="Times New Roman" w:hAnsi="Times New Roman" w:cs="Times New Roman"/>
        </w:rPr>
        <w:t xml:space="preserve"> See the Brighton Declartion accompanying</w:t>
      </w:r>
      <w:r w:rsidRPr="0005439A">
        <w:rPr>
          <w:rFonts w:ascii="Times New Roman" w:hAnsi="Times New Roman" w:cs="Times New Roman"/>
        </w:rPr>
        <w:t xml:space="preserve"> Protocol 15 (</w:t>
      </w:r>
      <w:r w:rsidR="007C3477" w:rsidRPr="0005439A">
        <w:rPr>
          <w:rFonts w:ascii="Times New Roman" w:hAnsi="Times New Roman" w:cs="Times New Roman"/>
        </w:rPr>
        <w:t>introduced in 2013)</w:t>
      </w:r>
      <w:r w:rsidRPr="0005439A">
        <w:rPr>
          <w:rFonts w:ascii="Times New Roman" w:hAnsi="Times New Roman" w:cs="Times New Roman"/>
        </w:rPr>
        <w:t>,</w:t>
      </w:r>
      <w:r w:rsidR="007C3477" w:rsidRPr="0005439A">
        <w:rPr>
          <w:rFonts w:ascii="Times New Roman" w:hAnsi="Times New Roman" w:cs="Times New Roman"/>
        </w:rPr>
        <w:t xml:space="preserve"> quoted in: Nikos Vogiatzis, 'When Reform Meets Judicial Restraint Protocol 15 Amending the</w:t>
      </w:r>
    </w:p>
    <w:p w14:paraId="509D9B87" w14:textId="77777777" w:rsidR="005727EE" w:rsidRPr="0005439A" w:rsidRDefault="007C3477" w:rsidP="007C3477">
      <w:pPr>
        <w:pStyle w:val="FootnoteText"/>
        <w:rPr>
          <w:rFonts w:ascii="Times New Roman" w:hAnsi="Times New Roman" w:cs="Times New Roman"/>
        </w:rPr>
      </w:pPr>
      <w:r w:rsidRPr="0005439A">
        <w:rPr>
          <w:rFonts w:ascii="Times New Roman" w:hAnsi="Times New Roman" w:cs="Times New Roman"/>
        </w:rPr>
        <w:t xml:space="preserve">European Convention on Human Rights' (2015) 66 N IR LEGAL Q 127, 131; and Pascual-Vives (n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_Ref16578057 \h </w:instrText>
      </w:r>
      <w:r w:rsidR="0044568E" w:rsidRPr="0005439A">
        <w:rPr>
          <w:rFonts w:ascii="Times New Roman" w:hAnsi="Times New Roman" w:cs="Times New Roman"/>
        </w:rPr>
        <w:instrText xml:space="preserve">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1</w:t>
      </w:r>
      <w:r w:rsidRPr="0005439A">
        <w:rPr>
          <w:rFonts w:ascii="Times New Roman" w:hAnsi="Times New Roman" w:cs="Times New Roman"/>
        </w:rPr>
        <w:fldChar w:fldCharType="end"/>
      </w:r>
      <w:r w:rsidRPr="0005439A">
        <w:rPr>
          <w:rFonts w:ascii="Times New Roman" w:hAnsi="Times New Roman" w:cs="Times New Roman"/>
        </w:rPr>
        <w:t>) 147.</w:t>
      </w:r>
    </w:p>
  </w:footnote>
  <w:footnote w:id="22">
    <w:p w14:paraId="49647557" w14:textId="77777777" w:rsidR="00B02AB9" w:rsidRPr="0005439A" w:rsidRDefault="00B02AB9" w:rsidP="00B02AB9">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Dean Spielmann, ‘Whither the Margin of Appreciation?’ (2014) 67(1) M.L.R, 49-65, 63.</w:t>
      </w:r>
    </w:p>
  </w:footnote>
  <w:footnote w:id="23">
    <w:p w14:paraId="2DF6741B" w14:textId="77777777" w:rsidR="00B02AB9" w:rsidRPr="0005439A" w:rsidRDefault="00B02AB9">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w:t>
      </w:r>
    </w:p>
  </w:footnote>
  <w:footnote w:id="24">
    <w:p w14:paraId="62D1000E" w14:textId="77777777" w:rsidR="00F57138" w:rsidRPr="0005439A" w:rsidRDefault="00F57138">
      <w:pPr>
        <w:pStyle w:val="FootnoteText"/>
        <w:rPr>
          <w:rFonts w:ascii="Times New Roman" w:hAnsi="Times New Roman" w:cs="Times New Roman"/>
        </w:rPr>
      </w:pPr>
      <w:r w:rsidRPr="0005439A">
        <w:rPr>
          <w:rStyle w:val="FootnoteReference"/>
          <w:rFonts w:ascii="Times New Roman" w:hAnsi="Times New Roman" w:cs="Times New Roman"/>
        </w:rPr>
        <w:footnoteRef/>
      </w:r>
      <w:r w:rsidR="002703F2" w:rsidRPr="0005439A">
        <w:rPr>
          <w:rFonts w:ascii="Times New Roman" w:hAnsi="Times New Roman" w:cs="Times New Roman"/>
        </w:rPr>
        <w:t xml:space="preserve"> </w:t>
      </w:r>
      <w:r w:rsidR="004332DC" w:rsidRPr="0005439A">
        <w:rPr>
          <w:rFonts w:ascii="Times New Roman" w:hAnsi="Times New Roman" w:cs="Times New Roman"/>
        </w:rPr>
        <w:t>Greer</w:t>
      </w:r>
      <w:r w:rsidR="002703F2" w:rsidRPr="0005439A">
        <w:rPr>
          <w:rFonts w:ascii="Times New Roman" w:hAnsi="Times New Roman" w:cs="Times New Roman"/>
        </w:rPr>
        <w:t xml:space="preserve"> (n </w:t>
      </w:r>
      <w:r w:rsidR="002703F2" w:rsidRPr="0005439A">
        <w:rPr>
          <w:rFonts w:ascii="Times New Roman" w:hAnsi="Times New Roman" w:cs="Times New Roman"/>
        </w:rPr>
        <w:fldChar w:fldCharType="begin"/>
      </w:r>
      <w:r w:rsidR="002703F2" w:rsidRPr="0005439A">
        <w:rPr>
          <w:rFonts w:ascii="Times New Roman" w:hAnsi="Times New Roman" w:cs="Times New Roman"/>
        </w:rPr>
        <w:instrText xml:space="preserve"> NOTEREF _Ref16577114 \h </w:instrText>
      </w:r>
      <w:r w:rsidR="0044568E" w:rsidRPr="0005439A">
        <w:rPr>
          <w:rFonts w:ascii="Times New Roman" w:hAnsi="Times New Roman" w:cs="Times New Roman"/>
        </w:rPr>
        <w:instrText xml:space="preserve"> \* MERGEFORMAT </w:instrText>
      </w:r>
      <w:r w:rsidR="002703F2" w:rsidRPr="0005439A">
        <w:rPr>
          <w:rFonts w:ascii="Times New Roman" w:hAnsi="Times New Roman" w:cs="Times New Roman"/>
        </w:rPr>
      </w:r>
      <w:r w:rsidR="002703F2" w:rsidRPr="0005439A">
        <w:rPr>
          <w:rFonts w:ascii="Times New Roman" w:hAnsi="Times New Roman" w:cs="Times New Roman"/>
        </w:rPr>
        <w:fldChar w:fldCharType="separate"/>
      </w:r>
      <w:r w:rsidR="002703F2" w:rsidRPr="0005439A">
        <w:rPr>
          <w:rFonts w:ascii="Times New Roman" w:hAnsi="Times New Roman" w:cs="Times New Roman"/>
        </w:rPr>
        <w:t>2</w:t>
      </w:r>
      <w:r w:rsidR="002703F2" w:rsidRPr="0005439A">
        <w:rPr>
          <w:rFonts w:ascii="Times New Roman" w:hAnsi="Times New Roman" w:cs="Times New Roman"/>
        </w:rPr>
        <w:fldChar w:fldCharType="end"/>
      </w:r>
      <w:r w:rsidR="002703F2" w:rsidRPr="0005439A">
        <w:rPr>
          <w:rFonts w:ascii="Times New Roman" w:hAnsi="Times New Roman" w:cs="Times New Roman"/>
        </w:rPr>
        <w:t xml:space="preserve">) </w:t>
      </w:r>
      <w:r w:rsidRPr="0005439A">
        <w:rPr>
          <w:rFonts w:ascii="Times New Roman" w:hAnsi="Times New Roman" w:cs="Times New Roman"/>
        </w:rPr>
        <w:t>34.</w:t>
      </w:r>
    </w:p>
  </w:footnote>
  <w:footnote w:id="25">
    <w:p w14:paraId="06FC0789" w14:textId="77777777" w:rsidR="00D22642" w:rsidRPr="0005439A" w:rsidRDefault="00D22642">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(2009) 49 E.H.R.R. 29.</w:t>
      </w:r>
    </w:p>
  </w:footnote>
  <w:footnote w:id="26">
    <w:p w14:paraId="0DB9BC35" w14:textId="77777777" w:rsidR="008412EA" w:rsidRPr="0005439A" w:rsidRDefault="008412EA" w:rsidP="008412E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681C5E" w:rsidRPr="0005439A">
        <w:rPr>
          <w:rFonts w:ascii="Times New Roman" w:hAnsi="Times New Roman" w:cs="Times New Roman"/>
        </w:rPr>
        <w:t>Ibid</w:t>
      </w:r>
      <w:r w:rsidRPr="0005439A">
        <w:rPr>
          <w:rFonts w:ascii="Times New Roman" w:hAnsi="Times New Roman" w:cs="Times New Roman"/>
        </w:rPr>
        <w:t xml:space="preserve"> [184].</w:t>
      </w:r>
    </w:p>
  </w:footnote>
  <w:footnote w:id="27">
    <w:p w14:paraId="297601E4" w14:textId="77777777" w:rsidR="009409E1" w:rsidRPr="0005439A" w:rsidRDefault="009409E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[2011] UKSC 46</w:t>
      </w:r>
      <w:r w:rsidR="00292636" w:rsidRPr="0005439A">
        <w:rPr>
          <w:rFonts w:ascii="Times New Roman" w:hAnsi="Times New Roman" w:cs="Times New Roman"/>
        </w:rPr>
        <w:t>.</w:t>
      </w:r>
    </w:p>
  </w:footnote>
  <w:footnote w:id="28">
    <w:p w14:paraId="2F3349FE" w14:textId="77777777" w:rsidR="00E204A0" w:rsidRPr="0005439A" w:rsidRDefault="00E204A0">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567486" w:rsidRPr="0005439A">
        <w:rPr>
          <w:rFonts w:ascii="Times New Roman" w:hAnsi="Times New Roman" w:cs="Times New Roman"/>
        </w:rPr>
        <w:t>Ibid [32] (</w:t>
      </w:r>
      <w:r w:rsidRPr="0005439A">
        <w:rPr>
          <w:rFonts w:ascii="Times New Roman" w:hAnsi="Times New Roman" w:cs="Times New Roman"/>
        </w:rPr>
        <w:t>Lord Hope).</w:t>
      </w:r>
    </w:p>
  </w:footnote>
  <w:footnote w:id="29">
    <w:p w14:paraId="5DAA57A9" w14:textId="77777777" w:rsidR="00DD5361" w:rsidRPr="0005439A" w:rsidRDefault="00DD536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Eirik Bjorge, </w:t>
      </w:r>
      <w:r w:rsidRPr="0005439A">
        <w:rPr>
          <w:rFonts w:ascii="Times New Roman" w:hAnsi="Times New Roman" w:cs="Times New Roman"/>
          <w:i/>
        </w:rPr>
        <w:t xml:space="preserve">Domestic Application of the ECHR: Courts as Faithful Trustees </w:t>
      </w:r>
      <w:r w:rsidRPr="0005439A">
        <w:rPr>
          <w:rFonts w:ascii="Times New Roman" w:hAnsi="Times New Roman" w:cs="Times New Roman"/>
        </w:rPr>
        <w:t>(OUP 2015) 48.</w:t>
      </w:r>
    </w:p>
  </w:footnote>
  <w:footnote w:id="30">
    <w:p w14:paraId="6AF1C5AF" w14:textId="77777777" w:rsidR="009D5E01" w:rsidRPr="0005439A" w:rsidRDefault="009D5E0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Emphasis in the original</w:t>
      </w:r>
      <w:r w:rsidR="00503C31" w:rsidRPr="0005439A">
        <w:rPr>
          <w:rFonts w:ascii="Times New Roman" w:hAnsi="Times New Roman" w:cs="Times New Roman"/>
        </w:rPr>
        <w:t xml:space="preserve"> text</w:t>
      </w:r>
      <w:r w:rsidRPr="0005439A">
        <w:rPr>
          <w:rFonts w:ascii="Times New Roman" w:hAnsi="Times New Roman" w:cs="Times New Roman"/>
        </w:rPr>
        <w:t>.</w:t>
      </w:r>
    </w:p>
  </w:footnote>
  <w:footnote w:id="31">
    <w:p w14:paraId="5839BBDD" w14:textId="77777777" w:rsidR="008A29C0" w:rsidRPr="0005439A" w:rsidRDefault="008A29C0" w:rsidP="008A29C0">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David Pannick, ‘Principles of interpretation of Convention rights under the Human Rights Act and the discretionary area of judgment’ [1998] Public Law 545-551, 549.</w:t>
      </w:r>
    </w:p>
  </w:footnote>
  <w:footnote w:id="32">
    <w:p w14:paraId="39E8FFB4" w14:textId="77777777" w:rsidR="00AA5226" w:rsidRPr="0005439A" w:rsidRDefault="00AA5226">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_Ref16577610 \h </w:instrText>
      </w:r>
      <w:r w:rsidR="0044568E" w:rsidRPr="0005439A">
        <w:rPr>
          <w:rFonts w:ascii="Times New Roman" w:hAnsi="Times New Roman" w:cs="Times New Roman"/>
        </w:rPr>
        <w:instrText xml:space="preserve">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3</w:t>
      </w:r>
      <w:r w:rsidRPr="0005439A">
        <w:rPr>
          <w:rFonts w:ascii="Times New Roman" w:hAnsi="Times New Roman" w:cs="Times New Roman"/>
        </w:rPr>
        <w:fldChar w:fldCharType="end"/>
      </w:r>
      <w:r w:rsidRPr="0005439A">
        <w:rPr>
          <w:rFonts w:ascii="Times New Roman" w:hAnsi="Times New Roman" w:cs="Times New Roman"/>
        </w:rPr>
        <w:t>).</w:t>
      </w:r>
    </w:p>
  </w:footnote>
  <w:footnote w:id="33">
    <w:p w14:paraId="3AA65DE1" w14:textId="77777777" w:rsidR="00AA5226" w:rsidRPr="0005439A" w:rsidRDefault="00AA5226">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[2016] UKSC 58.</w:t>
      </w:r>
    </w:p>
  </w:footnote>
  <w:footnote w:id="34">
    <w:p w14:paraId="1B6C5124" w14:textId="77777777" w:rsidR="000B4240" w:rsidRPr="0005439A" w:rsidRDefault="000B4240">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006A38" w:rsidRPr="0005439A">
        <w:rPr>
          <w:rFonts w:ascii="Times New Roman" w:hAnsi="Times New Roman" w:cs="Times New Roman"/>
        </w:rPr>
        <w:t>Ibid</w:t>
      </w:r>
      <w:r w:rsidR="008F2376" w:rsidRPr="0005439A">
        <w:rPr>
          <w:rFonts w:ascii="Times New Roman" w:hAnsi="Times New Roman" w:cs="Times New Roman"/>
          <w:i/>
        </w:rPr>
        <w:t xml:space="preserve"> </w:t>
      </w:r>
      <w:r w:rsidR="008F2376" w:rsidRPr="0005439A">
        <w:rPr>
          <w:rFonts w:ascii="Times New Roman" w:hAnsi="Times New Roman" w:cs="Times New Roman"/>
        </w:rPr>
        <w:t xml:space="preserve">[66] (per Lord Toulson) and </w:t>
      </w:r>
      <w:r w:rsidR="008F2376" w:rsidRPr="0005439A">
        <w:rPr>
          <w:rFonts w:ascii="Times New Roman" w:hAnsi="Times New Roman" w:cs="Times New Roman"/>
          <w:i/>
        </w:rPr>
        <w:t xml:space="preserve">DA </w:t>
      </w:r>
      <w:r w:rsidR="008F2376" w:rsidRPr="0005439A">
        <w:rPr>
          <w:rFonts w:ascii="Times New Roman" w:hAnsi="Times New Roman" w:cs="Times New Roman"/>
        </w:rPr>
        <w:t>[88] (per Lord Wilson).</w:t>
      </w:r>
    </w:p>
  </w:footnote>
  <w:footnote w:id="35">
    <w:p w14:paraId="257181BC" w14:textId="77777777" w:rsidR="005F17F3" w:rsidRPr="0005439A" w:rsidRDefault="005F17F3">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DA </w:t>
      </w:r>
      <w:r w:rsidRPr="0005439A">
        <w:rPr>
          <w:rFonts w:ascii="Times New Roman" w:hAnsi="Times New Roman" w:cs="Times New Roman"/>
        </w:rPr>
        <w:t>[177] (per Lord Kerr).</w:t>
      </w:r>
    </w:p>
  </w:footnote>
  <w:footnote w:id="36">
    <w:p w14:paraId="668EAFDE" w14:textId="77777777" w:rsidR="00CD6FDB" w:rsidRPr="0005439A" w:rsidRDefault="00CD6FDB" w:rsidP="00CD6FDB">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Bank Mellat v HM Treasury</w:t>
      </w:r>
      <w:r w:rsidRPr="0005439A">
        <w:rPr>
          <w:rFonts w:ascii="Times New Roman" w:hAnsi="Times New Roman" w:cs="Times New Roman"/>
        </w:rPr>
        <w:t xml:space="preserve"> [2014] AC 700 [20] (per Lord Sumption).</w:t>
      </w:r>
    </w:p>
  </w:footnote>
  <w:footnote w:id="37">
    <w:p w14:paraId="20FE4B7E" w14:textId="641D0E8E" w:rsidR="00CD6FDB" w:rsidRPr="0005439A" w:rsidRDefault="00CD6FDB">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for instance, </w:t>
      </w:r>
      <w:r w:rsidRPr="0005439A">
        <w:rPr>
          <w:rFonts w:ascii="Times New Roman" w:hAnsi="Times New Roman" w:cs="Times New Roman"/>
          <w:i/>
        </w:rPr>
        <w:t xml:space="preserve">Re Recovery of Medical Costs </w:t>
      </w:r>
      <w:r w:rsidRPr="0005439A">
        <w:rPr>
          <w:rFonts w:ascii="Times New Roman" w:hAnsi="Times New Roman" w:cs="Times New Roman"/>
        </w:rPr>
        <w:t xml:space="preserve">(n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_Ref16577571 \h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8</w:t>
      </w:r>
      <w:r w:rsidRPr="0005439A">
        <w:rPr>
          <w:rFonts w:ascii="Times New Roman" w:hAnsi="Times New Roman" w:cs="Times New Roman"/>
        </w:rPr>
        <w:fldChar w:fldCharType="end"/>
      </w:r>
      <w:r w:rsidRPr="0005439A">
        <w:rPr>
          <w:rFonts w:ascii="Times New Roman" w:hAnsi="Times New Roman" w:cs="Times New Roman"/>
        </w:rPr>
        <w:t>)</w:t>
      </w:r>
      <w:r w:rsidRPr="0005439A">
        <w:rPr>
          <w:rFonts w:ascii="Times New Roman" w:hAnsi="Times New Roman" w:cs="Times New Roman"/>
          <w:i/>
        </w:rPr>
        <w:t xml:space="preserve"> </w:t>
      </w:r>
      <w:r w:rsidRPr="0005439A">
        <w:rPr>
          <w:rFonts w:ascii="Times New Roman" w:hAnsi="Times New Roman" w:cs="Times New Roman"/>
        </w:rPr>
        <w:t>[52] (per Lord Mance).</w:t>
      </w:r>
    </w:p>
  </w:footnote>
  <w:footnote w:id="38">
    <w:p w14:paraId="0E8AD0DB" w14:textId="77777777" w:rsidR="00FA13C4" w:rsidRPr="0005439A" w:rsidRDefault="00FA13C4">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Stec </w:t>
      </w:r>
      <w:r w:rsidR="00F31ABD" w:rsidRPr="0005439A">
        <w:rPr>
          <w:rFonts w:ascii="Times New Roman" w:hAnsi="Times New Roman" w:cs="Times New Roman"/>
        </w:rPr>
        <w:t>(n</w:t>
      </w:r>
      <w:r w:rsidR="008D3DD9" w:rsidRPr="0005439A">
        <w:rPr>
          <w:rFonts w:ascii="Times New Roman" w:hAnsi="Times New Roman" w:cs="Times New Roman"/>
        </w:rPr>
        <w:t xml:space="preserve"> </w:t>
      </w:r>
      <w:r w:rsidR="008D3DD9" w:rsidRPr="0005439A">
        <w:rPr>
          <w:rFonts w:ascii="Times New Roman" w:hAnsi="Times New Roman" w:cs="Times New Roman"/>
        </w:rPr>
        <w:fldChar w:fldCharType="begin"/>
      </w:r>
      <w:r w:rsidR="008D3DD9" w:rsidRPr="0005439A">
        <w:rPr>
          <w:rFonts w:ascii="Times New Roman" w:hAnsi="Times New Roman" w:cs="Times New Roman"/>
        </w:rPr>
        <w:instrText xml:space="preserve"> NOTEREF _Ref16577451 \h </w:instrText>
      </w:r>
      <w:r w:rsidR="0044568E" w:rsidRPr="0005439A">
        <w:rPr>
          <w:rFonts w:ascii="Times New Roman" w:hAnsi="Times New Roman" w:cs="Times New Roman"/>
        </w:rPr>
        <w:instrText xml:space="preserve"> \* MERGEFORMAT </w:instrText>
      </w:r>
      <w:r w:rsidR="008D3DD9" w:rsidRPr="0005439A">
        <w:rPr>
          <w:rFonts w:ascii="Times New Roman" w:hAnsi="Times New Roman" w:cs="Times New Roman"/>
        </w:rPr>
      </w:r>
      <w:r w:rsidR="008D3DD9" w:rsidRPr="0005439A">
        <w:rPr>
          <w:rFonts w:ascii="Times New Roman" w:hAnsi="Times New Roman" w:cs="Times New Roman"/>
        </w:rPr>
        <w:fldChar w:fldCharType="separate"/>
      </w:r>
      <w:r w:rsidR="008D3DD9" w:rsidRPr="0005439A">
        <w:rPr>
          <w:rFonts w:ascii="Times New Roman" w:hAnsi="Times New Roman" w:cs="Times New Roman"/>
        </w:rPr>
        <w:t>6</w:t>
      </w:r>
      <w:r w:rsidR="008D3DD9" w:rsidRPr="0005439A">
        <w:rPr>
          <w:rFonts w:ascii="Times New Roman" w:hAnsi="Times New Roman" w:cs="Times New Roman"/>
        </w:rPr>
        <w:fldChar w:fldCharType="end"/>
      </w:r>
      <w:r w:rsidR="00F31ABD" w:rsidRPr="0005439A">
        <w:rPr>
          <w:rFonts w:ascii="Times New Roman" w:hAnsi="Times New Roman" w:cs="Times New Roman"/>
        </w:rPr>
        <w:t>)</w:t>
      </w:r>
      <w:r w:rsidRPr="0005439A">
        <w:rPr>
          <w:rFonts w:ascii="Times New Roman" w:hAnsi="Times New Roman" w:cs="Times New Roman"/>
        </w:rPr>
        <w:t xml:space="preserve"> [52].</w:t>
      </w:r>
    </w:p>
  </w:footnote>
  <w:footnote w:id="39">
    <w:p w14:paraId="7E7B26F0" w14:textId="77777777" w:rsidR="003A5443" w:rsidRPr="0005439A" w:rsidRDefault="003A5443" w:rsidP="003A5443">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Alice Diver, ‘Putting Dignity to Bed? The Taxing Question of the UK’s Housing Rights Relapse’, in Diver, A and Miller, J (eds), </w:t>
      </w:r>
      <w:r w:rsidRPr="0005439A">
        <w:rPr>
          <w:rFonts w:ascii="Times New Roman" w:hAnsi="Times New Roman" w:cs="Times New Roman"/>
          <w:i/>
        </w:rPr>
        <w:t>Justiciability of Human Rights Law in Domestic Jurisdictions</w:t>
      </w:r>
      <w:r w:rsidRPr="0005439A">
        <w:rPr>
          <w:rFonts w:ascii="Times New Roman" w:hAnsi="Times New Roman" w:cs="Times New Roman"/>
        </w:rPr>
        <w:t xml:space="preserve"> (Springer 2016) 333-362, 339.</w:t>
      </w:r>
    </w:p>
  </w:footnote>
  <w:footnote w:id="40">
    <w:p w14:paraId="5591CD08" w14:textId="77777777" w:rsidR="00186CFE" w:rsidRPr="0005439A" w:rsidRDefault="00186CFE"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6414D6" w:rsidRPr="0005439A">
        <w:rPr>
          <w:rFonts w:ascii="Times New Roman" w:hAnsi="Times New Roman" w:cs="Times New Roman"/>
        </w:rPr>
        <w:t>(66746/01) (2005) 40 E.H.R.R. 9</w:t>
      </w:r>
      <w:r w:rsidR="006118BB" w:rsidRPr="0005439A">
        <w:rPr>
          <w:rFonts w:ascii="Times New Roman" w:hAnsi="Times New Roman" w:cs="Times New Roman"/>
        </w:rPr>
        <w:t>.</w:t>
      </w:r>
    </w:p>
  </w:footnote>
  <w:footnote w:id="41">
    <w:p w14:paraId="557391E2" w14:textId="77777777" w:rsidR="006118BB" w:rsidRPr="0005439A" w:rsidRDefault="006118BB">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1C48B6" w:rsidRPr="0005439A">
        <w:rPr>
          <w:rFonts w:ascii="Times New Roman" w:hAnsi="Times New Roman" w:cs="Times New Roman"/>
        </w:rPr>
        <w:t xml:space="preserve">Ibid </w:t>
      </w:r>
      <w:r w:rsidRPr="0005439A">
        <w:rPr>
          <w:rFonts w:ascii="Times New Roman" w:hAnsi="Times New Roman" w:cs="Times New Roman"/>
        </w:rPr>
        <w:t>[80].</w:t>
      </w:r>
    </w:p>
  </w:footnote>
  <w:footnote w:id="42">
    <w:p w14:paraId="4DB06D1B" w14:textId="77777777" w:rsidR="001C48B6" w:rsidRPr="0005439A" w:rsidRDefault="001C48B6">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 [82].</w:t>
      </w:r>
    </w:p>
  </w:footnote>
  <w:footnote w:id="43">
    <w:p w14:paraId="04569521" w14:textId="77777777" w:rsidR="0001281A" w:rsidRPr="0005439A" w:rsidRDefault="0001281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Stec </w:t>
      </w:r>
      <w:r w:rsidRPr="0005439A">
        <w:rPr>
          <w:rFonts w:ascii="Times New Roman" w:hAnsi="Times New Roman" w:cs="Times New Roman"/>
        </w:rPr>
        <w:t xml:space="preserve">(n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_Ref16577451 \h </w:instrText>
      </w:r>
      <w:r w:rsidR="0044568E" w:rsidRPr="0005439A">
        <w:rPr>
          <w:rFonts w:ascii="Times New Roman" w:hAnsi="Times New Roman" w:cs="Times New Roman"/>
        </w:rPr>
        <w:instrText xml:space="preserve">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6</w:t>
      </w:r>
      <w:r w:rsidRPr="0005439A">
        <w:rPr>
          <w:rFonts w:ascii="Times New Roman" w:hAnsi="Times New Roman" w:cs="Times New Roman"/>
        </w:rPr>
        <w:fldChar w:fldCharType="end"/>
      </w:r>
      <w:r w:rsidRPr="0005439A">
        <w:rPr>
          <w:rFonts w:ascii="Times New Roman" w:hAnsi="Times New Roman" w:cs="Times New Roman"/>
        </w:rPr>
        <w:t>) [52].</w:t>
      </w:r>
    </w:p>
  </w:footnote>
  <w:footnote w:id="44">
    <w:p w14:paraId="08A3D12F" w14:textId="77777777" w:rsidR="00EE7429" w:rsidRPr="0005439A" w:rsidRDefault="00EE7429"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CF385B" w:rsidRPr="0005439A">
        <w:rPr>
          <w:rStyle w:val="sb8d990e2"/>
          <w:rFonts w:ascii="Times New Roman" w:hAnsi="Times New Roman" w:cs="Times New Roman"/>
          <w:color w:val="000000"/>
          <w:shd w:val="clear" w:color="auto" w:fill="FFFFFF"/>
        </w:rPr>
        <w:t xml:space="preserve">(42184/05) </w:t>
      </w:r>
      <w:r w:rsidR="00661E49" w:rsidRPr="0005439A">
        <w:rPr>
          <w:rStyle w:val="sb8d990e2"/>
          <w:rFonts w:ascii="Times New Roman" w:hAnsi="Times New Roman" w:cs="Times New Roman"/>
          <w:color w:val="000000"/>
          <w:shd w:val="clear" w:color="auto" w:fill="FFFFFF"/>
        </w:rPr>
        <w:t>(2009) 48 E.H.R.R. 41.</w:t>
      </w:r>
    </w:p>
  </w:footnote>
  <w:footnote w:id="45">
    <w:p w14:paraId="0F9CA269" w14:textId="77777777" w:rsidR="00661E49" w:rsidRPr="0005439A" w:rsidRDefault="00661E49">
      <w:pPr>
        <w:pStyle w:val="FootnoteText"/>
        <w:rPr>
          <w:rFonts w:ascii="Times New Roman" w:hAnsi="Times New Roman" w:cs="Times New Roman"/>
        </w:rPr>
      </w:pPr>
      <w:r w:rsidRPr="0005439A">
        <w:rPr>
          <w:rStyle w:val="FootnoteReference"/>
          <w:rFonts w:ascii="Times New Roman" w:hAnsi="Times New Roman" w:cs="Times New Roman"/>
        </w:rPr>
        <w:footnoteRef/>
      </w:r>
      <w:r w:rsidR="00E02614" w:rsidRPr="0005439A">
        <w:rPr>
          <w:rFonts w:ascii="Times New Roman" w:hAnsi="Times New Roman" w:cs="Times New Roman"/>
        </w:rPr>
        <w:t xml:space="preserve"> Ibid [80].</w:t>
      </w:r>
    </w:p>
  </w:footnote>
  <w:footnote w:id="46">
    <w:p w14:paraId="070F61AD" w14:textId="77777777" w:rsidR="00051C64" w:rsidRPr="0005439A" w:rsidRDefault="00051C64"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8E0265" w:rsidRPr="0005439A">
        <w:rPr>
          <w:rFonts w:ascii="Times New Roman" w:hAnsi="Times New Roman" w:cs="Times New Roman"/>
          <w:i/>
        </w:rPr>
        <w:t>Biao v Denmark</w:t>
      </w:r>
      <w:r w:rsidR="008E0265" w:rsidRPr="0005439A">
        <w:rPr>
          <w:rFonts w:ascii="Times New Roman" w:hAnsi="Times New Roman" w:cs="Times New Roman"/>
        </w:rPr>
        <w:t xml:space="preserve"> (38590/10) (2017) 64 E.H.R.R. 1.</w:t>
      </w:r>
    </w:p>
  </w:footnote>
  <w:footnote w:id="47">
    <w:p w14:paraId="7422E0EB" w14:textId="77777777" w:rsidR="00051C64" w:rsidRPr="0005439A" w:rsidRDefault="00051C64"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JM v United Kingdom </w:t>
      </w:r>
      <w:r w:rsidRPr="0005439A">
        <w:rPr>
          <w:rFonts w:ascii="Times New Roman" w:hAnsi="Times New Roman" w:cs="Times New Roman"/>
        </w:rPr>
        <w:t>(2011) 53 EHRR 6</w:t>
      </w:r>
      <w:r w:rsidR="005864A1" w:rsidRPr="0005439A">
        <w:rPr>
          <w:rFonts w:ascii="Times New Roman" w:hAnsi="Times New Roman" w:cs="Times New Roman"/>
        </w:rPr>
        <w:t>.</w:t>
      </w:r>
    </w:p>
  </w:footnote>
  <w:footnote w:id="48">
    <w:p w14:paraId="791B849D" w14:textId="77777777" w:rsidR="00051C64" w:rsidRPr="0005439A" w:rsidRDefault="00051C64" w:rsidP="00B24A09">
      <w:pPr>
        <w:pStyle w:val="s32b251d"/>
        <w:shd w:val="clear" w:color="auto" w:fill="FFFFFF"/>
        <w:spacing w:before="0" w:beforeAutospacing="0" w:after="0" w:afterAutospacing="0"/>
        <w:jc w:val="both"/>
        <w:rPr>
          <w:color w:val="000000"/>
          <w:sz w:val="20"/>
          <w:szCs w:val="20"/>
        </w:rPr>
      </w:pPr>
      <w:r w:rsidRPr="0005439A">
        <w:rPr>
          <w:rStyle w:val="FootnoteReference"/>
          <w:sz w:val="20"/>
          <w:szCs w:val="20"/>
        </w:rPr>
        <w:footnoteRef/>
      </w:r>
      <w:r w:rsidRPr="0005439A">
        <w:rPr>
          <w:sz w:val="20"/>
          <w:szCs w:val="20"/>
        </w:rPr>
        <w:t xml:space="preserve"> </w:t>
      </w:r>
      <w:r w:rsidR="005864A1" w:rsidRPr="0005439A">
        <w:rPr>
          <w:rStyle w:val="s7d2086b4"/>
          <w:bCs/>
          <w:i/>
          <w:color w:val="000000"/>
          <w:sz w:val="20"/>
          <w:szCs w:val="20"/>
        </w:rPr>
        <w:t xml:space="preserve">Sommerfeld v Germany </w:t>
      </w:r>
      <w:r w:rsidR="005864A1" w:rsidRPr="0005439A">
        <w:rPr>
          <w:rStyle w:val="s7d2086b4"/>
          <w:bCs/>
          <w:color w:val="000000"/>
          <w:sz w:val="20"/>
          <w:szCs w:val="20"/>
        </w:rPr>
        <w:t>(31871/96) (2004) 38 E.H.R.R. 35.</w:t>
      </w:r>
    </w:p>
  </w:footnote>
  <w:footnote w:id="49">
    <w:p w14:paraId="2FBB74F2" w14:textId="77777777" w:rsidR="00051C64" w:rsidRPr="0005439A" w:rsidRDefault="00051C64"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9D0C14" w:rsidRPr="0005439A">
        <w:rPr>
          <w:rStyle w:val="s38c10080"/>
          <w:rFonts w:ascii="Times New Roman" w:hAnsi="Times New Roman" w:cs="Times New Roman"/>
          <w:bCs/>
          <w:i/>
          <w:iCs/>
          <w:color w:val="000000"/>
          <w:shd w:val="clear" w:color="auto" w:fill="FFFFFF"/>
        </w:rPr>
        <w:t xml:space="preserve">British Gurkha Welfare Society v United Kingdom </w:t>
      </w:r>
      <w:r w:rsidR="009D0C14" w:rsidRPr="0005439A">
        <w:rPr>
          <w:rStyle w:val="s38c10080"/>
          <w:rFonts w:ascii="Times New Roman" w:hAnsi="Times New Roman" w:cs="Times New Roman"/>
          <w:bCs/>
          <w:iCs/>
          <w:color w:val="000000"/>
          <w:shd w:val="clear" w:color="auto" w:fill="FFFFFF"/>
        </w:rPr>
        <w:t>(44818/11) (2017) 64 E.H.R.R. 11.</w:t>
      </w:r>
    </w:p>
  </w:footnote>
  <w:footnote w:id="50">
    <w:p w14:paraId="45822FC5" w14:textId="77777777" w:rsidR="00CC2AA4" w:rsidRPr="0005439A" w:rsidRDefault="00CC2AA4"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A53A09" w:rsidRPr="0005439A">
        <w:rPr>
          <w:rStyle w:val="s6b621b36"/>
          <w:rFonts w:ascii="Times New Roman" w:hAnsi="Times New Roman" w:cs="Times New Roman"/>
          <w:i/>
          <w:iCs/>
          <w:color w:val="000000"/>
        </w:rPr>
        <w:t xml:space="preserve">Guberina v Croatia </w:t>
      </w:r>
      <w:r w:rsidR="00A53A09" w:rsidRPr="0005439A">
        <w:rPr>
          <w:rStyle w:val="s6b621b36"/>
          <w:rFonts w:ascii="Times New Roman" w:hAnsi="Times New Roman" w:cs="Times New Roman"/>
          <w:iCs/>
          <w:color w:val="000000"/>
        </w:rPr>
        <w:t>(23682/13) (2018) 66 E.H.R.R. 11.</w:t>
      </w:r>
    </w:p>
  </w:footnote>
  <w:footnote w:id="51">
    <w:p w14:paraId="2E6F79D3" w14:textId="77777777" w:rsidR="001D0C4E" w:rsidRPr="0005439A" w:rsidRDefault="001D0C4E"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9C4FB7" w:rsidRPr="0005439A">
        <w:rPr>
          <w:rStyle w:val="s6b621b36"/>
          <w:rFonts w:ascii="Times New Roman" w:hAnsi="Times New Roman" w:cs="Times New Roman"/>
          <w:iCs/>
          <w:color w:val="000000"/>
        </w:rPr>
        <w:t>Ibid [</w:t>
      </w:r>
      <w:r w:rsidRPr="0005439A">
        <w:rPr>
          <w:rStyle w:val="s6b621b36"/>
          <w:rFonts w:ascii="Times New Roman" w:hAnsi="Times New Roman" w:cs="Times New Roman"/>
          <w:iCs/>
          <w:color w:val="000000"/>
        </w:rPr>
        <w:t>73</w:t>
      </w:r>
      <w:r w:rsidR="009C4FB7" w:rsidRPr="0005439A">
        <w:rPr>
          <w:rStyle w:val="s6b621b36"/>
          <w:rFonts w:ascii="Times New Roman" w:hAnsi="Times New Roman" w:cs="Times New Roman"/>
          <w:iCs/>
          <w:color w:val="000000"/>
        </w:rPr>
        <w:t>]</w:t>
      </w:r>
      <w:r w:rsidRPr="0005439A">
        <w:rPr>
          <w:rStyle w:val="s6b621b36"/>
          <w:rFonts w:ascii="Times New Roman" w:hAnsi="Times New Roman" w:cs="Times New Roman"/>
          <w:iCs/>
          <w:color w:val="000000"/>
        </w:rPr>
        <w:t>.</w:t>
      </w:r>
    </w:p>
  </w:footnote>
  <w:footnote w:id="52">
    <w:p w14:paraId="05A164A7" w14:textId="77777777" w:rsidR="00FC1E3D" w:rsidRPr="0005439A" w:rsidRDefault="00FC1E3D" w:rsidP="00B24A09">
      <w:pPr>
        <w:pStyle w:val="s32b251d"/>
        <w:shd w:val="clear" w:color="auto" w:fill="FFFFFF"/>
        <w:spacing w:before="0" w:beforeAutospacing="0" w:after="0" w:afterAutospacing="0"/>
        <w:jc w:val="both"/>
        <w:rPr>
          <w:color w:val="000000"/>
          <w:sz w:val="20"/>
          <w:szCs w:val="20"/>
        </w:rPr>
      </w:pPr>
      <w:r w:rsidRPr="0005439A">
        <w:rPr>
          <w:rStyle w:val="FootnoteReference"/>
          <w:sz w:val="20"/>
          <w:szCs w:val="20"/>
        </w:rPr>
        <w:footnoteRef/>
      </w:r>
      <w:r w:rsidRPr="0005439A">
        <w:rPr>
          <w:sz w:val="20"/>
          <w:szCs w:val="20"/>
        </w:rPr>
        <w:t xml:space="preserve"> On the former, see </w:t>
      </w:r>
      <w:r w:rsidR="00B55618" w:rsidRPr="0005439A">
        <w:rPr>
          <w:rStyle w:val="s7d2086b4"/>
          <w:bCs/>
          <w:i/>
          <w:color w:val="000000"/>
          <w:sz w:val="20"/>
          <w:szCs w:val="20"/>
        </w:rPr>
        <w:t>Kiyutin v Russia</w:t>
      </w:r>
      <w:r w:rsidR="00B55618" w:rsidRPr="0005439A">
        <w:rPr>
          <w:rStyle w:val="s7d2086b4"/>
          <w:bCs/>
          <w:color w:val="000000"/>
          <w:sz w:val="20"/>
          <w:szCs w:val="20"/>
        </w:rPr>
        <w:t xml:space="preserve"> (2700/10) (2011) 53 E.H.R.R. 26</w:t>
      </w:r>
      <w:r w:rsidRPr="0005439A">
        <w:rPr>
          <w:rStyle w:val="s6b621b36"/>
          <w:i/>
          <w:iCs/>
          <w:color w:val="000000"/>
          <w:sz w:val="20"/>
          <w:szCs w:val="20"/>
        </w:rPr>
        <w:t xml:space="preserve">. </w:t>
      </w:r>
      <w:r w:rsidRPr="0005439A">
        <w:rPr>
          <w:rStyle w:val="s6b621b36"/>
          <w:iCs/>
          <w:color w:val="000000"/>
          <w:sz w:val="20"/>
          <w:szCs w:val="20"/>
        </w:rPr>
        <w:t xml:space="preserve">On the latter, see </w:t>
      </w:r>
      <w:r w:rsidR="00B55618" w:rsidRPr="0005439A">
        <w:rPr>
          <w:bCs/>
          <w:i/>
          <w:color w:val="000000"/>
          <w:sz w:val="20"/>
          <w:szCs w:val="20"/>
        </w:rPr>
        <w:t>Kiss v Hungary</w:t>
      </w:r>
      <w:r w:rsidR="00B55618" w:rsidRPr="0005439A">
        <w:rPr>
          <w:bCs/>
          <w:color w:val="000000"/>
          <w:sz w:val="20"/>
          <w:szCs w:val="20"/>
        </w:rPr>
        <w:t xml:space="preserve"> (38832/06) (2013) 56 E.H.R.R. 38</w:t>
      </w:r>
      <w:r w:rsidR="00B55618" w:rsidRPr="0005439A">
        <w:rPr>
          <w:iCs/>
          <w:color w:val="000000"/>
          <w:sz w:val="20"/>
          <w:szCs w:val="20"/>
        </w:rPr>
        <w:t xml:space="preserve"> [42].</w:t>
      </w:r>
    </w:p>
  </w:footnote>
  <w:footnote w:id="53">
    <w:p w14:paraId="1B9F1BB5" w14:textId="77777777" w:rsidR="00CF71C7" w:rsidRPr="0005439A" w:rsidRDefault="00CF71C7"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00DB5BED" w:rsidRPr="0005439A">
        <w:rPr>
          <w:rFonts w:ascii="Times New Roman" w:hAnsi="Times New Roman" w:cs="Times New Roman"/>
        </w:rPr>
        <w:t xml:space="preserve"> Neville Harris, ‘Welfare Reform and the Shifting Threshold of Support for Disabled People’ (2014) 77(6) M.L.R. 888-927.</w:t>
      </w:r>
    </w:p>
  </w:footnote>
  <w:footnote w:id="54">
    <w:p w14:paraId="41F6BBB5" w14:textId="77777777" w:rsidR="00A95991" w:rsidRPr="0005439A" w:rsidRDefault="00A95991"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09190B" w:rsidRPr="0005439A">
        <w:rPr>
          <w:rFonts w:ascii="Times New Roman" w:hAnsi="Times New Roman" w:cs="Times New Roman"/>
        </w:rPr>
        <w:t xml:space="preserve">Steven Dodd, ‘Orientating disability studies to disablist austerity: applying Fraser’s insights’ (2016) 31(2) Disability &amp; Society </w:t>
      </w:r>
      <w:r w:rsidR="00666FBD" w:rsidRPr="0005439A">
        <w:rPr>
          <w:rFonts w:ascii="Times New Roman" w:hAnsi="Times New Roman" w:cs="Times New Roman"/>
        </w:rPr>
        <w:t>149-165.</w:t>
      </w:r>
      <w:r w:rsidRPr="0005439A">
        <w:rPr>
          <w:rFonts w:ascii="Times New Roman" w:hAnsi="Times New Roman" w:cs="Times New Roman"/>
        </w:rPr>
        <w:t xml:space="preserve"> </w:t>
      </w:r>
    </w:p>
  </w:footnote>
  <w:footnote w:id="55">
    <w:p w14:paraId="63DC80B6" w14:textId="725D95CE" w:rsidR="007B5EB5" w:rsidRPr="0005439A" w:rsidRDefault="007B5EB5">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for instance, Alice Diver, ‘Putting Dignity to Bed? The Taxing Question of the UK’s Housing Rights ‘Relapse’’ in Diver, A and Miller, J (eds), Justiciability of Human Rights Law in Domestic Jurisdictions (Springer 2016) 333-361.</w:t>
      </w:r>
    </w:p>
  </w:footnote>
  <w:footnote w:id="56">
    <w:p w14:paraId="72B48E5C" w14:textId="77777777" w:rsidR="00F361A1" w:rsidRPr="0005439A" w:rsidRDefault="00F361A1" w:rsidP="00F361A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Merris Amos, ‘The Second Division in Human Rights Adjudication: Social Rights Claims under the Human Rights Act 1998’ (2015) 15 Human Rights Law Review, 549–568.</w:t>
      </w:r>
    </w:p>
  </w:footnote>
  <w:footnote w:id="57">
    <w:p w14:paraId="318BD723" w14:textId="77777777" w:rsidR="00BC7F5A" w:rsidRPr="0005439A" w:rsidRDefault="00BC7F5A"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008843BC" w:rsidRPr="0005439A">
        <w:rPr>
          <w:rFonts w:ascii="Times New Roman" w:hAnsi="Times New Roman" w:cs="Times New Roman"/>
        </w:rPr>
        <w:t xml:space="preserve"> (6268/08)</w:t>
      </w:r>
      <w:r w:rsidRPr="0005439A">
        <w:rPr>
          <w:rStyle w:val="s6b621b36"/>
          <w:rFonts w:ascii="Times New Roman" w:hAnsi="Times New Roman" w:cs="Times New Roman"/>
          <w:i/>
          <w:iCs/>
          <w:color w:val="000000"/>
        </w:rPr>
        <w:t xml:space="preserve"> </w:t>
      </w:r>
      <w:r w:rsidR="008843BC" w:rsidRPr="0005439A">
        <w:rPr>
          <w:rStyle w:val="s6b621b36"/>
          <w:rFonts w:ascii="Times New Roman" w:hAnsi="Times New Roman" w:cs="Times New Roman"/>
          <w:iCs/>
          <w:color w:val="000000"/>
        </w:rPr>
        <w:t>(2015) 60 E.H.R.R. 14.</w:t>
      </w:r>
    </w:p>
  </w:footnote>
  <w:footnote w:id="58">
    <w:p w14:paraId="5CC91F06" w14:textId="77777777" w:rsidR="00227530" w:rsidRPr="0005439A" w:rsidRDefault="00227530">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 [51].</w:t>
      </w:r>
    </w:p>
  </w:footnote>
  <w:footnote w:id="59">
    <w:p w14:paraId="2AB803B2" w14:textId="77777777" w:rsidR="00A3317F" w:rsidRPr="0005439A" w:rsidRDefault="00A3317F"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D56241" w:rsidRPr="0005439A">
        <w:rPr>
          <w:rStyle w:val="s6b621b36"/>
          <w:rFonts w:ascii="Times New Roman" w:hAnsi="Times New Roman" w:cs="Times New Roman"/>
          <w:iCs/>
          <w:color w:val="000000"/>
        </w:rPr>
        <w:t xml:space="preserve">(2033/04) </w:t>
      </w:r>
      <w:r w:rsidR="00717AEB" w:rsidRPr="0005439A">
        <w:rPr>
          <w:rStyle w:val="s6b621b36"/>
          <w:rFonts w:ascii="Times New Roman" w:hAnsi="Times New Roman" w:cs="Times New Roman"/>
          <w:iCs/>
          <w:color w:val="000000"/>
        </w:rPr>
        <w:t>(2016) 62 E.H.R.R. 24.</w:t>
      </w:r>
    </w:p>
  </w:footnote>
  <w:footnote w:id="60">
    <w:p w14:paraId="70728752" w14:textId="77777777" w:rsidR="00AA581F" w:rsidRPr="0005439A" w:rsidRDefault="00AA581F">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[2012] UKSC 18</w:t>
      </w:r>
    </w:p>
  </w:footnote>
  <w:footnote w:id="61">
    <w:p w14:paraId="74BE55D0" w14:textId="77777777" w:rsidR="0013161E" w:rsidRPr="0005439A" w:rsidRDefault="0013161E"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00AA581F" w:rsidRPr="0005439A">
        <w:rPr>
          <w:rFonts w:ascii="Times New Roman" w:hAnsi="Times New Roman" w:cs="Times New Roman"/>
        </w:rPr>
        <w:t xml:space="preserve"> Ibid</w:t>
      </w:r>
      <w:r w:rsidRPr="0005439A">
        <w:rPr>
          <w:rFonts w:ascii="Times New Roman" w:hAnsi="Times New Roman" w:cs="Times New Roman"/>
        </w:rPr>
        <w:t xml:space="preserve"> [22] (Lady Hale).</w:t>
      </w:r>
    </w:p>
  </w:footnote>
  <w:footnote w:id="62">
    <w:p w14:paraId="44EF04AC" w14:textId="77777777" w:rsidR="0043445B" w:rsidRPr="0005439A" w:rsidRDefault="0043445B"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(56328/07) (2012) 54 E.H.R.R. 21.</w:t>
      </w:r>
    </w:p>
  </w:footnote>
  <w:footnote w:id="63">
    <w:p w14:paraId="20931AEB" w14:textId="77777777" w:rsidR="00923FBC" w:rsidRPr="0005439A" w:rsidRDefault="00923FBC" w:rsidP="00B24A09">
      <w:pPr>
        <w:pStyle w:val="FootnoteText"/>
        <w:jc w:val="both"/>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See, for example: </w:t>
      </w:r>
      <w:r w:rsidRPr="0005439A">
        <w:rPr>
          <w:rFonts w:ascii="Times New Roman" w:hAnsi="Times New Roman" w:cs="Times New Roman"/>
          <w:i/>
        </w:rPr>
        <w:t xml:space="preserve">Turley v London Borough of Wandsworth, Secretary of State for Communities and Local Government </w:t>
      </w:r>
      <w:r w:rsidR="005C70ED" w:rsidRPr="0005439A">
        <w:rPr>
          <w:rFonts w:ascii="Times New Roman" w:hAnsi="Times New Roman" w:cs="Times New Roman"/>
        </w:rPr>
        <w:t>[2017] EWCA Civ 189 [22] (</w:t>
      </w:r>
      <w:r w:rsidRPr="0005439A">
        <w:rPr>
          <w:rFonts w:ascii="Times New Roman" w:hAnsi="Times New Roman" w:cs="Times New Roman"/>
        </w:rPr>
        <w:t>Underhill</w:t>
      </w:r>
      <w:r w:rsidR="005C70ED" w:rsidRPr="0005439A">
        <w:rPr>
          <w:rFonts w:ascii="Times New Roman" w:hAnsi="Times New Roman" w:cs="Times New Roman"/>
        </w:rPr>
        <w:t xml:space="preserve"> J</w:t>
      </w:r>
      <w:r w:rsidRPr="0005439A">
        <w:rPr>
          <w:rFonts w:ascii="Times New Roman" w:hAnsi="Times New Roman" w:cs="Times New Roman"/>
        </w:rPr>
        <w:t xml:space="preserve">); </w:t>
      </w:r>
      <w:r w:rsidRPr="0005439A">
        <w:rPr>
          <w:rFonts w:ascii="Times New Roman" w:hAnsi="Times New Roman" w:cs="Times New Roman"/>
          <w:i/>
        </w:rPr>
        <w:t xml:space="preserve">R. (on the application of HC) v Secretary of State for Work and Pensions </w:t>
      </w:r>
      <w:r w:rsidRPr="0005439A">
        <w:rPr>
          <w:rFonts w:ascii="Times New Roman" w:hAnsi="Times New Roman" w:cs="Times New Roman"/>
        </w:rPr>
        <w:t>[2013] EWHC 3874 (</w:t>
      </w:r>
      <w:r w:rsidR="005C70ED" w:rsidRPr="0005439A">
        <w:rPr>
          <w:rFonts w:ascii="Times New Roman" w:hAnsi="Times New Roman" w:cs="Times New Roman"/>
        </w:rPr>
        <w:t>Admin) [48]-[51], [64] (</w:t>
      </w:r>
      <w:r w:rsidRPr="0005439A">
        <w:rPr>
          <w:rFonts w:ascii="Times New Roman" w:hAnsi="Times New Roman" w:cs="Times New Roman"/>
        </w:rPr>
        <w:t>Supperstone</w:t>
      </w:r>
      <w:r w:rsidR="005C70ED" w:rsidRPr="0005439A">
        <w:rPr>
          <w:rFonts w:ascii="Times New Roman" w:hAnsi="Times New Roman" w:cs="Times New Roman"/>
        </w:rPr>
        <w:t xml:space="preserve"> J</w:t>
      </w:r>
      <w:r w:rsidRPr="0005439A">
        <w:rPr>
          <w:rFonts w:ascii="Times New Roman" w:hAnsi="Times New Roman" w:cs="Times New Roman"/>
        </w:rPr>
        <w:t xml:space="preserve">); and </w:t>
      </w:r>
      <w:r w:rsidRPr="0005439A">
        <w:rPr>
          <w:rFonts w:ascii="Times New Roman" w:hAnsi="Times New Roman" w:cs="Times New Roman"/>
          <w:i/>
        </w:rPr>
        <w:t>R (on the application of Tigere) v Secretary of State for Business, Innovation and Skills</w:t>
      </w:r>
      <w:r w:rsidR="005C70ED" w:rsidRPr="0005439A">
        <w:rPr>
          <w:rFonts w:ascii="Times New Roman" w:hAnsi="Times New Roman" w:cs="Times New Roman"/>
        </w:rPr>
        <w:t xml:space="preserve"> [2015] UKSC 57 [77] (</w:t>
      </w:r>
      <w:r w:rsidRPr="0005439A">
        <w:rPr>
          <w:rFonts w:ascii="Times New Roman" w:hAnsi="Times New Roman" w:cs="Times New Roman"/>
        </w:rPr>
        <w:t>Lord Sumption and Lord Reed).</w:t>
      </w:r>
    </w:p>
  </w:footnote>
  <w:footnote w:id="64">
    <w:p w14:paraId="467C7A72" w14:textId="77777777" w:rsidR="00914B94" w:rsidRPr="0005439A" w:rsidRDefault="00914B94">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Pr="0005439A">
        <w:rPr>
          <w:rFonts w:ascii="Times New Roman" w:hAnsi="Times New Roman" w:cs="Times New Roman"/>
          <w:i/>
        </w:rPr>
        <w:t xml:space="preserve">Bah </w:t>
      </w:r>
      <w:r w:rsidRPr="0005439A">
        <w:rPr>
          <w:rFonts w:ascii="Times New Roman" w:hAnsi="Times New Roman" w:cs="Times New Roman"/>
        </w:rPr>
        <w:t xml:space="preserve">(n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_Ref16581082 \h </w:instrText>
      </w:r>
      <w:r w:rsidR="0044568E" w:rsidRPr="0005439A">
        <w:rPr>
          <w:rFonts w:ascii="Times New Roman" w:hAnsi="Times New Roman" w:cs="Times New Roman"/>
        </w:rPr>
        <w:instrText xml:space="preserve">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50</w:t>
      </w:r>
      <w:r w:rsidRPr="0005439A">
        <w:rPr>
          <w:rFonts w:ascii="Times New Roman" w:hAnsi="Times New Roman" w:cs="Times New Roman"/>
        </w:rPr>
        <w:fldChar w:fldCharType="end"/>
      </w:r>
      <w:r w:rsidRPr="0005439A">
        <w:rPr>
          <w:rFonts w:ascii="Times New Roman" w:hAnsi="Times New Roman" w:cs="Times New Roman"/>
        </w:rPr>
        <w:t>) [47].</w:t>
      </w:r>
    </w:p>
  </w:footnote>
  <w:footnote w:id="65">
    <w:p w14:paraId="30722F6C" w14:textId="77777777" w:rsidR="00552DE0" w:rsidRPr="0005439A" w:rsidRDefault="00552DE0">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E4203B" w:rsidRPr="0005439A">
        <w:rPr>
          <w:rFonts w:ascii="Times New Roman" w:hAnsi="Times New Roman" w:cs="Times New Roman"/>
        </w:rPr>
        <w:t>Ibid [53].</w:t>
      </w:r>
    </w:p>
  </w:footnote>
  <w:footnote w:id="66">
    <w:p w14:paraId="27920B11" w14:textId="77777777" w:rsidR="003D0688" w:rsidRPr="0005439A" w:rsidRDefault="003D0688">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(n </w:t>
      </w:r>
      <w:r w:rsidRPr="0005439A">
        <w:rPr>
          <w:rFonts w:ascii="Times New Roman" w:hAnsi="Times New Roman" w:cs="Times New Roman"/>
        </w:rPr>
        <w:fldChar w:fldCharType="begin"/>
      </w:r>
      <w:r w:rsidRPr="0005439A">
        <w:rPr>
          <w:rFonts w:ascii="Times New Roman" w:hAnsi="Times New Roman" w:cs="Times New Roman"/>
        </w:rPr>
        <w:instrText xml:space="preserve"> NOTEREF _Ref16577610 \h </w:instrText>
      </w:r>
      <w:r w:rsidR="0044568E" w:rsidRPr="0005439A">
        <w:rPr>
          <w:rFonts w:ascii="Times New Roman" w:hAnsi="Times New Roman" w:cs="Times New Roman"/>
        </w:rPr>
        <w:instrText xml:space="preserve"> \* MERGEFORMAT </w:instrText>
      </w:r>
      <w:r w:rsidRPr="0005439A">
        <w:rPr>
          <w:rFonts w:ascii="Times New Roman" w:hAnsi="Times New Roman" w:cs="Times New Roman"/>
        </w:rPr>
      </w:r>
      <w:r w:rsidRPr="0005439A">
        <w:rPr>
          <w:rFonts w:ascii="Times New Roman" w:hAnsi="Times New Roman" w:cs="Times New Roman"/>
        </w:rPr>
        <w:fldChar w:fldCharType="separate"/>
      </w:r>
      <w:r w:rsidRPr="0005439A">
        <w:rPr>
          <w:rFonts w:ascii="Times New Roman" w:hAnsi="Times New Roman" w:cs="Times New Roman"/>
        </w:rPr>
        <w:t>3</w:t>
      </w:r>
      <w:r w:rsidRPr="0005439A">
        <w:rPr>
          <w:rFonts w:ascii="Times New Roman" w:hAnsi="Times New Roman" w:cs="Times New Roman"/>
        </w:rPr>
        <w:fldChar w:fldCharType="end"/>
      </w:r>
      <w:r w:rsidRPr="0005439A">
        <w:rPr>
          <w:rFonts w:ascii="Times New Roman" w:hAnsi="Times New Roman" w:cs="Times New Roman"/>
        </w:rPr>
        <w:t>).</w:t>
      </w:r>
    </w:p>
  </w:footnote>
  <w:footnote w:id="67">
    <w:p w14:paraId="28BF53EF" w14:textId="77777777" w:rsidR="00220CED" w:rsidRPr="0005439A" w:rsidRDefault="00220CED">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BF1ED1" w:rsidRPr="0005439A">
        <w:rPr>
          <w:rFonts w:ascii="Times New Roman" w:hAnsi="Times New Roman" w:cs="Times New Roman"/>
        </w:rPr>
        <w:t>Ibid</w:t>
      </w:r>
      <w:r w:rsidR="004E63A7" w:rsidRPr="0005439A">
        <w:rPr>
          <w:rFonts w:ascii="Times New Roman" w:hAnsi="Times New Roman" w:cs="Times New Roman"/>
        </w:rPr>
        <w:t xml:space="preserve"> </w:t>
      </w:r>
      <w:r w:rsidR="00BF1ED1" w:rsidRPr="0005439A">
        <w:rPr>
          <w:rFonts w:ascii="Times New Roman" w:hAnsi="Times New Roman" w:cs="Times New Roman"/>
        </w:rPr>
        <w:t>[</w:t>
      </w:r>
      <w:r w:rsidR="004E63A7" w:rsidRPr="0005439A">
        <w:rPr>
          <w:rFonts w:ascii="Times New Roman" w:hAnsi="Times New Roman" w:cs="Times New Roman"/>
        </w:rPr>
        <w:t>174</w:t>
      </w:r>
      <w:r w:rsidR="00BF1ED1" w:rsidRPr="0005439A">
        <w:rPr>
          <w:rFonts w:ascii="Times New Roman" w:hAnsi="Times New Roman" w:cs="Times New Roman"/>
        </w:rPr>
        <w:t>].</w:t>
      </w:r>
      <w:r w:rsidR="004E63A7" w:rsidRPr="0005439A">
        <w:rPr>
          <w:rFonts w:ascii="Times New Roman" w:hAnsi="Times New Roman" w:cs="Times New Roman"/>
        </w:rPr>
        <w:t>.</w:t>
      </w:r>
    </w:p>
  </w:footnote>
  <w:footnote w:id="68">
    <w:p w14:paraId="4F03B99C" w14:textId="77777777" w:rsidR="00EA7B21" w:rsidRPr="0005439A" w:rsidRDefault="00EA7B21">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F91D9A" w:rsidRPr="0005439A">
        <w:rPr>
          <w:rFonts w:ascii="Times New Roman" w:hAnsi="Times New Roman" w:cs="Times New Roman"/>
        </w:rPr>
        <w:t xml:space="preserve">(n </w:t>
      </w:r>
      <w:r w:rsidR="00F91D9A" w:rsidRPr="0005439A">
        <w:rPr>
          <w:rFonts w:ascii="Times New Roman" w:hAnsi="Times New Roman" w:cs="Times New Roman"/>
        </w:rPr>
        <w:fldChar w:fldCharType="begin"/>
      </w:r>
      <w:r w:rsidR="00F91D9A" w:rsidRPr="0005439A">
        <w:rPr>
          <w:rFonts w:ascii="Times New Roman" w:hAnsi="Times New Roman" w:cs="Times New Roman"/>
        </w:rPr>
        <w:instrText xml:space="preserve"> NOTEREF _Ref16577571 \h </w:instrText>
      </w:r>
      <w:r w:rsidR="0044568E" w:rsidRPr="0005439A">
        <w:rPr>
          <w:rFonts w:ascii="Times New Roman" w:hAnsi="Times New Roman" w:cs="Times New Roman"/>
        </w:rPr>
        <w:instrText xml:space="preserve"> \* MERGEFORMAT </w:instrText>
      </w:r>
      <w:r w:rsidR="00F91D9A" w:rsidRPr="0005439A">
        <w:rPr>
          <w:rFonts w:ascii="Times New Roman" w:hAnsi="Times New Roman" w:cs="Times New Roman"/>
        </w:rPr>
      </w:r>
      <w:r w:rsidR="00F91D9A" w:rsidRPr="0005439A">
        <w:rPr>
          <w:rFonts w:ascii="Times New Roman" w:hAnsi="Times New Roman" w:cs="Times New Roman"/>
        </w:rPr>
        <w:fldChar w:fldCharType="separate"/>
      </w:r>
      <w:r w:rsidR="00F91D9A" w:rsidRPr="0005439A">
        <w:rPr>
          <w:rFonts w:ascii="Times New Roman" w:hAnsi="Times New Roman" w:cs="Times New Roman"/>
        </w:rPr>
        <w:t>8</w:t>
      </w:r>
      <w:r w:rsidR="00F91D9A" w:rsidRPr="0005439A">
        <w:rPr>
          <w:rFonts w:ascii="Times New Roman" w:hAnsi="Times New Roman" w:cs="Times New Roman"/>
        </w:rPr>
        <w:fldChar w:fldCharType="end"/>
      </w:r>
      <w:r w:rsidR="00F91D9A" w:rsidRPr="0005439A">
        <w:rPr>
          <w:rFonts w:ascii="Times New Roman" w:hAnsi="Times New Roman" w:cs="Times New Roman"/>
        </w:rPr>
        <w:t>)</w:t>
      </w:r>
      <w:r w:rsidR="008B4387" w:rsidRPr="0005439A">
        <w:rPr>
          <w:rFonts w:ascii="Times New Roman" w:hAnsi="Times New Roman" w:cs="Times New Roman"/>
        </w:rPr>
        <w:t xml:space="preserve"> [174] (Lord Mance).</w:t>
      </w:r>
    </w:p>
  </w:footnote>
  <w:footnote w:id="69">
    <w:p w14:paraId="5CF481F1" w14:textId="77777777" w:rsidR="008E0879" w:rsidRPr="0005439A" w:rsidRDefault="008E0879">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F91D9A" w:rsidRPr="0005439A">
        <w:rPr>
          <w:rFonts w:ascii="Times New Roman" w:hAnsi="Times New Roman" w:cs="Times New Roman"/>
        </w:rPr>
        <w:t xml:space="preserve">(n </w:t>
      </w:r>
      <w:r w:rsidR="00F91D9A" w:rsidRPr="0005439A">
        <w:rPr>
          <w:rFonts w:ascii="Times New Roman" w:hAnsi="Times New Roman" w:cs="Times New Roman"/>
        </w:rPr>
        <w:fldChar w:fldCharType="begin"/>
      </w:r>
      <w:r w:rsidR="00F91D9A" w:rsidRPr="0005439A">
        <w:rPr>
          <w:rFonts w:ascii="Times New Roman" w:hAnsi="Times New Roman" w:cs="Times New Roman"/>
        </w:rPr>
        <w:instrText xml:space="preserve"> NOTEREF _Ref16577610 \h </w:instrText>
      </w:r>
      <w:r w:rsidR="0044568E" w:rsidRPr="0005439A">
        <w:rPr>
          <w:rFonts w:ascii="Times New Roman" w:hAnsi="Times New Roman" w:cs="Times New Roman"/>
        </w:rPr>
        <w:instrText xml:space="preserve"> \* MERGEFORMAT </w:instrText>
      </w:r>
      <w:r w:rsidR="00F91D9A" w:rsidRPr="0005439A">
        <w:rPr>
          <w:rFonts w:ascii="Times New Roman" w:hAnsi="Times New Roman" w:cs="Times New Roman"/>
        </w:rPr>
      </w:r>
      <w:r w:rsidR="00F91D9A" w:rsidRPr="0005439A">
        <w:rPr>
          <w:rFonts w:ascii="Times New Roman" w:hAnsi="Times New Roman" w:cs="Times New Roman"/>
        </w:rPr>
        <w:fldChar w:fldCharType="separate"/>
      </w:r>
      <w:r w:rsidR="00F91D9A" w:rsidRPr="0005439A">
        <w:rPr>
          <w:rFonts w:ascii="Times New Roman" w:hAnsi="Times New Roman" w:cs="Times New Roman"/>
        </w:rPr>
        <w:t>3</w:t>
      </w:r>
      <w:r w:rsidR="00F91D9A" w:rsidRPr="0005439A">
        <w:rPr>
          <w:rFonts w:ascii="Times New Roman" w:hAnsi="Times New Roman" w:cs="Times New Roman"/>
        </w:rPr>
        <w:fldChar w:fldCharType="end"/>
      </w:r>
      <w:r w:rsidR="00F91D9A" w:rsidRPr="0005439A">
        <w:rPr>
          <w:rFonts w:ascii="Times New Roman" w:hAnsi="Times New Roman" w:cs="Times New Roman"/>
        </w:rPr>
        <w:t xml:space="preserve">) </w:t>
      </w:r>
      <w:r w:rsidRPr="0005439A">
        <w:rPr>
          <w:rFonts w:ascii="Times New Roman" w:hAnsi="Times New Roman" w:cs="Times New Roman"/>
        </w:rPr>
        <w:t>[176] (Lord Kerr).</w:t>
      </w:r>
    </w:p>
  </w:footnote>
  <w:footnote w:id="70">
    <w:p w14:paraId="2B29E673" w14:textId="77777777" w:rsidR="005B2F75" w:rsidRPr="0005439A" w:rsidRDefault="005B2F75">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w:t>
      </w:r>
      <w:r w:rsidR="006832C0" w:rsidRPr="0005439A">
        <w:rPr>
          <w:rStyle w:val="s6b621b36"/>
          <w:rFonts w:ascii="Times New Roman" w:hAnsi="Times New Roman" w:cs="Times New Roman"/>
          <w:iCs/>
          <w:color w:val="000000"/>
        </w:rPr>
        <w:t xml:space="preserve">(n </w:t>
      </w:r>
      <w:r w:rsidR="006832C0" w:rsidRPr="0005439A">
        <w:rPr>
          <w:rStyle w:val="s6b621b36"/>
          <w:rFonts w:ascii="Times New Roman" w:hAnsi="Times New Roman" w:cs="Times New Roman"/>
          <w:iCs/>
          <w:color w:val="000000"/>
        </w:rPr>
        <w:fldChar w:fldCharType="begin"/>
      </w:r>
      <w:r w:rsidR="006832C0" w:rsidRPr="0005439A">
        <w:rPr>
          <w:rStyle w:val="s6b621b36"/>
          <w:rFonts w:ascii="Times New Roman" w:hAnsi="Times New Roman" w:cs="Times New Roman"/>
          <w:iCs/>
          <w:color w:val="000000"/>
        </w:rPr>
        <w:instrText xml:space="preserve"> NOTEREF _Ref16581235 \h </w:instrText>
      </w:r>
      <w:r w:rsidR="0044568E" w:rsidRPr="0005439A">
        <w:rPr>
          <w:rStyle w:val="s6b621b36"/>
          <w:rFonts w:ascii="Times New Roman" w:hAnsi="Times New Roman" w:cs="Times New Roman"/>
          <w:iCs/>
          <w:color w:val="000000"/>
        </w:rPr>
        <w:instrText xml:space="preserve"> \* MERGEFORMAT </w:instrText>
      </w:r>
      <w:r w:rsidR="006832C0" w:rsidRPr="0005439A">
        <w:rPr>
          <w:rStyle w:val="s6b621b36"/>
          <w:rFonts w:ascii="Times New Roman" w:hAnsi="Times New Roman" w:cs="Times New Roman"/>
          <w:iCs/>
          <w:color w:val="000000"/>
        </w:rPr>
      </w:r>
      <w:r w:rsidR="006832C0" w:rsidRPr="0005439A">
        <w:rPr>
          <w:rStyle w:val="s6b621b36"/>
          <w:rFonts w:ascii="Times New Roman" w:hAnsi="Times New Roman" w:cs="Times New Roman"/>
          <w:iCs/>
          <w:color w:val="000000"/>
        </w:rPr>
        <w:fldChar w:fldCharType="separate"/>
      </w:r>
      <w:r w:rsidR="006832C0" w:rsidRPr="0005439A">
        <w:rPr>
          <w:rStyle w:val="s6b621b36"/>
          <w:rFonts w:ascii="Times New Roman" w:hAnsi="Times New Roman" w:cs="Times New Roman"/>
          <w:iCs/>
          <w:color w:val="000000"/>
        </w:rPr>
        <w:t>47</w:t>
      </w:r>
      <w:r w:rsidR="006832C0" w:rsidRPr="0005439A">
        <w:rPr>
          <w:rStyle w:val="s6b621b36"/>
          <w:rFonts w:ascii="Times New Roman" w:hAnsi="Times New Roman" w:cs="Times New Roman"/>
          <w:iCs/>
          <w:color w:val="000000"/>
        </w:rPr>
        <w:fldChar w:fldCharType="end"/>
      </w:r>
      <w:r w:rsidR="006832C0" w:rsidRPr="0005439A">
        <w:rPr>
          <w:rStyle w:val="s6b621b36"/>
          <w:rFonts w:ascii="Times New Roman" w:hAnsi="Times New Roman" w:cs="Times New Roman"/>
          <w:iCs/>
          <w:color w:val="000000"/>
        </w:rPr>
        <w:t>).</w:t>
      </w:r>
    </w:p>
  </w:footnote>
  <w:footnote w:id="71">
    <w:p w14:paraId="017A92D6" w14:textId="77777777" w:rsidR="005F5345" w:rsidRPr="0005439A" w:rsidRDefault="005F5345">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Ibid [91].</w:t>
      </w:r>
    </w:p>
  </w:footnote>
  <w:footnote w:id="72">
    <w:p w14:paraId="565FD30A" w14:textId="77777777" w:rsidR="00993FBA" w:rsidRPr="0005439A" w:rsidRDefault="00993FB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Robert Riddell, ‘Key Developments in Domestic Social Security Law in 2017–2018: An Overview’ (2018) 23(2) Judicial Review, 106-118, 113.</w:t>
      </w:r>
    </w:p>
  </w:footnote>
  <w:footnote w:id="73">
    <w:p w14:paraId="0FECFF37" w14:textId="77777777" w:rsidR="00AC6EAA" w:rsidRPr="0005439A" w:rsidRDefault="00AC6EAA" w:rsidP="00AC6EAA">
      <w:pPr>
        <w:pStyle w:val="FootnoteText"/>
        <w:rPr>
          <w:rFonts w:ascii="Times New Roman" w:hAnsi="Times New Roman" w:cs="Times New Roman"/>
        </w:rPr>
      </w:pPr>
      <w:r w:rsidRPr="0005439A">
        <w:rPr>
          <w:rStyle w:val="FootnoteReference"/>
          <w:rFonts w:ascii="Times New Roman" w:hAnsi="Times New Roman" w:cs="Times New Roman"/>
        </w:rPr>
        <w:footnoteRef/>
      </w:r>
      <w:r w:rsidRPr="0005439A">
        <w:rPr>
          <w:rFonts w:ascii="Times New Roman" w:hAnsi="Times New Roman" w:cs="Times New Roman"/>
        </w:rPr>
        <w:t xml:space="preserve"> Mark Simpson, ‘Social rights, child rights, discrimination and devolution: untangling the web’ (2018) 40(1) Journal of Social Welfare and Family Law, 3-20.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461A" w14:textId="77777777" w:rsidR="0080023E" w:rsidRDefault="008002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FF71C" w14:textId="77777777" w:rsidR="0080023E" w:rsidRDefault="008002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3B54B" w14:textId="77777777" w:rsidR="0080023E" w:rsidRDefault="00800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167F5"/>
    <w:multiLevelType w:val="hybridMultilevel"/>
    <w:tmpl w:val="BFC6C42E"/>
    <w:lvl w:ilvl="0" w:tplc="FDD0AE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8522BE"/>
    <w:multiLevelType w:val="hybridMultilevel"/>
    <w:tmpl w:val="5FAA9B62"/>
    <w:lvl w:ilvl="0" w:tplc="5B6A51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4CA2"/>
    <w:multiLevelType w:val="hybridMultilevel"/>
    <w:tmpl w:val="B2E0AE66"/>
    <w:lvl w:ilvl="0" w:tplc="0DAE0E8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F698F"/>
    <w:multiLevelType w:val="hybridMultilevel"/>
    <w:tmpl w:val="4A8411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22F4B"/>
    <w:multiLevelType w:val="hybridMultilevel"/>
    <w:tmpl w:val="6E60E54C"/>
    <w:lvl w:ilvl="0" w:tplc="0E30C0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713E3"/>
    <w:multiLevelType w:val="hybridMultilevel"/>
    <w:tmpl w:val="9022E266"/>
    <w:lvl w:ilvl="0" w:tplc="01D4823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97233D"/>
    <w:multiLevelType w:val="hybridMultilevel"/>
    <w:tmpl w:val="84009A36"/>
    <w:lvl w:ilvl="0" w:tplc="2B4084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543551"/>
    <w:multiLevelType w:val="hybridMultilevel"/>
    <w:tmpl w:val="730C028E"/>
    <w:lvl w:ilvl="0" w:tplc="61F66FE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24314B"/>
    <w:multiLevelType w:val="hybridMultilevel"/>
    <w:tmpl w:val="FA6210EE"/>
    <w:lvl w:ilvl="0" w:tplc="1A86003A">
      <w:numFmt w:val="bullet"/>
      <w:lvlText w:val="-"/>
      <w:lvlJc w:val="left"/>
      <w:pPr>
        <w:ind w:left="720" w:hanging="360"/>
      </w:pPr>
      <w:rPr>
        <w:rFonts w:ascii="Times New Roman" w:eastAsiaTheme="minorHAns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5D4520"/>
    <w:multiLevelType w:val="hybridMultilevel"/>
    <w:tmpl w:val="2390A4AA"/>
    <w:lvl w:ilvl="0" w:tplc="E6F86F9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B7144D"/>
    <w:multiLevelType w:val="hybridMultilevel"/>
    <w:tmpl w:val="FA809F96"/>
    <w:lvl w:ilvl="0" w:tplc="9DBE049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1314"/>
    <w:multiLevelType w:val="hybridMultilevel"/>
    <w:tmpl w:val="F4E22CEE"/>
    <w:lvl w:ilvl="0" w:tplc="8FDEC8C0">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AB27C5"/>
    <w:multiLevelType w:val="hybridMultilevel"/>
    <w:tmpl w:val="74F44DE8"/>
    <w:lvl w:ilvl="0" w:tplc="236E859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2"/>
  </w:num>
  <w:num w:numId="6">
    <w:abstractNumId w:val="9"/>
  </w:num>
  <w:num w:numId="7">
    <w:abstractNumId w:val="2"/>
  </w:num>
  <w:num w:numId="8">
    <w:abstractNumId w:val="11"/>
  </w:num>
  <w:num w:numId="9">
    <w:abstractNumId w:val="8"/>
  </w:num>
  <w:num w:numId="10">
    <w:abstractNumId w:val="10"/>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C9"/>
    <w:rsid w:val="0000025B"/>
    <w:rsid w:val="00000805"/>
    <w:rsid w:val="0000255B"/>
    <w:rsid w:val="00003970"/>
    <w:rsid w:val="00004D6A"/>
    <w:rsid w:val="00006A38"/>
    <w:rsid w:val="00010061"/>
    <w:rsid w:val="000107B4"/>
    <w:rsid w:val="0001281A"/>
    <w:rsid w:val="00013D9D"/>
    <w:rsid w:val="000141C9"/>
    <w:rsid w:val="00015F78"/>
    <w:rsid w:val="00020CDE"/>
    <w:rsid w:val="00033057"/>
    <w:rsid w:val="00037A61"/>
    <w:rsid w:val="00041CBD"/>
    <w:rsid w:val="00042AE5"/>
    <w:rsid w:val="00044FDB"/>
    <w:rsid w:val="00045B78"/>
    <w:rsid w:val="00051C64"/>
    <w:rsid w:val="00053A2A"/>
    <w:rsid w:val="0005439A"/>
    <w:rsid w:val="0005442D"/>
    <w:rsid w:val="00056E67"/>
    <w:rsid w:val="00061D7B"/>
    <w:rsid w:val="00063B15"/>
    <w:rsid w:val="000644CB"/>
    <w:rsid w:val="000668FC"/>
    <w:rsid w:val="00072E4C"/>
    <w:rsid w:val="000735DF"/>
    <w:rsid w:val="00073F6B"/>
    <w:rsid w:val="00076B79"/>
    <w:rsid w:val="00084646"/>
    <w:rsid w:val="00086740"/>
    <w:rsid w:val="00086FF1"/>
    <w:rsid w:val="0009190B"/>
    <w:rsid w:val="000928D6"/>
    <w:rsid w:val="00093A16"/>
    <w:rsid w:val="00093C38"/>
    <w:rsid w:val="00096D2A"/>
    <w:rsid w:val="00097044"/>
    <w:rsid w:val="000A3E6A"/>
    <w:rsid w:val="000B1121"/>
    <w:rsid w:val="000B4092"/>
    <w:rsid w:val="000B4240"/>
    <w:rsid w:val="000B4E29"/>
    <w:rsid w:val="000B767A"/>
    <w:rsid w:val="000C744A"/>
    <w:rsid w:val="000D356A"/>
    <w:rsid w:val="000E1705"/>
    <w:rsid w:val="000E4954"/>
    <w:rsid w:val="000F1A1C"/>
    <w:rsid w:val="000F3F4F"/>
    <w:rsid w:val="000F5DFA"/>
    <w:rsid w:val="001015C8"/>
    <w:rsid w:val="0010253D"/>
    <w:rsid w:val="0010460F"/>
    <w:rsid w:val="00105877"/>
    <w:rsid w:val="00105A40"/>
    <w:rsid w:val="00107601"/>
    <w:rsid w:val="00110CF1"/>
    <w:rsid w:val="00112D85"/>
    <w:rsid w:val="0011717F"/>
    <w:rsid w:val="00121C35"/>
    <w:rsid w:val="00124EBA"/>
    <w:rsid w:val="00125960"/>
    <w:rsid w:val="00127999"/>
    <w:rsid w:val="0013161E"/>
    <w:rsid w:val="001350B7"/>
    <w:rsid w:val="00141542"/>
    <w:rsid w:val="0014333E"/>
    <w:rsid w:val="00162B77"/>
    <w:rsid w:val="00164E30"/>
    <w:rsid w:val="001656D5"/>
    <w:rsid w:val="0017479E"/>
    <w:rsid w:val="00175409"/>
    <w:rsid w:val="00177A63"/>
    <w:rsid w:val="00181C02"/>
    <w:rsid w:val="00182B01"/>
    <w:rsid w:val="00186CFE"/>
    <w:rsid w:val="00190047"/>
    <w:rsid w:val="001916DF"/>
    <w:rsid w:val="00194BFF"/>
    <w:rsid w:val="001A101A"/>
    <w:rsid w:val="001B0C57"/>
    <w:rsid w:val="001B1FEA"/>
    <w:rsid w:val="001B4023"/>
    <w:rsid w:val="001B6E7C"/>
    <w:rsid w:val="001B72C3"/>
    <w:rsid w:val="001C1FDC"/>
    <w:rsid w:val="001C28C1"/>
    <w:rsid w:val="001C48B6"/>
    <w:rsid w:val="001D0C4E"/>
    <w:rsid w:val="001D6075"/>
    <w:rsid w:val="001D7240"/>
    <w:rsid w:val="001E42A3"/>
    <w:rsid w:val="001E5BBD"/>
    <w:rsid w:val="001E7499"/>
    <w:rsid w:val="001F1943"/>
    <w:rsid w:val="001F3C7C"/>
    <w:rsid w:val="001F4C90"/>
    <w:rsid w:val="001F4CC3"/>
    <w:rsid w:val="001F67DD"/>
    <w:rsid w:val="001F6EBA"/>
    <w:rsid w:val="002051AD"/>
    <w:rsid w:val="002071AF"/>
    <w:rsid w:val="00220CED"/>
    <w:rsid w:val="00224573"/>
    <w:rsid w:val="00227530"/>
    <w:rsid w:val="00227587"/>
    <w:rsid w:val="00227F69"/>
    <w:rsid w:val="002328B5"/>
    <w:rsid w:val="00235FE0"/>
    <w:rsid w:val="002365E9"/>
    <w:rsid w:val="00236801"/>
    <w:rsid w:val="00236E7B"/>
    <w:rsid w:val="00242224"/>
    <w:rsid w:val="002450DD"/>
    <w:rsid w:val="00255693"/>
    <w:rsid w:val="00260C1D"/>
    <w:rsid w:val="0026174D"/>
    <w:rsid w:val="002629DE"/>
    <w:rsid w:val="00266B1B"/>
    <w:rsid w:val="00267722"/>
    <w:rsid w:val="002678E2"/>
    <w:rsid w:val="002703F2"/>
    <w:rsid w:val="00271D92"/>
    <w:rsid w:val="00285150"/>
    <w:rsid w:val="00290839"/>
    <w:rsid w:val="00292636"/>
    <w:rsid w:val="002938AA"/>
    <w:rsid w:val="00297970"/>
    <w:rsid w:val="002A1F24"/>
    <w:rsid w:val="002A2B37"/>
    <w:rsid w:val="002A32CD"/>
    <w:rsid w:val="002A361D"/>
    <w:rsid w:val="002A7E33"/>
    <w:rsid w:val="002B007A"/>
    <w:rsid w:val="002B0DAF"/>
    <w:rsid w:val="002B4917"/>
    <w:rsid w:val="002C5F77"/>
    <w:rsid w:val="002D66DD"/>
    <w:rsid w:val="002E3E4D"/>
    <w:rsid w:val="002E54DA"/>
    <w:rsid w:val="002E554C"/>
    <w:rsid w:val="002F007D"/>
    <w:rsid w:val="002F0FAB"/>
    <w:rsid w:val="002F2E4F"/>
    <w:rsid w:val="002F2EFD"/>
    <w:rsid w:val="00302B27"/>
    <w:rsid w:val="00304CC7"/>
    <w:rsid w:val="00310307"/>
    <w:rsid w:val="00310BF8"/>
    <w:rsid w:val="00322D79"/>
    <w:rsid w:val="00323878"/>
    <w:rsid w:val="00333327"/>
    <w:rsid w:val="003371CD"/>
    <w:rsid w:val="00340AFF"/>
    <w:rsid w:val="00340EBA"/>
    <w:rsid w:val="00342CDE"/>
    <w:rsid w:val="0034312E"/>
    <w:rsid w:val="003575DD"/>
    <w:rsid w:val="00362661"/>
    <w:rsid w:val="00365F4A"/>
    <w:rsid w:val="00371444"/>
    <w:rsid w:val="00371484"/>
    <w:rsid w:val="00372102"/>
    <w:rsid w:val="00374251"/>
    <w:rsid w:val="00381958"/>
    <w:rsid w:val="00381A77"/>
    <w:rsid w:val="00387A1C"/>
    <w:rsid w:val="00397A1E"/>
    <w:rsid w:val="003A1A20"/>
    <w:rsid w:val="003A2BF4"/>
    <w:rsid w:val="003A30DA"/>
    <w:rsid w:val="003A4CF2"/>
    <w:rsid w:val="003A5443"/>
    <w:rsid w:val="003A7856"/>
    <w:rsid w:val="003B427E"/>
    <w:rsid w:val="003B71BC"/>
    <w:rsid w:val="003B7BAD"/>
    <w:rsid w:val="003C23A5"/>
    <w:rsid w:val="003C2C17"/>
    <w:rsid w:val="003C58EF"/>
    <w:rsid w:val="003D012A"/>
    <w:rsid w:val="003D054D"/>
    <w:rsid w:val="003D0688"/>
    <w:rsid w:val="003D0B77"/>
    <w:rsid w:val="003D5FDE"/>
    <w:rsid w:val="003D772B"/>
    <w:rsid w:val="003E03BE"/>
    <w:rsid w:val="003E0BD7"/>
    <w:rsid w:val="003E1923"/>
    <w:rsid w:val="003F33B2"/>
    <w:rsid w:val="003F3E96"/>
    <w:rsid w:val="003F7314"/>
    <w:rsid w:val="003F78D8"/>
    <w:rsid w:val="0040311A"/>
    <w:rsid w:val="00405338"/>
    <w:rsid w:val="004133AB"/>
    <w:rsid w:val="00416675"/>
    <w:rsid w:val="004173B9"/>
    <w:rsid w:val="00425840"/>
    <w:rsid w:val="0042586B"/>
    <w:rsid w:val="00425EDE"/>
    <w:rsid w:val="004324E0"/>
    <w:rsid w:val="004332DC"/>
    <w:rsid w:val="004336CF"/>
    <w:rsid w:val="004341F4"/>
    <w:rsid w:val="0043445B"/>
    <w:rsid w:val="004350BB"/>
    <w:rsid w:val="004373A8"/>
    <w:rsid w:val="00443BA9"/>
    <w:rsid w:val="0044550B"/>
    <w:rsid w:val="0044568E"/>
    <w:rsid w:val="00447423"/>
    <w:rsid w:val="004526EE"/>
    <w:rsid w:val="004566CB"/>
    <w:rsid w:val="00457082"/>
    <w:rsid w:val="004606DA"/>
    <w:rsid w:val="0046369C"/>
    <w:rsid w:val="0046438D"/>
    <w:rsid w:val="0046544B"/>
    <w:rsid w:val="00470263"/>
    <w:rsid w:val="00472056"/>
    <w:rsid w:val="0047377A"/>
    <w:rsid w:val="00482197"/>
    <w:rsid w:val="004832D7"/>
    <w:rsid w:val="0048472C"/>
    <w:rsid w:val="00484F6C"/>
    <w:rsid w:val="0048561F"/>
    <w:rsid w:val="004931F3"/>
    <w:rsid w:val="00493B14"/>
    <w:rsid w:val="00493BC5"/>
    <w:rsid w:val="00496372"/>
    <w:rsid w:val="004A2B89"/>
    <w:rsid w:val="004A312B"/>
    <w:rsid w:val="004A41D3"/>
    <w:rsid w:val="004A5878"/>
    <w:rsid w:val="004A609C"/>
    <w:rsid w:val="004B3D81"/>
    <w:rsid w:val="004B4335"/>
    <w:rsid w:val="004C0504"/>
    <w:rsid w:val="004C1432"/>
    <w:rsid w:val="004C2BC8"/>
    <w:rsid w:val="004C68DB"/>
    <w:rsid w:val="004D3BDB"/>
    <w:rsid w:val="004E5756"/>
    <w:rsid w:val="004E63A7"/>
    <w:rsid w:val="004F12D6"/>
    <w:rsid w:val="004F2D3A"/>
    <w:rsid w:val="004F35BA"/>
    <w:rsid w:val="00500097"/>
    <w:rsid w:val="00501F9B"/>
    <w:rsid w:val="00503C31"/>
    <w:rsid w:val="00504CE2"/>
    <w:rsid w:val="00504FE6"/>
    <w:rsid w:val="00505014"/>
    <w:rsid w:val="00510BAF"/>
    <w:rsid w:val="00510DE4"/>
    <w:rsid w:val="00513398"/>
    <w:rsid w:val="0051360C"/>
    <w:rsid w:val="00514B54"/>
    <w:rsid w:val="00514F14"/>
    <w:rsid w:val="00515E5C"/>
    <w:rsid w:val="00516114"/>
    <w:rsid w:val="005163E5"/>
    <w:rsid w:val="0051758C"/>
    <w:rsid w:val="00522430"/>
    <w:rsid w:val="00531450"/>
    <w:rsid w:val="005363AB"/>
    <w:rsid w:val="00544F43"/>
    <w:rsid w:val="00545A14"/>
    <w:rsid w:val="00546EA2"/>
    <w:rsid w:val="00551CFB"/>
    <w:rsid w:val="00552DE0"/>
    <w:rsid w:val="0055483B"/>
    <w:rsid w:val="005602CA"/>
    <w:rsid w:val="00561506"/>
    <w:rsid w:val="00563B8F"/>
    <w:rsid w:val="00564E31"/>
    <w:rsid w:val="005663B8"/>
    <w:rsid w:val="00566C09"/>
    <w:rsid w:val="00567486"/>
    <w:rsid w:val="0057076B"/>
    <w:rsid w:val="00570EEF"/>
    <w:rsid w:val="0057193F"/>
    <w:rsid w:val="005727EE"/>
    <w:rsid w:val="00573D1E"/>
    <w:rsid w:val="005810B7"/>
    <w:rsid w:val="00585F2C"/>
    <w:rsid w:val="005864A1"/>
    <w:rsid w:val="0058741A"/>
    <w:rsid w:val="00587698"/>
    <w:rsid w:val="005879FF"/>
    <w:rsid w:val="0059009A"/>
    <w:rsid w:val="00590104"/>
    <w:rsid w:val="00596674"/>
    <w:rsid w:val="005A1757"/>
    <w:rsid w:val="005A4DF8"/>
    <w:rsid w:val="005A56AB"/>
    <w:rsid w:val="005B1211"/>
    <w:rsid w:val="005B26C0"/>
    <w:rsid w:val="005B2F75"/>
    <w:rsid w:val="005B45FC"/>
    <w:rsid w:val="005B5E2F"/>
    <w:rsid w:val="005B647B"/>
    <w:rsid w:val="005C70ED"/>
    <w:rsid w:val="005D0DA6"/>
    <w:rsid w:val="005D1B0E"/>
    <w:rsid w:val="005D1FD6"/>
    <w:rsid w:val="005D1FDD"/>
    <w:rsid w:val="005D265D"/>
    <w:rsid w:val="005D26B9"/>
    <w:rsid w:val="005D7D33"/>
    <w:rsid w:val="005E090F"/>
    <w:rsid w:val="005E3339"/>
    <w:rsid w:val="005E3358"/>
    <w:rsid w:val="005E4585"/>
    <w:rsid w:val="005F17F3"/>
    <w:rsid w:val="005F2895"/>
    <w:rsid w:val="005F32DE"/>
    <w:rsid w:val="005F5345"/>
    <w:rsid w:val="0060308B"/>
    <w:rsid w:val="00603676"/>
    <w:rsid w:val="00604654"/>
    <w:rsid w:val="00606B86"/>
    <w:rsid w:val="006118BB"/>
    <w:rsid w:val="00616C85"/>
    <w:rsid w:val="0062147D"/>
    <w:rsid w:val="0063141F"/>
    <w:rsid w:val="006414D6"/>
    <w:rsid w:val="00643912"/>
    <w:rsid w:val="006507CD"/>
    <w:rsid w:val="00653051"/>
    <w:rsid w:val="00653421"/>
    <w:rsid w:val="006562ED"/>
    <w:rsid w:val="00656D63"/>
    <w:rsid w:val="00656F80"/>
    <w:rsid w:val="00657910"/>
    <w:rsid w:val="00657B1A"/>
    <w:rsid w:val="006603FF"/>
    <w:rsid w:val="00661E49"/>
    <w:rsid w:val="00663234"/>
    <w:rsid w:val="00666FBD"/>
    <w:rsid w:val="0066724E"/>
    <w:rsid w:val="00667263"/>
    <w:rsid w:val="00667322"/>
    <w:rsid w:val="00672863"/>
    <w:rsid w:val="00674F91"/>
    <w:rsid w:val="00681C5E"/>
    <w:rsid w:val="006832C0"/>
    <w:rsid w:val="00683357"/>
    <w:rsid w:val="006840E5"/>
    <w:rsid w:val="00684E7D"/>
    <w:rsid w:val="006879FE"/>
    <w:rsid w:val="00687F67"/>
    <w:rsid w:val="00691D95"/>
    <w:rsid w:val="00693A01"/>
    <w:rsid w:val="0069521A"/>
    <w:rsid w:val="006B13ED"/>
    <w:rsid w:val="006B2D07"/>
    <w:rsid w:val="006B50DB"/>
    <w:rsid w:val="006C1810"/>
    <w:rsid w:val="006C1886"/>
    <w:rsid w:val="006C2265"/>
    <w:rsid w:val="006C6F4E"/>
    <w:rsid w:val="006D1A4B"/>
    <w:rsid w:val="006E53C2"/>
    <w:rsid w:val="0071462F"/>
    <w:rsid w:val="00716A53"/>
    <w:rsid w:val="00717AEB"/>
    <w:rsid w:val="00720F63"/>
    <w:rsid w:val="00726D6E"/>
    <w:rsid w:val="00733BE7"/>
    <w:rsid w:val="007342A0"/>
    <w:rsid w:val="00737708"/>
    <w:rsid w:val="00745EBD"/>
    <w:rsid w:val="00746B6F"/>
    <w:rsid w:val="0074704A"/>
    <w:rsid w:val="007544B3"/>
    <w:rsid w:val="00755C66"/>
    <w:rsid w:val="00756804"/>
    <w:rsid w:val="00763570"/>
    <w:rsid w:val="00766017"/>
    <w:rsid w:val="007707EE"/>
    <w:rsid w:val="0077256A"/>
    <w:rsid w:val="00774EAA"/>
    <w:rsid w:val="007773F9"/>
    <w:rsid w:val="00781CEE"/>
    <w:rsid w:val="007863AB"/>
    <w:rsid w:val="00786403"/>
    <w:rsid w:val="00793926"/>
    <w:rsid w:val="00793953"/>
    <w:rsid w:val="007941A2"/>
    <w:rsid w:val="007A420C"/>
    <w:rsid w:val="007A5188"/>
    <w:rsid w:val="007A5845"/>
    <w:rsid w:val="007B1C41"/>
    <w:rsid w:val="007B5EB5"/>
    <w:rsid w:val="007B6573"/>
    <w:rsid w:val="007C23F2"/>
    <w:rsid w:val="007C30E3"/>
    <w:rsid w:val="007C3477"/>
    <w:rsid w:val="007C7DC9"/>
    <w:rsid w:val="007D7DFE"/>
    <w:rsid w:val="007E5B34"/>
    <w:rsid w:val="007E6E50"/>
    <w:rsid w:val="007E7646"/>
    <w:rsid w:val="007F6A7E"/>
    <w:rsid w:val="0080023E"/>
    <w:rsid w:val="0080089D"/>
    <w:rsid w:val="00816FFA"/>
    <w:rsid w:val="00821B15"/>
    <w:rsid w:val="0082514E"/>
    <w:rsid w:val="00831ADA"/>
    <w:rsid w:val="008320C3"/>
    <w:rsid w:val="00832F98"/>
    <w:rsid w:val="008335A8"/>
    <w:rsid w:val="00836374"/>
    <w:rsid w:val="008412EA"/>
    <w:rsid w:val="008427F4"/>
    <w:rsid w:val="00842FE7"/>
    <w:rsid w:val="0084338E"/>
    <w:rsid w:val="008454E1"/>
    <w:rsid w:val="008459FA"/>
    <w:rsid w:val="00851AA3"/>
    <w:rsid w:val="00852D41"/>
    <w:rsid w:val="008626E4"/>
    <w:rsid w:val="0086708E"/>
    <w:rsid w:val="00871816"/>
    <w:rsid w:val="00880B1C"/>
    <w:rsid w:val="008843BC"/>
    <w:rsid w:val="00893B3C"/>
    <w:rsid w:val="00894654"/>
    <w:rsid w:val="00895C5C"/>
    <w:rsid w:val="00896A47"/>
    <w:rsid w:val="00897915"/>
    <w:rsid w:val="008A0B40"/>
    <w:rsid w:val="008A0BE3"/>
    <w:rsid w:val="008A29C0"/>
    <w:rsid w:val="008A342F"/>
    <w:rsid w:val="008A712D"/>
    <w:rsid w:val="008A7DD6"/>
    <w:rsid w:val="008B4387"/>
    <w:rsid w:val="008B74A6"/>
    <w:rsid w:val="008C0950"/>
    <w:rsid w:val="008C24BB"/>
    <w:rsid w:val="008D0B7E"/>
    <w:rsid w:val="008D245D"/>
    <w:rsid w:val="008D2C00"/>
    <w:rsid w:val="008D3DD9"/>
    <w:rsid w:val="008D72F3"/>
    <w:rsid w:val="008E0265"/>
    <w:rsid w:val="008E0879"/>
    <w:rsid w:val="008E1898"/>
    <w:rsid w:val="008E43D8"/>
    <w:rsid w:val="008E5180"/>
    <w:rsid w:val="008E5F90"/>
    <w:rsid w:val="008F0888"/>
    <w:rsid w:val="008F0B3F"/>
    <w:rsid w:val="008F2376"/>
    <w:rsid w:val="00900135"/>
    <w:rsid w:val="00900EDC"/>
    <w:rsid w:val="00901BE7"/>
    <w:rsid w:val="00905B8D"/>
    <w:rsid w:val="00914B94"/>
    <w:rsid w:val="009172C4"/>
    <w:rsid w:val="00920E69"/>
    <w:rsid w:val="00923FBC"/>
    <w:rsid w:val="00924375"/>
    <w:rsid w:val="00926FA7"/>
    <w:rsid w:val="00935050"/>
    <w:rsid w:val="00935434"/>
    <w:rsid w:val="00937F3C"/>
    <w:rsid w:val="00940420"/>
    <w:rsid w:val="009409E1"/>
    <w:rsid w:val="00943E1B"/>
    <w:rsid w:val="00946FBC"/>
    <w:rsid w:val="009518BF"/>
    <w:rsid w:val="00951E40"/>
    <w:rsid w:val="00953C7F"/>
    <w:rsid w:val="009545E7"/>
    <w:rsid w:val="0095612A"/>
    <w:rsid w:val="00960D48"/>
    <w:rsid w:val="009656FE"/>
    <w:rsid w:val="00965C4D"/>
    <w:rsid w:val="00971EAB"/>
    <w:rsid w:val="0097399D"/>
    <w:rsid w:val="009748B6"/>
    <w:rsid w:val="00975786"/>
    <w:rsid w:val="00982AD9"/>
    <w:rsid w:val="00985387"/>
    <w:rsid w:val="00987D11"/>
    <w:rsid w:val="00991B2A"/>
    <w:rsid w:val="00993D0F"/>
    <w:rsid w:val="00993FBA"/>
    <w:rsid w:val="009953E0"/>
    <w:rsid w:val="00995BF1"/>
    <w:rsid w:val="009A22EF"/>
    <w:rsid w:val="009A2567"/>
    <w:rsid w:val="009A5041"/>
    <w:rsid w:val="009A55D6"/>
    <w:rsid w:val="009B1733"/>
    <w:rsid w:val="009B43EF"/>
    <w:rsid w:val="009B4E71"/>
    <w:rsid w:val="009C0D57"/>
    <w:rsid w:val="009C47EC"/>
    <w:rsid w:val="009C4FB7"/>
    <w:rsid w:val="009D0C14"/>
    <w:rsid w:val="009D1051"/>
    <w:rsid w:val="009D5E01"/>
    <w:rsid w:val="009E013D"/>
    <w:rsid w:val="009E0699"/>
    <w:rsid w:val="009E2590"/>
    <w:rsid w:val="009F00DB"/>
    <w:rsid w:val="009F242C"/>
    <w:rsid w:val="009F35DF"/>
    <w:rsid w:val="009F5829"/>
    <w:rsid w:val="00A0159B"/>
    <w:rsid w:val="00A04828"/>
    <w:rsid w:val="00A07E2A"/>
    <w:rsid w:val="00A118DA"/>
    <w:rsid w:val="00A15ADF"/>
    <w:rsid w:val="00A16332"/>
    <w:rsid w:val="00A16CAF"/>
    <w:rsid w:val="00A20D31"/>
    <w:rsid w:val="00A23CBF"/>
    <w:rsid w:val="00A26CA6"/>
    <w:rsid w:val="00A304CC"/>
    <w:rsid w:val="00A326A3"/>
    <w:rsid w:val="00A32CA9"/>
    <w:rsid w:val="00A3317F"/>
    <w:rsid w:val="00A36F2E"/>
    <w:rsid w:val="00A42D43"/>
    <w:rsid w:val="00A4311F"/>
    <w:rsid w:val="00A46B24"/>
    <w:rsid w:val="00A47F50"/>
    <w:rsid w:val="00A505EB"/>
    <w:rsid w:val="00A52E1B"/>
    <w:rsid w:val="00A53A09"/>
    <w:rsid w:val="00A55414"/>
    <w:rsid w:val="00A57312"/>
    <w:rsid w:val="00A6077D"/>
    <w:rsid w:val="00A618A6"/>
    <w:rsid w:val="00A72D9E"/>
    <w:rsid w:val="00A733EC"/>
    <w:rsid w:val="00A7662D"/>
    <w:rsid w:val="00A91111"/>
    <w:rsid w:val="00A95991"/>
    <w:rsid w:val="00A97647"/>
    <w:rsid w:val="00AA17FB"/>
    <w:rsid w:val="00AA2257"/>
    <w:rsid w:val="00AA3ADF"/>
    <w:rsid w:val="00AA5226"/>
    <w:rsid w:val="00AA581F"/>
    <w:rsid w:val="00AA5EC3"/>
    <w:rsid w:val="00AA65DC"/>
    <w:rsid w:val="00AB2488"/>
    <w:rsid w:val="00AB2618"/>
    <w:rsid w:val="00AC0288"/>
    <w:rsid w:val="00AC4344"/>
    <w:rsid w:val="00AC4E46"/>
    <w:rsid w:val="00AC5B9D"/>
    <w:rsid w:val="00AC6EAA"/>
    <w:rsid w:val="00AE333F"/>
    <w:rsid w:val="00AE7183"/>
    <w:rsid w:val="00AF2EDC"/>
    <w:rsid w:val="00AF3D33"/>
    <w:rsid w:val="00AF49BD"/>
    <w:rsid w:val="00AF63E8"/>
    <w:rsid w:val="00B02AB9"/>
    <w:rsid w:val="00B05FCB"/>
    <w:rsid w:val="00B1349B"/>
    <w:rsid w:val="00B16AA3"/>
    <w:rsid w:val="00B226FA"/>
    <w:rsid w:val="00B2338A"/>
    <w:rsid w:val="00B24A09"/>
    <w:rsid w:val="00B30EF3"/>
    <w:rsid w:val="00B325CF"/>
    <w:rsid w:val="00B35E2E"/>
    <w:rsid w:val="00B3652F"/>
    <w:rsid w:val="00B3719C"/>
    <w:rsid w:val="00B40B26"/>
    <w:rsid w:val="00B42741"/>
    <w:rsid w:val="00B44B6B"/>
    <w:rsid w:val="00B46A8E"/>
    <w:rsid w:val="00B55618"/>
    <w:rsid w:val="00B56B6B"/>
    <w:rsid w:val="00B60485"/>
    <w:rsid w:val="00B604B4"/>
    <w:rsid w:val="00B64F4F"/>
    <w:rsid w:val="00B7555C"/>
    <w:rsid w:val="00B75F4F"/>
    <w:rsid w:val="00B776E7"/>
    <w:rsid w:val="00B81234"/>
    <w:rsid w:val="00B82CAA"/>
    <w:rsid w:val="00B83286"/>
    <w:rsid w:val="00B86F9F"/>
    <w:rsid w:val="00B93491"/>
    <w:rsid w:val="00B942D0"/>
    <w:rsid w:val="00B97E5C"/>
    <w:rsid w:val="00BA0BB0"/>
    <w:rsid w:val="00BA3AB3"/>
    <w:rsid w:val="00BA3E85"/>
    <w:rsid w:val="00BA5B6F"/>
    <w:rsid w:val="00BA7B79"/>
    <w:rsid w:val="00BB1CF1"/>
    <w:rsid w:val="00BB3186"/>
    <w:rsid w:val="00BB4563"/>
    <w:rsid w:val="00BC17B0"/>
    <w:rsid w:val="00BC3C3A"/>
    <w:rsid w:val="00BC4848"/>
    <w:rsid w:val="00BC5D18"/>
    <w:rsid w:val="00BC706D"/>
    <w:rsid w:val="00BC7F5A"/>
    <w:rsid w:val="00BD03EF"/>
    <w:rsid w:val="00BD0F62"/>
    <w:rsid w:val="00BD6D95"/>
    <w:rsid w:val="00BE4160"/>
    <w:rsid w:val="00BF1ED1"/>
    <w:rsid w:val="00BF4C39"/>
    <w:rsid w:val="00C00029"/>
    <w:rsid w:val="00C0273D"/>
    <w:rsid w:val="00C02BD9"/>
    <w:rsid w:val="00C05924"/>
    <w:rsid w:val="00C06228"/>
    <w:rsid w:val="00C11021"/>
    <w:rsid w:val="00C119AD"/>
    <w:rsid w:val="00C1262A"/>
    <w:rsid w:val="00C15002"/>
    <w:rsid w:val="00C15866"/>
    <w:rsid w:val="00C168DF"/>
    <w:rsid w:val="00C24BAB"/>
    <w:rsid w:val="00C2608D"/>
    <w:rsid w:val="00C335E4"/>
    <w:rsid w:val="00C338BE"/>
    <w:rsid w:val="00C450F0"/>
    <w:rsid w:val="00C50201"/>
    <w:rsid w:val="00C612FD"/>
    <w:rsid w:val="00C64AA1"/>
    <w:rsid w:val="00C70416"/>
    <w:rsid w:val="00C711D5"/>
    <w:rsid w:val="00C72BB8"/>
    <w:rsid w:val="00C73597"/>
    <w:rsid w:val="00C73C4E"/>
    <w:rsid w:val="00C73F00"/>
    <w:rsid w:val="00C75A45"/>
    <w:rsid w:val="00C768C7"/>
    <w:rsid w:val="00C76AF3"/>
    <w:rsid w:val="00C872CA"/>
    <w:rsid w:val="00C879F9"/>
    <w:rsid w:val="00C906C8"/>
    <w:rsid w:val="00C94DE9"/>
    <w:rsid w:val="00CA035A"/>
    <w:rsid w:val="00CA3843"/>
    <w:rsid w:val="00CB251C"/>
    <w:rsid w:val="00CB5030"/>
    <w:rsid w:val="00CC2AA4"/>
    <w:rsid w:val="00CC399C"/>
    <w:rsid w:val="00CD4D09"/>
    <w:rsid w:val="00CD6FDB"/>
    <w:rsid w:val="00CE0EED"/>
    <w:rsid w:val="00CE19F5"/>
    <w:rsid w:val="00CE3697"/>
    <w:rsid w:val="00CE6413"/>
    <w:rsid w:val="00CF385B"/>
    <w:rsid w:val="00CF71C7"/>
    <w:rsid w:val="00CF76FE"/>
    <w:rsid w:val="00D014D1"/>
    <w:rsid w:val="00D02690"/>
    <w:rsid w:val="00D057BB"/>
    <w:rsid w:val="00D12ACE"/>
    <w:rsid w:val="00D135B0"/>
    <w:rsid w:val="00D15715"/>
    <w:rsid w:val="00D17DF2"/>
    <w:rsid w:val="00D208DF"/>
    <w:rsid w:val="00D22642"/>
    <w:rsid w:val="00D35D46"/>
    <w:rsid w:val="00D37DF4"/>
    <w:rsid w:val="00D401C9"/>
    <w:rsid w:val="00D424C1"/>
    <w:rsid w:val="00D432FE"/>
    <w:rsid w:val="00D43D73"/>
    <w:rsid w:val="00D43EDB"/>
    <w:rsid w:val="00D45431"/>
    <w:rsid w:val="00D47D01"/>
    <w:rsid w:val="00D51669"/>
    <w:rsid w:val="00D517A9"/>
    <w:rsid w:val="00D56241"/>
    <w:rsid w:val="00D615C1"/>
    <w:rsid w:val="00D64980"/>
    <w:rsid w:val="00D66E4B"/>
    <w:rsid w:val="00D67F20"/>
    <w:rsid w:val="00D714EF"/>
    <w:rsid w:val="00D766BD"/>
    <w:rsid w:val="00D77A91"/>
    <w:rsid w:val="00D77D72"/>
    <w:rsid w:val="00D81FA3"/>
    <w:rsid w:val="00D8205B"/>
    <w:rsid w:val="00D8550D"/>
    <w:rsid w:val="00D922BD"/>
    <w:rsid w:val="00D924B1"/>
    <w:rsid w:val="00D92841"/>
    <w:rsid w:val="00D9296D"/>
    <w:rsid w:val="00D95D55"/>
    <w:rsid w:val="00DA0F7F"/>
    <w:rsid w:val="00DA3501"/>
    <w:rsid w:val="00DB15B9"/>
    <w:rsid w:val="00DB2F23"/>
    <w:rsid w:val="00DB5BED"/>
    <w:rsid w:val="00DC2335"/>
    <w:rsid w:val="00DD05EC"/>
    <w:rsid w:val="00DD2A9F"/>
    <w:rsid w:val="00DD4845"/>
    <w:rsid w:val="00DD4D80"/>
    <w:rsid w:val="00DD5361"/>
    <w:rsid w:val="00DD76B2"/>
    <w:rsid w:val="00DE0BA0"/>
    <w:rsid w:val="00DE110A"/>
    <w:rsid w:val="00DE25C0"/>
    <w:rsid w:val="00DE44D8"/>
    <w:rsid w:val="00DE4AE7"/>
    <w:rsid w:val="00DE7409"/>
    <w:rsid w:val="00DF09AC"/>
    <w:rsid w:val="00DF4D16"/>
    <w:rsid w:val="00E02614"/>
    <w:rsid w:val="00E07B89"/>
    <w:rsid w:val="00E10833"/>
    <w:rsid w:val="00E204A0"/>
    <w:rsid w:val="00E21E94"/>
    <w:rsid w:val="00E228C6"/>
    <w:rsid w:val="00E242C2"/>
    <w:rsid w:val="00E27DBA"/>
    <w:rsid w:val="00E3231F"/>
    <w:rsid w:val="00E32B42"/>
    <w:rsid w:val="00E366D1"/>
    <w:rsid w:val="00E407FA"/>
    <w:rsid w:val="00E4203B"/>
    <w:rsid w:val="00E44E66"/>
    <w:rsid w:val="00E4528D"/>
    <w:rsid w:val="00E45B21"/>
    <w:rsid w:val="00E53E69"/>
    <w:rsid w:val="00E60B87"/>
    <w:rsid w:val="00E663FC"/>
    <w:rsid w:val="00E67BF2"/>
    <w:rsid w:val="00E67E0B"/>
    <w:rsid w:val="00E81EA6"/>
    <w:rsid w:val="00E82B5D"/>
    <w:rsid w:val="00E853B8"/>
    <w:rsid w:val="00E8596D"/>
    <w:rsid w:val="00E92E74"/>
    <w:rsid w:val="00EA7B21"/>
    <w:rsid w:val="00EB049E"/>
    <w:rsid w:val="00EB20BE"/>
    <w:rsid w:val="00EB61A5"/>
    <w:rsid w:val="00EB7400"/>
    <w:rsid w:val="00EC3C02"/>
    <w:rsid w:val="00ED078B"/>
    <w:rsid w:val="00ED10DF"/>
    <w:rsid w:val="00ED3F64"/>
    <w:rsid w:val="00ED6E99"/>
    <w:rsid w:val="00EE1C69"/>
    <w:rsid w:val="00EE2C0C"/>
    <w:rsid w:val="00EE3086"/>
    <w:rsid w:val="00EE7429"/>
    <w:rsid w:val="00F01BE3"/>
    <w:rsid w:val="00F026B4"/>
    <w:rsid w:val="00F1017E"/>
    <w:rsid w:val="00F10BE0"/>
    <w:rsid w:val="00F11243"/>
    <w:rsid w:val="00F13FFE"/>
    <w:rsid w:val="00F21561"/>
    <w:rsid w:val="00F26EFD"/>
    <w:rsid w:val="00F27943"/>
    <w:rsid w:val="00F31882"/>
    <w:rsid w:val="00F31ABD"/>
    <w:rsid w:val="00F3550D"/>
    <w:rsid w:val="00F361A1"/>
    <w:rsid w:val="00F41182"/>
    <w:rsid w:val="00F44E34"/>
    <w:rsid w:val="00F47A31"/>
    <w:rsid w:val="00F51961"/>
    <w:rsid w:val="00F54737"/>
    <w:rsid w:val="00F57138"/>
    <w:rsid w:val="00F57386"/>
    <w:rsid w:val="00F6131C"/>
    <w:rsid w:val="00F6296A"/>
    <w:rsid w:val="00F67BEF"/>
    <w:rsid w:val="00F71885"/>
    <w:rsid w:val="00F733C0"/>
    <w:rsid w:val="00F778BE"/>
    <w:rsid w:val="00F80346"/>
    <w:rsid w:val="00F868D1"/>
    <w:rsid w:val="00F90946"/>
    <w:rsid w:val="00F91D9A"/>
    <w:rsid w:val="00F92C75"/>
    <w:rsid w:val="00F938BE"/>
    <w:rsid w:val="00F93C8C"/>
    <w:rsid w:val="00FA13C4"/>
    <w:rsid w:val="00FA2DA3"/>
    <w:rsid w:val="00FA7C12"/>
    <w:rsid w:val="00FB18AE"/>
    <w:rsid w:val="00FB1A3F"/>
    <w:rsid w:val="00FB4567"/>
    <w:rsid w:val="00FC1E3D"/>
    <w:rsid w:val="00FC32AA"/>
    <w:rsid w:val="00FC4FF4"/>
    <w:rsid w:val="00FC7B49"/>
    <w:rsid w:val="00FD1FF3"/>
    <w:rsid w:val="00FD22CE"/>
    <w:rsid w:val="00FD7456"/>
    <w:rsid w:val="00FE11F7"/>
    <w:rsid w:val="00FE1886"/>
    <w:rsid w:val="00FE3FC3"/>
    <w:rsid w:val="00FE4626"/>
    <w:rsid w:val="00FE59C2"/>
    <w:rsid w:val="00FE638B"/>
    <w:rsid w:val="00FF7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C1D"/>
    <w:pPr>
      <w:ind w:left="720"/>
      <w:contextualSpacing/>
    </w:pPr>
  </w:style>
  <w:style w:type="paragraph" w:styleId="FootnoteText">
    <w:name w:val="footnote text"/>
    <w:basedOn w:val="Normal"/>
    <w:link w:val="FootnoteTextChar"/>
    <w:uiPriority w:val="99"/>
    <w:unhideWhenUsed/>
    <w:rsid w:val="00C450F0"/>
    <w:pPr>
      <w:spacing w:after="0" w:line="240" w:lineRule="auto"/>
    </w:pPr>
    <w:rPr>
      <w:sz w:val="20"/>
      <w:szCs w:val="20"/>
    </w:rPr>
  </w:style>
  <w:style w:type="character" w:customStyle="1" w:styleId="FootnoteTextChar">
    <w:name w:val="Footnote Text Char"/>
    <w:basedOn w:val="DefaultParagraphFont"/>
    <w:link w:val="FootnoteText"/>
    <w:uiPriority w:val="99"/>
    <w:rsid w:val="00C450F0"/>
    <w:rPr>
      <w:sz w:val="20"/>
      <w:szCs w:val="20"/>
    </w:rPr>
  </w:style>
  <w:style w:type="character" w:styleId="FootnoteReference">
    <w:name w:val="footnote reference"/>
    <w:basedOn w:val="DefaultParagraphFont"/>
    <w:uiPriority w:val="99"/>
    <w:unhideWhenUsed/>
    <w:rsid w:val="00C450F0"/>
    <w:rPr>
      <w:vertAlign w:val="superscript"/>
    </w:rPr>
  </w:style>
  <w:style w:type="character" w:styleId="Hyperlink">
    <w:name w:val="Hyperlink"/>
    <w:basedOn w:val="DefaultParagraphFont"/>
    <w:uiPriority w:val="99"/>
    <w:unhideWhenUsed/>
    <w:rsid w:val="00EB20BE"/>
    <w:rPr>
      <w:color w:val="0000FF"/>
      <w:u w:val="single"/>
    </w:rPr>
  </w:style>
  <w:style w:type="character" w:customStyle="1" w:styleId="sfbbfee58">
    <w:name w:val="sfbbfee58"/>
    <w:basedOn w:val="DefaultParagraphFont"/>
    <w:rsid w:val="00F6296A"/>
  </w:style>
  <w:style w:type="character" w:customStyle="1" w:styleId="sb8d990e2">
    <w:name w:val="sb8d990e2"/>
    <w:basedOn w:val="DefaultParagraphFont"/>
    <w:rsid w:val="00EE7429"/>
  </w:style>
  <w:style w:type="character" w:customStyle="1" w:styleId="s6b621b36">
    <w:name w:val="s6b621b36"/>
    <w:basedOn w:val="DefaultParagraphFont"/>
    <w:rsid w:val="00EE7429"/>
  </w:style>
  <w:style w:type="paragraph" w:customStyle="1" w:styleId="s32b251d">
    <w:name w:val="s32b251d"/>
    <w:basedOn w:val="Normal"/>
    <w:rsid w:val="00DF4D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7d2086b4">
    <w:name w:val="s7d2086b4"/>
    <w:basedOn w:val="DefaultParagraphFont"/>
    <w:rsid w:val="00DF4D16"/>
  </w:style>
  <w:style w:type="character" w:customStyle="1" w:styleId="s38c10080">
    <w:name w:val="s38c10080"/>
    <w:basedOn w:val="DefaultParagraphFont"/>
    <w:rsid w:val="00D47D01"/>
  </w:style>
  <w:style w:type="character" w:styleId="FollowedHyperlink">
    <w:name w:val="FollowedHyperlink"/>
    <w:basedOn w:val="DefaultParagraphFont"/>
    <w:uiPriority w:val="99"/>
    <w:semiHidden/>
    <w:unhideWhenUsed/>
    <w:rsid w:val="003575DD"/>
    <w:rPr>
      <w:color w:val="954F72" w:themeColor="followedHyperlink"/>
      <w:u w:val="single"/>
    </w:rPr>
  </w:style>
  <w:style w:type="paragraph" w:styleId="Header">
    <w:name w:val="header"/>
    <w:basedOn w:val="Normal"/>
    <w:link w:val="HeaderChar"/>
    <w:uiPriority w:val="99"/>
    <w:unhideWhenUsed/>
    <w:rsid w:val="008D3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D9"/>
  </w:style>
  <w:style w:type="paragraph" w:styleId="Footer">
    <w:name w:val="footer"/>
    <w:basedOn w:val="Normal"/>
    <w:link w:val="FooterChar"/>
    <w:uiPriority w:val="99"/>
    <w:unhideWhenUsed/>
    <w:rsid w:val="008D3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D9"/>
  </w:style>
  <w:style w:type="paragraph" w:styleId="EndnoteText">
    <w:name w:val="endnote text"/>
    <w:basedOn w:val="Normal"/>
    <w:link w:val="EndnoteTextChar"/>
    <w:uiPriority w:val="99"/>
    <w:semiHidden/>
    <w:unhideWhenUsed/>
    <w:rsid w:val="00044F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4FDB"/>
    <w:rPr>
      <w:sz w:val="20"/>
      <w:szCs w:val="20"/>
    </w:rPr>
  </w:style>
  <w:style w:type="character" w:styleId="EndnoteReference">
    <w:name w:val="endnote reference"/>
    <w:basedOn w:val="DefaultParagraphFont"/>
    <w:uiPriority w:val="99"/>
    <w:semiHidden/>
    <w:unhideWhenUsed/>
    <w:rsid w:val="00044F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3483">
      <w:bodyDiv w:val="1"/>
      <w:marLeft w:val="0"/>
      <w:marRight w:val="0"/>
      <w:marTop w:val="0"/>
      <w:marBottom w:val="0"/>
      <w:divBdr>
        <w:top w:val="none" w:sz="0" w:space="0" w:color="auto"/>
        <w:left w:val="none" w:sz="0" w:space="0" w:color="auto"/>
        <w:bottom w:val="none" w:sz="0" w:space="0" w:color="auto"/>
        <w:right w:val="none" w:sz="0" w:space="0" w:color="auto"/>
      </w:divBdr>
    </w:div>
    <w:div w:id="211581084">
      <w:bodyDiv w:val="1"/>
      <w:marLeft w:val="0"/>
      <w:marRight w:val="0"/>
      <w:marTop w:val="0"/>
      <w:marBottom w:val="0"/>
      <w:divBdr>
        <w:top w:val="none" w:sz="0" w:space="0" w:color="auto"/>
        <w:left w:val="none" w:sz="0" w:space="0" w:color="auto"/>
        <w:bottom w:val="none" w:sz="0" w:space="0" w:color="auto"/>
        <w:right w:val="none" w:sz="0" w:space="0" w:color="auto"/>
      </w:divBdr>
    </w:div>
    <w:div w:id="249315442">
      <w:bodyDiv w:val="1"/>
      <w:marLeft w:val="0"/>
      <w:marRight w:val="0"/>
      <w:marTop w:val="0"/>
      <w:marBottom w:val="0"/>
      <w:divBdr>
        <w:top w:val="none" w:sz="0" w:space="0" w:color="auto"/>
        <w:left w:val="none" w:sz="0" w:space="0" w:color="auto"/>
        <w:bottom w:val="none" w:sz="0" w:space="0" w:color="auto"/>
        <w:right w:val="none" w:sz="0" w:space="0" w:color="auto"/>
      </w:divBdr>
    </w:div>
    <w:div w:id="300691781">
      <w:bodyDiv w:val="1"/>
      <w:marLeft w:val="0"/>
      <w:marRight w:val="0"/>
      <w:marTop w:val="0"/>
      <w:marBottom w:val="0"/>
      <w:divBdr>
        <w:top w:val="none" w:sz="0" w:space="0" w:color="auto"/>
        <w:left w:val="none" w:sz="0" w:space="0" w:color="auto"/>
        <w:bottom w:val="none" w:sz="0" w:space="0" w:color="auto"/>
        <w:right w:val="none" w:sz="0" w:space="0" w:color="auto"/>
      </w:divBdr>
    </w:div>
    <w:div w:id="449979848">
      <w:bodyDiv w:val="1"/>
      <w:marLeft w:val="0"/>
      <w:marRight w:val="0"/>
      <w:marTop w:val="0"/>
      <w:marBottom w:val="0"/>
      <w:divBdr>
        <w:top w:val="none" w:sz="0" w:space="0" w:color="auto"/>
        <w:left w:val="none" w:sz="0" w:space="0" w:color="auto"/>
        <w:bottom w:val="none" w:sz="0" w:space="0" w:color="auto"/>
        <w:right w:val="none" w:sz="0" w:space="0" w:color="auto"/>
      </w:divBdr>
      <w:divsChild>
        <w:div w:id="1714966995">
          <w:marLeft w:val="0"/>
          <w:marRight w:val="0"/>
          <w:marTop w:val="0"/>
          <w:marBottom w:val="225"/>
          <w:divBdr>
            <w:top w:val="none" w:sz="0" w:space="0" w:color="auto"/>
            <w:left w:val="none" w:sz="0" w:space="0" w:color="auto"/>
            <w:bottom w:val="none" w:sz="0" w:space="0" w:color="auto"/>
            <w:right w:val="none" w:sz="0" w:space="0" w:color="auto"/>
          </w:divBdr>
          <w:divsChild>
            <w:div w:id="707603992">
              <w:marLeft w:val="0"/>
              <w:marRight w:val="0"/>
              <w:marTop w:val="0"/>
              <w:marBottom w:val="0"/>
              <w:divBdr>
                <w:top w:val="none" w:sz="0" w:space="0" w:color="auto"/>
                <w:left w:val="none" w:sz="0" w:space="0" w:color="auto"/>
                <w:bottom w:val="none" w:sz="0" w:space="0" w:color="auto"/>
                <w:right w:val="none" w:sz="0" w:space="0" w:color="auto"/>
              </w:divBdr>
            </w:div>
          </w:divsChild>
        </w:div>
        <w:div w:id="1054886845">
          <w:marLeft w:val="0"/>
          <w:marRight w:val="0"/>
          <w:marTop w:val="0"/>
          <w:marBottom w:val="225"/>
          <w:divBdr>
            <w:top w:val="none" w:sz="0" w:space="0" w:color="auto"/>
            <w:left w:val="none" w:sz="0" w:space="0" w:color="auto"/>
            <w:bottom w:val="none" w:sz="0" w:space="0" w:color="auto"/>
            <w:right w:val="none" w:sz="0" w:space="0" w:color="auto"/>
          </w:divBdr>
          <w:divsChild>
            <w:div w:id="786967964">
              <w:marLeft w:val="0"/>
              <w:marRight w:val="0"/>
              <w:marTop w:val="0"/>
              <w:marBottom w:val="0"/>
              <w:divBdr>
                <w:top w:val="none" w:sz="0" w:space="0" w:color="auto"/>
                <w:left w:val="none" w:sz="0" w:space="0" w:color="auto"/>
                <w:bottom w:val="none" w:sz="0" w:space="0" w:color="auto"/>
                <w:right w:val="none" w:sz="0" w:space="0" w:color="auto"/>
              </w:divBdr>
            </w:div>
          </w:divsChild>
        </w:div>
        <w:div w:id="110902924">
          <w:marLeft w:val="0"/>
          <w:marRight w:val="0"/>
          <w:marTop w:val="0"/>
          <w:marBottom w:val="225"/>
          <w:divBdr>
            <w:top w:val="none" w:sz="0" w:space="0" w:color="auto"/>
            <w:left w:val="none" w:sz="0" w:space="0" w:color="auto"/>
            <w:bottom w:val="none" w:sz="0" w:space="0" w:color="auto"/>
            <w:right w:val="none" w:sz="0" w:space="0" w:color="auto"/>
          </w:divBdr>
          <w:divsChild>
            <w:div w:id="8889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00663">
      <w:bodyDiv w:val="1"/>
      <w:marLeft w:val="0"/>
      <w:marRight w:val="0"/>
      <w:marTop w:val="0"/>
      <w:marBottom w:val="0"/>
      <w:divBdr>
        <w:top w:val="none" w:sz="0" w:space="0" w:color="auto"/>
        <w:left w:val="none" w:sz="0" w:space="0" w:color="auto"/>
        <w:bottom w:val="none" w:sz="0" w:space="0" w:color="auto"/>
        <w:right w:val="none" w:sz="0" w:space="0" w:color="auto"/>
      </w:divBdr>
    </w:div>
    <w:div w:id="772673309">
      <w:bodyDiv w:val="1"/>
      <w:marLeft w:val="0"/>
      <w:marRight w:val="0"/>
      <w:marTop w:val="0"/>
      <w:marBottom w:val="0"/>
      <w:divBdr>
        <w:top w:val="none" w:sz="0" w:space="0" w:color="auto"/>
        <w:left w:val="none" w:sz="0" w:space="0" w:color="auto"/>
        <w:bottom w:val="none" w:sz="0" w:space="0" w:color="auto"/>
        <w:right w:val="none" w:sz="0" w:space="0" w:color="auto"/>
      </w:divBdr>
    </w:div>
    <w:div w:id="986209119">
      <w:bodyDiv w:val="1"/>
      <w:marLeft w:val="0"/>
      <w:marRight w:val="0"/>
      <w:marTop w:val="0"/>
      <w:marBottom w:val="0"/>
      <w:divBdr>
        <w:top w:val="none" w:sz="0" w:space="0" w:color="auto"/>
        <w:left w:val="none" w:sz="0" w:space="0" w:color="auto"/>
        <w:bottom w:val="none" w:sz="0" w:space="0" w:color="auto"/>
        <w:right w:val="none" w:sz="0" w:space="0" w:color="auto"/>
      </w:divBdr>
    </w:div>
    <w:div w:id="986977668">
      <w:bodyDiv w:val="1"/>
      <w:marLeft w:val="0"/>
      <w:marRight w:val="0"/>
      <w:marTop w:val="0"/>
      <w:marBottom w:val="0"/>
      <w:divBdr>
        <w:top w:val="none" w:sz="0" w:space="0" w:color="auto"/>
        <w:left w:val="none" w:sz="0" w:space="0" w:color="auto"/>
        <w:bottom w:val="none" w:sz="0" w:space="0" w:color="auto"/>
        <w:right w:val="none" w:sz="0" w:space="0" w:color="auto"/>
      </w:divBdr>
    </w:div>
    <w:div w:id="1125463609">
      <w:bodyDiv w:val="1"/>
      <w:marLeft w:val="0"/>
      <w:marRight w:val="0"/>
      <w:marTop w:val="0"/>
      <w:marBottom w:val="0"/>
      <w:divBdr>
        <w:top w:val="none" w:sz="0" w:space="0" w:color="auto"/>
        <w:left w:val="none" w:sz="0" w:space="0" w:color="auto"/>
        <w:bottom w:val="none" w:sz="0" w:space="0" w:color="auto"/>
        <w:right w:val="none" w:sz="0" w:space="0" w:color="auto"/>
      </w:divBdr>
    </w:div>
    <w:div w:id="1212108446">
      <w:bodyDiv w:val="1"/>
      <w:marLeft w:val="0"/>
      <w:marRight w:val="0"/>
      <w:marTop w:val="0"/>
      <w:marBottom w:val="0"/>
      <w:divBdr>
        <w:top w:val="none" w:sz="0" w:space="0" w:color="auto"/>
        <w:left w:val="none" w:sz="0" w:space="0" w:color="auto"/>
        <w:bottom w:val="none" w:sz="0" w:space="0" w:color="auto"/>
        <w:right w:val="none" w:sz="0" w:space="0" w:color="auto"/>
      </w:divBdr>
    </w:div>
    <w:div w:id="1279677119">
      <w:bodyDiv w:val="1"/>
      <w:marLeft w:val="0"/>
      <w:marRight w:val="0"/>
      <w:marTop w:val="0"/>
      <w:marBottom w:val="0"/>
      <w:divBdr>
        <w:top w:val="none" w:sz="0" w:space="0" w:color="auto"/>
        <w:left w:val="none" w:sz="0" w:space="0" w:color="auto"/>
        <w:bottom w:val="none" w:sz="0" w:space="0" w:color="auto"/>
        <w:right w:val="none" w:sz="0" w:space="0" w:color="auto"/>
      </w:divBdr>
    </w:div>
    <w:div w:id="1291519480">
      <w:bodyDiv w:val="1"/>
      <w:marLeft w:val="0"/>
      <w:marRight w:val="0"/>
      <w:marTop w:val="0"/>
      <w:marBottom w:val="0"/>
      <w:divBdr>
        <w:top w:val="none" w:sz="0" w:space="0" w:color="auto"/>
        <w:left w:val="none" w:sz="0" w:space="0" w:color="auto"/>
        <w:bottom w:val="none" w:sz="0" w:space="0" w:color="auto"/>
        <w:right w:val="none" w:sz="0" w:space="0" w:color="auto"/>
      </w:divBdr>
    </w:div>
    <w:div w:id="1324625621">
      <w:bodyDiv w:val="1"/>
      <w:marLeft w:val="0"/>
      <w:marRight w:val="0"/>
      <w:marTop w:val="0"/>
      <w:marBottom w:val="0"/>
      <w:divBdr>
        <w:top w:val="none" w:sz="0" w:space="0" w:color="auto"/>
        <w:left w:val="none" w:sz="0" w:space="0" w:color="auto"/>
        <w:bottom w:val="none" w:sz="0" w:space="0" w:color="auto"/>
        <w:right w:val="none" w:sz="0" w:space="0" w:color="auto"/>
      </w:divBdr>
    </w:div>
    <w:div w:id="1853570254">
      <w:bodyDiv w:val="1"/>
      <w:marLeft w:val="0"/>
      <w:marRight w:val="0"/>
      <w:marTop w:val="0"/>
      <w:marBottom w:val="0"/>
      <w:divBdr>
        <w:top w:val="none" w:sz="0" w:space="0" w:color="auto"/>
        <w:left w:val="none" w:sz="0" w:space="0" w:color="auto"/>
        <w:bottom w:val="none" w:sz="0" w:space="0" w:color="auto"/>
        <w:right w:val="none" w:sz="0" w:space="0" w:color="auto"/>
      </w:divBdr>
    </w:div>
    <w:div w:id="1890728858">
      <w:bodyDiv w:val="1"/>
      <w:marLeft w:val="0"/>
      <w:marRight w:val="0"/>
      <w:marTop w:val="0"/>
      <w:marBottom w:val="0"/>
      <w:divBdr>
        <w:top w:val="none" w:sz="0" w:space="0" w:color="auto"/>
        <w:left w:val="none" w:sz="0" w:space="0" w:color="auto"/>
        <w:bottom w:val="none" w:sz="0" w:space="0" w:color="auto"/>
        <w:right w:val="none" w:sz="0" w:space="0" w:color="auto"/>
      </w:divBdr>
    </w:div>
    <w:div w:id="2086536273">
      <w:bodyDiv w:val="1"/>
      <w:marLeft w:val="0"/>
      <w:marRight w:val="0"/>
      <w:marTop w:val="0"/>
      <w:marBottom w:val="0"/>
      <w:divBdr>
        <w:top w:val="none" w:sz="0" w:space="0" w:color="auto"/>
        <w:left w:val="none" w:sz="0" w:space="0" w:color="auto"/>
        <w:bottom w:val="none" w:sz="0" w:space="0" w:color="auto"/>
        <w:right w:val="none" w:sz="0" w:space="0" w:color="auto"/>
      </w:divBdr>
    </w:div>
    <w:div w:id="2141222935">
      <w:bodyDiv w:val="1"/>
      <w:marLeft w:val="0"/>
      <w:marRight w:val="0"/>
      <w:marTop w:val="0"/>
      <w:marBottom w:val="0"/>
      <w:divBdr>
        <w:top w:val="none" w:sz="0" w:space="0" w:color="auto"/>
        <w:left w:val="none" w:sz="0" w:space="0" w:color="auto"/>
        <w:bottom w:val="none" w:sz="0" w:space="0" w:color="auto"/>
        <w:right w:val="none" w:sz="0" w:space="0" w:color="auto"/>
      </w:divBdr>
      <w:divsChild>
        <w:div w:id="267202476">
          <w:marLeft w:val="0"/>
          <w:marRight w:val="0"/>
          <w:marTop w:val="0"/>
          <w:marBottom w:val="0"/>
          <w:divBdr>
            <w:top w:val="none" w:sz="0" w:space="0" w:color="auto"/>
            <w:left w:val="none" w:sz="0" w:space="0" w:color="auto"/>
            <w:bottom w:val="none" w:sz="0" w:space="0" w:color="auto"/>
            <w:right w:val="none" w:sz="0" w:space="0" w:color="auto"/>
          </w:divBdr>
          <w:divsChild>
            <w:div w:id="153761643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BC972-B27D-4162-9000-DFF87B60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4420</Words>
  <Characters>25196</Characters>
  <Application>Microsoft Office Word</Application>
  <DocSecurity>0</DocSecurity>
  <Lines>209</Lines>
  <Paragraphs>59</Paragraphs>
  <ScaleCrop>false</ScaleCrop>
  <Company/>
  <LinksUpToDate>false</LinksUpToDate>
  <CharactersWithSpaces>29557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2020-01-03T10:48:00Z</dcterms:created>
  <dcterms:modified xsi:type="dcterms:W3CDTF">2020-01-20T10:54:00Z</dcterms:modified>
</cp:coreProperties>
</file>